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328930</wp:posOffset>
            </wp:positionH>
            <wp:positionV relativeFrom="page">
              <wp:posOffset>523875</wp:posOffset>
            </wp:positionV>
            <wp:extent cx="69088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8800" cy="5715"/>
                    </a:xfrm>
                    <a:prstGeom prst="rect">
                      <a:avLst/>
                    </a:prstGeom>
                    <a:noFill/>
                  </pic:spPr>
                </pic:pic>
              </a:graphicData>
            </a:graphic>
          </wp:anchor>
        </w:drawing>
        <w:drawing>
          <wp:anchor simplePos="0" relativeHeight="251657728" behindDoc="1" locked="0" layoutInCell="0" allowOverlap="1">
            <wp:simplePos x="0" y="0"/>
            <wp:positionH relativeFrom="page">
              <wp:posOffset>328930</wp:posOffset>
            </wp:positionH>
            <wp:positionV relativeFrom="page">
              <wp:posOffset>466090</wp:posOffset>
            </wp:positionV>
            <wp:extent cx="69088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8800" cy="571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1956435</wp:posOffset>
            </wp:positionH>
            <wp:positionV relativeFrom="paragraph">
              <wp:posOffset>-154305</wp:posOffset>
            </wp:positionV>
            <wp:extent cx="33743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4390" cy="5715"/>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211455</wp:posOffset>
            </wp:positionV>
            <wp:extent cx="33743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4390" cy="571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Exchange Act of 1934</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Date of Report (Date of earliest event reported): February 5, 2020 (February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1876425</wp:posOffset>
            </wp:positionH>
            <wp:positionV relativeFrom="paragraph">
              <wp:posOffset>128270</wp:posOffset>
            </wp:positionV>
            <wp:extent cx="35344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4410" cy="5715"/>
                    </a:xfrm>
                    <a:prstGeom prst="rect">
                      <a:avLst/>
                    </a:prstGeom>
                    <a:noFill/>
                  </pic:spPr>
                </pic:pic>
              </a:graphicData>
            </a:graphic>
          </wp:anchor>
        </w:drawing>
      </w:r>
    </w:p>
    <w:p>
      <w:pPr>
        <w:spacing w:after="0" w:line="25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Humana Inc.</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1887855</wp:posOffset>
            </wp:positionH>
            <wp:positionV relativeFrom="paragraph">
              <wp:posOffset>74930</wp:posOffset>
            </wp:positionV>
            <wp:extent cx="350583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5715"/>
                    </a:xfrm>
                    <a:prstGeom prst="rect">
                      <a:avLst/>
                    </a:prstGeom>
                    <a:noFill/>
                  </pic:spPr>
                </pic:pic>
              </a:graphicData>
            </a:graphic>
          </wp:anchor>
        </w:drawing>
      </w:r>
    </w:p>
    <w:p>
      <w:pPr>
        <w:sectPr>
          <w:pgSz w:w="11900" w:h="16838" w:orient="portrait"/>
          <w:cols w:equalWidth="0" w:num="1">
            <w:col w:w="11480"/>
          </w:cols>
          <w:pgMar w:left="220" w:top="860" w:right="199" w:bottom="1440" w:gutter="0" w:footer="0" w:header="0"/>
        </w:sectPr>
      </w:pPr>
    </w:p>
    <w:p>
      <w:pPr>
        <w:spacing w:after="0" w:line="222" w:lineRule="exact"/>
        <w:rPr>
          <w:sz w:val="24"/>
          <w:szCs w:val="24"/>
          <w:color w:val="auto"/>
        </w:rPr>
      </w:pPr>
    </w:p>
    <w:p>
      <w:pPr>
        <w:ind w:left="212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2180"/>
        <w:spacing w:after="0"/>
        <w:rPr>
          <w:sz w:val="20"/>
          <w:szCs w:val="20"/>
          <w:color w:val="auto"/>
        </w:rPr>
      </w:pPr>
      <w:r>
        <w:rPr>
          <w:rFonts w:ascii="Arial" w:cs="Arial" w:eastAsia="Arial" w:hAnsi="Arial"/>
          <w:sz w:val="10"/>
          <w:szCs w:val="10"/>
          <w:b w:val="1"/>
          <w:bCs w:val="1"/>
          <w:color w:val="auto"/>
        </w:rPr>
        <w:t>1-5975</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61-0647538</w:t>
      </w:r>
    </w:p>
    <w:p>
      <w:pPr>
        <w:spacing w:after="0" w:line="63" w:lineRule="exact"/>
        <w:rPr>
          <w:sz w:val="24"/>
          <w:szCs w:val="24"/>
          <w:color w:val="auto"/>
        </w:rPr>
      </w:pPr>
    </w:p>
    <w:p>
      <w:pPr>
        <w:sectPr>
          <w:pgSz w:w="11900" w:h="16838" w:orient="portrait"/>
          <w:cols w:equalWidth="0" w:num="3">
            <w:col w:w="4900" w:space="720"/>
            <w:col w:w="2520" w:space="720"/>
            <w:col w:w="2620"/>
          </w:cols>
          <w:pgMar w:left="220" w:top="860" w:right="199" w:bottom="1440" w:gutter="0" w:footer="0" w:header="0"/>
          <w:type w:val="continuous"/>
        </w:sectPr>
      </w:pPr>
    </w:p>
    <w:p>
      <w:pPr>
        <w:ind w:left="1460"/>
        <w:spacing w:after="0"/>
        <w:rPr>
          <w:sz w:val="20"/>
          <w:szCs w:val="20"/>
          <w:color w:val="auto"/>
        </w:rPr>
      </w:pPr>
      <w:r>
        <w:rPr>
          <w:rFonts w:ascii="Arial" w:cs="Arial" w:eastAsia="Arial" w:hAnsi="Arial"/>
          <w:sz w:val="8"/>
          <w:szCs w:val="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8"/>
          <w:szCs w:val="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(IRS Employer Identification No.)</w:t>
      </w:r>
    </w:p>
    <w:p>
      <w:pPr>
        <w:spacing w:after="0" w:line="171" w:lineRule="exact"/>
        <w:rPr>
          <w:sz w:val="24"/>
          <w:szCs w:val="24"/>
          <w:color w:val="auto"/>
        </w:rPr>
      </w:pPr>
    </w:p>
    <w:p>
      <w:pPr>
        <w:sectPr>
          <w:pgSz w:w="11900" w:h="16838" w:orient="portrait"/>
          <w:cols w:equalWidth="0" w:num="3">
            <w:col w:w="4520" w:space="720"/>
            <w:col w:w="2500" w:space="720"/>
            <w:col w:w="3020"/>
          </w:cols>
          <w:pgMar w:left="220" w:top="860" w:right="199" w:bottom="144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500 West Main Street Louisville, KY 40202</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502-580-1000</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29"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1876425</wp:posOffset>
            </wp:positionH>
            <wp:positionV relativeFrom="paragraph">
              <wp:posOffset>128270</wp:posOffset>
            </wp:positionV>
            <wp:extent cx="3534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4410" cy="5715"/>
                    </a:xfrm>
                    <a:prstGeom prst="rect">
                      <a:avLst/>
                    </a:prstGeom>
                    <a:noFill/>
                  </pic:spPr>
                </pic:pic>
              </a:graphicData>
            </a:graphic>
          </wp:anchor>
        </w:drawing>
      </w:r>
    </w:p>
    <w:p>
      <w:pPr>
        <w:sectPr>
          <w:pgSz w:w="11900" w:h="16838" w:orient="portrait"/>
          <w:cols w:equalWidth="0" w:num="1">
            <w:col w:w="11480"/>
          </w:cols>
          <w:pgMar w:left="220" w:top="860" w:right="199" w:bottom="1440" w:gutter="0" w:footer="0" w:header="0"/>
          <w:type w:val="continuous"/>
        </w:sectPr>
      </w:pP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14" w:lineRule="exact"/>
        <w:rPr>
          <w:sz w:val="24"/>
          <w:szCs w:val="24"/>
          <w:color w:val="auto"/>
        </w:rPr>
      </w:pPr>
    </w:p>
    <w:p>
      <w:pPr>
        <w:ind w:left="460" w:hanging="450"/>
        <w:spacing w:after="0"/>
        <w:tabs>
          <w:tab w:leader="none" w:pos="4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460" w:hanging="450"/>
        <w:spacing w:after="0"/>
        <w:tabs>
          <w:tab w:leader="none" w:pos="4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460" w:hanging="450"/>
        <w:spacing w:after="0"/>
        <w:tabs>
          <w:tab w:leader="none" w:pos="4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right="5640" w:firstLine="10"/>
        <w:spacing w:after="0" w:line="477" w:lineRule="auto"/>
        <w:tabs>
          <w:tab w:leader="none" w:pos="477"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98"/>
        </w:trPr>
        <w:tc>
          <w:tcPr>
            <w:tcW w:w="1760" w:type="dxa"/>
            <w:vAlign w:val="bottom"/>
            <w:tcBorders>
              <w:top w:val="single" w:sz="8" w:color="auto"/>
              <w:left w:val="single" w:sz="8" w:color="auto"/>
            </w:tcBorders>
          </w:tcPr>
          <w:p>
            <w:pPr>
              <w:spacing w:after="0"/>
              <w:rPr>
                <w:sz w:val="8"/>
                <w:szCs w:val="8"/>
                <w:color w:val="auto"/>
              </w:rPr>
            </w:pPr>
          </w:p>
        </w:tc>
        <w:tc>
          <w:tcPr>
            <w:tcW w:w="2500" w:type="dxa"/>
            <w:vAlign w:val="bottom"/>
            <w:tcBorders>
              <w:top w:val="single" w:sz="8" w:color="auto"/>
              <w:right w:val="single" w:sz="8" w:color="auto"/>
            </w:tcBorders>
            <w:gridSpan w:val="2"/>
          </w:tcPr>
          <w:p>
            <w:pPr>
              <w:jc w:val="center"/>
              <w:ind w:right="1780"/>
              <w:spacing w:after="0" w:line="98" w:lineRule="exact"/>
              <w:rPr>
                <w:sz w:val="20"/>
                <w:szCs w:val="20"/>
                <w:color w:val="auto"/>
              </w:rPr>
            </w:pPr>
            <w:r>
              <w:rPr>
                <w:rFonts w:ascii="Arial" w:cs="Arial" w:eastAsia="Arial" w:hAnsi="Arial"/>
                <w:sz w:val="10"/>
                <w:szCs w:val="10"/>
                <w:b w:val="1"/>
                <w:bCs w:val="1"/>
                <w:color w:val="auto"/>
                <w:w w:val="83"/>
              </w:rPr>
              <w:t>Title of each class</w:t>
            </w:r>
          </w:p>
        </w:tc>
        <w:tc>
          <w:tcPr>
            <w:tcW w:w="2860" w:type="dxa"/>
            <w:vAlign w:val="bottom"/>
            <w:tcBorders>
              <w:top w:val="single" w:sz="8" w:color="auto"/>
              <w:right w:val="single" w:sz="8" w:color="auto"/>
            </w:tcBorders>
            <w:gridSpan w:val="3"/>
          </w:tcPr>
          <w:p>
            <w:pPr>
              <w:jc w:val="center"/>
              <w:ind w:right="60"/>
              <w:spacing w:after="0" w:line="98" w:lineRule="exact"/>
              <w:rPr>
                <w:sz w:val="20"/>
                <w:szCs w:val="20"/>
                <w:color w:val="auto"/>
              </w:rPr>
            </w:pPr>
            <w:r>
              <w:rPr>
                <w:rFonts w:ascii="Arial" w:cs="Arial" w:eastAsia="Arial" w:hAnsi="Arial"/>
                <w:sz w:val="10"/>
                <w:szCs w:val="10"/>
                <w:b w:val="1"/>
                <w:bCs w:val="1"/>
                <w:color w:val="auto"/>
                <w:w w:val="86"/>
              </w:rPr>
              <w:t>Trading Symbol(s)</w:t>
            </w:r>
          </w:p>
        </w:tc>
        <w:tc>
          <w:tcPr>
            <w:tcW w:w="4340" w:type="dxa"/>
            <w:vAlign w:val="bottom"/>
            <w:tcBorders>
              <w:top w:val="single" w:sz="8" w:color="auto"/>
              <w:right w:val="single" w:sz="8" w:color="auto"/>
            </w:tcBorders>
            <w:gridSpan w:val="3"/>
          </w:tcPr>
          <w:p>
            <w:pPr>
              <w:jc w:val="center"/>
              <w:ind w:right="40"/>
              <w:spacing w:after="0" w:line="98" w:lineRule="exact"/>
              <w:rPr>
                <w:sz w:val="20"/>
                <w:szCs w:val="20"/>
                <w:color w:val="auto"/>
              </w:rPr>
            </w:pPr>
            <w:r>
              <w:rPr>
                <w:rFonts w:ascii="Arial" w:cs="Arial" w:eastAsia="Arial" w:hAnsi="Arial"/>
                <w:sz w:val="10"/>
                <w:szCs w:val="10"/>
                <w:b w:val="1"/>
                <w:bCs w:val="1"/>
                <w:color w:val="auto"/>
                <w:w w:val="84"/>
              </w:rPr>
              <w:t>Name of each exchange on which registered</w:t>
            </w:r>
          </w:p>
        </w:tc>
      </w:tr>
      <w:tr>
        <w:trPr>
          <w:trHeight w:val="20"/>
        </w:trPr>
        <w:tc>
          <w:tcPr>
            <w:tcW w:w="176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r>
      <w:tr>
        <w:trPr>
          <w:trHeight w:val="157"/>
        </w:trPr>
        <w:tc>
          <w:tcPr>
            <w:tcW w:w="4260" w:type="dxa"/>
            <w:vAlign w:val="bottom"/>
            <w:tcBorders>
              <w:left w:val="single" w:sz="8" w:color="auto"/>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3"/>
                <w:szCs w:val="13"/>
                <w:color w:val="auto"/>
                <w:w w:val="92"/>
              </w:rPr>
              <w:t>Common Stock</w:t>
            </w:r>
          </w:p>
        </w:tc>
        <w:tc>
          <w:tcPr>
            <w:tcW w:w="102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gridSpan w:val="2"/>
          </w:tcPr>
          <w:p>
            <w:pPr>
              <w:jc w:val="center"/>
              <w:ind w:right="1060"/>
              <w:spacing w:after="0"/>
              <w:rPr>
                <w:sz w:val="20"/>
                <w:szCs w:val="20"/>
                <w:color w:val="auto"/>
              </w:rPr>
            </w:pPr>
            <w:r>
              <w:rPr>
                <w:rFonts w:ascii="Arial" w:cs="Arial" w:eastAsia="Arial" w:hAnsi="Arial"/>
                <w:sz w:val="13"/>
                <w:szCs w:val="13"/>
                <w:color w:val="auto"/>
              </w:rPr>
              <w:t>HUM</w:t>
            </w:r>
          </w:p>
        </w:tc>
        <w:tc>
          <w:tcPr>
            <w:tcW w:w="1260" w:type="dxa"/>
            <w:vAlign w:val="bottom"/>
            <w:tcBorders>
              <w:bottom w:val="single" w:sz="8" w:color="auto"/>
            </w:tcBorders>
          </w:tcPr>
          <w:p>
            <w:pPr>
              <w:spacing w:after="0"/>
              <w:rPr>
                <w:sz w:val="13"/>
                <w:szCs w:val="13"/>
                <w:color w:val="auto"/>
              </w:rPr>
            </w:pPr>
          </w:p>
        </w:tc>
        <w:tc>
          <w:tcPr>
            <w:tcW w:w="3080" w:type="dxa"/>
            <w:vAlign w:val="bottom"/>
            <w:tcBorders>
              <w:bottom w:val="single" w:sz="8" w:color="auto"/>
              <w:right w:val="single" w:sz="8" w:color="auto"/>
            </w:tcBorders>
            <w:gridSpan w:val="2"/>
          </w:tcPr>
          <w:p>
            <w:pPr>
              <w:jc w:val="center"/>
              <w:ind w:right="1300"/>
              <w:spacing w:after="0"/>
              <w:rPr>
                <w:sz w:val="20"/>
                <w:szCs w:val="20"/>
                <w:color w:val="auto"/>
              </w:rPr>
            </w:pPr>
            <w:r>
              <w:rPr>
                <w:rFonts w:ascii="Arial" w:cs="Arial" w:eastAsia="Arial" w:hAnsi="Arial"/>
                <w:sz w:val="13"/>
                <w:szCs w:val="13"/>
                <w:color w:val="auto"/>
                <w:w w:val="92"/>
              </w:rPr>
              <w:t>New York Stock Exchange</w:t>
            </w:r>
          </w:p>
        </w:tc>
      </w:tr>
    </w:tbl>
    <w:p>
      <w:pPr>
        <w:ind w:right="520"/>
        <w:spacing w:after="0" w:line="254" w:lineRule="auto"/>
        <w:rPr>
          <w:sz w:val="20"/>
          <w:szCs w:val="20"/>
          <w:color w:val="auto"/>
        </w:rPr>
      </w:pPr>
      <w:r>
        <w:rPr>
          <w:rFonts w:ascii="Arial" w:cs="Arial" w:eastAsia="Arial" w:hAnsi="Arial"/>
          <w:sz w:val="12"/>
          <w:szCs w:val="12"/>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1"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860" w:right="1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jc w:val="both"/>
        <w:ind w:right="40" w:firstLine="288"/>
        <w:spacing w:after="0" w:line="263" w:lineRule="auto"/>
        <w:rPr>
          <w:sz w:val="20"/>
          <w:szCs w:val="20"/>
          <w:color w:val="auto"/>
        </w:rPr>
      </w:pPr>
      <w:r>
        <w:rPr>
          <w:rFonts w:ascii="Arial" w:cs="Arial" w:eastAsia="Arial" w:hAnsi="Arial"/>
          <w:sz w:val="12"/>
          <w:szCs w:val="12"/>
          <w:color w:val="auto"/>
        </w:rPr>
        <w:t xml:space="preserve">Humana Inc. (the "Company") issued a press release this morning reporting financial results for the quarter ended December 31, 2019, and posted a detailed earnings release related to the same period to the Investor Relations portion of the Company’s website at </w:t>
      </w:r>
      <w:r>
        <w:rPr>
          <w:rFonts w:ascii="Arial" w:cs="Arial" w:eastAsia="Arial" w:hAnsi="Arial"/>
          <w:sz w:val="12"/>
          <w:szCs w:val="12"/>
          <w:u w:val="single" w:color="auto"/>
          <w:color w:val="auto"/>
        </w:rPr>
        <w:t>www.humana.com</w:t>
      </w:r>
      <w:r>
        <w:rPr>
          <w:rFonts w:ascii="Arial" w:cs="Arial" w:eastAsia="Arial" w:hAnsi="Arial"/>
          <w:sz w:val="12"/>
          <w:szCs w:val="12"/>
          <w:color w:val="auto"/>
        </w:rPr>
        <w:t>. A copy of each release is attached hereto as Exhibit 99.1 and Exhibit 99.2, respectively, and each release is incorporated herein by reference. Additionally, attached as Exhibit 99.3 is a slide management intends to use during investor presentations on February 5, 2020, and which is incorporated herein by reference.</w:t>
      </w:r>
    </w:p>
    <w:p>
      <w:pPr>
        <w:spacing w:after="0" w:line="200" w:lineRule="exact"/>
        <w:rPr>
          <w:sz w:val="20"/>
          <w:szCs w:val="20"/>
          <w:color w:val="auto"/>
        </w:rPr>
      </w:pP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Exhibit No.</w:t>
            </w: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tcPr>
          <w:p>
            <w:pPr>
              <w:ind w:left="2860"/>
              <w:spacing w:after="0"/>
              <w:rPr>
                <w:sz w:val="20"/>
                <w:szCs w:val="20"/>
                <w:color w:val="auto"/>
              </w:rPr>
            </w:pPr>
            <w:r>
              <w:rPr>
                <w:rFonts w:ascii="Arial" w:cs="Arial" w:eastAsia="Arial" w:hAnsi="Arial"/>
                <w:sz w:val="10"/>
                <w:szCs w:val="10"/>
                <w:b w:val="1"/>
                <w:bCs w:val="1"/>
                <w:color w:val="auto"/>
              </w:rPr>
              <w:t>Description</w:t>
            </w:r>
          </w:p>
        </w:tc>
      </w:tr>
      <w:tr>
        <w:trPr>
          <w:trHeight w:val="209"/>
        </w:trPr>
        <w:tc>
          <w:tcPr>
            <w:tcW w:w="1200" w:type="dxa"/>
            <w:vAlign w:val="bottom"/>
          </w:tcPr>
          <w:p>
            <w:pPr>
              <w:ind w:left="20"/>
              <w:spacing w:after="0"/>
              <w:rPr>
                <w:sz w:val="20"/>
                <w:szCs w:val="20"/>
                <w:color w:val="auto"/>
              </w:rPr>
            </w:pPr>
            <w:r>
              <w:rPr>
                <w:rFonts w:ascii="Arial" w:cs="Arial" w:eastAsia="Arial" w:hAnsi="Arial"/>
                <w:sz w:val="12"/>
                <w:szCs w:val="12"/>
                <w:color w:val="auto"/>
              </w:rPr>
              <w:t>99.1</w:t>
            </w:r>
          </w:p>
        </w:tc>
        <w:tc>
          <w:tcPr>
            <w:tcW w:w="660" w:type="dxa"/>
            <w:vAlign w:val="bottom"/>
            <w:tcBorders>
              <w:bottom w:val="single" w:sz="8" w:color="0000FF"/>
            </w:tcBorders>
          </w:tcPr>
          <w:p>
            <w:pPr>
              <w:spacing w:after="0"/>
              <w:rPr>
                <w:rFonts w:ascii="Arial" w:cs="Arial" w:eastAsia="Arial" w:hAnsi="Arial"/>
                <w:sz w:val="12"/>
                <w:szCs w:val="12"/>
                <w:color w:val="0000FF"/>
                <w:w w:val="81"/>
              </w:rPr>
            </w:pPr>
            <w:hyperlink w:anchor="page4">
              <w:r>
                <w:rPr>
                  <w:rFonts w:ascii="Arial" w:cs="Arial" w:eastAsia="Arial" w:hAnsi="Arial"/>
                  <w:sz w:val="12"/>
                  <w:szCs w:val="12"/>
                  <w:color w:val="0000FF"/>
                  <w:w w:val="81"/>
                </w:rPr>
                <w:t>Press Release</w:t>
              </w:r>
            </w:hyperlink>
          </w:p>
        </w:tc>
        <w:tc>
          <w:tcPr>
            <w:tcW w:w="9620" w:type="dxa"/>
            <w:vAlign w:val="bottom"/>
            <w:gridSpan w:val="3"/>
          </w:tcPr>
          <w:p>
            <w:pPr>
              <w:spacing w:after="0"/>
              <w:rPr>
                <w:sz w:val="18"/>
                <w:szCs w:val="18"/>
                <w:color w:val="auto"/>
              </w:rPr>
            </w:pPr>
          </w:p>
        </w:tc>
      </w:tr>
      <w:tr>
        <w:trPr>
          <w:trHeight w:val="241"/>
        </w:trPr>
        <w:tc>
          <w:tcPr>
            <w:tcW w:w="1200" w:type="dxa"/>
            <w:vAlign w:val="bottom"/>
          </w:tcPr>
          <w:p>
            <w:pPr>
              <w:ind w:left="20"/>
              <w:spacing w:after="0"/>
              <w:rPr>
                <w:sz w:val="20"/>
                <w:szCs w:val="20"/>
                <w:color w:val="auto"/>
              </w:rPr>
            </w:pPr>
            <w:r>
              <w:rPr>
                <w:rFonts w:ascii="Arial" w:cs="Arial" w:eastAsia="Arial" w:hAnsi="Arial"/>
                <w:sz w:val="12"/>
                <w:szCs w:val="12"/>
                <w:color w:val="auto"/>
              </w:rPr>
              <w:t>99.2</w:t>
            </w:r>
          </w:p>
        </w:tc>
        <w:tc>
          <w:tcPr>
            <w:tcW w:w="10280" w:type="dxa"/>
            <w:vAlign w:val="bottom"/>
            <w:gridSpan w:val="4"/>
          </w:tcPr>
          <w:p>
            <w:pPr>
              <w:spacing w:after="0"/>
              <w:rPr>
                <w:rFonts w:ascii="Arial" w:cs="Arial" w:eastAsia="Arial" w:hAnsi="Arial"/>
                <w:sz w:val="12"/>
                <w:szCs w:val="12"/>
                <w:color w:val="0000FF"/>
              </w:rPr>
            </w:pPr>
            <w:hyperlink w:anchor="page12">
              <w:r>
                <w:rPr>
                  <w:rFonts w:ascii="Arial" w:cs="Arial" w:eastAsia="Arial" w:hAnsi="Arial"/>
                  <w:sz w:val="12"/>
                  <w:szCs w:val="12"/>
                  <w:color w:val="0000FF"/>
                </w:rPr>
                <w:t>Earnings Release and Statistical Pages</w:t>
              </w:r>
            </w:hyperlink>
          </w:p>
        </w:tc>
      </w:tr>
      <w:tr>
        <w:trPr>
          <w:trHeight w:val="268"/>
        </w:trPr>
        <w:tc>
          <w:tcPr>
            <w:tcW w:w="1200" w:type="dxa"/>
            <w:vAlign w:val="bottom"/>
          </w:tcPr>
          <w:p>
            <w:pPr>
              <w:ind w:left="20"/>
              <w:spacing w:after="0"/>
              <w:rPr>
                <w:sz w:val="20"/>
                <w:szCs w:val="20"/>
                <w:color w:val="auto"/>
              </w:rPr>
            </w:pPr>
            <w:r>
              <w:rPr>
                <w:rFonts w:ascii="Arial" w:cs="Arial" w:eastAsia="Arial" w:hAnsi="Arial"/>
                <w:sz w:val="12"/>
                <w:szCs w:val="12"/>
                <w:color w:val="auto"/>
              </w:rPr>
              <w:t>99.3</w:t>
            </w:r>
          </w:p>
        </w:tc>
        <w:tc>
          <w:tcPr>
            <w:tcW w:w="1840" w:type="dxa"/>
            <w:vAlign w:val="bottom"/>
            <w:tcBorders>
              <w:top w:val="single" w:sz="8" w:color="0000FF"/>
            </w:tcBorders>
            <w:gridSpan w:val="3"/>
          </w:tcPr>
          <w:p>
            <w:pPr>
              <w:spacing w:after="0"/>
              <w:rPr>
                <w:rFonts w:ascii="Arial" w:cs="Arial" w:eastAsia="Arial" w:hAnsi="Arial"/>
                <w:sz w:val="12"/>
                <w:szCs w:val="12"/>
                <w:color w:val="0000FF"/>
              </w:rPr>
            </w:pPr>
            <w:hyperlink w:anchor="page53">
              <w:r>
                <w:rPr>
                  <w:rFonts w:ascii="Arial" w:cs="Arial" w:eastAsia="Arial" w:hAnsi="Arial"/>
                  <w:sz w:val="12"/>
                  <w:szCs w:val="12"/>
                  <w:color w:val="0000FF"/>
                </w:rPr>
                <w:t>Slide Presentation</w:t>
              </w:r>
            </w:hyperlink>
          </w:p>
        </w:tc>
        <w:tc>
          <w:tcPr>
            <w:tcW w:w="8440" w:type="dxa"/>
            <w:vAlign w:val="bottom"/>
          </w:tcPr>
          <w:p>
            <w:pPr>
              <w:spacing w:after="0"/>
              <w:rPr>
                <w:sz w:val="23"/>
                <w:szCs w:val="23"/>
                <w:color w:val="auto"/>
              </w:rPr>
            </w:pPr>
          </w:p>
        </w:tc>
      </w:tr>
      <w:tr>
        <w:trPr>
          <w:trHeight w:val="20"/>
        </w:trPr>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420" w:type="dxa"/>
            <w:vAlign w:val="bottom"/>
            <w:gridSpan w:val="2"/>
          </w:tcPr>
          <w:p>
            <w:pPr>
              <w:spacing w:after="0" w:line="20" w:lineRule="exact"/>
              <w:rPr>
                <w:sz w:val="1"/>
                <w:szCs w:val="1"/>
                <w:color w:val="auto"/>
              </w:rPr>
            </w:pPr>
          </w:p>
        </w:tc>
      </w:tr>
      <w:tr>
        <w:trPr>
          <w:trHeight w:val="187"/>
        </w:trPr>
        <w:tc>
          <w:tcPr>
            <w:tcW w:w="1200" w:type="dxa"/>
            <w:vAlign w:val="bottom"/>
          </w:tcPr>
          <w:p>
            <w:pPr>
              <w:ind w:left="20"/>
              <w:spacing w:after="0"/>
              <w:rPr>
                <w:sz w:val="20"/>
                <w:szCs w:val="20"/>
                <w:color w:val="auto"/>
              </w:rPr>
            </w:pPr>
            <w:r>
              <w:rPr>
                <w:rFonts w:ascii="Arial" w:cs="Arial" w:eastAsia="Arial" w:hAnsi="Arial"/>
                <w:sz w:val="12"/>
                <w:szCs w:val="12"/>
                <w:color w:val="auto"/>
              </w:rPr>
              <w:t>104</w:t>
            </w:r>
          </w:p>
        </w:tc>
        <w:tc>
          <w:tcPr>
            <w:tcW w:w="1028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ectPr>
          <w:pgSz w:w="11900" w:h="16838" w:orient="portrait"/>
          <w:cols w:equalWidth="0" w:num="1">
            <w:col w:w="11480"/>
          </w:cols>
          <w:pgMar w:left="220" w:top="559" w:right="199" w:bottom="1440" w:gutter="0" w:footer="0" w:header="0"/>
        </w:sectPr>
      </w:pPr>
    </w:p>
    <w:bookmarkStart w:id="2" w:name="page3"/>
    <w:bookmarkEnd w:id="2"/>
    <w:p>
      <w:pPr>
        <w:ind w:left="534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HUMANA INC.</w:t>
      </w:r>
    </w:p>
    <w:p>
      <w:pPr>
        <w:spacing w:after="0" w:line="258" w:lineRule="exact"/>
        <w:rPr>
          <w:sz w:val="20"/>
          <w:szCs w:val="20"/>
          <w:color w:val="auto"/>
        </w:rPr>
      </w:pPr>
    </w:p>
    <w:p>
      <w:pPr>
        <w:ind w:left="4880"/>
        <w:spacing w:after="0"/>
        <w:tabs>
          <w:tab w:leader="none" w:pos="5800" w:val="left"/>
        </w:tabs>
        <w:rPr>
          <w:sz w:val="20"/>
          <w:szCs w:val="20"/>
          <w:color w:val="auto"/>
        </w:rPr>
      </w:pPr>
      <w:r>
        <w:rPr>
          <w:rFonts w:ascii="Arial" w:cs="Arial" w:eastAsia="Arial" w:hAnsi="Arial"/>
          <w:sz w:val="12"/>
          <w:szCs w:val="12"/>
          <w:b w:val="1"/>
          <w:bCs w:val="1"/>
          <w:color w:val="auto"/>
        </w:rPr>
        <w:t>BY:</w:t>
      </w:r>
      <w:r>
        <w:rPr>
          <w:sz w:val="20"/>
          <w:szCs w:val="20"/>
          <w:color w:val="auto"/>
        </w:rPr>
        <w:tab/>
      </w:r>
      <w:r>
        <w:rPr>
          <w:rFonts w:ascii="Arial" w:cs="Arial" w:eastAsia="Arial" w:hAnsi="Arial"/>
          <w:sz w:val="12"/>
          <w:szCs w:val="12"/>
          <w:b w:val="1"/>
          <w:bCs w:val="1"/>
          <w:color w:val="auto"/>
        </w:rPr>
        <w:t>/s/ 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23495</wp:posOffset>
            </wp:positionV>
            <wp:extent cx="36087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8705" cy="5715"/>
                    </a:xfrm>
                    <a:prstGeom prst="rect">
                      <a:avLst/>
                    </a:prstGeom>
                    <a:noFill/>
                  </pic:spPr>
                </pic:pic>
              </a:graphicData>
            </a:graphic>
          </wp:anchor>
        </w:drawing>
      </w:r>
    </w:p>
    <w:p>
      <w:pPr>
        <w:spacing w:after="0" w:line="31" w:lineRule="exact"/>
        <w:rPr>
          <w:sz w:val="20"/>
          <w:szCs w:val="20"/>
          <w:color w:val="auto"/>
        </w:rPr>
      </w:pPr>
    </w:p>
    <w:p>
      <w:pPr>
        <w:ind w:left="5820"/>
        <w:spacing w:after="0"/>
        <w:rPr>
          <w:sz w:val="20"/>
          <w:szCs w:val="20"/>
          <w:color w:val="auto"/>
        </w:rPr>
      </w:pPr>
      <w:r>
        <w:rPr>
          <w:rFonts w:ascii="Arial" w:cs="Arial" w:eastAsia="Arial" w:hAnsi="Arial"/>
          <w:sz w:val="12"/>
          <w:szCs w:val="12"/>
          <w:b w:val="1"/>
          <w:bCs w:val="1"/>
          <w:color w:val="auto"/>
        </w:rPr>
        <w:t>Cynthia H. Zipperle</w:t>
      </w:r>
    </w:p>
    <w:p>
      <w:pPr>
        <w:spacing w:after="0" w:line="42" w:lineRule="exact"/>
        <w:rPr>
          <w:sz w:val="20"/>
          <w:szCs w:val="20"/>
          <w:color w:val="auto"/>
        </w:rPr>
      </w:pPr>
    </w:p>
    <w:p>
      <w:pPr>
        <w:ind w:left="5820"/>
        <w:spacing w:after="0"/>
        <w:rPr>
          <w:sz w:val="20"/>
          <w:szCs w:val="20"/>
          <w:color w:val="auto"/>
        </w:rPr>
      </w:pPr>
      <w:r>
        <w:rPr>
          <w:rFonts w:ascii="Arial" w:cs="Arial" w:eastAsia="Arial" w:hAnsi="Arial"/>
          <w:sz w:val="11"/>
          <w:szCs w:val="11"/>
          <w:b w:val="1"/>
          <w:bCs w:val="1"/>
          <w:color w:val="auto"/>
        </w:rPr>
        <w:t>Senior Vice President, Chief Accounting Officer and Controller</w:t>
      </w:r>
    </w:p>
    <w:p>
      <w:pPr>
        <w:spacing w:after="0" w:line="54" w:lineRule="exact"/>
        <w:rPr>
          <w:sz w:val="20"/>
          <w:szCs w:val="20"/>
          <w:color w:val="auto"/>
        </w:rPr>
      </w:pPr>
    </w:p>
    <w:p>
      <w:pPr>
        <w:ind w:left="5820"/>
        <w:spacing w:after="0"/>
        <w:rPr>
          <w:sz w:val="20"/>
          <w:szCs w:val="20"/>
          <w:color w:val="auto"/>
        </w:rPr>
      </w:pPr>
      <w:r>
        <w:rPr>
          <w:rFonts w:ascii="Arial" w:cs="Arial" w:eastAsia="Arial" w:hAnsi="Arial"/>
          <w:sz w:val="12"/>
          <w:szCs w:val="12"/>
          <w:b w:val="1"/>
          <w:bCs w:val="1"/>
          <w:color w:val="auto"/>
        </w:rPr>
        <w:t>(Principal Accounting Officer)</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5, 2020</w:t>
      </w:r>
    </w:p>
    <w:p>
      <w:pPr>
        <w:sectPr>
          <w:pgSz w:w="11900" w:h="16838" w:orient="portrait"/>
          <w:cols w:equalWidth="0" w:num="1">
            <w:col w:w="10239"/>
          </w:cols>
          <w:pgMar w:left="220" w:top="559"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5"/>
          </w:tcPr>
          <w:p>
            <w:pPr>
              <w:ind w:left="220"/>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tc>
        <w:tc>
          <w:tcPr>
            <w:tcW w:w="6660" w:type="dxa"/>
            <w:vAlign w:val="bottom"/>
            <w:gridSpan w:val="2"/>
          </w:tcPr>
          <w:p>
            <w:pPr>
              <w:ind w:left="5240"/>
              <w:spacing w:after="0"/>
              <w:rPr>
                <w:sz w:val="20"/>
                <w:szCs w:val="20"/>
                <w:color w:val="auto"/>
              </w:rPr>
            </w:pPr>
            <w:r>
              <w:rPr>
                <w:rFonts w:ascii="Arial" w:cs="Arial" w:eastAsia="Arial" w:hAnsi="Arial"/>
                <w:sz w:val="13"/>
                <w:szCs w:val="13"/>
                <w:color w:val="auto"/>
              </w:rPr>
              <w:t>Humana Inc.</w:t>
            </w:r>
          </w:p>
        </w:tc>
      </w:tr>
      <w:tr>
        <w:trPr>
          <w:trHeight w:val="124"/>
        </w:trPr>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60" w:type="dxa"/>
            <w:vAlign w:val="bottom"/>
            <w:gridSpan w:val="2"/>
          </w:tcPr>
          <w:p>
            <w:pPr>
              <w:ind w:left="5240"/>
              <w:spacing w:after="0" w:line="124" w:lineRule="exact"/>
              <w:rPr>
                <w:sz w:val="20"/>
                <w:szCs w:val="20"/>
                <w:color w:val="auto"/>
              </w:rPr>
            </w:pPr>
            <w:r>
              <w:rPr>
                <w:rFonts w:ascii="Arial" w:cs="Arial" w:eastAsia="Arial" w:hAnsi="Arial"/>
                <w:sz w:val="13"/>
                <w:szCs w:val="13"/>
                <w:color w:val="auto"/>
              </w:rPr>
              <w:t>500 West Main Street</w:t>
            </w:r>
          </w:p>
        </w:tc>
      </w:tr>
      <w:tr>
        <w:trPr>
          <w:trHeight w:val="144"/>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60" w:type="dxa"/>
            <w:vAlign w:val="bottom"/>
            <w:gridSpan w:val="2"/>
          </w:tcPr>
          <w:p>
            <w:pPr>
              <w:ind w:left="5240"/>
              <w:spacing w:after="0" w:line="144" w:lineRule="exact"/>
              <w:rPr>
                <w:sz w:val="20"/>
                <w:szCs w:val="20"/>
                <w:color w:val="auto"/>
              </w:rPr>
            </w:pPr>
            <w:r>
              <w:rPr>
                <w:rFonts w:ascii="Arial" w:cs="Arial" w:eastAsia="Arial" w:hAnsi="Arial"/>
                <w:sz w:val="13"/>
                <w:szCs w:val="13"/>
                <w:color w:val="auto"/>
              </w:rPr>
              <w:t>P.O. Box 1438</w:t>
            </w:r>
          </w:p>
        </w:tc>
      </w:tr>
      <w:tr>
        <w:trPr>
          <w:trHeight w:val="144"/>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60" w:type="dxa"/>
            <w:vAlign w:val="bottom"/>
            <w:gridSpan w:val="2"/>
          </w:tcPr>
          <w:p>
            <w:pPr>
              <w:ind w:left="5240"/>
              <w:spacing w:after="0" w:line="144" w:lineRule="exact"/>
              <w:rPr>
                <w:sz w:val="20"/>
                <w:szCs w:val="20"/>
                <w:color w:val="auto"/>
              </w:rPr>
            </w:pPr>
            <w:r>
              <w:rPr>
                <w:rFonts w:ascii="Arial" w:cs="Arial" w:eastAsia="Arial" w:hAnsi="Arial"/>
                <w:sz w:val="13"/>
                <w:szCs w:val="13"/>
                <w:color w:val="auto"/>
              </w:rPr>
              <w:t>Louisville, KY 40202</w:t>
            </w:r>
          </w:p>
        </w:tc>
      </w:tr>
      <w:tr>
        <w:trPr>
          <w:trHeight w:val="129"/>
        </w:trPr>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60" w:type="dxa"/>
            <w:vAlign w:val="bottom"/>
            <w:gridSpan w:val="2"/>
          </w:tcPr>
          <w:p>
            <w:pPr>
              <w:ind w:left="5240"/>
              <w:spacing w:after="0" w:line="129" w:lineRule="exact"/>
              <w:rPr>
                <w:sz w:val="20"/>
                <w:szCs w:val="20"/>
                <w:color w:val="auto"/>
              </w:rPr>
            </w:pPr>
            <w:r>
              <w:rPr>
                <w:rFonts w:ascii="Arial" w:cs="Arial" w:eastAsia="Arial" w:hAnsi="Arial"/>
                <w:sz w:val="13"/>
                <w:szCs w:val="13"/>
                <w:color w:val="auto"/>
              </w:rPr>
              <w:t>http://www.humana.com</w:t>
            </w:r>
          </w:p>
        </w:tc>
      </w:tr>
      <w:tr>
        <w:trPr>
          <w:trHeight w:val="171"/>
        </w:trPr>
        <w:tc>
          <w:tcPr>
            <w:tcW w:w="2760" w:type="dxa"/>
            <w:vAlign w:val="bottom"/>
            <w:gridSpan w:val="5"/>
          </w:tcPr>
          <w:p>
            <w:pPr>
              <w:spacing w:after="0"/>
              <w:rPr>
                <w:sz w:val="20"/>
                <w:szCs w:val="20"/>
                <w:color w:val="auto"/>
              </w:rPr>
            </w:pPr>
            <w:r>
              <w:rPr>
                <w:rFonts w:ascii="Arial" w:cs="Arial" w:eastAsia="Arial" w:hAnsi="Arial"/>
                <w:sz w:val="13"/>
                <w:szCs w:val="13"/>
                <w:color w:val="auto"/>
              </w:rPr>
              <w:t>FOR MORE INFORMATION CONTACT:</w:t>
            </w:r>
          </w:p>
        </w:tc>
        <w:tc>
          <w:tcPr>
            <w:tcW w:w="524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57"/>
        </w:trPr>
        <w:tc>
          <w:tcPr>
            <w:tcW w:w="2760" w:type="dxa"/>
            <w:vAlign w:val="bottom"/>
            <w:gridSpan w:val="5"/>
          </w:tcPr>
          <w:p>
            <w:pPr>
              <w:ind w:left="20"/>
              <w:spacing w:after="0"/>
              <w:rPr>
                <w:sz w:val="20"/>
                <w:szCs w:val="20"/>
                <w:color w:val="auto"/>
              </w:rPr>
            </w:pPr>
            <w:r>
              <w:rPr>
                <w:rFonts w:ascii="Arial" w:cs="Arial" w:eastAsia="Arial" w:hAnsi="Arial"/>
                <w:sz w:val="13"/>
                <w:szCs w:val="13"/>
                <w:color w:val="auto"/>
              </w:rPr>
              <w:t>Amy Smith</w:t>
            </w:r>
          </w:p>
        </w:tc>
        <w:tc>
          <w:tcPr>
            <w:tcW w:w="5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144"/>
        </w:trPr>
        <w:tc>
          <w:tcPr>
            <w:tcW w:w="2760" w:type="dxa"/>
            <w:vAlign w:val="bottom"/>
            <w:gridSpan w:val="5"/>
          </w:tcPr>
          <w:p>
            <w:pPr>
              <w:ind w:left="20"/>
              <w:spacing w:after="0" w:line="144" w:lineRule="exact"/>
              <w:rPr>
                <w:sz w:val="20"/>
                <w:szCs w:val="20"/>
                <w:color w:val="auto"/>
              </w:rPr>
            </w:pPr>
            <w:r>
              <w:rPr>
                <w:rFonts w:ascii="Arial" w:cs="Arial" w:eastAsia="Arial" w:hAnsi="Arial"/>
                <w:sz w:val="13"/>
                <w:szCs w:val="13"/>
                <w:color w:val="auto"/>
              </w:rPr>
              <w:t>Humana Investor Relations</w:t>
            </w:r>
          </w:p>
        </w:tc>
        <w:tc>
          <w:tcPr>
            <w:tcW w:w="52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4"/>
        </w:trPr>
        <w:tc>
          <w:tcPr>
            <w:tcW w:w="1840" w:type="dxa"/>
            <w:vAlign w:val="bottom"/>
            <w:gridSpan w:val="3"/>
          </w:tcPr>
          <w:p>
            <w:pPr>
              <w:ind w:left="20"/>
              <w:spacing w:after="0" w:line="144" w:lineRule="exact"/>
              <w:rPr>
                <w:sz w:val="20"/>
                <w:szCs w:val="20"/>
                <w:color w:val="auto"/>
              </w:rPr>
            </w:pPr>
            <w:r>
              <w:rPr>
                <w:rFonts w:ascii="Arial" w:cs="Arial" w:eastAsia="Arial" w:hAnsi="Arial"/>
                <w:sz w:val="13"/>
                <w:szCs w:val="13"/>
                <w:color w:val="auto"/>
              </w:rPr>
              <w:t>(502) 580-2811</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29"/>
        </w:trPr>
        <w:tc>
          <w:tcPr>
            <w:tcW w:w="2760" w:type="dxa"/>
            <w:vAlign w:val="bottom"/>
            <w:gridSpan w:val="5"/>
          </w:tcPr>
          <w:p>
            <w:pPr>
              <w:ind w:left="20"/>
              <w:spacing w:after="0" w:line="129" w:lineRule="exact"/>
              <w:rPr>
                <w:sz w:val="20"/>
                <w:szCs w:val="20"/>
                <w:color w:val="auto"/>
              </w:rPr>
            </w:pPr>
            <w:r>
              <w:rPr>
                <w:rFonts w:ascii="Arial" w:cs="Arial" w:eastAsia="Arial" w:hAnsi="Arial"/>
                <w:sz w:val="13"/>
                <w:szCs w:val="13"/>
                <w:color w:val="auto"/>
              </w:rPr>
              <w:t>e-mail: Amysmith@humana.com</w:t>
            </w:r>
          </w:p>
        </w:tc>
        <w:tc>
          <w:tcPr>
            <w:tcW w:w="524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1"/>
        </w:trPr>
        <w:tc>
          <w:tcPr>
            <w:tcW w:w="2760" w:type="dxa"/>
            <w:vAlign w:val="bottom"/>
            <w:gridSpan w:val="5"/>
          </w:tcPr>
          <w:p>
            <w:pPr>
              <w:spacing w:after="0"/>
              <w:rPr>
                <w:sz w:val="20"/>
                <w:szCs w:val="20"/>
                <w:color w:val="auto"/>
              </w:rPr>
            </w:pPr>
            <w:r>
              <w:rPr>
                <w:rFonts w:ascii="Arial" w:cs="Arial" w:eastAsia="Arial" w:hAnsi="Arial"/>
                <w:sz w:val="13"/>
                <w:szCs w:val="13"/>
                <w:color w:val="auto"/>
              </w:rPr>
              <w:t>Alex Kepnes</w:t>
            </w:r>
          </w:p>
        </w:tc>
        <w:tc>
          <w:tcPr>
            <w:tcW w:w="5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53"/>
        </w:trPr>
        <w:tc>
          <w:tcPr>
            <w:tcW w:w="2760" w:type="dxa"/>
            <w:vAlign w:val="bottom"/>
            <w:gridSpan w:val="5"/>
          </w:tcPr>
          <w:p>
            <w:pPr>
              <w:spacing w:after="0"/>
              <w:rPr>
                <w:sz w:val="20"/>
                <w:szCs w:val="20"/>
                <w:color w:val="auto"/>
              </w:rPr>
            </w:pPr>
            <w:r>
              <w:rPr>
                <w:rFonts w:ascii="Arial" w:cs="Arial" w:eastAsia="Arial" w:hAnsi="Arial"/>
                <w:sz w:val="13"/>
                <w:szCs w:val="13"/>
                <w:color w:val="auto"/>
              </w:rPr>
              <w:t>Humana Corporate Communications</w:t>
            </w:r>
          </w:p>
        </w:tc>
        <w:tc>
          <w:tcPr>
            <w:tcW w:w="52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53"/>
        </w:trPr>
        <w:tc>
          <w:tcPr>
            <w:tcW w:w="1840" w:type="dxa"/>
            <w:vAlign w:val="bottom"/>
            <w:gridSpan w:val="3"/>
          </w:tcPr>
          <w:p>
            <w:pPr>
              <w:spacing w:after="0"/>
              <w:rPr>
                <w:sz w:val="20"/>
                <w:szCs w:val="20"/>
                <w:color w:val="auto"/>
              </w:rPr>
            </w:pPr>
            <w:r>
              <w:rPr>
                <w:rFonts w:ascii="Arial" w:cs="Arial" w:eastAsia="Arial" w:hAnsi="Arial"/>
                <w:sz w:val="13"/>
                <w:szCs w:val="13"/>
                <w:color w:val="auto"/>
              </w:rPr>
              <w:t>(502) 580-2990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29"/>
        </w:trPr>
        <w:tc>
          <w:tcPr>
            <w:tcW w:w="2760" w:type="dxa"/>
            <w:vAlign w:val="bottom"/>
            <w:gridSpan w:val="5"/>
          </w:tcPr>
          <w:p>
            <w:pPr>
              <w:spacing w:after="0" w:line="129" w:lineRule="exact"/>
              <w:rPr>
                <w:sz w:val="20"/>
                <w:szCs w:val="20"/>
                <w:color w:val="auto"/>
              </w:rPr>
            </w:pPr>
            <w:r>
              <w:rPr>
                <w:rFonts w:ascii="Arial" w:cs="Arial" w:eastAsia="Arial" w:hAnsi="Arial"/>
                <w:sz w:val="13"/>
                <w:szCs w:val="13"/>
                <w:color w:val="auto"/>
              </w:rPr>
              <w:t>e-mail: Akepnes@humana.com</w:t>
            </w:r>
          </w:p>
        </w:tc>
        <w:tc>
          <w:tcPr>
            <w:tcW w:w="524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359"/>
        </w:trPr>
        <w:tc>
          <w:tcPr>
            <w:tcW w:w="4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60" w:type="dxa"/>
            <w:vAlign w:val="bottom"/>
            <w:gridSpan w:val="2"/>
          </w:tcPr>
          <w:p>
            <w:pPr>
              <w:jc w:val="center"/>
              <w:ind w:right="700"/>
              <w:spacing w:after="0"/>
              <w:rPr>
                <w:sz w:val="20"/>
                <w:szCs w:val="20"/>
                <w:color w:val="auto"/>
              </w:rPr>
            </w:pPr>
            <w:r>
              <w:rPr>
                <w:rFonts w:ascii="Arial" w:cs="Arial" w:eastAsia="Arial" w:hAnsi="Arial"/>
                <w:sz w:val="19"/>
                <w:szCs w:val="19"/>
                <w:b w:val="1"/>
                <w:bCs w:val="1"/>
                <w:color w:val="auto"/>
              </w:rPr>
              <w:t>Humana Reports Fourth Quarter 2019 Financial Results;</w:t>
            </w:r>
          </w:p>
        </w:tc>
      </w:tr>
      <w:tr>
        <w:trPr>
          <w:trHeight w:val="256"/>
        </w:trPr>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60" w:type="dxa"/>
            <w:vAlign w:val="bottom"/>
            <w:gridSpan w:val="2"/>
          </w:tcPr>
          <w:p>
            <w:pPr>
              <w:jc w:val="center"/>
              <w:ind w:right="700"/>
              <w:spacing w:after="0"/>
              <w:rPr>
                <w:sz w:val="20"/>
                <w:szCs w:val="20"/>
                <w:color w:val="auto"/>
              </w:rPr>
            </w:pPr>
            <w:r>
              <w:rPr>
                <w:rFonts w:ascii="Arial" w:cs="Arial" w:eastAsia="Arial" w:hAnsi="Arial"/>
                <w:sz w:val="19"/>
                <w:szCs w:val="19"/>
                <w:b w:val="1"/>
                <w:bCs w:val="1"/>
                <w:color w:val="auto"/>
              </w:rPr>
              <w:t>Provides Full Year 2020 Financial Guidance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-1248410</wp:posOffset>
            </wp:positionV>
            <wp:extent cx="1241425" cy="371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1425" cy="371475"/>
                    </a:xfrm>
                    <a:prstGeom prst="rect">
                      <a:avLst/>
                    </a:prstGeom>
                    <a:noFill/>
                  </pic:spPr>
                </pic:pic>
              </a:graphicData>
            </a:graphic>
          </wp:anchor>
        </w:drawing>
      </w:r>
    </w:p>
    <w:p>
      <w:pPr>
        <w:spacing w:after="0" w:line="201" w:lineRule="exact"/>
        <w:rPr>
          <w:sz w:val="20"/>
          <w:szCs w:val="20"/>
          <w:color w:val="auto"/>
        </w:rPr>
      </w:pPr>
    </w:p>
    <w:p>
      <w:pPr>
        <w:ind w:left="420" w:hanging="221"/>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1"/>
          <w:szCs w:val="11"/>
          <w:color w:val="auto"/>
        </w:rPr>
        <w:t>4Q19 earnings per diluted common share (EPS) of $3.84 on a GAAP basis, $2.28 on an Adjusted basis</w:t>
      </w:r>
    </w:p>
    <w:p>
      <w:pPr>
        <w:spacing w:after="0" w:line="12" w:lineRule="exact"/>
        <w:rPr>
          <w:rFonts w:ascii="Arial" w:cs="Arial" w:eastAsia="Arial" w:hAnsi="Arial"/>
          <w:sz w:val="13"/>
          <w:szCs w:val="13"/>
          <w:color w:val="auto"/>
        </w:rPr>
      </w:pPr>
    </w:p>
    <w:p>
      <w:pPr>
        <w:ind w:left="420" w:hanging="221"/>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1"/>
          <w:szCs w:val="11"/>
          <w:color w:val="auto"/>
        </w:rPr>
        <w:t>Full year (FY) 2019 EPS of $20.10 on a GAAP basis, $17.87 on an Adjusted basis; compared to previous guidance of approximately $17.75</w:t>
      </w:r>
    </w:p>
    <w:p>
      <w:pPr>
        <w:spacing w:after="0" w:line="6" w:lineRule="exact"/>
        <w:rPr>
          <w:rFonts w:ascii="Arial" w:cs="Arial" w:eastAsia="Arial" w:hAnsi="Arial"/>
          <w:sz w:val="13"/>
          <w:szCs w:val="13"/>
          <w:color w:val="auto"/>
        </w:rPr>
      </w:pPr>
    </w:p>
    <w:p>
      <w:pPr>
        <w:ind w:left="420" w:hanging="221"/>
        <w:spacing w:after="0" w:line="236"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1"/>
          <w:szCs w:val="11"/>
          <w:color w:val="auto"/>
        </w:rPr>
        <w:t>FY 2020 EPS guidance in a range of $17.76 to $18.26 on a GAAP basis, $18.25 to $18.75 on an Adjusted basis</w:t>
      </w:r>
    </w:p>
    <w:p>
      <w:pPr>
        <w:spacing w:after="0" w:line="15" w:lineRule="exact"/>
        <w:rPr>
          <w:rFonts w:ascii="Arial" w:cs="Arial" w:eastAsia="Arial" w:hAnsi="Arial"/>
          <w:sz w:val="13"/>
          <w:szCs w:val="13"/>
          <w:color w:val="auto"/>
        </w:rPr>
      </w:pPr>
    </w:p>
    <w:p>
      <w:pPr>
        <w:ind w:left="420" w:hanging="221"/>
        <w:spacing w:after="0" w:line="221"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1"/>
          <w:szCs w:val="11"/>
          <w:color w:val="auto"/>
        </w:rPr>
        <w:t>Retail segment finished the year strong, with the segment benefit expense ratio 70 basis points better than the initial guidance midpoint, fueled by lower than expected utilization</w:t>
      </w:r>
    </w:p>
    <w:p>
      <w:pPr>
        <w:spacing w:after="0" w:line="15" w:lineRule="exact"/>
        <w:rPr>
          <w:rFonts w:ascii="Arial" w:cs="Arial" w:eastAsia="Arial" w:hAnsi="Arial"/>
          <w:sz w:val="13"/>
          <w:szCs w:val="13"/>
          <w:color w:val="auto"/>
        </w:rPr>
      </w:pPr>
    </w:p>
    <w:p>
      <w:pPr>
        <w:ind w:left="420" w:hanging="221"/>
        <w:spacing w:after="0" w:line="221"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1"/>
          <w:szCs w:val="11"/>
          <w:color w:val="auto"/>
        </w:rPr>
        <w:t>Reaffirmed expected FY 2020 individual Medicare Advantage membership growth of 270,000 to 330,000 members, representing 7.5 percent to 9.2 percent growth over 2019</w:t>
      </w:r>
    </w:p>
    <w:p>
      <w:pPr>
        <w:spacing w:after="0" w:line="15" w:lineRule="exact"/>
        <w:rPr>
          <w:rFonts w:ascii="Arial" w:cs="Arial" w:eastAsia="Arial" w:hAnsi="Arial"/>
          <w:sz w:val="13"/>
          <w:szCs w:val="13"/>
          <w:color w:val="auto"/>
        </w:rPr>
      </w:pPr>
    </w:p>
    <w:p>
      <w:pPr>
        <w:ind w:left="420" w:hanging="221"/>
        <w:spacing w:after="0" w:line="221"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1"/>
          <w:szCs w:val="11"/>
          <w:color w:val="auto"/>
        </w:rPr>
        <w:t>Revised FY 2020 stand-alone PDP membership guidance to a decline of approximately 550,000 members from previous expectation of an approximate 600,000 member decline</w:t>
      </w:r>
    </w:p>
    <w:p>
      <w:pPr>
        <w:spacing w:after="0" w:line="15" w:lineRule="exact"/>
        <w:rPr>
          <w:rFonts w:ascii="Arial" w:cs="Arial" w:eastAsia="Arial" w:hAnsi="Arial"/>
          <w:sz w:val="13"/>
          <w:szCs w:val="13"/>
          <w:color w:val="auto"/>
        </w:rPr>
      </w:pPr>
    </w:p>
    <w:p>
      <w:pPr>
        <w:ind w:left="420" w:hanging="212"/>
        <w:spacing w:after="0" w:line="221"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1"/>
          <w:szCs w:val="11"/>
          <w:color w:val="auto"/>
        </w:rPr>
        <w:t>Record operating cash flows of over $5 billion for FY 2019</w:t>
      </w:r>
    </w:p>
    <w:p>
      <w:pPr>
        <w:spacing w:after="0" w:line="148" w:lineRule="exact"/>
        <w:rPr>
          <w:sz w:val="20"/>
          <w:szCs w:val="20"/>
          <w:color w:val="auto"/>
        </w:rPr>
      </w:pPr>
    </w:p>
    <w:p>
      <w:pPr>
        <w:ind w:left="420" w:right="320"/>
        <w:spacing w:after="0" w:line="265" w:lineRule="auto"/>
        <w:rPr>
          <w:sz w:val="20"/>
          <w:szCs w:val="20"/>
          <w:color w:val="auto"/>
        </w:rPr>
      </w:pPr>
      <w:r>
        <w:rPr>
          <w:rFonts w:ascii="Arial" w:cs="Arial" w:eastAsia="Arial" w:hAnsi="Arial"/>
          <w:sz w:val="13"/>
          <w:szCs w:val="13"/>
          <w:b w:val="1"/>
          <w:bCs w:val="1"/>
          <w:color w:val="auto"/>
        </w:rPr>
        <w:t xml:space="preserve">LOUISVILLE, KY (February 5, 2020) </w:t>
      </w:r>
      <w:r>
        <w:rPr>
          <w:rFonts w:ascii="Arial" w:cs="Arial" w:eastAsia="Arial" w:hAnsi="Arial"/>
          <w:sz w:val="13"/>
          <w:szCs w:val="13"/>
          <w:color w:val="auto"/>
        </w:rPr>
        <w:t>– Humana Inc. (NYSE: HUM) today reported consolidated pretax income and diluted earnings per common share (EPS) for the quarter ended</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2019 (4Q19) versus the quarter ended December 31, 2018 (4Q18) and for the year ended December 31, 2019 (FY 2019) versus the year ended December 31, 2018 (FY 2018) as follows:</w:t>
      </w:r>
    </w:p>
    <w:p>
      <w:pPr>
        <w:spacing w:after="0" w:line="53" w:lineRule="exact"/>
        <w:rPr>
          <w:sz w:val="20"/>
          <w:szCs w:val="20"/>
          <w:color w:val="auto"/>
        </w:rPr>
      </w:pPr>
    </w:p>
    <w:tbl>
      <w:tblPr>
        <w:tblLayout w:type="fixed"/>
        <w:tblInd w:w="430" w:type="dxa"/>
        <w:tblCellMar>
          <w:top w:w="0" w:type="dxa"/>
          <w:left w:w="0" w:type="dxa"/>
          <w:bottom w:w="0" w:type="dxa"/>
          <w:right w:w="0" w:type="dxa"/>
        </w:tblCellMar>
      </w:tblPr>
      <w:tr>
        <w:trPr>
          <w:trHeight w:val="162"/>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 xml:space="preserve">Consolidated income before income taxes and equity in earnings (pretax income) </w:t>
            </w:r>
            <w:r>
              <w:rPr>
                <w:rFonts w:ascii="Arial" w:cs="Arial" w:eastAsia="Arial" w:hAnsi="Arial"/>
                <w:sz w:val="11"/>
                <w:szCs w:val="11"/>
                <w:i w:val="1"/>
                <w:iCs w:val="1"/>
                <w:color w:val="auto"/>
              </w:rPr>
              <w:t>In millions</w:t>
            </w:r>
          </w:p>
        </w:tc>
        <w:tc>
          <w:tcPr>
            <w:tcW w:w="840" w:type="dxa"/>
            <w:vAlign w:val="bottom"/>
            <w:tcBorders>
              <w:top w:val="single" w:sz="8" w:color="auto"/>
              <w:bottom w:val="single" w:sz="8" w:color="auto"/>
            </w:tcBorders>
            <w:shd w:val="clear" w:color="auto" w:fill="EAEAEA"/>
          </w:tcPr>
          <w:p>
            <w:pPr>
              <w:ind w:left="420"/>
              <w:spacing w:after="0"/>
              <w:rPr>
                <w:sz w:val="20"/>
                <w:szCs w:val="20"/>
                <w:color w:val="auto"/>
              </w:rPr>
            </w:pPr>
            <w:r>
              <w:rPr>
                <w:rFonts w:ascii="Arial" w:cs="Arial" w:eastAsia="Arial" w:hAnsi="Arial"/>
                <w:sz w:val="11"/>
                <w:szCs w:val="11"/>
                <w:b w:val="1"/>
                <w:bCs w:val="1"/>
                <w:color w:val="auto"/>
                <w:w w:val="92"/>
                <w:shd w:val="clear" w:color="auto" w:fill="EAEAEA"/>
              </w:rPr>
              <w:t>4Q19 (a)</w:t>
            </w:r>
          </w:p>
        </w:tc>
        <w:tc>
          <w:tcPr>
            <w:tcW w:w="460" w:type="dxa"/>
            <w:vAlign w:val="bottom"/>
            <w:tcBorders>
              <w:top w:val="single" w:sz="8" w:color="auto"/>
              <w:bottom w:val="single" w:sz="8" w:color="auto"/>
              <w:right w:val="single" w:sz="8" w:color="auto"/>
            </w:tcBorders>
            <w:shd w:val="clear" w:color="auto" w:fill="EAEAEA"/>
          </w:tcPr>
          <w:p>
            <w:pPr>
              <w:spacing w:after="0"/>
              <w:rPr>
                <w:sz w:val="14"/>
                <w:szCs w:val="14"/>
                <w:color w:val="auto"/>
              </w:rPr>
            </w:pPr>
          </w:p>
        </w:tc>
        <w:tc>
          <w:tcPr>
            <w:tcW w:w="1300" w:type="dxa"/>
            <w:vAlign w:val="bottom"/>
            <w:tcBorders>
              <w:top w:val="single" w:sz="8" w:color="auto"/>
              <w:bottom w:val="single" w:sz="8" w:color="auto"/>
              <w:right w:val="single" w:sz="8" w:color="auto"/>
            </w:tcBorders>
          </w:tcPr>
          <w:p>
            <w:pPr>
              <w:jc w:val="right"/>
              <w:ind w:right="406"/>
              <w:spacing w:after="0"/>
              <w:rPr>
                <w:sz w:val="20"/>
                <w:szCs w:val="20"/>
                <w:color w:val="auto"/>
              </w:rPr>
            </w:pPr>
            <w:r>
              <w:rPr>
                <w:rFonts w:ascii="Arial" w:cs="Arial" w:eastAsia="Arial" w:hAnsi="Arial"/>
                <w:sz w:val="11"/>
                <w:szCs w:val="11"/>
                <w:color w:val="auto"/>
              </w:rPr>
              <w:t>4Q18 (b)</w:t>
            </w:r>
          </w:p>
        </w:tc>
        <w:tc>
          <w:tcPr>
            <w:tcW w:w="920" w:type="dxa"/>
            <w:vAlign w:val="bottom"/>
            <w:tcBorders>
              <w:top w:val="single" w:sz="8" w:color="auto"/>
              <w:bottom w:val="single" w:sz="8" w:color="auto"/>
            </w:tcBorders>
            <w:shd w:val="clear" w:color="auto" w:fill="EAEAEA"/>
          </w:tcPr>
          <w:p>
            <w:pPr>
              <w:ind w:left="340"/>
              <w:spacing w:after="0"/>
              <w:rPr>
                <w:sz w:val="20"/>
                <w:szCs w:val="20"/>
                <w:color w:val="auto"/>
              </w:rPr>
            </w:pPr>
            <w:r>
              <w:rPr>
                <w:rFonts w:ascii="Arial" w:cs="Arial" w:eastAsia="Arial" w:hAnsi="Arial"/>
                <w:sz w:val="11"/>
                <w:szCs w:val="11"/>
                <w:b w:val="1"/>
                <w:bCs w:val="1"/>
                <w:color w:val="auto"/>
                <w:w w:val="96"/>
                <w:shd w:val="clear" w:color="auto" w:fill="EAEAEA"/>
              </w:rPr>
              <w:t>FY 2019 (c)</w:t>
            </w:r>
          </w:p>
        </w:tc>
        <w:tc>
          <w:tcPr>
            <w:tcW w:w="380" w:type="dxa"/>
            <w:vAlign w:val="bottom"/>
            <w:tcBorders>
              <w:top w:val="single" w:sz="8" w:color="auto"/>
              <w:bottom w:val="single" w:sz="8" w:color="auto"/>
              <w:right w:val="single" w:sz="8" w:color="auto"/>
            </w:tcBorders>
            <w:shd w:val="clear" w:color="auto" w:fill="EAEAEA"/>
          </w:tcPr>
          <w:p>
            <w:pPr>
              <w:spacing w:after="0"/>
              <w:rPr>
                <w:sz w:val="14"/>
                <w:szCs w:val="14"/>
                <w:color w:val="auto"/>
              </w:rPr>
            </w:pPr>
          </w:p>
        </w:tc>
        <w:tc>
          <w:tcPr>
            <w:tcW w:w="1280" w:type="dxa"/>
            <w:vAlign w:val="bottom"/>
            <w:tcBorders>
              <w:top w:val="single" w:sz="8" w:color="auto"/>
              <w:bottom w:val="single" w:sz="8" w:color="auto"/>
              <w:right w:val="single" w:sz="8" w:color="auto"/>
            </w:tcBorders>
          </w:tcPr>
          <w:p>
            <w:pPr>
              <w:jc w:val="right"/>
              <w:ind w:right="326"/>
              <w:spacing w:after="0"/>
              <w:rPr>
                <w:sz w:val="20"/>
                <w:szCs w:val="20"/>
                <w:color w:val="auto"/>
              </w:rPr>
            </w:pPr>
            <w:r>
              <w:rPr>
                <w:rFonts w:ascii="Arial" w:cs="Arial" w:eastAsia="Arial" w:hAnsi="Arial"/>
                <w:sz w:val="11"/>
                <w:szCs w:val="11"/>
                <w:color w:val="auto"/>
              </w:rPr>
              <w:t>FY 2018 (d)</w:t>
            </w:r>
          </w:p>
        </w:tc>
      </w:tr>
      <w:tr>
        <w:trPr>
          <w:trHeight w:val="172"/>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Generally Accepted Accounting Principles (GAAP)</w:t>
            </w:r>
          </w:p>
        </w:tc>
        <w:tc>
          <w:tcPr>
            <w:tcW w:w="1300" w:type="dxa"/>
            <w:vAlign w:val="bottom"/>
            <w:tcBorders>
              <w:bottom w:val="single" w:sz="8" w:color="auto"/>
              <w:right w:val="single" w:sz="8" w:color="auto"/>
            </w:tcBorders>
            <w:gridSpan w:val="2"/>
            <w:shd w:val="clear" w:color="auto" w:fill="EAEAEA"/>
          </w:tcPr>
          <w:p>
            <w:pPr>
              <w:jc w:val="right"/>
              <w:ind w:right="66"/>
              <w:spacing w:after="0"/>
              <w:rPr>
                <w:sz w:val="20"/>
                <w:szCs w:val="20"/>
                <w:color w:val="auto"/>
              </w:rPr>
            </w:pPr>
            <w:r>
              <w:rPr>
                <w:rFonts w:ascii="Arial" w:cs="Arial" w:eastAsia="Arial" w:hAnsi="Arial"/>
                <w:sz w:val="11"/>
                <w:szCs w:val="11"/>
                <w:b w:val="1"/>
                <w:bCs w:val="1"/>
                <w:color w:val="auto"/>
              </w:rPr>
              <w:t>$593</w:t>
            </w:r>
          </w:p>
        </w:tc>
        <w:tc>
          <w:tcPr>
            <w:tcW w:w="13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$436</w:t>
            </w:r>
          </w:p>
        </w:tc>
        <w:tc>
          <w:tcPr>
            <w:tcW w:w="130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$3,456</w:t>
            </w:r>
          </w:p>
        </w:tc>
        <w:tc>
          <w:tcPr>
            <w:tcW w:w="12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$2,063</w:t>
            </w:r>
          </w:p>
        </w:tc>
      </w:tr>
      <w:tr>
        <w:trPr>
          <w:trHeight w:val="151"/>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Amortization associated with identifiable intangibles</w:t>
            </w:r>
          </w:p>
        </w:tc>
        <w:tc>
          <w:tcPr>
            <w:tcW w:w="1300" w:type="dxa"/>
            <w:vAlign w:val="bottom"/>
            <w:tcBorders>
              <w:bottom w:val="single" w:sz="8" w:color="auto"/>
              <w:right w:val="single" w:sz="8" w:color="auto"/>
            </w:tcBorders>
            <w:gridSpan w:val="2"/>
            <w:shd w:val="clear" w:color="auto" w:fill="EAEAEA"/>
          </w:tcPr>
          <w:p>
            <w:pPr>
              <w:jc w:val="right"/>
              <w:ind w:right="66"/>
              <w:spacing w:after="0"/>
              <w:rPr>
                <w:sz w:val="20"/>
                <w:szCs w:val="20"/>
                <w:color w:val="auto"/>
              </w:rPr>
            </w:pPr>
            <w:r>
              <w:rPr>
                <w:rFonts w:ascii="Arial" w:cs="Arial" w:eastAsia="Arial" w:hAnsi="Arial"/>
                <w:sz w:val="11"/>
                <w:szCs w:val="11"/>
                <w:b w:val="1"/>
                <w:bCs w:val="1"/>
                <w:color w:val="auto"/>
              </w:rPr>
              <w:t>17</w:t>
            </w:r>
          </w:p>
        </w:tc>
        <w:tc>
          <w:tcPr>
            <w:tcW w:w="13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20</w:t>
            </w:r>
          </w:p>
        </w:tc>
        <w:tc>
          <w:tcPr>
            <w:tcW w:w="130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70</w:t>
            </w:r>
          </w:p>
        </w:tc>
        <w:tc>
          <w:tcPr>
            <w:tcW w:w="12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90</w:t>
            </w:r>
          </w:p>
        </w:tc>
      </w:tr>
      <w:tr>
        <w:trPr>
          <w:trHeight w:val="151"/>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Put/call valuation adjustments associated with 40% minority interest in Kindred at Home</w:t>
            </w:r>
          </w:p>
        </w:tc>
        <w:tc>
          <w:tcPr>
            <w:tcW w:w="1300" w:type="dxa"/>
            <w:vAlign w:val="bottom"/>
            <w:tcBorders>
              <w:bottom w:val="single" w:sz="8" w:color="auto"/>
              <w:right w:val="single" w:sz="8" w:color="auto"/>
            </w:tcBorders>
            <w:gridSpan w:val="2"/>
            <w:shd w:val="clear" w:color="auto" w:fill="EAEAEA"/>
          </w:tcPr>
          <w:p>
            <w:pPr>
              <w:jc w:val="right"/>
              <w:ind w:right="66"/>
              <w:spacing w:after="0"/>
              <w:rPr>
                <w:sz w:val="20"/>
                <w:szCs w:val="20"/>
                <w:color w:val="auto"/>
              </w:rPr>
            </w:pPr>
            <w:r>
              <w:rPr>
                <w:rFonts w:ascii="Arial" w:cs="Arial" w:eastAsia="Arial" w:hAnsi="Arial"/>
                <w:sz w:val="11"/>
                <w:szCs w:val="11"/>
                <w:b w:val="1"/>
                <w:bCs w:val="1"/>
                <w:color w:val="auto"/>
              </w:rPr>
              <w:t>(289)</w:t>
            </w:r>
          </w:p>
        </w:tc>
        <w:tc>
          <w:tcPr>
            <w:tcW w:w="13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22</w:t>
            </w:r>
          </w:p>
        </w:tc>
        <w:tc>
          <w:tcPr>
            <w:tcW w:w="130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(506)</w:t>
            </w:r>
          </w:p>
        </w:tc>
        <w:tc>
          <w:tcPr>
            <w:tcW w:w="12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33</w:t>
            </w:r>
          </w:p>
        </w:tc>
      </w:tr>
      <w:tr>
        <w:trPr>
          <w:trHeight w:val="151"/>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Charges associated with workforce optimization</w:t>
            </w:r>
          </w:p>
        </w:tc>
        <w:tc>
          <w:tcPr>
            <w:tcW w:w="1300" w:type="dxa"/>
            <w:vAlign w:val="bottom"/>
            <w:tcBorders>
              <w:bottom w:val="single" w:sz="8" w:color="auto"/>
              <w:right w:val="single" w:sz="8" w:color="auto"/>
            </w:tcBorders>
            <w:gridSpan w:val="2"/>
            <w:shd w:val="clear" w:color="auto" w:fill="EAEAEA"/>
          </w:tcPr>
          <w:p>
            <w:pPr>
              <w:jc w:val="right"/>
              <w:ind w:right="66"/>
              <w:spacing w:after="0"/>
              <w:rPr>
                <w:sz w:val="20"/>
                <w:szCs w:val="20"/>
                <w:color w:val="auto"/>
              </w:rPr>
            </w:pPr>
            <w:r>
              <w:rPr>
                <w:rFonts w:ascii="Arial" w:cs="Arial" w:eastAsia="Arial" w:hAnsi="Arial"/>
                <w:sz w:val="11"/>
                <w:szCs w:val="11"/>
                <w:b w:val="1"/>
                <w:bCs w:val="1"/>
                <w:color w:val="auto"/>
              </w:rPr>
              <w:t>1</w:t>
            </w:r>
          </w:p>
        </w:tc>
        <w:tc>
          <w:tcPr>
            <w:tcW w:w="13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c>
          <w:tcPr>
            <w:tcW w:w="130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47</w:t>
            </w:r>
          </w:p>
        </w:tc>
        <w:tc>
          <w:tcPr>
            <w:tcW w:w="12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r>
      <w:tr>
        <w:trPr>
          <w:trHeight w:val="151"/>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Loss on sale of KMG America Corporation (KMG), a wholly-owned subsidiary</w:t>
            </w:r>
          </w:p>
        </w:tc>
        <w:tc>
          <w:tcPr>
            <w:tcW w:w="840" w:type="dxa"/>
            <w:vAlign w:val="bottom"/>
            <w:tcBorders>
              <w:bottom w:val="single" w:sz="8" w:color="auto"/>
            </w:tcBorders>
            <w:shd w:val="clear" w:color="auto" w:fill="EAEAEA"/>
          </w:tcPr>
          <w:p>
            <w:pPr>
              <w:spacing w:after="0"/>
              <w:rPr>
                <w:sz w:val="13"/>
                <w:szCs w:val="13"/>
                <w:color w:val="auto"/>
              </w:rPr>
            </w:pPr>
          </w:p>
        </w:tc>
        <w:tc>
          <w:tcPr>
            <w:tcW w:w="460" w:type="dxa"/>
            <w:vAlign w:val="bottom"/>
            <w:tcBorders>
              <w:bottom w:val="single" w:sz="8" w:color="auto"/>
              <w:right w:val="single" w:sz="8" w:color="auto"/>
            </w:tcBorders>
            <w:shd w:val="clear" w:color="auto" w:fill="EAEAEA"/>
          </w:tcPr>
          <w:p>
            <w:pPr>
              <w:jc w:val="right"/>
              <w:ind w:right="66"/>
              <w:spacing w:after="0"/>
              <w:rPr>
                <w:sz w:val="20"/>
                <w:szCs w:val="20"/>
                <w:color w:val="auto"/>
              </w:rPr>
            </w:pPr>
            <w:r>
              <w:rPr>
                <w:rFonts w:ascii="Arial" w:cs="Arial" w:eastAsia="Arial" w:hAnsi="Arial"/>
                <w:sz w:val="11"/>
                <w:szCs w:val="11"/>
                <w:b w:val="1"/>
                <w:bCs w:val="1"/>
                <w:color w:val="auto"/>
              </w:rPr>
              <w:t>—</w:t>
            </w:r>
          </w:p>
        </w:tc>
        <w:tc>
          <w:tcPr>
            <w:tcW w:w="13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EAEAEA"/>
          </w:tcPr>
          <w:p>
            <w:pPr>
              <w:spacing w:after="0"/>
              <w:rPr>
                <w:sz w:val="13"/>
                <w:szCs w:val="13"/>
                <w:color w:val="auto"/>
              </w:rPr>
            </w:pPr>
          </w:p>
        </w:tc>
        <w:tc>
          <w:tcPr>
            <w:tcW w:w="38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786</w:t>
            </w:r>
          </w:p>
        </w:tc>
      </w:tr>
      <w:tr>
        <w:trPr>
          <w:trHeight w:val="151"/>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Segment losses (earnings) associated with the Individual Commercial segment</w:t>
            </w:r>
          </w:p>
        </w:tc>
        <w:tc>
          <w:tcPr>
            <w:tcW w:w="840" w:type="dxa"/>
            <w:vAlign w:val="bottom"/>
            <w:tcBorders>
              <w:bottom w:val="single" w:sz="8" w:color="auto"/>
            </w:tcBorders>
            <w:shd w:val="clear" w:color="auto" w:fill="EAEAEA"/>
          </w:tcPr>
          <w:p>
            <w:pPr>
              <w:spacing w:after="0"/>
              <w:rPr>
                <w:sz w:val="13"/>
                <w:szCs w:val="13"/>
                <w:color w:val="auto"/>
              </w:rPr>
            </w:pPr>
          </w:p>
        </w:tc>
        <w:tc>
          <w:tcPr>
            <w:tcW w:w="460" w:type="dxa"/>
            <w:vAlign w:val="bottom"/>
            <w:tcBorders>
              <w:bottom w:val="single" w:sz="8" w:color="auto"/>
              <w:right w:val="single" w:sz="8" w:color="auto"/>
            </w:tcBorders>
            <w:shd w:val="clear" w:color="auto" w:fill="EAEAEA"/>
          </w:tcPr>
          <w:p>
            <w:pPr>
              <w:jc w:val="right"/>
              <w:ind w:right="6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920" w:type="dxa"/>
            <w:vAlign w:val="bottom"/>
            <w:tcBorders>
              <w:bottom w:val="single" w:sz="8" w:color="auto"/>
            </w:tcBorders>
            <w:shd w:val="clear" w:color="auto" w:fill="EAEAEA"/>
          </w:tcPr>
          <w:p>
            <w:pPr>
              <w:spacing w:after="0"/>
              <w:rPr>
                <w:sz w:val="13"/>
                <w:szCs w:val="13"/>
                <w:color w:val="auto"/>
              </w:rPr>
            </w:pPr>
          </w:p>
        </w:tc>
        <w:tc>
          <w:tcPr>
            <w:tcW w:w="38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(74)</w:t>
            </w:r>
          </w:p>
        </w:tc>
      </w:tr>
      <w:tr>
        <w:trPr>
          <w:trHeight w:val="16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Adjusted (non-GAAP)</w:t>
            </w:r>
          </w:p>
        </w:tc>
        <w:tc>
          <w:tcPr>
            <w:tcW w:w="1300" w:type="dxa"/>
            <w:vAlign w:val="bottom"/>
            <w:tcBorders>
              <w:bottom w:val="single" w:sz="8" w:color="auto"/>
              <w:right w:val="single" w:sz="8" w:color="auto"/>
            </w:tcBorders>
            <w:gridSpan w:val="2"/>
            <w:shd w:val="clear" w:color="auto" w:fill="EAEAEA"/>
          </w:tcPr>
          <w:p>
            <w:pPr>
              <w:jc w:val="right"/>
              <w:ind w:right="66"/>
              <w:spacing w:after="0"/>
              <w:rPr>
                <w:sz w:val="20"/>
                <w:szCs w:val="20"/>
                <w:color w:val="auto"/>
              </w:rPr>
            </w:pPr>
            <w:r>
              <w:rPr>
                <w:rFonts w:ascii="Arial" w:cs="Arial" w:eastAsia="Arial" w:hAnsi="Arial"/>
                <w:sz w:val="11"/>
                <w:szCs w:val="11"/>
                <w:b w:val="1"/>
                <w:bCs w:val="1"/>
                <w:color w:val="auto"/>
              </w:rPr>
              <w:t>$322</w:t>
            </w:r>
          </w:p>
        </w:tc>
        <w:tc>
          <w:tcPr>
            <w:tcW w:w="13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$480</w:t>
            </w:r>
          </w:p>
        </w:tc>
        <w:tc>
          <w:tcPr>
            <w:tcW w:w="130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$3,067</w:t>
            </w:r>
          </w:p>
        </w:tc>
        <w:tc>
          <w:tcPr>
            <w:tcW w:w="12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$2,898</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80"/>
          </w:cols>
          <w:pgMar w:left="220" w:top="418" w:right="199" w:bottom="1440" w:gutter="0" w:footer="0" w:header="0"/>
        </w:sectPr>
      </w:pPr>
    </w:p>
    <w:bookmarkStart w:id="4" w:name="page5"/>
    <w:bookmarkEnd w:id="4"/>
    <w:tbl>
      <w:tblPr>
        <w:tblLayout w:type="fixed"/>
        <w:tblInd w:w="130" w:type="dxa"/>
        <w:tblCellMar>
          <w:top w:w="0" w:type="dxa"/>
          <w:left w:w="0" w:type="dxa"/>
          <w:bottom w:w="0" w:type="dxa"/>
          <w:right w:w="0" w:type="dxa"/>
        </w:tblCellMar>
      </w:tblPr>
      <w:tr>
        <w:trPr>
          <w:trHeight w:val="162"/>
        </w:trPr>
        <w:tc>
          <w:tcPr>
            <w:tcW w:w="5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Diluted earnings per common share (EPS)</w:t>
            </w:r>
          </w:p>
        </w:tc>
        <w:tc>
          <w:tcPr>
            <w:tcW w:w="880" w:type="dxa"/>
            <w:vAlign w:val="bottom"/>
            <w:tcBorders>
              <w:top w:val="single" w:sz="8" w:color="auto"/>
              <w:bottom w:val="single" w:sz="8" w:color="auto"/>
            </w:tcBorders>
            <w:shd w:val="clear" w:color="auto" w:fill="EAEAEA"/>
          </w:tcPr>
          <w:p>
            <w:pPr>
              <w:ind w:left="460"/>
              <w:spacing w:after="0"/>
              <w:rPr>
                <w:sz w:val="20"/>
                <w:szCs w:val="20"/>
                <w:color w:val="auto"/>
              </w:rPr>
            </w:pPr>
            <w:r>
              <w:rPr>
                <w:rFonts w:ascii="Arial" w:cs="Arial" w:eastAsia="Arial" w:hAnsi="Arial"/>
                <w:sz w:val="11"/>
                <w:szCs w:val="11"/>
                <w:b w:val="1"/>
                <w:bCs w:val="1"/>
                <w:color w:val="auto"/>
                <w:w w:val="92"/>
                <w:shd w:val="clear" w:color="auto" w:fill="EAEAEA"/>
              </w:rPr>
              <w:t>4Q19 (a)</w:t>
            </w:r>
          </w:p>
        </w:tc>
        <w:tc>
          <w:tcPr>
            <w:tcW w:w="480" w:type="dxa"/>
            <w:vAlign w:val="bottom"/>
            <w:tcBorders>
              <w:top w:val="single" w:sz="8" w:color="auto"/>
              <w:bottom w:val="single" w:sz="8" w:color="auto"/>
              <w:right w:val="single" w:sz="8" w:color="auto"/>
            </w:tcBorders>
            <w:gridSpan w:val="2"/>
            <w:shd w:val="clear" w:color="auto" w:fill="EAEAEA"/>
          </w:tcPr>
          <w:p>
            <w:pPr>
              <w:spacing w:after="0"/>
              <w:rPr>
                <w:sz w:val="14"/>
                <w:szCs w:val="14"/>
                <w:color w:val="auto"/>
              </w:rPr>
            </w:pPr>
          </w:p>
        </w:tc>
        <w:tc>
          <w:tcPr>
            <w:tcW w:w="136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4Q18 (b)</w:t>
            </w:r>
          </w:p>
        </w:tc>
        <w:tc>
          <w:tcPr>
            <w:tcW w:w="940" w:type="dxa"/>
            <w:vAlign w:val="bottom"/>
            <w:tcBorders>
              <w:top w:val="single" w:sz="8" w:color="auto"/>
              <w:bottom w:val="single" w:sz="8" w:color="auto"/>
            </w:tcBorders>
            <w:shd w:val="clear" w:color="auto" w:fill="EAEAEA"/>
          </w:tcPr>
          <w:p>
            <w:pPr>
              <w:ind w:left="360"/>
              <w:spacing w:after="0"/>
              <w:rPr>
                <w:sz w:val="20"/>
                <w:szCs w:val="20"/>
                <w:color w:val="auto"/>
              </w:rPr>
            </w:pPr>
            <w:r>
              <w:rPr>
                <w:rFonts w:ascii="Arial" w:cs="Arial" w:eastAsia="Arial" w:hAnsi="Arial"/>
                <w:sz w:val="11"/>
                <w:szCs w:val="11"/>
                <w:b w:val="1"/>
                <w:bCs w:val="1"/>
                <w:color w:val="auto"/>
                <w:w w:val="96"/>
                <w:shd w:val="clear" w:color="auto" w:fill="EAEAEA"/>
              </w:rPr>
              <w:t>FY 2019 (c)</w:t>
            </w:r>
          </w:p>
        </w:tc>
        <w:tc>
          <w:tcPr>
            <w:tcW w:w="400" w:type="dxa"/>
            <w:vAlign w:val="bottom"/>
            <w:tcBorders>
              <w:top w:val="single" w:sz="8" w:color="auto"/>
              <w:bottom w:val="single" w:sz="8" w:color="auto"/>
              <w:right w:val="single" w:sz="8" w:color="auto"/>
            </w:tcBorders>
            <w:gridSpan w:val="2"/>
            <w:shd w:val="clear" w:color="auto" w:fill="EAEAEA"/>
          </w:tcPr>
          <w:p>
            <w:pPr>
              <w:spacing w:after="0"/>
              <w:rPr>
                <w:sz w:val="14"/>
                <w:szCs w:val="14"/>
                <w:color w:val="auto"/>
              </w:rPr>
            </w:pPr>
          </w:p>
        </w:tc>
        <w:tc>
          <w:tcPr>
            <w:tcW w:w="1320" w:type="dxa"/>
            <w:vAlign w:val="bottom"/>
            <w:tcBorders>
              <w:top w:val="single" w:sz="8" w:color="auto"/>
              <w:bottom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FY 2018 (d)</w:t>
            </w:r>
          </w:p>
        </w:tc>
        <w:tc>
          <w:tcPr>
            <w:tcW w:w="0" w:type="dxa"/>
            <w:vAlign w:val="bottom"/>
          </w:tcPr>
          <w:p>
            <w:pPr>
              <w:spacing w:after="0"/>
              <w:rPr>
                <w:sz w:val="1"/>
                <w:szCs w:val="1"/>
                <w:color w:val="auto"/>
              </w:rPr>
            </w:pPr>
          </w:p>
        </w:tc>
      </w:tr>
      <w:tr>
        <w:trPr>
          <w:trHeight w:val="172"/>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$3.84</w:t>
            </w:r>
          </w:p>
        </w:tc>
        <w:tc>
          <w:tcPr>
            <w:tcW w:w="140" w:type="dxa"/>
            <w:vAlign w:val="bottom"/>
            <w:tcBorders>
              <w:bottom w:val="single" w:sz="8" w:color="auto"/>
              <w:right w:val="single" w:sz="8" w:color="auto"/>
            </w:tcBorders>
            <w:shd w:val="clear" w:color="auto" w:fill="EAEAEA"/>
          </w:tcPr>
          <w:p>
            <w:pPr>
              <w:spacing w:after="0"/>
              <w:rPr>
                <w:sz w:val="14"/>
                <w:szCs w:val="14"/>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$2.58</w:t>
            </w:r>
          </w:p>
        </w:tc>
        <w:tc>
          <w:tcPr>
            <w:tcW w:w="120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$20.10</w:t>
            </w:r>
          </w:p>
        </w:tc>
        <w:tc>
          <w:tcPr>
            <w:tcW w:w="140" w:type="dxa"/>
            <w:vAlign w:val="bottom"/>
            <w:tcBorders>
              <w:bottom w:val="single" w:sz="8" w:color="auto"/>
              <w:right w:val="single" w:sz="8" w:color="auto"/>
            </w:tcBorders>
            <w:shd w:val="clear" w:color="auto" w:fill="EAEAEA"/>
          </w:tcPr>
          <w:p>
            <w:pPr>
              <w:spacing w:after="0"/>
              <w:rPr>
                <w:sz w:val="14"/>
                <w:szCs w:val="14"/>
                <w:color w:val="auto"/>
              </w:rPr>
            </w:pPr>
          </w:p>
        </w:tc>
        <w:tc>
          <w:tcPr>
            <w:tcW w:w="13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$12.16</w:t>
            </w:r>
          </w:p>
        </w:tc>
        <w:tc>
          <w:tcPr>
            <w:tcW w:w="0" w:type="dxa"/>
            <w:vAlign w:val="bottom"/>
          </w:tcPr>
          <w:p>
            <w:pPr>
              <w:spacing w:after="0"/>
              <w:rPr>
                <w:sz w:val="1"/>
                <w:szCs w:val="1"/>
                <w:color w:val="auto"/>
              </w:rPr>
            </w:pPr>
          </w:p>
        </w:tc>
      </w:tr>
      <w:tr>
        <w:trPr>
          <w:trHeight w:val="151"/>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0.10</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0.11</w:t>
            </w:r>
          </w:p>
        </w:tc>
        <w:tc>
          <w:tcPr>
            <w:tcW w:w="120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0.40</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0.49</w:t>
            </w:r>
          </w:p>
        </w:tc>
        <w:tc>
          <w:tcPr>
            <w:tcW w:w="0" w:type="dxa"/>
            <w:vAlign w:val="bottom"/>
          </w:tcPr>
          <w:p>
            <w:pPr>
              <w:spacing w:after="0"/>
              <w:rPr>
                <w:sz w:val="1"/>
                <w:szCs w:val="1"/>
                <w:color w:val="auto"/>
              </w:rPr>
            </w:pPr>
          </w:p>
        </w:tc>
      </w:tr>
      <w:tr>
        <w:trPr>
          <w:trHeight w:val="151"/>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40% minority interest in Kindred at Home</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(1.67)</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0.13</w:t>
            </w:r>
          </w:p>
        </w:tc>
        <w:tc>
          <w:tcPr>
            <w:tcW w:w="120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(2.89)</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0.18</w:t>
            </w:r>
          </w:p>
        </w:tc>
        <w:tc>
          <w:tcPr>
            <w:tcW w:w="0" w:type="dxa"/>
            <w:vAlign w:val="bottom"/>
          </w:tcPr>
          <w:p>
            <w:pPr>
              <w:spacing w:after="0"/>
              <w:rPr>
                <w:sz w:val="1"/>
                <w:szCs w:val="1"/>
                <w:color w:val="auto"/>
              </w:rPr>
            </w:pPr>
          </w:p>
        </w:tc>
      </w:tr>
      <w:tr>
        <w:trPr>
          <w:trHeight w:val="151"/>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0.01</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0.26</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(Favorable adjustment) loss on sale of KMG, a wholly-owned subsidiary</w:t>
            </w:r>
          </w:p>
        </w:tc>
        <w:tc>
          <w:tcPr>
            <w:tcW w:w="880" w:type="dxa"/>
            <w:vAlign w:val="bottom"/>
            <w:tcBorders>
              <w:bottom w:val="single" w:sz="8" w:color="auto"/>
            </w:tcBorders>
            <w:shd w:val="clear" w:color="auto" w:fill="EAEAEA"/>
          </w:tcPr>
          <w:p>
            <w:pPr>
              <w:spacing w:after="0"/>
              <w:rPr>
                <w:sz w:val="13"/>
                <w:szCs w:val="13"/>
                <w:color w:val="auto"/>
              </w:rPr>
            </w:pPr>
          </w:p>
        </w:tc>
        <w:tc>
          <w:tcPr>
            <w:tcW w:w="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(0.17)</w:t>
            </w:r>
          </w:p>
        </w:tc>
        <w:tc>
          <w:tcPr>
            <w:tcW w:w="940" w:type="dxa"/>
            <w:vAlign w:val="bottom"/>
            <w:tcBorders>
              <w:bottom w:val="single" w:sz="8" w:color="auto"/>
            </w:tcBorders>
            <w:shd w:val="clear" w:color="auto" w:fill="EAEAEA"/>
          </w:tcPr>
          <w:p>
            <w:pPr>
              <w:spacing w:after="0"/>
              <w:rPr>
                <w:sz w:val="13"/>
                <w:szCs w:val="13"/>
                <w:color w:val="auto"/>
              </w:rPr>
            </w:pPr>
          </w:p>
        </w:tc>
        <w:tc>
          <w:tcPr>
            <w:tcW w:w="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2.41</w:t>
            </w:r>
          </w:p>
        </w:tc>
        <w:tc>
          <w:tcPr>
            <w:tcW w:w="0" w:type="dxa"/>
            <w:vAlign w:val="bottom"/>
          </w:tcPr>
          <w:p>
            <w:pPr>
              <w:spacing w:after="0"/>
              <w:rPr>
                <w:sz w:val="1"/>
                <w:szCs w:val="1"/>
                <w:color w:val="auto"/>
              </w:rPr>
            </w:pPr>
          </w:p>
        </w:tc>
      </w:tr>
      <w:tr>
        <w:trPr>
          <w:trHeight w:val="151"/>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associated with the Individual Commercial segment</w:t>
            </w:r>
          </w:p>
        </w:tc>
        <w:tc>
          <w:tcPr>
            <w:tcW w:w="880" w:type="dxa"/>
            <w:vAlign w:val="bottom"/>
            <w:tcBorders>
              <w:bottom w:val="single" w:sz="8" w:color="auto"/>
            </w:tcBorders>
            <w:shd w:val="clear" w:color="auto" w:fill="EAEAEA"/>
          </w:tcPr>
          <w:p>
            <w:pPr>
              <w:spacing w:after="0"/>
              <w:rPr>
                <w:sz w:val="13"/>
                <w:szCs w:val="13"/>
                <w:color w:val="auto"/>
              </w:rPr>
            </w:pPr>
          </w:p>
        </w:tc>
        <w:tc>
          <w:tcPr>
            <w:tcW w:w="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EAEAEA"/>
          </w:tcPr>
          <w:p>
            <w:pPr>
              <w:spacing w:after="0"/>
              <w:rPr>
                <w:sz w:val="13"/>
                <w:szCs w:val="13"/>
                <w:color w:val="auto"/>
              </w:rPr>
            </w:pPr>
          </w:p>
        </w:tc>
        <w:tc>
          <w:tcPr>
            <w:tcW w:w="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(0.41)</w:t>
            </w:r>
          </w:p>
        </w:tc>
        <w:tc>
          <w:tcPr>
            <w:tcW w:w="0" w:type="dxa"/>
            <w:vAlign w:val="bottom"/>
          </w:tcPr>
          <w:p>
            <w:pPr>
              <w:spacing w:after="0"/>
              <w:rPr>
                <w:sz w:val="1"/>
                <w:szCs w:val="1"/>
                <w:color w:val="auto"/>
              </w:rPr>
            </w:pPr>
          </w:p>
        </w:tc>
      </w:tr>
      <w:tr>
        <w:trPr>
          <w:trHeight w:val="141"/>
        </w:trPr>
        <w:tc>
          <w:tcPr>
            <w:tcW w:w="5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Adjustments to provisional estimates for the income tax effects related to the tax reform law enacted on December 22,</w:t>
            </w:r>
          </w:p>
        </w:tc>
        <w:tc>
          <w:tcPr>
            <w:tcW w:w="880" w:type="dxa"/>
            <w:vAlign w:val="bottom"/>
            <w:shd w:val="clear" w:color="auto" w:fill="EAEAEA"/>
          </w:tcPr>
          <w:p>
            <w:pPr>
              <w:spacing w:after="0"/>
              <w:rPr>
                <w:sz w:val="12"/>
                <w:szCs w:val="12"/>
                <w:color w:val="auto"/>
              </w:rPr>
            </w:pPr>
          </w:p>
        </w:tc>
        <w:tc>
          <w:tcPr>
            <w:tcW w:w="340" w:type="dxa"/>
            <w:vAlign w:val="bottom"/>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right w:val="single" w:sz="8" w:color="auto"/>
            </w:tcBorders>
            <w:shd w:val="clear" w:color="auto" w:fill="EAEAEA"/>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40" w:type="dxa"/>
            <w:vAlign w:val="bottom"/>
            <w:shd w:val="clear" w:color="auto" w:fill="EAEAEA"/>
          </w:tcPr>
          <w:p>
            <w:pPr>
              <w:spacing w:after="0"/>
              <w:rPr>
                <w:sz w:val="12"/>
                <w:szCs w:val="12"/>
                <w:color w:val="auto"/>
              </w:rPr>
            </w:pPr>
          </w:p>
        </w:tc>
        <w:tc>
          <w:tcPr>
            <w:tcW w:w="260" w:type="dxa"/>
            <w:vAlign w:val="bottom"/>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right w:val="single" w:sz="8" w:color="auto"/>
            </w:tcBorders>
            <w:shd w:val="clear" w:color="auto" w:fill="EAEAEA"/>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2017 (Tax Reform Law)</w:t>
            </w:r>
          </w:p>
        </w:tc>
        <w:tc>
          <w:tcPr>
            <w:tcW w:w="880" w:type="dxa"/>
            <w:vAlign w:val="bottom"/>
            <w:tcBorders>
              <w:bottom w:val="single" w:sz="8" w:color="auto"/>
            </w:tcBorders>
            <w:shd w:val="clear" w:color="auto" w:fill="EAEAEA"/>
          </w:tcPr>
          <w:p>
            <w:pPr>
              <w:spacing w:after="0"/>
              <w:rPr>
                <w:sz w:val="11"/>
                <w:szCs w:val="11"/>
                <w:color w:val="auto"/>
              </w:rPr>
            </w:pPr>
          </w:p>
        </w:tc>
        <w:tc>
          <w:tcPr>
            <w:tcW w:w="340" w:type="dxa"/>
            <w:vAlign w:val="bottom"/>
            <w:tcBorders>
              <w:bottom w:val="single" w:sz="8" w:color="auto"/>
            </w:tcBorders>
            <w:vMerge w:val="continue"/>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EAEAEA"/>
          </w:tcPr>
          <w:p>
            <w:pPr>
              <w:spacing w:after="0"/>
              <w:rPr>
                <w:sz w:val="11"/>
                <w:szCs w:val="11"/>
                <w:color w:val="auto"/>
              </w:rPr>
            </w:pPr>
          </w:p>
        </w:tc>
        <w:tc>
          <w:tcPr>
            <w:tcW w:w="260" w:type="dxa"/>
            <w:vAlign w:val="bottom"/>
            <w:tcBorders>
              <w:bottom w:val="single" w:sz="8" w:color="auto"/>
            </w:tcBorders>
            <w:vMerge w:val="continue"/>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3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(0.28)</w:t>
            </w:r>
          </w:p>
        </w:tc>
        <w:tc>
          <w:tcPr>
            <w:tcW w:w="0" w:type="dxa"/>
            <w:vAlign w:val="bottom"/>
          </w:tcPr>
          <w:p>
            <w:pPr>
              <w:spacing w:after="0"/>
              <w:rPr>
                <w:sz w:val="1"/>
                <w:szCs w:val="1"/>
                <w:color w:val="auto"/>
              </w:rPr>
            </w:pPr>
          </w:p>
        </w:tc>
      </w:tr>
      <w:tr>
        <w:trPr>
          <w:trHeight w:val="169"/>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$2.28</w:t>
            </w:r>
          </w:p>
        </w:tc>
        <w:tc>
          <w:tcPr>
            <w:tcW w:w="140" w:type="dxa"/>
            <w:vAlign w:val="bottom"/>
            <w:tcBorders>
              <w:bottom w:val="single" w:sz="8" w:color="auto"/>
              <w:right w:val="single" w:sz="8" w:color="auto"/>
            </w:tcBorders>
            <w:shd w:val="clear" w:color="auto" w:fill="EAEAEA"/>
          </w:tcPr>
          <w:p>
            <w:pPr>
              <w:spacing w:after="0"/>
              <w:rPr>
                <w:sz w:val="14"/>
                <w:szCs w:val="14"/>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$2.65</w:t>
            </w:r>
          </w:p>
        </w:tc>
        <w:tc>
          <w:tcPr>
            <w:tcW w:w="120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$17.87</w:t>
            </w:r>
          </w:p>
        </w:tc>
        <w:tc>
          <w:tcPr>
            <w:tcW w:w="140" w:type="dxa"/>
            <w:vAlign w:val="bottom"/>
            <w:tcBorders>
              <w:bottom w:val="single" w:sz="8" w:color="auto"/>
              <w:right w:val="single" w:sz="8" w:color="auto"/>
            </w:tcBorders>
            <w:shd w:val="clear" w:color="auto" w:fill="EAEAEA"/>
          </w:tcPr>
          <w:p>
            <w:pPr>
              <w:spacing w:after="0"/>
              <w:rPr>
                <w:sz w:val="14"/>
                <w:szCs w:val="14"/>
                <w:color w:val="auto"/>
              </w:rPr>
            </w:pPr>
          </w:p>
        </w:tc>
        <w:tc>
          <w:tcPr>
            <w:tcW w:w="13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$14.55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29" w:lineRule="auto"/>
        <w:rPr>
          <w:sz w:val="20"/>
          <w:szCs w:val="20"/>
          <w:color w:val="auto"/>
        </w:rPr>
      </w:pPr>
      <w:r>
        <w:rPr>
          <w:rFonts w:ascii="Arial" w:cs="Arial" w:eastAsia="Arial" w:hAnsi="Arial"/>
          <w:sz w:val="10"/>
          <w:szCs w:val="10"/>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32"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"We are pleased with our 2019 performance, particularly our success in balancing and executing on multiple priorities as we grew membership, improved the quality and productivity of our operations, and continued to invest in the long-term," said Bruce D. Broussard, Humana’s President and Chief Executive Officer. "You’ll find evidence of these efforts in our improved Net Promoter Score - and in the related, and numerous, awards we received for customer experience. In addition, we had strong membership growth, with a record number of our members now in 4+ Star Plans. All the while, we made appreciable progress in advancing our technology, primary care and home strategies."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Summary of 4Q19 Results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GAAP and Adjusted EPS results for both the quarter and the year exceeded management's expectations driven by continued outperformance in the company's Medicare Advantage business.</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year-over-year comparisons for both 4Q19 and FY 2019, the company's GAAP and Adjusted pretax income and EPS results were favorably impacted by the solid performance of the company's Medicare Advantage business and Healthcare Services segment, with further benefit from achieving significant operating cost efficiencies in 2019 as a result of previously implemented productivity initiatives. These year-over-year favorable impacts were partially offset by the strategic investments in the company's integrated care delivery model; the impact of higher compensation accruals for the Annual Incentive Plan (AIP) offered to employees across all levels of the company; lower Group and Specialty segment earnings; increased spending associated with the 2020 Medicare Annual Election Period (AEP); and the impact of workforce optimization.</w:t>
      </w:r>
    </w:p>
    <w:p>
      <w:pPr>
        <w:spacing w:after="0" w:line="134"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The year-over-year changes in GAAP and Adjusted EPS for 4Q19 and FY 2019 were further positively impacted by a lower tax rate primarily resulting from the suspension of the health insurance industry fee (HIF) in 2019, as well as a lower number of shares used to compute EPS, primarily reflective of share repurchases.</w:t>
      </w:r>
    </w:p>
    <w:p>
      <w:pPr>
        <w:spacing w:after="0" w:line="129"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Please refer to the tables above and the consolidated and segment highlight sections in the detailed earnings release for additional discussion of the factors impacting year-over-year results. In addition, below is a summary of key consolidated and segment statistics comparing 4Q19 to 4Q18 and FY 2019 to FY 2018.</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40"/>
          </w:cols>
          <w:pgMar w:left="220" w:top="651"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63"/>
        </w:trPr>
        <w:tc>
          <w:tcPr>
            <w:tcW w:w="40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Humana Inc. Summary of Quarterly and YTD Results</w:t>
            </w:r>
          </w:p>
        </w:tc>
        <w:tc>
          <w:tcPr>
            <w:tcW w:w="1660" w:type="dxa"/>
            <w:vAlign w:val="bottom"/>
            <w:tcBorders>
              <w:top w:val="single" w:sz="8" w:color="auto"/>
            </w:tcBorders>
            <w:shd w:val="clear" w:color="auto" w:fill="EAEAEA"/>
          </w:tcPr>
          <w:p>
            <w:pPr>
              <w:spacing w:after="0"/>
              <w:rPr>
                <w:sz w:val="14"/>
                <w:szCs w:val="14"/>
                <w:color w:val="auto"/>
              </w:rPr>
            </w:pPr>
          </w:p>
        </w:tc>
        <w:tc>
          <w:tcPr>
            <w:tcW w:w="140" w:type="dxa"/>
            <w:vAlign w:val="bottom"/>
            <w:tcBorders>
              <w:top w:val="single" w:sz="8" w:color="auto"/>
              <w:right w:val="single" w:sz="8" w:color="auto"/>
            </w:tcBorders>
            <w:shd w:val="clear" w:color="auto" w:fill="EAEAEA"/>
          </w:tcPr>
          <w:p>
            <w:pPr>
              <w:spacing w:after="0"/>
              <w:rPr>
                <w:sz w:val="14"/>
                <w:szCs w:val="14"/>
                <w:color w:val="auto"/>
              </w:rPr>
            </w:pPr>
          </w:p>
        </w:tc>
        <w:tc>
          <w:tcPr>
            <w:tcW w:w="1780" w:type="dxa"/>
            <w:vAlign w:val="bottom"/>
            <w:tcBorders>
              <w:top w:val="single" w:sz="8" w:color="auto"/>
              <w:right w:val="single" w:sz="8" w:color="auto"/>
            </w:tcBorders>
          </w:tcPr>
          <w:p>
            <w:pPr>
              <w:spacing w:after="0"/>
              <w:rPr>
                <w:sz w:val="14"/>
                <w:szCs w:val="14"/>
                <w:color w:val="auto"/>
              </w:rPr>
            </w:pPr>
          </w:p>
        </w:tc>
        <w:tc>
          <w:tcPr>
            <w:tcW w:w="1800" w:type="dxa"/>
            <w:vAlign w:val="bottom"/>
            <w:tcBorders>
              <w:top w:val="single" w:sz="8" w:color="auto"/>
              <w:right w:val="single" w:sz="8" w:color="auto"/>
            </w:tcBorders>
            <w:shd w:val="clear" w:color="auto" w:fill="EAEAEA"/>
          </w:tcPr>
          <w:p>
            <w:pPr>
              <w:spacing w:after="0"/>
              <w:rPr>
                <w:sz w:val="14"/>
                <w:szCs w:val="14"/>
                <w:color w:val="auto"/>
              </w:rPr>
            </w:pPr>
          </w:p>
        </w:tc>
        <w:tc>
          <w:tcPr>
            <w:tcW w:w="1780" w:type="dxa"/>
            <w:vAlign w:val="bottom"/>
            <w:tcBorders>
              <w:top w:val="single" w:sz="8" w:color="auto"/>
              <w:right w:val="single" w:sz="8" w:color="auto"/>
            </w:tcBorders>
          </w:tcPr>
          <w:p>
            <w:pPr>
              <w:spacing w:after="0"/>
              <w:rPr>
                <w:sz w:val="14"/>
                <w:szCs w:val="14"/>
                <w:color w:val="auto"/>
              </w:rPr>
            </w:pPr>
          </w:p>
        </w:tc>
      </w:tr>
      <w:tr>
        <w:trPr>
          <w:trHeight w:val="136"/>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(dollars in millions, except per share amounts)</w:t>
            </w:r>
          </w:p>
        </w:tc>
        <w:tc>
          <w:tcPr>
            <w:tcW w:w="1800" w:type="dxa"/>
            <w:vAlign w:val="bottom"/>
            <w:tcBorders>
              <w:bottom w:val="single" w:sz="8" w:color="auto"/>
              <w:right w:val="single" w:sz="8" w:color="auto"/>
            </w:tcBorders>
            <w:gridSpan w:val="2"/>
            <w:shd w:val="clear" w:color="auto" w:fill="EAEAEA"/>
          </w:tcPr>
          <w:p>
            <w:pPr>
              <w:jc w:val="right"/>
              <w:ind w:right="720"/>
              <w:spacing w:after="0"/>
              <w:rPr>
                <w:sz w:val="20"/>
                <w:szCs w:val="20"/>
                <w:color w:val="auto"/>
              </w:rPr>
            </w:pPr>
            <w:r>
              <w:rPr>
                <w:rFonts w:ascii="Arial" w:cs="Arial" w:eastAsia="Arial" w:hAnsi="Arial"/>
                <w:sz w:val="11"/>
                <w:szCs w:val="11"/>
                <w:color w:val="auto"/>
              </w:rPr>
              <w:t>4Q19 (a)</w:t>
            </w:r>
          </w:p>
        </w:tc>
        <w:tc>
          <w:tcPr>
            <w:tcW w:w="1780" w:type="dxa"/>
            <w:vAlign w:val="bottom"/>
            <w:tcBorders>
              <w:bottom w:val="single" w:sz="8" w:color="auto"/>
              <w:right w:val="single" w:sz="8" w:color="auto"/>
            </w:tcBorders>
          </w:tcPr>
          <w:p>
            <w:pPr>
              <w:jc w:val="right"/>
              <w:ind w:right="646"/>
              <w:spacing w:after="0"/>
              <w:rPr>
                <w:sz w:val="20"/>
                <w:szCs w:val="20"/>
                <w:color w:val="auto"/>
              </w:rPr>
            </w:pPr>
            <w:r>
              <w:rPr>
                <w:rFonts w:ascii="Arial" w:cs="Arial" w:eastAsia="Arial" w:hAnsi="Arial"/>
                <w:sz w:val="11"/>
                <w:szCs w:val="11"/>
                <w:color w:val="auto"/>
              </w:rPr>
              <w:t>4Q18 (b)</w:t>
            </w:r>
          </w:p>
        </w:tc>
        <w:tc>
          <w:tcPr>
            <w:tcW w:w="1800" w:type="dxa"/>
            <w:vAlign w:val="bottom"/>
            <w:tcBorders>
              <w:bottom w:val="single" w:sz="8" w:color="auto"/>
              <w:right w:val="single" w:sz="8" w:color="auto"/>
            </w:tcBorders>
            <w:shd w:val="clear" w:color="auto" w:fill="EAEAEA"/>
          </w:tcPr>
          <w:p>
            <w:pPr>
              <w:jc w:val="right"/>
              <w:ind w:right="586"/>
              <w:spacing w:after="0"/>
              <w:rPr>
                <w:sz w:val="20"/>
                <w:szCs w:val="20"/>
                <w:color w:val="auto"/>
              </w:rPr>
            </w:pPr>
            <w:r>
              <w:rPr>
                <w:rFonts w:ascii="Arial" w:cs="Arial" w:eastAsia="Arial" w:hAnsi="Arial"/>
                <w:sz w:val="11"/>
                <w:szCs w:val="11"/>
                <w:color w:val="auto"/>
              </w:rPr>
              <w:t>FY 2019 (c)</w:t>
            </w:r>
          </w:p>
        </w:tc>
        <w:tc>
          <w:tcPr>
            <w:tcW w:w="1780" w:type="dxa"/>
            <w:vAlign w:val="bottom"/>
            <w:tcBorders>
              <w:bottom w:val="single" w:sz="8" w:color="auto"/>
              <w:right w:val="single" w:sz="8" w:color="auto"/>
            </w:tcBorders>
          </w:tcPr>
          <w:p>
            <w:pPr>
              <w:jc w:val="right"/>
              <w:ind w:right="566"/>
              <w:spacing w:after="0"/>
              <w:rPr>
                <w:sz w:val="20"/>
                <w:szCs w:val="20"/>
                <w:color w:val="auto"/>
              </w:rPr>
            </w:pPr>
            <w:r>
              <w:rPr>
                <w:rFonts w:ascii="Arial" w:cs="Arial" w:eastAsia="Arial" w:hAnsi="Arial"/>
                <w:sz w:val="11"/>
                <w:szCs w:val="11"/>
                <w:color w:val="auto"/>
              </w:rPr>
              <w:t>FY 2018 (d)</w:t>
            </w:r>
          </w:p>
        </w:tc>
      </w:tr>
      <w:tr>
        <w:trPr>
          <w:trHeight w:val="151"/>
        </w:trPr>
        <w:tc>
          <w:tcPr>
            <w:tcW w:w="40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Consolidated results:</w:t>
            </w:r>
          </w:p>
        </w:tc>
        <w:tc>
          <w:tcPr>
            <w:tcW w:w="1660" w:type="dxa"/>
            <w:vAlign w:val="bottom"/>
            <w:tcBorders>
              <w:bottom w:val="single" w:sz="8" w:color="auto"/>
            </w:tcBorders>
            <w:shd w:val="clear" w:color="auto" w:fill="EAEAEA"/>
          </w:tcPr>
          <w:p>
            <w:pPr>
              <w:spacing w:after="0"/>
              <w:rPr>
                <w:sz w:val="13"/>
                <w:szCs w:val="13"/>
                <w:color w:val="auto"/>
              </w:rPr>
            </w:pP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shd w:val="clear" w:color="auto" w:fill="EAEAEA"/>
          </w:tcPr>
          <w:p>
            <w:pPr>
              <w:spacing w:after="0"/>
              <w:rPr>
                <w:sz w:val="13"/>
                <w:szCs w:val="13"/>
                <w:color w:val="auto"/>
              </w:rPr>
            </w:pPr>
          </w:p>
        </w:tc>
        <w:tc>
          <w:tcPr>
            <w:tcW w:w="180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shd w:val="clear" w:color="auto" w:fill="EAEAEA"/>
          </w:tcPr>
          <w:p>
            <w:pPr>
              <w:spacing w:after="0"/>
              <w:rPr>
                <w:sz w:val="13"/>
                <w:szCs w:val="13"/>
                <w:color w:val="auto"/>
              </w:rPr>
            </w:pP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$16,295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$14,168</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$64,888</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$56,912</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income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$593</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$436</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$3,456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$2,063</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income - Adjusted</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$322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$480</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$3,067</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$2,898</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EPS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$3.84</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$2.58</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$20.10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$12.16</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EPS - Adjusted</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$2.28</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$2.65</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$17.87</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$14.55</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80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1"/>
                <w:szCs w:val="11"/>
                <w:color w:val="auto"/>
              </w:rPr>
              <w:t>86.6%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83.4%</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85.6%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83.5%</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0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13.2%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13.3%</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Adjusted</w:t>
            </w:r>
          </w:p>
        </w:tc>
        <w:tc>
          <w:tcPr>
            <w:tcW w:w="180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13.2%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11.4%</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13.3%</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cash flows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$512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($333)</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$5,284</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$2,173</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Parent company cash and short term investments</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$1,361</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$578</w:t>
            </w:r>
          </w:p>
        </w:tc>
        <w:tc>
          <w:tcPr>
            <w:tcW w:w="180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Debt-to-total capitalization</w:t>
            </w:r>
          </w:p>
        </w:tc>
        <w:tc>
          <w:tcPr>
            <w:tcW w:w="180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1"/>
                <w:szCs w:val="11"/>
                <w:color w:val="auto"/>
              </w:rPr>
              <w:t>32.0%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37.4%</w:t>
            </w:r>
          </w:p>
        </w:tc>
        <w:tc>
          <w:tcPr>
            <w:tcW w:w="180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r>
      <w:tr>
        <w:trPr>
          <w:trHeight w:val="151"/>
        </w:trPr>
        <w:tc>
          <w:tcPr>
            <w:tcW w:w="40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Retail segment results:</w:t>
            </w:r>
          </w:p>
        </w:tc>
        <w:tc>
          <w:tcPr>
            <w:tcW w:w="166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shd w:val="clear" w:color="auto" w:fill="EAEAEA"/>
          </w:tcPr>
          <w:p>
            <w:pPr>
              <w:spacing w:after="0"/>
              <w:rPr>
                <w:sz w:val="13"/>
                <w:szCs w:val="13"/>
                <w:color w:val="auto"/>
              </w:rPr>
            </w:pPr>
          </w:p>
        </w:tc>
        <w:tc>
          <w:tcPr>
            <w:tcW w:w="180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shd w:val="clear" w:color="auto" w:fill="EAEAEA"/>
          </w:tcPr>
          <w:p>
            <w:pPr>
              <w:spacing w:after="0"/>
              <w:rPr>
                <w:sz w:val="13"/>
                <w:szCs w:val="13"/>
                <w:color w:val="auto"/>
              </w:rPr>
            </w:pP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$14,207</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$12,036</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$56,466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$48,255</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80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1"/>
                <w:szCs w:val="11"/>
                <w:color w:val="auto"/>
              </w:rPr>
              <w:t>86.3%</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84.0%</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86.4%</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85.1%</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0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11.6%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12.9%</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9.4%</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11.1%</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$275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$339</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$2,235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$1,733</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Adjusted</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$279</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$343</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$2,251</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$1,752</w:t>
            </w:r>
          </w:p>
        </w:tc>
      </w:tr>
      <w:tr>
        <w:trPr>
          <w:trHeight w:val="151"/>
        </w:trPr>
        <w:tc>
          <w:tcPr>
            <w:tcW w:w="40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Group and Specialty segment results:</w:t>
            </w:r>
          </w:p>
        </w:tc>
        <w:tc>
          <w:tcPr>
            <w:tcW w:w="1660" w:type="dxa"/>
            <w:vAlign w:val="bottom"/>
            <w:tcBorders>
              <w:bottom w:val="single" w:sz="8" w:color="auto"/>
            </w:tcBorders>
            <w:shd w:val="clear" w:color="auto" w:fill="EAEAEA"/>
          </w:tcPr>
          <w:p>
            <w:pPr>
              <w:spacing w:after="0"/>
              <w:rPr>
                <w:sz w:val="13"/>
                <w:szCs w:val="13"/>
                <w:color w:val="auto"/>
              </w:rPr>
            </w:pP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shd w:val="clear" w:color="auto" w:fill="EAEAEA"/>
          </w:tcPr>
          <w:p>
            <w:pPr>
              <w:spacing w:after="0"/>
              <w:rPr>
                <w:sz w:val="13"/>
                <w:szCs w:val="13"/>
                <w:color w:val="auto"/>
              </w:rPr>
            </w:pPr>
          </w:p>
        </w:tc>
        <w:tc>
          <w:tcPr>
            <w:tcW w:w="180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shd w:val="clear" w:color="auto" w:fill="EAEAEA"/>
          </w:tcPr>
          <w:p>
            <w:pPr>
              <w:spacing w:after="0"/>
              <w:rPr>
                <w:sz w:val="13"/>
                <w:szCs w:val="13"/>
                <w:color w:val="auto"/>
              </w:rPr>
            </w:pP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$1,875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$1,909</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$7,525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$7,679</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80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1"/>
                <w:szCs w:val="11"/>
                <w:color w:val="auto"/>
              </w:rPr>
              <w:t>95.2%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84.6%</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86.0%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79.7%</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0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22.4%</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23.9%</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23.6%</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(losses) earnings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($146)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$28</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$361</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(losses) earnings - Adjusted</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($145)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$32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$366</w:t>
            </w:r>
          </w:p>
        </w:tc>
      </w:tr>
      <w:tr>
        <w:trPr>
          <w:trHeight w:val="151"/>
        </w:trPr>
        <w:tc>
          <w:tcPr>
            <w:tcW w:w="40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Healthcare Services segment results:</w:t>
            </w:r>
          </w:p>
        </w:tc>
        <w:tc>
          <w:tcPr>
            <w:tcW w:w="1660" w:type="dxa"/>
            <w:vAlign w:val="bottom"/>
            <w:tcBorders>
              <w:bottom w:val="single" w:sz="8" w:color="auto"/>
            </w:tcBorders>
            <w:shd w:val="clear" w:color="auto" w:fill="EAEAEA"/>
          </w:tcPr>
          <w:p>
            <w:pPr>
              <w:spacing w:after="0"/>
              <w:rPr>
                <w:sz w:val="13"/>
                <w:szCs w:val="13"/>
                <w:color w:val="auto"/>
              </w:rPr>
            </w:pP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shd w:val="clear" w:color="auto" w:fill="EAEAEA"/>
          </w:tcPr>
          <w:p>
            <w:pPr>
              <w:spacing w:after="0"/>
              <w:rPr>
                <w:sz w:val="13"/>
                <w:szCs w:val="13"/>
                <w:color w:val="auto"/>
              </w:rPr>
            </w:pPr>
          </w:p>
        </w:tc>
        <w:tc>
          <w:tcPr>
            <w:tcW w:w="1800" w:type="dxa"/>
            <w:vAlign w:val="bottom"/>
            <w:tcBorders>
              <w:bottom w:val="single" w:sz="8" w:color="auto"/>
              <w:right w:val="single" w:sz="8" w:color="auto"/>
            </w:tcBorders>
            <w:shd w:val="clear" w:color="auto" w:fill="EAEAEA"/>
          </w:tcPr>
          <w:p>
            <w:pPr>
              <w:spacing w:after="0"/>
              <w:rPr>
                <w:sz w:val="13"/>
                <w:szCs w:val="13"/>
                <w:color w:val="auto"/>
              </w:rPr>
            </w:pPr>
          </w:p>
        </w:tc>
        <w:tc>
          <w:tcPr>
            <w:tcW w:w="1780" w:type="dxa"/>
            <w:vAlign w:val="bottom"/>
            <w:tcBorders>
              <w:bottom w:val="single" w:sz="8" w:color="auto"/>
              <w:right w:val="single" w:sz="8" w:color="auto"/>
            </w:tcBorders>
            <w:shd w:val="clear" w:color="auto" w:fill="EAEAEA"/>
          </w:tcPr>
          <w:p>
            <w:pPr>
              <w:spacing w:after="0"/>
              <w:rPr>
                <w:sz w:val="13"/>
                <w:szCs w:val="13"/>
                <w:color w:val="auto"/>
              </w:rPr>
            </w:pP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$6,696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$6,191</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$25,783</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$23,811</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0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1"/>
                <w:szCs w:val="11"/>
                <w:color w:val="auto"/>
              </w:rPr>
              <w:t>96.8%</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96.8%</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96.4%</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96.3%</w:t>
            </w:r>
          </w:p>
        </w:tc>
      </w:tr>
      <w:tr>
        <w:trPr>
          <w:trHeight w:val="15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$178</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$160</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$789</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$754</w:t>
            </w:r>
          </w:p>
        </w:tc>
      </w:tr>
      <w:tr>
        <w:trPr>
          <w:trHeight w:val="14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Adjusted earnings before interest, taxes, depreciation and amortization (Adjusted</w:t>
            </w:r>
          </w:p>
        </w:tc>
        <w:tc>
          <w:tcPr>
            <w:tcW w:w="1660" w:type="dxa"/>
            <w:vAlign w:val="bottom"/>
            <w:shd w:val="clear" w:color="auto" w:fill="EAEAEA"/>
          </w:tcPr>
          <w:p>
            <w:pPr>
              <w:spacing w:after="0"/>
              <w:rPr>
                <w:sz w:val="12"/>
                <w:szCs w:val="12"/>
                <w:color w:val="auto"/>
              </w:rPr>
            </w:pPr>
          </w:p>
        </w:tc>
        <w:tc>
          <w:tcPr>
            <w:tcW w:w="140" w:type="dxa"/>
            <w:vAlign w:val="bottom"/>
            <w:tcBorders>
              <w:right w:val="single" w:sz="8" w:color="auto"/>
            </w:tcBorders>
            <w:shd w:val="clear" w:color="auto" w:fill="EAEAEA"/>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shd w:val="clear" w:color="auto" w:fill="EAEAEA"/>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r>
      <w:tr>
        <w:trPr>
          <w:trHeight w:val="136"/>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EBITDA) (e)</w:t>
            </w:r>
          </w:p>
        </w:tc>
        <w:tc>
          <w:tcPr>
            <w:tcW w:w="180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$241</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$223</w:t>
            </w:r>
          </w:p>
        </w:tc>
        <w:tc>
          <w:tcPr>
            <w:tcW w:w="18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$1,056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-2584450</wp:posOffset>
            </wp:positionV>
            <wp:extent cx="114363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635" cy="3257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-2584450</wp:posOffset>
            </wp:positionV>
            <wp:extent cx="113792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7920" cy="32575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-2040890</wp:posOffset>
            </wp:positionV>
            <wp:extent cx="1069340" cy="217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9340" cy="21717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-1715135</wp:posOffset>
            </wp:positionV>
            <wp:extent cx="1069340" cy="217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9340" cy="21717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-1715135</wp:posOffset>
            </wp:positionV>
            <wp:extent cx="1063625" cy="217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3625" cy="21717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-1062990</wp:posOffset>
            </wp:positionV>
            <wp:extent cx="1069340" cy="217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9340" cy="21717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-1062990</wp:posOffset>
            </wp:positionV>
            <wp:extent cx="1063625" cy="217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3625" cy="21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40" w:top="651"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2020 Earnings Guidance</w:t>
      </w:r>
    </w:p>
    <w:p>
      <w:pPr>
        <w:spacing w:after="0" w:line="163" w:lineRule="exact"/>
        <w:rPr>
          <w:sz w:val="20"/>
          <w:szCs w:val="20"/>
          <w:color w:val="auto"/>
        </w:rPr>
      </w:pPr>
    </w:p>
    <w:p>
      <w:pPr>
        <w:ind w:right="360"/>
        <w:spacing w:after="0" w:line="258" w:lineRule="auto"/>
        <w:rPr>
          <w:sz w:val="20"/>
          <w:szCs w:val="20"/>
          <w:color w:val="auto"/>
        </w:rPr>
      </w:pPr>
      <w:r>
        <w:rPr>
          <w:rFonts w:ascii="Arial" w:cs="Arial" w:eastAsia="Arial" w:hAnsi="Arial"/>
          <w:sz w:val="13"/>
          <w:szCs w:val="13"/>
          <w:color w:val="auto"/>
        </w:rPr>
        <w:t>The company provided its GAAP and Adjusted EPS guidance for the year ending December 31, 2020 (FY 2020) as detailed below. GAAP and Adjusted results for FY 2019 are also shown for comparison.</w:t>
      </w:r>
    </w:p>
    <w:p>
      <w:pPr>
        <w:spacing w:after="0" w:line="201" w:lineRule="exact"/>
        <w:rPr>
          <w:sz w:val="20"/>
          <w:szCs w:val="20"/>
          <w:color w:val="auto"/>
        </w:rPr>
      </w:pPr>
    </w:p>
    <w:tbl>
      <w:tblPr>
        <w:tblLayout w:type="fixed"/>
        <w:tblInd w:w="330" w:type="dxa"/>
        <w:tblCellMar>
          <w:top w:w="0" w:type="dxa"/>
          <w:left w:w="0" w:type="dxa"/>
          <w:bottom w:w="0" w:type="dxa"/>
          <w:right w:w="0" w:type="dxa"/>
        </w:tblCellMar>
      </w:tblPr>
      <w:tr>
        <w:trPr>
          <w:trHeight w:val="126"/>
        </w:trPr>
        <w:tc>
          <w:tcPr>
            <w:tcW w:w="8040" w:type="dxa"/>
            <w:vAlign w:val="bottom"/>
            <w:tcBorders>
              <w:top w:val="single" w:sz="8" w:color="auto"/>
              <w:left w:val="single" w:sz="8" w:color="auto"/>
              <w:right w:val="single" w:sz="8" w:color="auto"/>
            </w:tcBorders>
            <w:shd w:val="clear" w:color="auto" w:fill="EAEAEA"/>
          </w:tcPr>
          <w:p>
            <w:pPr>
              <w:spacing w:after="0"/>
              <w:rPr>
                <w:sz w:val="10"/>
                <w:szCs w:val="10"/>
                <w:color w:val="auto"/>
              </w:rPr>
            </w:pPr>
          </w:p>
        </w:tc>
        <w:tc>
          <w:tcPr>
            <w:tcW w:w="1420" w:type="dxa"/>
            <w:vAlign w:val="bottom"/>
            <w:tcBorders>
              <w:top w:val="single" w:sz="8" w:color="auto"/>
              <w:right w:val="single" w:sz="8" w:color="auto"/>
            </w:tcBorders>
            <w:shd w:val="clear" w:color="auto" w:fill="EAEAEA"/>
          </w:tcPr>
          <w:p>
            <w:pPr>
              <w:jc w:val="right"/>
              <w:ind w:right="488"/>
              <w:spacing w:after="0"/>
              <w:rPr>
                <w:sz w:val="20"/>
                <w:szCs w:val="20"/>
                <w:color w:val="auto"/>
              </w:rPr>
            </w:pPr>
            <w:r>
              <w:rPr>
                <w:rFonts w:ascii="Arial" w:cs="Arial" w:eastAsia="Arial" w:hAnsi="Arial"/>
                <w:sz w:val="10"/>
                <w:szCs w:val="10"/>
                <w:b w:val="1"/>
                <w:bCs w:val="1"/>
                <w:color w:val="auto"/>
              </w:rPr>
              <w:t>FY 2020</w:t>
            </w:r>
          </w:p>
        </w:tc>
        <w:tc>
          <w:tcPr>
            <w:tcW w:w="1400" w:type="dxa"/>
            <w:vAlign w:val="bottom"/>
            <w:tcBorders>
              <w:top w:val="single" w:sz="8" w:color="auto"/>
              <w:right w:val="single" w:sz="8" w:color="auto"/>
            </w:tcBorders>
          </w:tcPr>
          <w:p>
            <w:pPr>
              <w:spacing w:after="0"/>
              <w:rPr>
                <w:sz w:val="10"/>
                <w:szCs w:val="10"/>
                <w:color w:val="auto"/>
              </w:rPr>
            </w:pPr>
          </w:p>
        </w:tc>
      </w:tr>
      <w:tr>
        <w:trPr>
          <w:trHeight w:val="131"/>
        </w:trPr>
        <w:tc>
          <w:tcPr>
            <w:tcW w:w="8040" w:type="dxa"/>
            <w:vAlign w:val="bottom"/>
            <w:tcBorders>
              <w:left w:val="single" w:sz="8" w:color="auto"/>
              <w:bottom w:val="single" w:sz="8" w:color="auto"/>
              <w:right w:val="single" w:sz="8" w:color="auto"/>
            </w:tcBorders>
            <w:shd w:val="clear" w:color="auto" w:fill="EAEAEA"/>
          </w:tcPr>
          <w:p>
            <w:pPr>
              <w:ind w:left="3200"/>
              <w:spacing w:after="0"/>
              <w:rPr>
                <w:sz w:val="20"/>
                <w:szCs w:val="20"/>
                <w:color w:val="auto"/>
              </w:rPr>
            </w:pPr>
            <w:r>
              <w:rPr>
                <w:rFonts w:ascii="Arial" w:cs="Arial" w:eastAsia="Arial" w:hAnsi="Arial"/>
                <w:sz w:val="10"/>
                <w:szCs w:val="10"/>
                <w:b w:val="1"/>
                <w:bCs w:val="1"/>
                <w:color w:val="auto"/>
              </w:rPr>
              <w:t>Diluted earnings per common share</w:t>
            </w:r>
          </w:p>
        </w:tc>
        <w:tc>
          <w:tcPr>
            <w:tcW w:w="1420" w:type="dxa"/>
            <w:vAlign w:val="bottom"/>
            <w:tcBorders>
              <w:bottom w:val="single" w:sz="8" w:color="auto"/>
              <w:right w:val="single" w:sz="8" w:color="auto"/>
            </w:tcBorders>
            <w:shd w:val="clear" w:color="auto" w:fill="EAEAEA"/>
          </w:tcPr>
          <w:p>
            <w:pPr>
              <w:jc w:val="right"/>
              <w:ind w:right="388"/>
              <w:spacing w:after="0"/>
              <w:rPr>
                <w:sz w:val="20"/>
                <w:szCs w:val="20"/>
                <w:color w:val="auto"/>
              </w:rPr>
            </w:pPr>
            <w:r>
              <w:rPr>
                <w:rFonts w:ascii="Arial" w:cs="Arial" w:eastAsia="Arial" w:hAnsi="Arial"/>
                <w:sz w:val="10"/>
                <w:szCs w:val="10"/>
                <w:b w:val="1"/>
                <w:bCs w:val="1"/>
                <w:color w:val="auto"/>
              </w:rPr>
              <w:t>Guidance (f)</w:t>
            </w:r>
          </w:p>
        </w:tc>
        <w:tc>
          <w:tcPr>
            <w:tcW w:w="1400" w:type="dxa"/>
            <w:vAlign w:val="bottom"/>
            <w:tcBorders>
              <w:bottom w:val="single" w:sz="8" w:color="auto"/>
              <w:right w:val="single" w:sz="8" w:color="auto"/>
            </w:tcBorders>
          </w:tcPr>
          <w:p>
            <w:pPr>
              <w:jc w:val="right"/>
              <w:ind w:right="427"/>
              <w:spacing w:after="0"/>
              <w:rPr>
                <w:sz w:val="20"/>
                <w:szCs w:val="20"/>
                <w:color w:val="auto"/>
              </w:rPr>
            </w:pPr>
            <w:r>
              <w:rPr>
                <w:rFonts w:ascii="Arial" w:cs="Arial" w:eastAsia="Arial" w:hAnsi="Arial"/>
                <w:sz w:val="10"/>
                <w:szCs w:val="10"/>
                <w:color w:val="auto"/>
              </w:rPr>
              <w:t>FY 2019 (c)</w:t>
            </w:r>
          </w:p>
        </w:tc>
      </w:tr>
      <w:tr>
        <w:trPr>
          <w:trHeight w:val="167"/>
        </w:trPr>
        <w:tc>
          <w:tcPr>
            <w:tcW w:w="8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42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b w:val="1"/>
                <w:bCs w:val="1"/>
                <w:color w:val="auto"/>
              </w:rPr>
              <w:t>$17.76 to $18.26</w:t>
            </w:r>
          </w:p>
        </w:tc>
        <w:tc>
          <w:tcPr>
            <w:tcW w:w="140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$20.10</w:t>
            </w:r>
          </w:p>
        </w:tc>
      </w:tr>
      <w:tr>
        <w:trPr>
          <w:trHeight w:val="151"/>
        </w:trPr>
        <w:tc>
          <w:tcPr>
            <w:tcW w:w="8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of identifiable intangibles</w:t>
            </w:r>
          </w:p>
        </w:tc>
        <w:tc>
          <w:tcPr>
            <w:tcW w:w="142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color w:val="auto"/>
              </w:rPr>
              <w:t>0.49</w:t>
            </w:r>
          </w:p>
        </w:tc>
        <w:tc>
          <w:tcPr>
            <w:tcW w:w="140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0.40</w:t>
            </w:r>
          </w:p>
        </w:tc>
      </w:tr>
      <w:tr>
        <w:trPr>
          <w:trHeight w:val="151"/>
        </w:trPr>
        <w:tc>
          <w:tcPr>
            <w:tcW w:w="8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40% minority interest in Kindred at Home</w:t>
            </w:r>
          </w:p>
        </w:tc>
        <w:tc>
          <w:tcPr>
            <w:tcW w:w="142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(2.89)</w:t>
            </w:r>
          </w:p>
        </w:tc>
      </w:tr>
      <w:tr>
        <w:trPr>
          <w:trHeight w:val="151"/>
        </w:trPr>
        <w:tc>
          <w:tcPr>
            <w:tcW w:w="8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42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0.26</w:t>
            </w:r>
          </w:p>
        </w:tc>
      </w:tr>
      <w:tr>
        <w:trPr>
          <w:trHeight w:val="169"/>
        </w:trPr>
        <w:tc>
          <w:tcPr>
            <w:tcW w:w="8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 – FY 2020 projected; FY 2019 reported</w:t>
            </w:r>
          </w:p>
        </w:tc>
        <w:tc>
          <w:tcPr>
            <w:tcW w:w="142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b w:val="1"/>
                <w:bCs w:val="1"/>
                <w:color w:val="auto"/>
              </w:rPr>
              <w:t>$18.25 to 18.75</w:t>
            </w:r>
          </w:p>
        </w:tc>
        <w:tc>
          <w:tcPr>
            <w:tcW w:w="140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$17.87</w:t>
            </w:r>
          </w:p>
        </w:tc>
      </w:tr>
    </w:tbl>
    <w:p>
      <w:pPr>
        <w:spacing w:after="0" w:line="142"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"We enter 2020 with positive momentum from strong 2019 results and industry-leading individual Medicare Advantage membership growth," said Brian A. Kane, Chief Financial Officer. “Seniors are increasingly choosing Medicare Advantage plans, and Humana’s value proposition, consumer orientation and strong brand resonate in the market as we work to drive better clinical outcomes for our members supporting our strong earnings growth and reinvestment in our products. We expect 2020 to be another good year for the company with solid top and bottom line growth notwithstanding the return of the health insurance industry fee."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Detailed Press Release</w:t>
      </w:r>
    </w:p>
    <w:p>
      <w:pPr>
        <w:spacing w:after="0" w:line="163"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 xml:space="preserve">Humana’s full earnings press release including the statistical pages has been posted to the company’s Investor Relations site and may be accessed at </w:t>
      </w:r>
      <w:r>
        <w:rPr>
          <w:rFonts w:ascii="Arial" w:cs="Arial" w:eastAsia="Arial" w:hAnsi="Arial"/>
          <w:sz w:val="13"/>
          <w:szCs w:val="13"/>
          <w:u w:val="single" w:color="auto"/>
          <w:color w:val="auto"/>
        </w:rPr>
        <w:t>https://humana.gcs-web.com/</w:t>
      </w:r>
      <w:r>
        <w:rPr>
          <w:rFonts w:ascii="Arial" w:cs="Arial" w:eastAsia="Arial" w:hAnsi="Arial"/>
          <w:sz w:val="13"/>
          <w:szCs w:val="13"/>
          <w:color w:val="auto"/>
        </w:rPr>
        <w:t xml:space="preserve"> or via a current report on Form 8-K filed by the company with the Securities and Exchange Commission this morning (available at </w:t>
      </w:r>
      <w:r>
        <w:rPr>
          <w:rFonts w:ascii="Arial" w:cs="Arial" w:eastAsia="Arial" w:hAnsi="Arial"/>
          <w:sz w:val="13"/>
          <w:szCs w:val="13"/>
          <w:u w:val="single" w:color="auto"/>
          <w:color w:val="auto"/>
        </w:rPr>
        <w:t>www.sec.gov</w:t>
      </w:r>
      <w:r>
        <w:rPr>
          <w:rFonts w:ascii="Arial" w:cs="Arial" w:eastAsia="Arial" w:hAnsi="Arial"/>
          <w:sz w:val="13"/>
          <w:szCs w:val="13"/>
          <w:color w:val="auto"/>
        </w:rPr>
        <w:t xml:space="preserve"> or on the company’s website).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Humana will host a conference call at 9:00 a.m. Eastern time today to discuss its financial results for the quarter and the company’s expectations for future earnings.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 xml:space="preserve">All parties interested in the company’s 4Q19 earnings conference call are invited to dial 888-625-7430. No password is required. The audio-only webcast of the 4Q19 earnings call may be accessed via Humana’s Investor Relations page at </w:t>
      </w:r>
      <w:r>
        <w:rPr>
          <w:rFonts w:ascii="Arial" w:cs="Arial" w:eastAsia="Arial" w:hAnsi="Arial"/>
          <w:sz w:val="13"/>
          <w:szCs w:val="13"/>
          <w:u w:val="single" w:color="auto"/>
          <w:color w:val="auto"/>
        </w:rPr>
        <w:t>humana.com.</w:t>
      </w:r>
      <w:r>
        <w:rPr>
          <w:rFonts w:ascii="Arial" w:cs="Arial" w:eastAsia="Arial" w:hAnsi="Arial"/>
          <w:sz w:val="13"/>
          <w:szCs w:val="13"/>
          <w:color w:val="auto"/>
        </w:rPr>
        <w:t xml:space="preserve"> The company suggests participants for both the conference call and those listening via the web dial in or sign on at least 15 minutes in advance of the call.</w:t>
      </w:r>
    </w:p>
    <w:p>
      <w:pPr>
        <w:spacing w:after="0" w:line="133" w:lineRule="exact"/>
        <w:rPr>
          <w:sz w:val="20"/>
          <w:szCs w:val="20"/>
          <w:color w:val="auto"/>
        </w:rPr>
      </w:pPr>
    </w:p>
    <w:p>
      <w:pPr>
        <w:jc w:val="both"/>
        <w:ind w:right="40"/>
        <w:spacing w:after="0" w:line="252" w:lineRule="auto"/>
        <w:rPr>
          <w:sz w:val="20"/>
          <w:szCs w:val="20"/>
          <w:color w:val="auto"/>
        </w:rPr>
      </w:pPr>
      <w:r>
        <w:rPr>
          <w:rFonts w:ascii="Arial" w:cs="Arial" w:eastAsia="Arial" w:hAnsi="Arial"/>
          <w:sz w:val="13"/>
          <w:szCs w:val="13"/>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3"/>
          <w:szCs w:val="13"/>
          <w:u w:val="single" w:color="auto"/>
          <w:color w:val="auto"/>
        </w:rPr>
        <w:t>humana.com</w:t>
      </w:r>
      <w:r>
        <w:rPr>
          <w:rFonts w:ascii="Arial" w:cs="Arial" w:eastAsia="Arial" w:hAnsi="Arial"/>
          <w:sz w:val="13"/>
          <w:szCs w:val="13"/>
          <w:color w:val="auto"/>
        </w:rPr>
        <w:t>, approximately two hours following the live webcast. Telephone replays will also be available from approximately 12:15 p.m. Eastern time on February 5, 2020 until 11:59 p.m. Eastern time on April 5, 2020 and can be accessed by dialing 855-859-2056 and providing the conference ID #2179917.</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Footnotes</w:t>
      </w:r>
    </w:p>
    <w:p>
      <w:pPr>
        <w:spacing w:after="0" w:line="163" w:lineRule="exact"/>
        <w:rPr>
          <w:sz w:val="20"/>
          <w:szCs w:val="20"/>
          <w:color w:val="auto"/>
        </w:rPr>
      </w:pPr>
    </w:p>
    <w:p>
      <w:pPr>
        <w:ind w:left="220" w:hanging="192"/>
        <w:spacing w:after="0"/>
        <w:tabs>
          <w:tab w:leader="none" w:pos="220" w:val="left"/>
        </w:tabs>
        <w:numPr>
          <w:ilvl w:val="0"/>
          <w:numId w:val="3"/>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4Q19 Adjusted results exclude the following:</w:t>
      </w:r>
    </w:p>
    <w:p>
      <w:pPr>
        <w:spacing w:after="0" w:line="5" w:lineRule="exact"/>
        <w:rPr>
          <w:rFonts w:ascii="Arial" w:cs="Arial" w:eastAsia="Arial" w:hAnsi="Arial"/>
          <w:sz w:val="13"/>
          <w:szCs w:val="13"/>
          <w:u w:val="single" w:color="auto"/>
          <w:color w:val="auto"/>
        </w:rPr>
      </w:pPr>
    </w:p>
    <w:p>
      <w:pPr>
        <w:ind w:left="660" w:right="220" w:hanging="218"/>
        <w:spacing w:after="0" w:line="255" w:lineRule="auto"/>
        <w:tabs>
          <w:tab w:leader="none" w:pos="6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$17 million pretax income, or $0.10 per diluted common share; GAAP measures affected in this release include consolidated pretax, EPS, and segment earnings (for respective amortization expense for the Retail and Group and Specialty segments).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562" w:right="219" w:bottom="1440" w:gutter="0" w:footer="0" w:header="0"/>
        </w:sectPr>
      </w:pPr>
    </w:p>
    <w:bookmarkStart w:id="7" w:name="page8"/>
    <w:bookmarkEnd w:id="7"/>
    <w:p>
      <w:pPr>
        <w:ind w:left="668" w:right="100" w:hanging="218"/>
        <w:spacing w:after="0" w:line="253"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Put/call valuation adjustments of approximately $289 million, or $1.67 per diluted common share, associated with Humana’s 40% minority interest in Kindred at Home. GAAP measures affected in this release include consolidated pretax and EPS.</w:t>
      </w:r>
    </w:p>
    <w:p>
      <w:pPr>
        <w:spacing w:after="0" w:line="1" w:lineRule="exact"/>
        <w:rPr>
          <w:rFonts w:ascii="Arial" w:cs="Arial" w:eastAsia="Arial" w:hAnsi="Arial"/>
          <w:sz w:val="13"/>
          <w:szCs w:val="13"/>
          <w:color w:val="auto"/>
        </w:rPr>
      </w:pPr>
    </w:p>
    <w:p>
      <w:pPr>
        <w:ind w:left="668" w:right="220" w:hanging="218"/>
        <w:spacing w:after="0" w:line="25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Expense associated with involuntary workforce reduction of approximately $1 million pretax, or $0.01 per diluted common share; GAAP measures affected in this release include consolidated pretax, EPS, and consolidated operating cost ratio.</w:t>
      </w:r>
    </w:p>
    <w:p>
      <w:pPr>
        <w:spacing w:after="0" w:line="139" w:lineRule="exact"/>
        <w:rPr>
          <w:rFonts w:ascii="Arial" w:cs="Arial" w:eastAsia="Arial" w:hAnsi="Arial"/>
          <w:sz w:val="13"/>
          <w:szCs w:val="13"/>
          <w:color w:val="auto"/>
        </w:rPr>
      </w:pPr>
    </w:p>
    <w:p>
      <w:pPr>
        <w:ind w:left="228" w:hanging="192"/>
        <w:spacing w:after="0"/>
        <w:tabs>
          <w:tab w:leader="none" w:pos="228" w:val="left"/>
        </w:tabs>
        <w:numPr>
          <w:ilvl w:val="1"/>
          <w:numId w:val="4"/>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4Q18 Adjusted results exclude the following:</w:t>
      </w:r>
    </w:p>
    <w:p>
      <w:pPr>
        <w:spacing w:after="0" w:line="5" w:lineRule="exact"/>
        <w:rPr>
          <w:rFonts w:ascii="Arial" w:cs="Arial" w:eastAsia="Arial" w:hAnsi="Arial"/>
          <w:sz w:val="13"/>
          <w:szCs w:val="13"/>
          <w:u w:val="single" w:color="auto"/>
          <w:color w:val="auto"/>
        </w:rPr>
      </w:pPr>
    </w:p>
    <w:p>
      <w:pPr>
        <w:ind w:left="668" w:right="100"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$20 million pretax, or $0.11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13"/>
          <w:szCs w:val="13"/>
          <w:color w:val="auto"/>
        </w:rPr>
      </w:pPr>
    </w:p>
    <w:p>
      <w:pPr>
        <w:ind w:left="668" w:right="200"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Put/call valuation adjustments of approximately $22 million, or $0.13 per diluted common share, associated with Humana's 40% minority interest in Kindred at Home. GAAP measures affected in this release include consolidated pretax and EPS.</w:t>
      </w:r>
    </w:p>
    <w:p>
      <w:pPr>
        <w:spacing w:after="0" w:line="1" w:lineRule="exact"/>
        <w:rPr>
          <w:rFonts w:ascii="Arial" w:cs="Arial" w:eastAsia="Arial" w:hAnsi="Arial"/>
          <w:sz w:val="13"/>
          <w:szCs w:val="13"/>
          <w:color w:val="auto"/>
        </w:rPr>
      </w:pPr>
    </w:p>
    <w:p>
      <w:pPr>
        <w:ind w:left="668"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Favorable adjustment to the previously recognized loss associated with the company's sale of its wholly-owned subsidiary, KMG America Corporation (KMG) of approximately $0.17 per diluted common share. GAAP measure affected in this release is EPS.</w:t>
      </w:r>
    </w:p>
    <w:p>
      <w:pPr>
        <w:spacing w:after="0" w:line="1" w:lineRule="exact"/>
        <w:rPr>
          <w:rFonts w:ascii="Arial" w:cs="Arial" w:eastAsia="Arial" w:hAnsi="Arial"/>
          <w:sz w:val="13"/>
          <w:szCs w:val="13"/>
          <w:color w:val="auto"/>
        </w:rPr>
      </w:pPr>
    </w:p>
    <w:p>
      <w:pPr>
        <w:ind w:left="668" w:right="40" w:hanging="218"/>
        <w:spacing w:after="0" w:line="25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Segment losses of $2 million (no material EPS impact) for the company’s Individual Commercial segment given the company’s exit on January 1, 2018, as previously disclosed. GAAP measures affected in this release include consolidated pretax income and EPS.</w:t>
      </w:r>
    </w:p>
    <w:p>
      <w:pPr>
        <w:spacing w:after="0" w:line="139" w:lineRule="exact"/>
        <w:rPr>
          <w:rFonts w:ascii="Arial" w:cs="Arial" w:eastAsia="Arial" w:hAnsi="Arial"/>
          <w:sz w:val="13"/>
          <w:szCs w:val="13"/>
          <w:color w:val="auto"/>
        </w:rPr>
      </w:pPr>
    </w:p>
    <w:p>
      <w:pPr>
        <w:ind w:left="228" w:hanging="192"/>
        <w:spacing w:after="0"/>
        <w:tabs>
          <w:tab w:leader="none" w:pos="228" w:val="left"/>
        </w:tabs>
        <w:numPr>
          <w:ilvl w:val="1"/>
          <w:numId w:val="4"/>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FY 2019 Adjusted results exclude the following:</w:t>
      </w:r>
    </w:p>
    <w:p>
      <w:pPr>
        <w:spacing w:after="0" w:line="5" w:lineRule="exact"/>
        <w:rPr>
          <w:rFonts w:ascii="Arial" w:cs="Arial" w:eastAsia="Arial" w:hAnsi="Arial"/>
          <w:sz w:val="13"/>
          <w:szCs w:val="13"/>
          <w:u w:val="single" w:color="auto"/>
          <w:color w:val="auto"/>
        </w:rPr>
      </w:pPr>
    </w:p>
    <w:p>
      <w:pPr>
        <w:ind w:left="668" w:right="180"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$70 million pretax income, or $0.40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13"/>
          <w:szCs w:val="13"/>
          <w:color w:val="auto"/>
        </w:rPr>
      </w:pPr>
    </w:p>
    <w:p>
      <w:pPr>
        <w:ind w:left="668" w:right="120"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Put/call valuation adjustments of approximately $506 million, or $2.89 per diluted common share, associated with Humana’s 40% minority interest in Kindred at Home. GAAP measures affected in this release include consolidated pretax and EPS.</w:t>
      </w:r>
    </w:p>
    <w:p>
      <w:pPr>
        <w:spacing w:after="0" w:line="1" w:lineRule="exact"/>
        <w:rPr>
          <w:rFonts w:ascii="Arial" w:cs="Arial" w:eastAsia="Arial" w:hAnsi="Arial"/>
          <w:sz w:val="13"/>
          <w:szCs w:val="13"/>
          <w:color w:val="auto"/>
        </w:rPr>
      </w:pPr>
    </w:p>
    <w:p>
      <w:pPr>
        <w:ind w:left="668" w:right="180" w:hanging="218"/>
        <w:spacing w:after="0" w:line="25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Expense associated with involuntary workforce reduction of approximately $47 million pretax, or $0.26 per diluted common share; GAAP measures affected in this release include consolidated pretax, EPS, and consolidated operating cost ratio.</w:t>
      </w:r>
    </w:p>
    <w:p>
      <w:pPr>
        <w:spacing w:after="0" w:line="139" w:lineRule="exact"/>
        <w:rPr>
          <w:rFonts w:ascii="Arial" w:cs="Arial" w:eastAsia="Arial" w:hAnsi="Arial"/>
          <w:sz w:val="13"/>
          <w:szCs w:val="13"/>
          <w:color w:val="auto"/>
        </w:rPr>
      </w:pPr>
    </w:p>
    <w:p>
      <w:pPr>
        <w:ind w:left="228" w:hanging="192"/>
        <w:spacing w:after="0"/>
        <w:tabs>
          <w:tab w:leader="none" w:pos="228" w:val="left"/>
        </w:tabs>
        <w:numPr>
          <w:ilvl w:val="1"/>
          <w:numId w:val="4"/>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FY 2018 Adjusted results exclude the following:</w:t>
      </w:r>
    </w:p>
    <w:p>
      <w:pPr>
        <w:spacing w:after="0" w:line="5" w:lineRule="exact"/>
        <w:rPr>
          <w:rFonts w:ascii="Arial" w:cs="Arial" w:eastAsia="Arial" w:hAnsi="Arial"/>
          <w:sz w:val="13"/>
          <w:szCs w:val="13"/>
          <w:u w:val="single" w:color="auto"/>
          <w:color w:val="auto"/>
        </w:rPr>
      </w:pPr>
    </w:p>
    <w:p>
      <w:pPr>
        <w:ind w:left="668" w:right="100"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$90 million pretax, or $0.49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13"/>
          <w:szCs w:val="13"/>
          <w:color w:val="auto"/>
        </w:rPr>
      </w:pPr>
    </w:p>
    <w:p>
      <w:pPr>
        <w:ind w:left="668" w:right="200"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Put/call valuation adjustments of approximately $33 million, or $0.18 per diluted common share, associated with Humana's 40% minority interest in Kindred at Home. GAAP measures affected in this release include consolidated pretax and EPS.</w:t>
      </w:r>
    </w:p>
    <w:p>
      <w:pPr>
        <w:spacing w:after="0" w:line="1" w:lineRule="exact"/>
        <w:rPr>
          <w:rFonts w:ascii="Arial" w:cs="Arial" w:eastAsia="Arial" w:hAnsi="Arial"/>
          <w:sz w:val="13"/>
          <w:szCs w:val="13"/>
          <w:color w:val="auto"/>
        </w:rPr>
      </w:pPr>
    </w:p>
    <w:p>
      <w:pPr>
        <w:ind w:left="668" w:right="120"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Loss of approximately $786 million pretax, or $2.41 per diluted common share, associated with the company's sale of its wholly-owned subsidiary, KMG America Corporation (KMG). GAAP measures affected in this release include consolidated pretax and EPS.</w:t>
      </w:r>
    </w:p>
    <w:p>
      <w:pPr>
        <w:spacing w:after="0" w:line="1" w:lineRule="exact"/>
        <w:rPr>
          <w:rFonts w:ascii="Arial" w:cs="Arial" w:eastAsia="Arial" w:hAnsi="Arial"/>
          <w:sz w:val="13"/>
          <w:szCs w:val="13"/>
          <w:color w:val="auto"/>
        </w:rPr>
      </w:pPr>
    </w:p>
    <w:p>
      <w:pPr>
        <w:ind w:left="668" w:right="400" w:hanging="218"/>
        <w:spacing w:after="0" w:line="245" w:lineRule="auto"/>
        <w:tabs>
          <w:tab w:leader="none" w:pos="668" w:val="left"/>
        </w:tabs>
        <w:numPr>
          <w:ilvl w:val="2"/>
          <w:numId w:val="4"/>
        </w:numPr>
        <w:rPr>
          <w:rFonts w:ascii="Arial" w:cs="Arial" w:eastAsia="Arial" w:hAnsi="Arial"/>
          <w:sz w:val="13"/>
          <w:szCs w:val="13"/>
          <w:color w:val="auto"/>
        </w:rPr>
      </w:pPr>
      <w:r>
        <w:rPr>
          <w:rFonts w:ascii="Arial" w:cs="Arial" w:eastAsia="Arial" w:hAnsi="Arial"/>
          <w:sz w:val="13"/>
          <w:szCs w:val="13"/>
          <w:color w:val="auto"/>
        </w:rPr>
        <w:t>Segment earnings of approximately $74 million, or $0.41 per diluted common share, for the company’s Individual Commercial segment given the company’s exit on January 1, 2018, as previously disclosed. GAAP measures affected in this release include consolidated pretax income and EPS.</w:t>
      </w:r>
    </w:p>
    <w:p>
      <w:pPr>
        <w:spacing w:after="0" w:line="1" w:lineRule="exact"/>
        <w:rPr>
          <w:rFonts w:ascii="Arial" w:cs="Arial" w:eastAsia="Arial" w:hAnsi="Arial"/>
          <w:sz w:val="13"/>
          <w:szCs w:val="13"/>
          <w:color w:val="auto"/>
        </w:rPr>
      </w:pPr>
    </w:p>
    <w:p>
      <w:pPr>
        <w:ind w:left="668" w:hanging="218"/>
        <w:spacing w:after="0"/>
        <w:tabs>
          <w:tab w:leader="none" w:pos="668" w:val="left"/>
        </w:tabs>
        <w:numPr>
          <w:ilvl w:val="2"/>
          <w:numId w:val="4"/>
        </w:numPr>
        <w:rPr>
          <w:rFonts w:ascii="Arial" w:cs="Arial" w:eastAsia="Arial" w:hAnsi="Arial"/>
          <w:sz w:val="12"/>
          <w:szCs w:val="12"/>
          <w:color w:val="auto"/>
        </w:rPr>
      </w:pPr>
      <w:r>
        <w:rPr>
          <w:rFonts w:ascii="Arial" w:cs="Arial" w:eastAsia="Arial" w:hAnsi="Arial"/>
          <w:sz w:val="12"/>
          <w:szCs w:val="12"/>
          <w:color w:val="auto"/>
        </w:rPr>
        <w:t>Adjustment of $0.28 per diluted common share related to provisional estimates for the income tax effects related to the Tax Reform Law. The only GAAP measure affected in this release is EPS.</w:t>
      </w:r>
    </w:p>
    <w:p>
      <w:pPr>
        <w:spacing w:after="0" w:line="166" w:lineRule="exact"/>
        <w:rPr>
          <w:rFonts w:ascii="Arial" w:cs="Arial" w:eastAsia="Arial" w:hAnsi="Arial"/>
          <w:sz w:val="12"/>
          <w:szCs w:val="12"/>
          <w:color w:val="auto"/>
        </w:rPr>
      </w:pPr>
    </w:p>
    <w:p>
      <w:pPr>
        <w:ind w:left="208" w:right="320" w:hanging="208"/>
        <w:spacing w:after="0" w:line="258" w:lineRule="auto"/>
        <w:tabs>
          <w:tab w:leader="none" w:pos="19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Healthcare Services segment Adjusted EBITDA includes GAAP segment earnings with adjustments to add back depreciation and amortization expense, interest expense, and income taxes. The Adjusted EBITDA</w:t>
      </w:r>
    </w:p>
    <w:p>
      <w:pPr>
        <w:spacing w:after="0" w:line="121"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28"/>
          </w:cols>
          <w:pgMar w:left="212" w:top="426" w:right="259" w:bottom="1440" w:gutter="0" w:footer="0" w:header="0"/>
        </w:sectPr>
      </w:pPr>
    </w:p>
    <w:bookmarkStart w:id="8" w:name="page9"/>
    <w:bookmarkEnd w:id="8"/>
    <w:p>
      <w:pPr>
        <w:ind w:left="208"/>
        <w:spacing w:after="0"/>
        <w:rPr>
          <w:sz w:val="20"/>
          <w:szCs w:val="20"/>
          <w:color w:val="auto"/>
        </w:rPr>
      </w:pPr>
      <w:r>
        <w:rPr>
          <w:rFonts w:ascii="Arial" w:cs="Arial" w:eastAsia="Arial" w:hAnsi="Arial"/>
          <w:sz w:val="13"/>
          <w:szCs w:val="13"/>
          <w:color w:val="auto"/>
        </w:rPr>
        <w:t>includes results from all lines of business within the segment, as well as the impact of Humana’s 40% minority interest in Kindred at Home.</w:t>
      </w:r>
    </w:p>
    <w:p>
      <w:pPr>
        <w:spacing w:after="0" w:line="157" w:lineRule="exact"/>
        <w:rPr>
          <w:sz w:val="20"/>
          <w:szCs w:val="20"/>
          <w:color w:val="auto"/>
        </w:rPr>
      </w:pPr>
    </w:p>
    <w:p>
      <w:pPr>
        <w:ind w:left="168" w:hanging="168"/>
        <w:spacing w:after="0"/>
        <w:tabs>
          <w:tab w:leader="none" w:pos="168" w:val="left"/>
        </w:tabs>
        <w:numPr>
          <w:ilvl w:val="0"/>
          <w:numId w:val="6"/>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FY 2020 Adjusted EPS projections exclude the following:</w:t>
      </w:r>
    </w:p>
    <w:p>
      <w:pPr>
        <w:spacing w:after="0" w:line="5" w:lineRule="exact"/>
        <w:rPr>
          <w:rFonts w:ascii="Arial" w:cs="Arial" w:eastAsia="Arial" w:hAnsi="Arial"/>
          <w:sz w:val="13"/>
          <w:szCs w:val="13"/>
          <w:u w:val="single" w:color="auto"/>
          <w:color w:val="auto"/>
        </w:rPr>
      </w:pPr>
    </w:p>
    <w:p>
      <w:pPr>
        <w:ind w:left="668" w:hanging="218"/>
        <w:spacing w:after="0"/>
        <w:tabs>
          <w:tab w:leader="none" w:pos="668" w:val="left"/>
        </w:tabs>
        <w:numPr>
          <w:ilvl w:val="1"/>
          <w:numId w:val="6"/>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$0.49 per diluted common share.</w:t>
      </w:r>
    </w:p>
    <w:p>
      <w:pPr>
        <w:spacing w:after="0" w:line="3" w:lineRule="exact"/>
        <w:rPr>
          <w:rFonts w:ascii="Arial" w:cs="Arial" w:eastAsia="Arial" w:hAnsi="Arial"/>
          <w:sz w:val="13"/>
          <w:szCs w:val="13"/>
          <w:color w:val="auto"/>
        </w:rPr>
      </w:pPr>
    </w:p>
    <w:p>
      <w:pPr>
        <w:ind w:left="668" w:right="360" w:hanging="218"/>
        <w:spacing w:after="0" w:line="255" w:lineRule="auto"/>
        <w:tabs>
          <w:tab w:leader="none" w:pos="668" w:val="left"/>
        </w:tabs>
        <w:numPr>
          <w:ilvl w:val="1"/>
          <w:numId w:val="6"/>
        </w:numPr>
        <w:rPr>
          <w:rFonts w:ascii="Arial" w:cs="Arial" w:eastAsia="Arial" w:hAnsi="Arial"/>
          <w:sz w:val="13"/>
          <w:szCs w:val="13"/>
          <w:color w:val="auto"/>
        </w:rPr>
      </w:pPr>
      <w:r>
        <w:rPr>
          <w:rFonts w:ascii="Arial" w:cs="Arial" w:eastAsia="Arial" w:hAnsi="Arial"/>
          <w:sz w:val="13"/>
          <w:szCs w:val="13"/>
          <w:color w:val="auto"/>
        </w:rPr>
        <w:t>FY20 GAAP EPS guidance excludes the impact of future value changes of put/call options related to the company's minority interest in certain investments. The future value change of these put/call options cannot be estimated.</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Cautionary Statement</w:t>
      </w:r>
    </w:p>
    <w:p>
      <w:pPr>
        <w:spacing w:after="0" w:line="20" w:lineRule="exact"/>
        <w:rPr>
          <w:sz w:val="20"/>
          <w:szCs w:val="20"/>
          <w:color w:val="auto"/>
        </w:rPr>
      </w:pPr>
    </w:p>
    <w:p>
      <w:pPr>
        <w:ind w:left="208"/>
        <w:spacing w:after="0" w:line="252" w:lineRule="auto"/>
        <w:rPr>
          <w:sz w:val="20"/>
          <w:szCs w:val="20"/>
          <w:color w:val="auto"/>
        </w:rPr>
      </w:pPr>
      <w:r>
        <w:rPr>
          <w:rFonts w:ascii="Arial" w:cs="Arial" w:eastAsia="Arial" w:hAnsi="Arial"/>
          <w:sz w:val="13"/>
          <w:szCs w:val="13"/>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142" w:lineRule="exact"/>
        <w:rPr>
          <w:sz w:val="20"/>
          <w:szCs w:val="20"/>
          <w:color w:val="auto"/>
        </w:rPr>
      </w:pPr>
    </w:p>
    <w:p>
      <w:pPr>
        <w:ind w:left="208" w:right="140"/>
        <w:spacing w:after="0" w:line="258" w:lineRule="auto"/>
        <w:rPr>
          <w:sz w:val="20"/>
          <w:szCs w:val="20"/>
          <w:color w:val="auto"/>
        </w:rPr>
      </w:pPr>
      <w:r>
        <w:rPr>
          <w:rFonts w:ascii="Arial" w:cs="Arial" w:eastAsia="Arial" w:hAnsi="Arial"/>
          <w:sz w:val="13"/>
          <w:szCs w:val="13"/>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130" w:lineRule="exact"/>
        <w:rPr>
          <w:sz w:val="20"/>
          <w:szCs w:val="20"/>
          <w:color w:val="auto"/>
        </w:rPr>
      </w:pPr>
    </w:p>
    <w:p>
      <w:pPr>
        <w:ind w:left="428" w:hanging="221"/>
        <w:spacing w:after="0" w:line="268" w:lineRule="auto"/>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3" w:lineRule="exact"/>
        <w:rPr>
          <w:rFonts w:ascii="Arial" w:cs="Arial" w:eastAsia="Arial" w:hAnsi="Arial"/>
          <w:sz w:val="12"/>
          <w:szCs w:val="12"/>
          <w:color w:val="auto"/>
        </w:rPr>
      </w:pPr>
    </w:p>
    <w:p>
      <w:pPr>
        <w:ind w:left="428" w:right="200" w:hanging="221"/>
        <w:spacing w:after="0" w:line="245" w:lineRule="auto"/>
        <w:tabs>
          <w:tab w:leader="none" w:pos="428"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1" w:lineRule="exact"/>
        <w:rPr>
          <w:rFonts w:ascii="Arial" w:cs="Arial" w:eastAsia="Arial" w:hAnsi="Arial"/>
          <w:sz w:val="13"/>
          <w:szCs w:val="13"/>
          <w:color w:val="auto"/>
        </w:rPr>
      </w:pPr>
    </w:p>
    <w:p>
      <w:pPr>
        <w:ind w:left="428" w:right="340" w:hanging="221"/>
        <w:spacing w:after="0" w:line="245" w:lineRule="auto"/>
        <w:tabs>
          <w:tab w:leader="none" w:pos="428"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Humana fails to properly maintain the integrity of its data, to strategically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1" w:lineRule="exact"/>
        <w:rPr>
          <w:rFonts w:ascii="Arial" w:cs="Arial" w:eastAsia="Arial" w:hAnsi="Arial"/>
          <w:sz w:val="13"/>
          <w:szCs w:val="13"/>
          <w:color w:val="auto"/>
        </w:rPr>
      </w:pPr>
    </w:p>
    <w:p>
      <w:pPr>
        <w:ind w:left="428" w:right="60" w:hanging="221"/>
        <w:spacing w:after="0" w:line="245" w:lineRule="auto"/>
        <w:tabs>
          <w:tab w:leader="none" w:pos="428" w:val="left"/>
        </w:tabs>
        <w:numPr>
          <w:ilvl w:val="0"/>
          <w:numId w:val="7"/>
        </w:numPr>
        <w:rPr>
          <w:rFonts w:ascii="Arial" w:cs="Arial" w:eastAsia="Arial" w:hAnsi="Arial"/>
          <w:sz w:val="13"/>
          <w:szCs w:val="13"/>
          <w:color w:val="auto"/>
        </w:rPr>
      </w:pPr>
      <w:r>
        <w:rPr>
          <w:rFonts w:ascii="Arial" w:cs="Arial" w:eastAsia="Arial" w:hAnsi="Arial"/>
          <w:sz w:val="13"/>
          <w:szCs w:val="13"/>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1" w:lineRule="exact"/>
        <w:rPr>
          <w:rFonts w:ascii="Arial" w:cs="Arial" w:eastAsia="Arial" w:hAnsi="Arial"/>
          <w:sz w:val="13"/>
          <w:szCs w:val="13"/>
          <w:color w:val="auto"/>
        </w:rPr>
      </w:pPr>
    </w:p>
    <w:p>
      <w:pPr>
        <w:ind w:left="428" w:hanging="221"/>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a government contractor, Humana is exposed to risks that may materially adversely affect its business or its willingness or ability to participate in government healthcare programs including, among other</w:t>
      </w:r>
    </w:p>
    <w:p>
      <w:pPr>
        <w:spacing w:after="0" w:line="14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8"/>
          </w:cols>
          <w:pgMar w:left="212" w:top="434" w:right="219" w:bottom="1440" w:gutter="0" w:footer="0" w:header="0"/>
        </w:sectPr>
      </w:pPr>
    </w:p>
    <w:bookmarkStart w:id="9" w:name="page10"/>
    <w:bookmarkEnd w:id="9"/>
    <w:p>
      <w:pPr>
        <w:ind w:left="420" w:right="20"/>
        <w:spacing w:after="0" w:line="233" w:lineRule="auto"/>
        <w:rPr>
          <w:sz w:val="20"/>
          <w:szCs w:val="20"/>
          <w:color w:val="auto"/>
        </w:rPr>
      </w:pPr>
      <w:r>
        <w:rPr>
          <w:rFonts w:ascii="Arial" w:cs="Arial" w:eastAsia="Arial" w:hAnsi="Arial"/>
          <w:sz w:val="13"/>
          <w:szCs w:val="13"/>
          <w:color w:val="auto"/>
        </w:rPr>
        <w:t>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3" w:lineRule="exact"/>
        <w:rPr>
          <w:sz w:val="20"/>
          <w:szCs w:val="20"/>
          <w:color w:val="auto"/>
        </w:rPr>
      </w:pPr>
    </w:p>
    <w:p>
      <w:pPr>
        <w:ind w:left="420" w:hanging="221"/>
        <w:spacing w:after="0" w:line="246" w:lineRule="auto"/>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or judicial changes, including activities to invalidate, repeal or replace, in whole or in part, the Health Care Reform Law, creates uncertainty for Humana’s business, and when, or in what form, such legislative or judicial changes may occur cannot be predicted with certainty.</w:t>
      </w:r>
    </w:p>
    <w:p>
      <w:pPr>
        <w:spacing w:after="0" w:line="1" w:lineRule="exact"/>
        <w:rPr>
          <w:rFonts w:ascii="Arial" w:cs="Arial" w:eastAsia="Arial" w:hAnsi="Arial"/>
          <w:sz w:val="13"/>
          <w:szCs w:val="13"/>
          <w:color w:val="auto"/>
        </w:rPr>
      </w:pPr>
    </w:p>
    <w:p>
      <w:pPr>
        <w:ind w:left="420" w:right="160" w:hanging="221"/>
        <w:spacing w:after="0" w:line="245" w:lineRule="auto"/>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1" w:lineRule="exact"/>
        <w:rPr>
          <w:rFonts w:ascii="Arial" w:cs="Arial" w:eastAsia="Arial" w:hAnsi="Arial"/>
          <w:sz w:val="13"/>
          <w:szCs w:val="13"/>
          <w:color w:val="auto"/>
        </w:rPr>
      </w:pPr>
    </w:p>
    <w:p>
      <w:pPr>
        <w:ind w:left="420" w:right="320" w:hanging="221"/>
        <w:spacing w:after="0" w:line="245" w:lineRule="auto"/>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Humana’s failure to manage acquisitions, divestitures and other significant transactions successfully may have a material adverse effect on the company’s results of operations, financial position, and cash flows.</w:t>
      </w:r>
    </w:p>
    <w:p>
      <w:pPr>
        <w:spacing w:after="0" w:line="1" w:lineRule="exact"/>
        <w:rPr>
          <w:rFonts w:ascii="Arial" w:cs="Arial" w:eastAsia="Arial" w:hAnsi="Arial"/>
          <w:sz w:val="13"/>
          <w:szCs w:val="13"/>
          <w:color w:val="auto"/>
        </w:rPr>
      </w:pPr>
    </w:p>
    <w:p>
      <w:pPr>
        <w:ind w:left="420" w:hanging="2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If Humana fails to develop and maintain satisfactory relationships with the providers of care to its members, the company’s business may be adversely affected.</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Humana’s pharmacy business is highly competitive and subjects it to regulations in addition to those the company faces with its core health benefits businesses.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the prescription drug industry pricing benchmarks may adversely affect Humana’s financial performance.</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If Humana does not continue to earn and retain purchase discounts and volume rebates from pharmaceutical manufacturers at current levels, Humana’s gross margins may decline.</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Humana’s ability to obtain funds from certain of its licensed subsidiaries is restricted by state insurance regulations.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Downgrades in Humana’s debt ratings, should they occur, may adversely affect its business, results of operations, and financial condition.</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securities and credit markets may experience volatility and disruption, which may adversely affect Humana’s business.</w:t>
      </w:r>
    </w:p>
    <w:p>
      <w:pPr>
        <w:spacing w:after="0" w:line="155" w:lineRule="exact"/>
        <w:rPr>
          <w:sz w:val="20"/>
          <w:szCs w:val="20"/>
          <w:color w:val="auto"/>
        </w:rPr>
      </w:pPr>
    </w:p>
    <w:p>
      <w:pPr>
        <w:ind w:right="240"/>
        <w:spacing w:after="0" w:line="252" w:lineRule="auto"/>
        <w:rPr>
          <w:sz w:val="20"/>
          <w:szCs w:val="20"/>
          <w:color w:val="auto"/>
        </w:rPr>
      </w:pPr>
      <w:r>
        <w:rPr>
          <w:rFonts w:ascii="Arial" w:cs="Arial" w:eastAsia="Arial" w:hAnsi="Arial"/>
          <w:sz w:val="13"/>
          <w:szCs w:val="13"/>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Humana advises investors to read the following documents as filed by the company with the SEC for further discussion both of the risks it faces and its historical performance:</w:t>
      </w:r>
    </w:p>
    <w:p>
      <w:pPr>
        <w:spacing w:after="0" w:line="157"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Form 10-K for the year ended December 31, 2018;</w:t>
      </w:r>
    </w:p>
    <w:p>
      <w:pPr>
        <w:spacing w:after="0" w:line="5" w:lineRule="exact"/>
        <w:rPr>
          <w:rFonts w:ascii="Arial" w:cs="Arial" w:eastAsia="Arial" w:hAnsi="Arial"/>
          <w:sz w:val="13"/>
          <w:szCs w:val="13"/>
          <w:color w:val="auto"/>
        </w:rPr>
      </w:pPr>
    </w:p>
    <w:p>
      <w:pPr>
        <w:ind w:left="420" w:hanging="2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Form 10-Q for the quarter ended March 31, 2019; June 30, 2019; September 30, 2019; and</w:t>
      </w:r>
    </w:p>
    <w:p>
      <w:pPr>
        <w:spacing w:after="0" w:line="3" w:lineRule="exact"/>
        <w:rPr>
          <w:rFonts w:ascii="Arial" w:cs="Arial" w:eastAsia="Arial" w:hAnsi="Arial"/>
          <w:sz w:val="13"/>
          <w:szCs w:val="13"/>
          <w:color w:val="auto"/>
        </w:rPr>
      </w:pPr>
    </w:p>
    <w:p>
      <w:pPr>
        <w:ind w:left="420" w:hanging="2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Form 8-Ks filed during 2019 and 2020.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80"/>
          </w:cols>
          <w:pgMar w:left="220" w:top="426" w:right="19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auto"/>
        </w:rPr>
        <w:t>About Humana</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33" w:lineRule="exact"/>
        <w:rPr>
          <w:sz w:val="20"/>
          <w:szCs w:val="20"/>
          <w:color w:val="auto"/>
        </w:rPr>
      </w:pPr>
    </w:p>
    <w:p>
      <w:pPr>
        <w:ind w:right="280"/>
        <w:spacing w:after="0" w:line="252" w:lineRule="auto"/>
        <w:rPr>
          <w:sz w:val="20"/>
          <w:szCs w:val="20"/>
          <w:color w:val="auto"/>
        </w:rPr>
      </w:pPr>
      <w:r>
        <w:rPr>
          <w:rFonts w:ascii="Arial" w:cs="Arial" w:eastAsia="Arial" w:hAnsi="Arial"/>
          <w:sz w:val="13"/>
          <w:szCs w:val="13"/>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More information regarding Humana is available to investors via the Investor Relations page of the company’s website at </w:t>
      </w:r>
      <w:r>
        <w:rPr>
          <w:rFonts w:ascii="Arial" w:cs="Arial" w:eastAsia="Arial" w:hAnsi="Arial"/>
          <w:sz w:val="13"/>
          <w:szCs w:val="13"/>
          <w:u w:val="single" w:color="auto"/>
          <w:color w:val="auto"/>
        </w:rPr>
        <w:t>humana.com</w:t>
      </w:r>
      <w:r>
        <w:rPr>
          <w:rFonts w:ascii="Arial" w:cs="Arial" w:eastAsia="Arial" w:hAnsi="Arial"/>
          <w:sz w:val="13"/>
          <w:szCs w:val="13"/>
          <w:color w:val="auto"/>
        </w:rPr>
        <w:t>, including copies of:</w:t>
      </w:r>
    </w:p>
    <w:p>
      <w:pPr>
        <w:spacing w:after="0" w:line="293" w:lineRule="exact"/>
        <w:rPr>
          <w:sz w:val="20"/>
          <w:szCs w:val="20"/>
          <w:color w:val="auto"/>
        </w:rPr>
      </w:pPr>
    </w:p>
    <w:p>
      <w:pPr>
        <w:ind w:left="420" w:hanging="221"/>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Annual reports to stockholders</w:t>
      </w:r>
    </w:p>
    <w:p>
      <w:pPr>
        <w:spacing w:after="0" w:line="13" w:lineRule="exact"/>
        <w:rPr>
          <w:rFonts w:ascii="Arial" w:cs="Arial" w:eastAsia="Arial" w:hAnsi="Arial"/>
          <w:sz w:val="13"/>
          <w:szCs w:val="13"/>
          <w:color w:val="auto"/>
        </w:rPr>
      </w:pPr>
    </w:p>
    <w:p>
      <w:pPr>
        <w:ind w:left="420" w:hanging="221"/>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Securities and Exchange Commission filings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Most recent investor conference presentations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Quarterly earnings news releases and conference calls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Calendar of events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Corporate Governance information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20"/>
          </w:cols>
          <w:pgMar w:left="220" w:top="562" w:right="259" w:bottom="1440" w:gutter="0" w:footer="0" w:header="0"/>
        </w:sectPr>
      </w:pPr>
    </w:p>
    <w:bookmarkStart w:id="11" w:name="page12"/>
    <w:bookmarkEnd w:id="11"/>
    <w:p>
      <w:pPr>
        <w:ind w:left="8800"/>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99.2</w:t>
      </w:r>
    </w:p>
    <w:p>
      <w:pPr>
        <w:spacing w:after="0" w:line="122" w:lineRule="exact"/>
        <w:rPr>
          <w:sz w:val="20"/>
          <w:szCs w:val="20"/>
          <w:color w:val="auto"/>
        </w:rPr>
      </w:pPr>
    </w:p>
    <w:p>
      <w:pPr>
        <w:ind w:left="9980"/>
        <w:spacing w:after="0"/>
        <w:rPr>
          <w:sz w:val="20"/>
          <w:szCs w:val="20"/>
          <w:color w:val="auto"/>
        </w:rPr>
      </w:pPr>
      <w:r>
        <w:rPr>
          <w:rFonts w:ascii="Arial" w:cs="Arial" w:eastAsia="Arial" w:hAnsi="Arial"/>
          <w:sz w:val="13"/>
          <w:szCs w:val="13"/>
          <w:color w:val="auto"/>
        </w:rPr>
        <w:t>Humana Inc.</w:t>
      </w:r>
    </w:p>
    <w:p>
      <w:pPr>
        <w:ind w:left="9980"/>
        <w:spacing w:after="0" w:line="231" w:lineRule="auto"/>
        <w:rPr>
          <w:sz w:val="20"/>
          <w:szCs w:val="20"/>
          <w:color w:val="auto"/>
        </w:rPr>
      </w:pPr>
      <w:r>
        <w:rPr>
          <w:rFonts w:ascii="Arial" w:cs="Arial" w:eastAsia="Arial" w:hAnsi="Arial"/>
          <w:sz w:val="13"/>
          <w:szCs w:val="13"/>
          <w:color w:val="auto"/>
        </w:rPr>
        <w:t>500 West Main Street</w:t>
      </w:r>
    </w:p>
    <w:p>
      <w:pPr>
        <w:ind w:left="9980"/>
        <w:spacing w:after="0" w:line="231" w:lineRule="auto"/>
        <w:rPr>
          <w:sz w:val="20"/>
          <w:szCs w:val="20"/>
          <w:color w:val="auto"/>
        </w:rPr>
      </w:pPr>
      <w:r>
        <w:rPr>
          <w:rFonts w:ascii="Arial" w:cs="Arial" w:eastAsia="Arial" w:hAnsi="Arial"/>
          <w:sz w:val="13"/>
          <w:szCs w:val="13"/>
          <w:color w:val="auto"/>
        </w:rPr>
        <w:t>P.O. Box 1438</w:t>
      </w:r>
    </w:p>
    <w:p>
      <w:pPr>
        <w:ind w:left="9980"/>
        <w:spacing w:after="0" w:line="232" w:lineRule="auto"/>
        <w:rPr>
          <w:sz w:val="20"/>
          <w:szCs w:val="20"/>
          <w:color w:val="auto"/>
        </w:rPr>
      </w:pPr>
      <w:r>
        <w:rPr>
          <w:rFonts w:ascii="Arial" w:cs="Arial" w:eastAsia="Arial" w:hAnsi="Arial"/>
          <w:sz w:val="13"/>
          <w:szCs w:val="13"/>
          <w:color w:val="auto"/>
        </w:rPr>
        <w:t>Louisville, KY 40202</w:t>
      </w:r>
    </w:p>
    <w:p>
      <w:pPr>
        <w:ind w:left="9980"/>
        <w:spacing w:after="0"/>
        <w:rPr>
          <w:sz w:val="20"/>
          <w:szCs w:val="20"/>
          <w:color w:val="auto"/>
        </w:rPr>
      </w:pPr>
      <w:r>
        <w:rPr>
          <w:rFonts w:ascii="Arial" w:cs="Arial" w:eastAsia="Arial" w:hAnsi="Arial"/>
          <w:sz w:val="13"/>
          <w:szCs w:val="13"/>
          <w:u w:val="single" w:color="auto"/>
          <w:color w:val="auto"/>
        </w:rPr>
        <w:t>http://www.humana.com</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6034405</wp:posOffset>
            </wp:positionH>
            <wp:positionV relativeFrom="paragraph">
              <wp:posOffset>72390</wp:posOffset>
            </wp:positionV>
            <wp:extent cx="1241425" cy="371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1425" cy="37147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Amy Smith</w:t>
      </w:r>
    </w:p>
    <w:p>
      <w:pPr>
        <w:ind w:left="20"/>
        <w:spacing w:after="0" w:line="231" w:lineRule="auto"/>
        <w:rPr>
          <w:sz w:val="20"/>
          <w:szCs w:val="20"/>
          <w:color w:val="auto"/>
        </w:rPr>
      </w:pPr>
      <w:r>
        <w:rPr>
          <w:rFonts w:ascii="Arial" w:cs="Arial" w:eastAsia="Arial" w:hAnsi="Arial"/>
          <w:sz w:val="13"/>
          <w:szCs w:val="13"/>
          <w:color w:val="auto"/>
        </w:rPr>
        <w:t>Humana Investor Relations</w:t>
      </w:r>
    </w:p>
    <w:p>
      <w:pPr>
        <w:ind w:left="20"/>
        <w:spacing w:after="0" w:line="231" w:lineRule="auto"/>
        <w:rPr>
          <w:sz w:val="20"/>
          <w:szCs w:val="20"/>
          <w:color w:val="auto"/>
        </w:rPr>
      </w:pPr>
      <w:r>
        <w:rPr>
          <w:rFonts w:ascii="Arial" w:cs="Arial" w:eastAsia="Arial" w:hAnsi="Arial"/>
          <w:sz w:val="13"/>
          <w:szCs w:val="13"/>
          <w:color w:val="auto"/>
        </w:rPr>
        <w:t>(502) 580-2811</w:t>
      </w:r>
    </w:p>
    <w:p>
      <w:pPr>
        <w:ind w:left="2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Amysmith@humana.com</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Alex Kepnes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Humana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(502) 580-2990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Akepnes@humana.com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Humana Reports Fourth Quarter 2019 Financial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Provides Full Year 2020 Financial Guidance</w:t>
      </w:r>
    </w:p>
    <w:p>
      <w:pPr>
        <w:spacing w:after="0" w:line="112" w:lineRule="exact"/>
        <w:rPr>
          <w:sz w:val="20"/>
          <w:szCs w:val="20"/>
          <w:color w:val="auto"/>
        </w:rPr>
      </w:pPr>
    </w:p>
    <w:p>
      <w:pPr>
        <w:ind w:left="420" w:hanging="221"/>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4Q19 earnings per diluted common share (EPS) of $3.84 on a GAAP basis, $2.28 on an Adjusted basis</w:t>
      </w:r>
    </w:p>
    <w:p>
      <w:pPr>
        <w:spacing w:after="0" w:line="6" w:lineRule="exact"/>
        <w:rPr>
          <w:rFonts w:ascii="Arial" w:cs="Arial" w:eastAsia="Arial" w:hAnsi="Arial"/>
          <w:sz w:val="11"/>
          <w:szCs w:val="11"/>
          <w:color w:val="auto"/>
        </w:rPr>
      </w:pPr>
    </w:p>
    <w:p>
      <w:pPr>
        <w:ind w:left="420" w:hanging="221"/>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Full year (FY) 2019 EPS of $20.10 on a GAAP basis, $17.87 on an Adjusted basis; compared to previous guidance of approximately $17.75</w:t>
      </w:r>
    </w:p>
    <w:p>
      <w:pPr>
        <w:ind w:left="420" w:hanging="221"/>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FY 2020 EPS guidance in a range of $17.76 to $18.26 on a GAAP basis, $18.25 to $18.75 on an Adjusted basis</w:t>
      </w:r>
    </w:p>
    <w:p>
      <w:pPr>
        <w:ind w:left="420" w:hanging="221"/>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Retail segment finished the year strong, with the segment benefit expense ratio 70 basis points better than the initial guidance midpoint, fueled by lower than expected utilization</w:t>
      </w:r>
    </w:p>
    <w:p>
      <w:pPr>
        <w:ind w:left="420" w:hanging="221"/>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Reaffirmed expected FY 2020 individual Medicare Advantage membership growth of 270,000 to 330,000 members, representing 7.5 percent to 9.2 percent growth over 2019</w:t>
      </w:r>
    </w:p>
    <w:p>
      <w:pPr>
        <w:ind w:left="420" w:hanging="221"/>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Revised FY 2020 stand-alone PDP membership guidance to a decline of approximately 550,000 members from previous expectation of an approximate 600,000 member decline</w:t>
      </w:r>
    </w:p>
    <w:p>
      <w:pPr>
        <w:ind w:left="420" w:hanging="221"/>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Record operating cash flows of over $5 billion for FY 2019</w:t>
      </w:r>
    </w:p>
    <w:p>
      <w:pPr>
        <w:spacing w:after="0" w:line="133" w:lineRule="exact"/>
        <w:rPr>
          <w:sz w:val="20"/>
          <w:szCs w:val="20"/>
          <w:color w:val="auto"/>
        </w:rPr>
      </w:pPr>
    </w:p>
    <w:p>
      <w:pPr>
        <w:ind w:left="20" w:right="80"/>
        <w:spacing w:after="0" w:line="284" w:lineRule="auto"/>
        <w:rPr>
          <w:sz w:val="20"/>
          <w:szCs w:val="20"/>
          <w:color w:val="auto"/>
        </w:rPr>
      </w:pPr>
      <w:r>
        <w:rPr>
          <w:rFonts w:ascii="Arial" w:cs="Arial" w:eastAsia="Arial" w:hAnsi="Arial"/>
          <w:sz w:val="13"/>
          <w:szCs w:val="13"/>
          <w:b w:val="1"/>
          <w:bCs w:val="1"/>
          <w:color w:val="auto"/>
        </w:rPr>
        <w:t xml:space="preserve">LOUISVILLE, KY (February 5, 2020) </w:t>
      </w:r>
      <w:r>
        <w:rPr>
          <w:rFonts w:ascii="Arial" w:cs="Arial" w:eastAsia="Arial" w:hAnsi="Arial"/>
          <w:sz w:val="13"/>
          <w:szCs w:val="13"/>
          <w:color w:val="auto"/>
        </w:rPr>
        <w:t>– Humana Inc. (NYSE: HUM) today reported consolidated pretax income and diluted earnings per common share (EPS) for the quarter ended December 31,</w:t>
      </w:r>
      <w:r>
        <w:rPr>
          <w:rFonts w:ascii="Arial" w:cs="Arial" w:eastAsia="Arial" w:hAnsi="Arial"/>
          <w:sz w:val="13"/>
          <w:szCs w:val="13"/>
          <w:b w:val="1"/>
          <w:bCs w:val="1"/>
          <w:color w:val="auto"/>
        </w:rPr>
        <w:t xml:space="preserve"> </w:t>
      </w:r>
      <w:r>
        <w:rPr>
          <w:rFonts w:ascii="Arial" w:cs="Arial" w:eastAsia="Arial" w:hAnsi="Arial"/>
          <w:sz w:val="13"/>
          <w:szCs w:val="13"/>
          <w:color w:val="auto"/>
        </w:rPr>
        <w:t>2019 (4Q19) versus the quarter ended December 31, 2018 (4Q18) and for the year ended December 31, 2019 (FY 2019) versus the year ended December 31, 2018 (FY 2018) as follows:</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Consolidated income before income taxes and equity in earnings (pretax income) </w:t>
            </w:r>
            <w:r>
              <w:rPr>
                <w:rFonts w:ascii="Arial" w:cs="Arial" w:eastAsia="Arial" w:hAnsi="Arial"/>
                <w:sz w:val="11"/>
                <w:szCs w:val="11"/>
                <w:i w:val="1"/>
                <w:iCs w:val="1"/>
                <w:color w:val="auto"/>
              </w:rPr>
              <w:t>In millions</w:t>
            </w:r>
          </w:p>
        </w:tc>
        <w:tc>
          <w:tcPr>
            <w:tcW w:w="880" w:type="dxa"/>
            <w:vAlign w:val="bottom"/>
            <w:tcBorders>
              <w:top w:val="single" w:sz="8" w:color="auto"/>
              <w:bottom w:val="single" w:sz="8" w:color="auto"/>
            </w:tcBorders>
            <w:shd w:val="clear" w:color="auto" w:fill="EAEAEA"/>
          </w:tcPr>
          <w:p>
            <w:pPr>
              <w:ind w:left="460"/>
              <w:spacing w:after="0"/>
              <w:rPr>
                <w:sz w:val="20"/>
                <w:szCs w:val="20"/>
                <w:color w:val="auto"/>
              </w:rPr>
            </w:pPr>
            <w:r>
              <w:rPr>
                <w:rFonts w:ascii="Arial" w:cs="Arial" w:eastAsia="Arial" w:hAnsi="Arial"/>
                <w:sz w:val="11"/>
                <w:szCs w:val="11"/>
                <w:b w:val="1"/>
                <w:bCs w:val="1"/>
                <w:color w:val="auto"/>
                <w:w w:val="92"/>
                <w:shd w:val="clear" w:color="auto" w:fill="EAEAEA"/>
              </w:rPr>
              <w:t>4Q19 (a)</w:t>
            </w:r>
          </w:p>
        </w:tc>
        <w:tc>
          <w:tcPr>
            <w:tcW w:w="500" w:type="dxa"/>
            <w:vAlign w:val="bottom"/>
            <w:tcBorders>
              <w:top w:val="single" w:sz="8" w:color="auto"/>
              <w:bottom w:val="single" w:sz="8" w:color="auto"/>
              <w:right w:val="single" w:sz="8" w:color="auto"/>
            </w:tcBorders>
            <w:shd w:val="clear" w:color="auto" w:fill="EAEAEA"/>
          </w:tcPr>
          <w:p>
            <w:pPr>
              <w:spacing w:after="0"/>
              <w:rPr>
                <w:sz w:val="14"/>
                <w:szCs w:val="14"/>
                <w:color w:val="auto"/>
              </w:rPr>
            </w:pPr>
          </w:p>
        </w:tc>
        <w:tc>
          <w:tcPr>
            <w:tcW w:w="138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4Q18 (b)</w:t>
            </w:r>
          </w:p>
        </w:tc>
        <w:tc>
          <w:tcPr>
            <w:tcW w:w="960" w:type="dxa"/>
            <w:vAlign w:val="bottom"/>
            <w:tcBorders>
              <w:top w:val="single" w:sz="8" w:color="auto"/>
              <w:bottom w:val="single" w:sz="8" w:color="auto"/>
            </w:tcBorders>
            <w:shd w:val="clear" w:color="auto" w:fill="EAEAEA"/>
          </w:tcPr>
          <w:p>
            <w:pPr>
              <w:ind w:left="400"/>
              <w:spacing w:after="0"/>
              <w:rPr>
                <w:sz w:val="20"/>
                <w:szCs w:val="20"/>
                <w:color w:val="auto"/>
              </w:rPr>
            </w:pPr>
            <w:r>
              <w:rPr>
                <w:rFonts w:ascii="Arial" w:cs="Arial" w:eastAsia="Arial" w:hAnsi="Arial"/>
                <w:sz w:val="11"/>
                <w:szCs w:val="11"/>
                <w:b w:val="1"/>
                <w:bCs w:val="1"/>
                <w:color w:val="auto"/>
                <w:w w:val="92"/>
                <w:shd w:val="clear" w:color="auto" w:fill="EAEAEA"/>
              </w:rPr>
              <w:t>FY 2019 (c)</w:t>
            </w:r>
          </w:p>
        </w:tc>
        <w:tc>
          <w:tcPr>
            <w:tcW w:w="420" w:type="dxa"/>
            <w:vAlign w:val="bottom"/>
            <w:tcBorders>
              <w:top w:val="single" w:sz="8" w:color="auto"/>
              <w:bottom w:val="single" w:sz="8" w:color="auto"/>
              <w:right w:val="single" w:sz="8" w:color="auto"/>
            </w:tcBorders>
            <w:shd w:val="clear" w:color="auto" w:fill="EAEAEA"/>
          </w:tcPr>
          <w:p>
            <w:pPr>
              <w:spacing w:after="0"/>
              <w:rPr>
                <w:sz w:val="14"/>
                <w:szCs w:val="14"/>
                <w:color w:val="auto"/>
              </w:rPr>
            </w:pPr>
          </w:p>
        </w:tc>
        <w:tc>
          <w:tcPr>
            <w:tcW w:w="1360" w:type="dxa"/>
            <w:vAlign w:val="bottom"/>
            <w:tcBorders>
              <w:top w:val="single" w:sz="8" w:color="auto"/>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color w:val="auto"/>
              </w:rPr>
              <w:t>FY 2018 (d)</w:t>
            </w:r>
          </w:p>
        </w:tc>
      </w:tr>
      <w:tr>
        <w:trPr>
          <w:trHeight w:val="172"/>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Generally Accepted Accounting Principles (GAAP)</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$593</w:t>
            </w: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$436</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$3,456</w:t>
            </w: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$2,063</w:t>
            </w: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17</w:t>
            </w: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20</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70</w:t>
            </w: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90</w:t>
            </w: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40% minority interest in Kindred at Home</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(289)</w:t>
            </w: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22</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(506)</w:t>
            </w: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33</w:t>
            </w: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1</w:t>
            </w: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47</w:t>
            </w: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Loss on sale of KMG America Corporation (KMG), a wholly-owned subsidiary</w:t>
            </w:r>
          </w:p>
        </w:tc>
        <w:tc>
          <w:tcPr>
            <w:tcW w:w="880" w:type="dxa"/>
            <w:vAlign w:val="bottom"/>
            <w:tcBorders>
              <w:bottom w:val="single" w:sz="8" w:color="auto"/>
            </w:tcBorders>
            <w:shd w:val="clear" w:color="auto" w:fill="EAEAEA"/>
          </w:tcPr>
          <w:p>
            <w:pPr>
              <w:spacing w:after="0"/>
              <w:rPr>
                <w:sz w:val="13"/>
                <w:szCs w:val="13"/>
                <w:color w:val="auto"/>
              </w:rPr>
            </w:pPr>
          </w:p>
        </w:tc>
        <w:tc>
          <w:tcPr>
            <w:tcW w:w="50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w:t>
            </w: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EAEAEA"/>
          </w:tcPr>
          <w:p>
            <w:pPr>
              <w:spacing w:after="0"/>
              <w:rPr>
                <w:sz w:val="13"/>
                <w:szCs w:val="13"/>
                <w:color w:val="auto"/>
              </w:rPr>
            </w:pPr>
          </w:p>
        </w:tc>
        <w:tc>
          <w:tcPr>
            <w:tcW w:w="42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w:t>
            </w: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786</w:t>
            </w: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losses (earnings) associated with the Individual Commercial segment</w:t>
            </w:r>
          </w:p>
        </w:tc>
        <w:tc>
          <w:tcPr>
            <w:tcW w:w="880" w:type="dxa"/>
            <w:vAlign w:val="bottom"/>
            <w:tcBorders>
              <w:bottom w:val="single" w:sz="8" w:color="auto"/>
            </w:tcBorders>
            <w:shd w:val="clear" w:color="auto" w:fill="EAEAEA"/>
          </w:tcPr>
          <w:p>
            <w:pPr>
              <w:spacing w:after="0"/>
              <w:rPr>
                <w:sz w:val="13"/>
                <w:szCs w:val="13"/>
                <w:color w:val="auto"/>
              </w:rPr>
            </w:pPr>
          </w:p>
        </w:tc>
        <w:tc>
          <w:tcPr>
            <w:tcW w:w="50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w:t>
            </w:r>
          </w:p>
        </w:tc>
        <w:tc>
          <w:tcPr>
            <w:tcW w:w="960" w:type="dxa"/>
            <w:vAlign w:val="bottom"/>
            <w:tcBorders>
              <w:bottom w:val="single" w:sz="8" w:color="auto"/>
            </w:tcBorders>
            <w:shd w:val="clear" w:color="auto" w:fill="EAEAEA"/>
          </w:tcPr>
          <w:p>
            <w:pPr>
              <w:spacing w:after="0"/>
              <w:rPr>
                <w:sz w:val="13"/>
                <w:szCs w:val="13"/>
                <w:color w:val="auto"/>
              </w:rPr>
            </w:pPr>
          </w:p>
        </w:tc>
        <w:tc>
          <w:tcPr>
            <w:tcW w:w="42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(74)</w:t>
            </w:r>
          </w:p>
        </w:tc>
      </w:tr>
      <w:tr>
        <w:trPr>
          <w:trHeight w:val="169"/>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$322</w:t>
            </w: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$480</w:t>
            </w:r>
          </w:p>
        </w:tc>
        <w:tc>
          <w:tcPr>
            <w:tcW w:w="1380" w:type="dxa"/>
            <w:vAlign w:val="bottom"/>
            <w:tcBorders>
              <w:bottom w:val="single" w:sz="8" w:color="auto"/>
              <w:right w:val="single" w:sz="8" w:color="auto"/>
            </w:tcBorders>
            <w:gridSpan w:val="2"/>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$3,067</w:t>
            </w: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$2,898</w:t>
            </w: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80"/>
          </w:cols>
          <w:pgMar w:left="220" w:top="522" w:right="19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162"/>
        </w:trPr>
        <w:tc>
          <w:tcPr>
            <w:tcW w:w="6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Diluted earnings per common share (EPS)</w:t>
            </w:r>
          </w:p>
        </w:tc>
        <w:tc>
          <w:tcPr>
            <w:tcW w:w="880" w:type="dxa"/>
            <w:vAlign w:val="bottom"/>
            <w:tcBorders>
              <w:top w:val="single" w:sz="8" w:color="auto"/>
              <w:bottom w:val="single" w:sz="8" w:color="auto"/>
            </w:tcBorders>
            <w:shd w:val="clear" w:color="auto" w:fill="EAEAEA"/>
          </w:tcPr>
          <w:p>
            <w:pPr>
              <w:ind w:left="460"/>
              <w:spacing w:after="0"/>
              <w:rPr>
                <w:sz w:val="20"/>
                <w:szCs w:val="20"/>
                <w:color w:val="auto"/>
              </w:rPr>
            </w:pPr>
            <w:r>
              <w:rPr>
                <w:rFonts w:ascii="Arial" w:cs="Arial" w:eastAsia="Arial" w:hAnsi="Arial"/>
                <w:sz w:val="11"/>
                <w:szCs w:val="11"/>
                <w:b w:val="1"/>
                <w:bCs w:val="1"/>
                <w:color w:val="auto"/>
                <w:w w:val="92"/>
                <w:shd w:val="clear" w:color="auto" w:fill="EAEAEA"/>
              </w:rPr>
              <w:t>4Q19 (a)</w:t>
            </w:r>
          </w:p>
        </w:tc>
        <w:tc>
          <w:tcPr>
            <w:tcW w:w="500" w:type="dxa"/>
            <w:vAlign w:val="bottom"/>
            <w:tcBorders>
              <w:top w:val="single" w:sz="8" w:color="auto"/>
              <w:bottom w:val="single" w:sz="8" w:color="auto"/>
              <w:right w:val="single" w:sz="8" w:color="auto"/>
            </w:tcBorders>
            <w:gridSpan w:val="2"/>
            <w:shd w:val="clear" w:color="auto" w:fill="EAEAEA"/>
          </w:tcPr>
          <w:p>
            <w:pPr>
              <w:spacing w:after="0"/>
              <w:rPr>
                <w:sz w:val="14"/>
                <w:szCs w:val="14"/>
                <w:color w:val="auto"/>
              </w:rPr>
            </w:pPr>
          </w:p>
        </w:tc>
        <w:tc>
          <w:tcPr>
            <w:tcW w:w="138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4Q18 (b)</w:t>
            </w:r>
          </w:p>
        </w:tc>
        <w:tc>
          <w:tcPr>
            <w:tcW w:w="960" w:type="dxa"/>
            <w:vAlign w:val="bottom"/>
            <w:tcBorders>
              <w:top w:val="single" w:sz="8" w:color="auto"/>
              <w:bottom w:val="single" w:sz="8" w:color="auto"/>
            </w:tcBorders>
            <w:shd w:val="clear" w:color="auto" w:fill="EAEAEA"/>
          </w:tcPr>
          <w:p>
            <w:pPr>
              <w:ind w:left="400"/>
              <w:spacing w:after="0"/>
              <w:rPr>
                <w:sz w:val="20"/>
                <w:szCs w:val="20"/>
                <w:color w:val="auto"/>
              </w:rPr>
            </w:pPr>
            <w:r>
              <w:rPr>
                <w:rFonts w:ascii="Arial" w:cs="Arial" w:eastAsia="Arial" w:hAnsi="Arial"/>
                <w:sz w:val="11"/>
                <w:szCs w:val="11"/>
                <w:b w:val="1"/>
                <w:bCs w:val="1"/>
                <w:color w:val="auto"/>
                <w:w w:val="92"/>
                <w:shd w:val="clear" w:color="auto" w:fill="EAEAEA"/>
              </w:rPr>
              <w:t>FY 2019 (c)</w:t>
            </w:r>
          </w:p>
        </w:tc>
        <w:tc>
          <w:tcPr>
            <w:tcW w:w="420" w:type="dxa"/>
            <w:vAlign w:val="bottom"/>
            <w:tcBorders>
              <w:top w:val="single" w:sz="8" w:color="auto"/>
              <w:bottom w:val="single" w:sz="8" w:color="auto"/>
              <w:right w:val="single" w:sz="8" w:color="auto"/>
            </w:tcBorders>
            <w:gridSpan w:val="2"/>
            <w:shd w:val="clear" w:color="auto" w:fill="EAEAEA"/>
          </w:tcPr>
          <w:p>
            <w:pPr>
              <w:spacing w:after="0"/>
              <w:rPr>
                <w:sz w:val="14"/>
                <w:szCs w:val="14"/>
                <w:color w:val="auto"/>
              </w:rPr>
            </w:pPr>
          </w:p>
        </w:tc>
        <w:tc>
          <w:tcPr>
            <w:tcW w:w="1360" w:type="dxa"/>
            <w:vAlign w:val="bottom"/>
            <w:tcBorders>
              <w:top w:val="single" w:sz="8" w:color="auto"/>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color w:val="auto"/>
              </w:rPr>
              <w:t>FY 2018 (d)</w:t>
            </w:r>
          </w:p>
        </w:tc>
        <w:tc>
          <w:tcPr>
            <w:tcW w:w="0" w:type="dxa"/>
            <w:vAlign w:val="bottom"/>
          </w:tcPr>
          <w:p>
            <w:pPr>
              <w:spacing w:after="0"/>
              <w:rPr>
                <w:sz w:val="1"/>
                <w:szCs w:val="1"/>
                <w:color w:val="auto"/>
              </w:rPr>
            </w:pPr>
          </w:p>
        </w:tc>
      </w:tr>
      <w:tr>
        <w:trPr>
          <w:trHeight w:val="172"/>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$3.84</w:t>
            </w:r>
          </w:p>
        </w:tc>
        <w:tc>
          <w:tcPr>
            <w:tcW w:w="140" w:type="dxa"/>
            <w:vAlign w:val="bottom"/>
            <w:tcBorders>
              <w:bottom w:val="single" w:sz="8" w:color="auto"/>
              <w:right w:val="single" w:sz="8" w:color="auto"/>
            </w:tcBorders>
            <w:shd w:val="clear" w:color="auto" w:fill="EAEAEA"/>
          </w:tcPr>
          <w:p>
            <w:pPr>
              <w:spacing w:after="0"/>
              <w:rPr>
                <w:sz w:val="14"/>
                <w:szCs w:val="14"/>
                <w:color w:val="auto"/>
              </w:rPr>
            </w:pP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$2.58</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$20.10</w:t>
            </w:r>
          </w:p>
        </w:tc>
        <w:tc>
          <w:tcPr>
            <w:tcW w:w="140" w:type="dxa"/>
            <w:vAlign w:val="bottom"/>
            <w:tcBorders>
              <w:bottom w:val="single" w:sz="8" w:color="auto"/>
              <w:right w:val="single" w:sz="8" w:color="auto"/>
            </w:tcBorders>
            <w:shd w:val="clear" w:color="auto" w:fill="EAEAEA"/>
          </w:tcPr>
          <w:p>
            <w:pPr>
              <w:spacing w:after="0"/>
              <w:rPr>
                <w:sz w:val="14"/>
                <w:szCs w:val="14"/>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$12.16</w:t>
            </w:r>
          </w:p>
        </w:tc>
        <w:tc>
          <w:tcPr>
            <w:tcW w:w="0" w:type="dxa"/>
            <w:vAlign w:val="bottom"/>
          </w:tcPr>
          <w:p>
            <w:pPr>
              <w:spacing w:after="0"/>
              <w:rPr>
                <w:sz w:val="1"/>
                <w:szCs w:val="1"/>
                <w:color w:val="auto"/>
              </w:rPr>
            </w:pP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0.10</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0.11</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0.40</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0.49</w:t>
            </w:r>
          </w:p>
        </w:tc>
        <w:tc>
          <w:tcPr>
            <w:tcW w:w="0" w:type="dxa"/>
            <w:vAlign w:val="bottom"/>
          </w:tcPr>
          <w:p>
            <w:pPr>
              <w:spacing w:after="0"/>
              <w:rPr>
                <w:sz w:val="1"/>
                <w:szCs w:val="1"/>
                <w:color w:val="auto"/>
              </w:rPr>
            </w:pP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40% minority interest in Kindred at Home</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(1.67)</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0.13</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(2.89)</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0.18</w:t>
            </w:r>
          </w:p>
        </w:tc>
        <w:tc>
          <w:tcPr>
            <w:tcW w:w="0" w:type="dxa"/>
            <w:vAlign w:val="bottom"/>
          </w:tcPr>
          <w:p>
            <w:pPr>
              <w:spacing w:after="0"/>
              <w:rPr>
                <w:sz w:val="1"/>
                <w:szCs w:val="1"/>
                <w:color w:val="auto"/>
              </w:rPr>
            </w:pP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0.01</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0.26</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(Favorable adjustment) loss on sale of KMG, a wholly-owned subsidiary</w:t>
            </w:r>
          </w:p>
        </w:tc>
        <w:tc>
          <w:tcPr>
            <w:tcW w:w="880" w:type="dxa"/>
            <w:vAlign w:val="bottom"/>
            <w:tcBorders>
              <w:bottom w:val="single" w:sz="8" w:color="auto"/>
            </w:tcBorders>
            <w:shd w:val="clear" w:color="auto" w:fill="EAEAEA"/>
          </w:tcPr>
          <w:p>
            <w:pPr>
              <w:spacing w:after="0"/>
              <w:rPr>
                <w:sz w:val="13"/>
                <w:szCs w:val="13"/>
                <w:color w:val="auto"/>
              </w:rPr>
            </w:pPr>
          </w:p>
        </w:tc>
        <w:tc>
          <w:tcPr>
            <w:tcW w:w="3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8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(0.17)</w:t>
            </w:r>
          </w:p>
        </w:tc>
        <w:tc>
          <w:tcPr>
            <w:tcW w:w="960" w:type="dxa"/>
            <w:vAlign w:val="bottom"/>
            <w:tcBorders>
              <w:bottom w:val="single" w:sz="8" w:color="auto"/>
            </w:tcBorders>
            <w:shd w:val="clear" w:color="auto" w:fill="EAEAEA"/>
          </w:tcPr>
          <w:p>
            <w:pPr>
              <w:spacing w:after="0"/>
              <w:rPr>
                <w:sz w:val="13"/>
                <w:szCs w:val="13"/>
                <w:color w:val="auto"/>
              </w:rPr>
            </w:pPr>
          </w:p>
        </w:tc>
        <w:tc>
          <w:tcPr>
            <w:tcW w:w="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2.41</w:t>
            </w:r>
          </w:p>
        </w:tc>
        <w:tc>
          <w:tcPr>
            <w:tcW w:w="0" w:type="dxa"/>
            <w:vAlign w:val="bottom"/>
          </w:tcPr>
          <w:p>
            <w:pPr>
              <w:spacing w:after="0"/>
              <w:rPr>
                <w:sz w:val="1"/>
                <w:szCs w:val="1"/>
                <w:color w:val="auto"/>
              </w:rPr>
            </w:pP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associated with the Individual Commercial segment</w:t>
            </w:r>
          </w:p>
        </w:tc>
        <w:tc>
          <w:tcPr>
            <w:tcW w:w="880" w:type="dxa"/>
            <w:vAlign w:val="bottom"/>
            <w:tcBorders>
              <w:bottom w:val="single" w:sz="8" w:color="auto"/>
            </w:tcBorders>
            <w:shd w:val="clear" w:color="auto" w:fill="EAEAEA"/>
          </w:tcPr>
          <w:p>
            <w:pPr>
              <w:spacing w:after="0"/>
              <w:rPr>
                <w:sz w:val="13"/>
                <w:szCs w:val="13"/>
                <w:color w:val="auto"/>
              </w:rPr>
            </w:pPr>
          </w:p>
        </w:tc>
        <w:tc>
          <w:tcPr>
            <w:tcW w:w="3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EAEAEA"/>
          </w:tcPr>
          <w:p>
            <w:pPr>
              <w:spacing w:after="0"/>
              <w:rPr>
                <w:sz w:val="13"/>
                <w:szCs w:val="13"/>
                <w:color w:val="auto"/>
              </w:rPr>
            </w:pPr>
          </w:p>
        </w:tc>
        <w:tc>
          <w:tcPr>
            <w:tcW w:w="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3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(0.41)</w:t>
            </w:r>
          </w:p>
        </w:tc>
        <w:tc>
          <w:tcPr>
            <w:tcW w:w="0" w:type="dxa"/>
            <w:vAlign w:val="bottom"/>
          </w:tcPr>
          <w:p>
            <w:pPr>
              <w:spacing w:after="0"/>
              <w:rPr>
                <w:sz w:val="1"/>
                <w:szCs w:val="1"/>
                <w:color w:val="auto"/>
              </w:rPr>
            </w:pPr>
          </w:p>
        </w:tc>
      </w:tr>
      <w:tr>
        <w:trPr>
          <w:trHeight w:val="141"/>
        </w:trPr>
        <w:tc>
          <w:tcPr>
            <w:tcW w:w="6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w w:val="98"/>
              </w:rPr>
              <w:t>Adjustments to provisional estimates for the income tax effects related to the tax reform law enacted on December 22, 2017</w:t>
            </w:r>
          </w:p>
        </w:tc>
        <w:tc>
          <w:tcPr>
            <w:tcW w:w="880" w:type="dxa"/>
            <w:vAlign w:val="bottom"/>
            <w:shd w:val="clear" w:color="auto" w:fill="EAEAEA"/>
          </w:tcPr>
          <w:p>
            <w:pPr>
              <w:spacing w:after="0"/>
              <w:rPr>
                <w:sz w:val="12"/>
                <w:szCs w:val="12"/>
                <w:color w:val="auto"/>
              </w:rPr>
            </w:pPr>
          </w:p>
        </w:tc>
        <w:tc>
          <w:tcPr>
            <w:tcW w:w="360" w:type="dxa"/>
            <w:vAlign w:val="bottom"/>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right w:val="single" w:sz="8" w:color="auto"/>
            </w:tcBorders>
            <w:shd w:val="clear" w:color="auto" w:fill="EAEAEA"/>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960" w:type="dxa"/>
            <w:vAlign w:val="bottom"/>
            <w:shd w:val="clear" w:color="auto" w:fill="EAEAEA"/>
          </w:tcPr>
          <w:p>
            <w:pPr>
              <w:spacing w:after="0"/>
              <w:rPr>
                <w:sz w:val="12"/>
                <w:szCs w:val="12"/>
                <w:color w:val="auto"/>
              </w:rPr>
            </w:pPr>
          </w:p>
        </w:tc>
        <w:tc>
          <w:tcPr>
            <w:tcW w:w="280" w:type="dxa"/>
            <w:vAlign w:val="bottom"/>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right w:val="single" w:sz="8" w:color="auto"/>
            </w:tcBorders>
            <w:shd w:val="clear" w:color="auto" w:fill="EAEAEA"/>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(Tax Reform Law)</w:t>
            </w:r>
          </w:p>
        </w:tc>
        <w:tc>
          <w:tcPr>
            <w:tcW w:w="880" w:type="dxa"/>
            <w:vAlign w:val="bottom"/>
            <w:tcBorders>
              <w:bottom w:val="single" w:sz="8" w:color="auto"/>
            </w:tcBorders>
            <w:shd w:val="clear" w:color="auto" w:fill="EAEAEA"/>
          </w:tcPr>
          <w:p>
            <w:pPr>
              <w:spacing w:after="0"/>
              <w:rPr>
                <w:sz w:val="11"/>
                <w:szCs w:val="11"/>
                <w:color w:val="auto"/>
              </w:rPr>
            </w:pPr>
          </w:p>
        </w:tc>
        <w:tc>
          <w:tcPr>
            <w:tcW w:w="360" w:type="dxa"/>
            <w:vAlign w:val="bottom"/>
            <w:tcBorders>
              <w:bottom w:val="single" w:sz="8" w:color="auto"/>
            </w:tcBorders>
            <w:vMerge w:val="continue"/>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EAEAEA"/>
          </w:tcPr>
          <w:p>
            <w:pPr>
              <w:spacing w:after="0"/>
              <w:rPr>
                <w:sz w:val="11"/>
                <w:szCs w:val="11"/>
                <w:color w:val="auto"/>
              </w:rPr>
            </w:pPr>
          </w:p>
        </w:tc>
        <w:tc>
          <w:tcPr>
            <w:tcW w:w="280" w:type="dxa"/>
            <w:vAlign w:val="bottom"/>
            <w:tcBorders>
              <w:bottom w:val="single" w:sz="8" w:color="auto"/>
            </w:tcBorders>
            <w:vMerge w:val="continue"/>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3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(0.28)</w:t>
            </w:r>
          </w:p>
        </w:tc>
        <w:tc>
          <w:tcPr>
            <w:tcW w:w="0" w:type="dxa"/>
            <w:vAlign w:val="bottom"/>
          </w:tcPr>
          <w:p>
            <w:pPr>
              <w:spacing w:after="0"/>
              <w:rPr>
                <w:sz w:val="1"/>
                <w:szCs w:val="1"/>
                <w:color w:val="auto"/>
              </w:rPr>
            </w:pPr>
          </w:p>
        </w:tc>
      </w:tr>
      <w:tr>
        <w:trPr>
          <w:trHeight w:val="169"/>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$2.28</w:t>
            </w:r>
          </w:p>
        </w:tc>
        <w:tc>
          <w:tcPr>
            <w:tcW w:w="140" w:type="dxa"/>
            <w:vAlign w:val="bottom"/>
            <w:tcBorders>
              <w:bottom w:val="single" w:sz="8" w:color="auto"/>
              <w:right w:val="single" w:sz="8" w:color="auto"/>
            </w:tcBorders>
            <w:shd w:val="clear" w:color="auto" w:fill="EAEAEA"/>
          </w:tcPr>
          <w:p>
            <w:pPr>
              <w:spacing w:after="0"/>
              <w:rPr>
                <w:sz w:val="14"/>
                <w:szCs w:val="14"/>
                <w:color w:val="auto"/>
              </w:rPr>
            </w:pPr>
          </w:p>
        </w:tc>
        <w:tc>
          <w:tcPr>
            <w:tcW w:w="13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$2.65</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$17.87</w:t>
            </w:r>
          </w:p>
        </w:tc>
        <w:tc>
          <w:tcPr>
            <w:tcW w:w="140" w:type="dxa"/>
            <w:vAlign w:val="bottom"/>
            <w:tcBorders>
              <w:bottom w:val="single" w:sz="8" w:color="auto"/>
              <w:right w:val="single" w:sz="8" w:color="auto"/>
            </w:tcBorders>
            <w:shd w:val="clear" w:color="auto" w:fill="EAEAEA"/>
          </w:tcPr>
          <w:p>
            <w:pPr>
              <w:spacing w:after="0"/>
              <w:rPr>
                <w:sz w:val="14"/>
                <w:szCs w:val="14"/>
                <w:color w:val="auto"/>
              </w:rPr>
            </w:pPr>
          </w:p>
        </w:tc>
        <w:tc>
          <w:tcPr>
            <w:tcW w:w="13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$14.55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29" w:lineRule="auto"/>
        <w:rPr>
          <w:sz w:val="20"/>
          <w:szCs w:val="20"/>
          <w:color w:val="auto"/>
        </w:rPr>
      </w:pPr>
      <w:r>
        <w:rPr>
          <w:rFonts w:ascii="Arial" w:cs="Arial" w:eastAsia="Arial" w:hAnsi="Arial"/>
          <w:sz w:val="10"/>
          <w:szCs w:val="10"/>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240"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"We are pleased with our 2019 performance, particularly our success in balancing and executing on multiple priorities as we grew membership, improved the quality and productivity of our operations, and continued to invest in the long-term," said Bruce D. Broussard, Humana’s President and Chief Executive Officer. "You’ll find evidence of these efforts in our improved Net Promoter Score - and in the related, and numerous, awards we received for customer experience. In addition, we had strong membership growth, with a record number of our members now in 4+ Star Plans. All the while, we made appreciable progress in advancing our technology, primary care and home strategies."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Summary of 4Q19 Results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GAAP and Adjusted EPS results for both the quarter and the year exceeded management's expectations driven by continued outperformance in the company's Medicare Advantage business.</w:t>
      </w:r>
    </w:p>
    <w:p>
      <w:pPr>
        <w:spacing w:after="0" w:line="148" w:lineRule="exact"/>
        <w:rPr>
          <w:sz w:val="20"/>
          <w:szCs w:val="20"/>
          <w:color w:val="auto"/>
        </w:rPr>
      </w:pPr>
    </w:p>
    <w:p>
      <w:pPr>
        <w:jc w:val="both"/>
        <w:ind w:right="40"/>
        <w:spacing w:after="0" w:line="249" w:lineRule="auto"/>
        <w:rPr>
          <w:sz w:val="20"/>
          <w:szCs w:val="20"/>
          <w:color w:val="auto"/>
        </w:rPr>
      </w:pPr>
      <w:r>
        <w:rPr>
          <w:rFonts w:ascii="Arial" w:cs="Arial" w:eastAsia="Arial" w:hAnsi="Arial"/>
          <w:sz w:val="13"/>
          <w:szCs w:val="13"/>
          <w:color w:val="auto"/>
        </w:rPr>
        <w:t>In year-over-year comparisons for both 4Q19 and FY 2019, the company's GAAP and Adjusted pretax income and EPS results were favorably impacted by the solid performance of the company's Medicare Advantage business and Healthcare Services segment, with further benefit from achieving significant operating cost efficiencies in 2019 as a result of previously implemented productivity initiatives. These year-over-year favorable impacts were partially offset by the strategic investments in the company's integrated care delivery model; the impact of higher compensation accruals for the Annual Incentive Plan (AIP) offered to employees across all levels of the company; lower Group and Specialty segment earnings; increased spending associated with the 2020 Medicare Annual Election Period (AEP); and the impact of workforce optimization.</w:t>
      </w:r>
    </w:p>
    <w:p>
      <w:pPr>
        <w:spacing w:after="0" w:line="134"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The year-over-year changes in GAAP and Adjusted EPS for 4Q19 and FY 2019 were further positively impacted by a lower tax rate primarily resulting from the suspension of the health insurance industry fee (HIF) in 2019, as well as a lower number of shares used to compute EPS, primarily reflective of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80"/>
          </w:cols>
          <w:pgMar w:left="220" w:top="507" w:right="19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Please refer to the tables above, as well as the consolidated and segment highlight sections that follow for additional discussion of the factors impacting the year-over-year comparisons.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In addition, below is a summary of key consolidated and segment statistics comparing 4Q19 to 4Q18 and FY 2019 to FY 2018.</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41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Humana Inc. Summary of Quarterly and YTD Results</w:t>
            </w:r>
          </w:p>
        </w:tc>
        <w:tc>
          <w:tcPr>
            <w:tcW w:w="1700" w:type="dxa"/>
            <w:vAlign w:val="bottom"/>
            <w:tcBorders>
              <w:top w:val="single" w:sz="8" w:color="auto"/>
            </w:tcBorders>
            <w:shd w:val="clear" w:color="auto" w:fill="EAEAEA"/>
          </w:tcPr>
          <w:p>
            <w:pPr>
              <w:spacing w:after="0"/>
              <w:rPr>
                <w:sz w:val="14"/>
                <w:szCs w:val="14"/>
                <w:color w:val="auto"/>
              </w:rPr>
            </w:pPr>
          </w:p>
        </w:tc>
        <w:tc>
          <w:tcPr>
            <w:tcW w:w="140" w:type="dxa"/>
            <w:vAlign w:val="bottom"/>
            <w:tcBorders>
              <w:top w:val="single" w:sz="8" w:color="auto"/>
              <w:right w:val="single" w:sz="8" w:color="auto"/>
            </w:tcBorders>
            <w:shd w:val="clear" w:color="auto" w:fill="EAEAEA"/>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shd w:val="clear" w:color="auto" w:fill="EAEAEA"/>
          </w:tcPr>
          <w:p>
            <w:pPr>
              <w:spacing w:after="0"/>
              <w:rPr>
                <w:sz w:val="14"/>
                <w:szCs w:val="14"/>
                <w:color w:val="auto"/>
              </w:rPr>
            </w:pPr>
          </w:p>
        </w:tc>
        <w:tc>
          <w:tcPr>
            <w:tcW w:w="1840" w:type="dxa"/>
            <w:vAlign w:val="bottom"/>
            <w:tcBorders>
              <w:top w:val="single" w:sz="8" w:color="auto"/>
              <w:right w:val="single" w:sz="8" w:color="auto"/>
            </w:tcBorders>
          </w:tcPr>
          <w:p>
            <w:pPr>
              <w:spacing w:after="0"/>
              <w:rPr>
                <w:sz w:val="14"/>
                <w:szCs w:val="14"/>
                <w:color w:val="auto"/>
              </w:rPr>
            </w:pPr>
          </w:p>
        </w:tc>
      </w:tr>
      <w:tr>
        <w:trPr>
          <w:trHeight w:val="136"/>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(dollars in millions, except per share amounts)</w:t>
            </w:r>
          </w:p>
        </w:tc>
        <w:tc>
          <w:tcPr>
            <w:tcW w:w="1840" w:type="dxa"/>
            <w:vAlign w:val="bottom"/>
            <w:tcBorders>
              <w:bottom w:val="single" w:sz="8" w:color="auto"/>
              <w:right w:val="single" w:sz="8" w:color="auto"/>
            </w:tcBorders>
            <w:gridSpan w:val="2"/>
            <w:shd w:val="clear" w:color="auto" w:fill="EAEAEA"/>
          </w:tcPr>
          <w:p>
            <w:pPr>
              <w:jc w:val="right"/>
              <w:ind w:right="720"/>
              <w:spacing w:after="0"/>
              <w:rPr>
                <w:sz w:val="20"/>
                <w:szCs w:val="20"/>
                <w:color w:val="auto"/>
              </w:rPr>
            </w:pPr>
            <w:r>
              <w:rPr>
                <w:rFonts w:ascii="Arial" w:cs="Arial" w:eastAsia="Arial" w:hAnsi="Arial"/>
                <w:sz w:val="11"/>
                <w:szCs w:val="11"/>
                <w:color w:val="auto"/>
              </w:rPr>
              <w:t>4Q19 (a)</w:t>
            </w:r>
          </w:p>
        </w:tc>
        <w:tc>
          <w:tcPr>
            <w:tcW w:w="1820" w:type="dxa"/>
            <w:vAlign w:val="bottom"/>
            <w:tcBorders>
              <w:bottom w:val="single" w:sz="8" w:color="auto"/>
              <w:right w:val="single" w:sz="8" w:color="auto"/>
            </w:tcBorders>
          </w:tcPr>
          <w:p>
            <w:pPr>
              <w:jc w:val="right"/>
              <w:ind w:right="666"/>
              <w:spacing w:after="0"/>
              <w:rPr>
                <w:sz w:val="20"/>
                <w:szCs w:val="20"/>
                <w:color w:val="auto"/>
              </w:rPr>
            </w:pPr>
            <w:r>
              <w:rPr>
                <w:rFonts w:ascii="Arial" w:cs="Arial" w:eastAsia="Arial" w:hAnsi="Arial"/>
                <w:sz w:val="11"/>
                <w:szCs w:val="11"/>
                <w:color w:val="auto"/>
              </w:rPr>
              <w:t>4Q18 (b)</w:t>
            </w:r>
          </w:p>
        </w:tc>
        <w:tc>
          <w:tcPr>
            <w:tcW w:w="1840" w:type="dxa"/>
            <w:vAlign w:val="bottom"/>
            <w:tcBorders>
              <w:bottom w:val="single" w:sz="8" w:color="auto"/>
              <w:right w:val="single" w:sz="8" w:color="auto"/>
            </w:tcBorders>
            <w:shd w:val="clear" w:color="auto" w:fill="EAEAEA"/>
          </w:tcPr>
          <w:p>
            <w:pPr>
              <w:jc w:val="right"/>
              <w:ind w:right="606"/>
              <w:spacing w:after="0"/>
              <w:rPr>
                <w:sz w:val="20"/>
                <w:szCs w:val="20"/>
                <w:color w:val="auto"/>
              </w:rPr>
            </w:pPr>
            <w:r>
              <w:rPr>
                <w:rFonts w:ascii="Arial" w:cs="Arial" w:eastAsia="Arial" w:hAnsi="Arial"/>
                <w:sz w:val="11"/>
                <w:szCs w:val="11"/>
                <w:color w:val="auto"/>
              </w:rPr>
              <w:t>FY 2019 (c)</w:t>
            </w:r>
          </w:p>
        </w:tc>
        <w:tc>
          <w:tcPr>
            <w:tcW w:w="1840" w:type="dxa"/>
            <w:vAlign w:val="bottom"/>
            <w:tcBorders>
              <w:bottom w:val="single" w:sz="8" w:color="auto"/>
              <w:right w:val="single" w:sz="8" w:color="auto"/>
            </w:tcBorders>
          </w:tcPr>
          <w:p>
            <w:pPr>
              <w:jc w:val="right"/>
              <w:ind w:right="606"/>
              <w:spacing w:after="0"/>
              <w:rPr>
                <w:sz w:val="20"/>
                <w:szCs w:val="20"/>
                <w:color w:val="auto"/>
              </w:rPr>
            </w:pPr>
            <w:r>
              <w:rPr>
                <w:rFonts w:ascii="Arial" w:cs="Arial" w:eastAsia="Arial" w:hAnsi="Arial"/>
                <w:sz w:val="11"/>
                <w:szCs w:val="11"/>
                <w:color w:val="auto"/>
              </w:rPr>
              <w:t>FY 2018 (d)</w:t>
            </w:r>
          </w:p>
        </w:tc>
      </w:tr>
      <w:tr>
        <w:trPr>
          <w:trHeight w:val="151"/>
        </w:trPr>
        <w:tc>
          <w:tcPr>
            <w:tcW w:w="416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Consolidated results:</w:t>
            </w:r>
          </w:p>
        </w:tc>
        <w:tc>
          <w:tcPr>
            <w:tcW w:w="1700" w:type="dxa"/>
            <w:vAlign w:val="bottom"/>
            <w:tcBorders>
              <w:bottom w:val="single" w:sz="8" w:color="auto"/>
            </w:tcBorders>
            <w:shd w:val="clear" w:color="auto" w:fill="EAEAEA"/>
          </w:tcPr>
          <w:p>
            <w:pPr>
              <w:spacing w:after="0"/>
              <w:rPr>
                <w:sz w:val="13"/>
                <w:szCs w:val="13"/>
                <w:color w:val="auto"/>
              </w:rPr>
            </w:pP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82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$16,295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$14,168</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$64,888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$56,912</w:t>
            </w:r>
          </w:p>
        </w:tc>
      </w:tr>
      <w:tr>
        <w:trPr>
          <w:trHeight w:val="169"/>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income - GAAP</w:t>
            </w:r>
          </w:p>
        </w:tc>
        <w:tc>
          <w:tcPr>
            <w:tcW w:w="1840" w:type="dxa"/>
            <w:vAlign w:val="bottom"/>
            <w:tcBorders>
              <w:bottom w:val="single" w:sz="8" w:color="auto"/>
              <w:right w:val="single" w:sz="8" w:color="auto"/>
            </w:tcBorders>
            <w:gridSpan w:val="2"/>
            <w:shd w:val="clear" w:color="auto" w:fill="EAEAEA"/>
          </w:tcPr>
          <w:p>
            <w:pPr>
              <w:jc w:val="right"/>
              <w:ind w:right="140"/>
              <w:spacing w:after="0"/>
              <w:rPr>
                <w:sz w:val="20"/>
                <w:szCs w:val="20"/>
                <w:color w:val="auto"/>
              </w:rPr>
            </w:pPr>
            <w:r>
              <w:rPr>
                <w:rFonts w:ascii="Arial" w:cs="Arial" w:eastAsia="Arial" w:hAnsi="Arial"/>
                <w:sz w:val="11"/>
                <w:szCs w:val="11"/>
                <w:color w:val="auto"/>
              </w:rPr>
              <w:t>$593</w:t>
            </w:r>
          </w:p>
        </w:tc>
        <w:tc>
          <w:tcPr>
            <w:tcW w:w="182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$436</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$3,456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$2,063</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income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$322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$480</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$3,067</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$2,898</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EPS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$3.84</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$2.58</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$20.10</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$12.16</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EPS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$2.28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$2.65</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$17.87</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$14.55</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86.6%</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83.4%</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85.6%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83.5%</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13.2%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11.5%</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13.3%</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Adjusted</w:t>
            </w:r>
          </w:p>
        </w:tc>
        <w:tc>
          <w:tcPr>
            <w:tcW w:w="18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13.2%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13.3%</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cash flows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$512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($333)</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$5,284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$2,173</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Parent company cash and short term investments</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$1,361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$578</w:t>
            </w: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Debt-to-total capitalization</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32.0%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37.4%</w:t>
            </w: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r>
      <w:tr>
        <w:trPr>
          <w:trHeight w:val="151"/>
        </w:trPr>
        <w:tc>
          <w:tcPr>
            <w:tcW w:w="416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Retail segment results:</w:t>
            </w:r>
          </w:p>
        </w:tc>
        <w:tc>
          <w:tcPr>
            <w:tcW w:w="17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82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$14,207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$12,036</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$56,466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$48,255</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86.3%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84.0%</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86.4%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85.1%</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11.6%</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12.9%</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11.1%</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$275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$339</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$2,235</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$1,733</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$279</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$343</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$2,251</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$1,752</w:t>
            </w:r>
          </w:p>
        </w:tc>
      </w:tr>
      <w:tr>
        <w:trPr>
          <w:trHeight w:val="151"/>
        </w:trPr>
        <w:tc>
          <w:tcPr>
            <w:tcW w:w="416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Group and Specialty segment results:</w:t>
            </w:r>
          </w:p>
        </w:tc>
        <w:tc>
          <w:tcPr>
            <w:tcW w:w="1700" w:type="dxa"/>
            <w:vAlign w:val="bottom"/>
            <w:tcBorders>
              <w:bottom w:val="single" w:sz="8" w:color="auto"/>
            </w:tcBorders>
            <w:shd w:val="clear" w:color="auto" w:fill="EAEAEA"/>
          </w:tcPr>
          <w:p>
            <w:pPr>
              <w:spacing w:after="0"/>
              <w:rPr>
                <w:sz w:val="13"/>
                <w:szCs w:val="13"/>
                <w:color w:val="auto"/>
              </w:rPr>
            </w:pP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82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$1,875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$1,909</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$7,525</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$7,679</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95.2%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84.6%</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86.0%</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79.7%</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22.4%</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23.9%</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23.6%</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(losses) earnings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($146)</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$361</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(losses) earnings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($145)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$32</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$366</w:t>
            </w:r>
          </w:p>
        </w:tc>
      </w:tr>
      <w:tr>
        <w:trPr>
          <w:trHeight w:val="151"/>
        </w:trPr>
        <w:tc>
          <w:tcPr>
            <w:tcW w:w="416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Healthcare Services segment results:</w:t>
            </w:r>
          </w:p>
        </w:tc>
        <w:tc>
          <w:tcPr>
            <w:tcW w:w="1700" w:type="dxa"/>
            <w:vAlign w:val="bottom"/>
            <w:tcBorders>
              <w:bottom w:val="single" w:sz="8" w:color="auto"/>
            </w:tcBorders>
            <w:shd w:val="clear" w:color="auto" w:fill="EAEAEA"/>
          </w:tcPr>
          <w:p>
            <w:pPr>
              <w:spacing w:after="0"/>
              <w:rPr>
                <w:sz w:val="13"/>
                <w:szCs w:val="13"/>
                <w:color w:val="auto"/>
              </w:rPr>
            </w:pPr>
          </w:p>
        </w:tc>
        <w:tc>
          <w:tcPr>
            <w:tcW w:w="140" w:type="dxa"/>
            <w:vAlign w:val="bottom"/>
            <w:tcBorders>
              <w:bottom w:val="single" w:sz="8" w:color="auto"/>
              <w:right w:val="single" w:sz="8" w:color="auto"/>
            </w:tcBorders>
            <w:shd w:val="clear" w:color="auto" w:fill="EAEAEA"/>
          </w:tcPr>
          <w:p>
            <w:pPr>
              <w:spacing w:after="0"/>
              <w:rPr>
                <w:sz w:val="13"/>
                <w:szCs w:val="13"/>
                <w:color w:val="auto"/>
              </w:rPr>
            </w:pPr>
          </w:p>
        </w:tc>
        <w:tc>
          <w:tcPr>
            <w:tcW w:w="182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c>
          <w:tcPr>
            <w:tcW w:w="1840" w:type="dxa"/>
            <w:vAlign w:val="bottom"/>
            <w:tcBorders>
              <w:bottom w:val="single" w:sz="8" w:color="auto"/>
              <w:right w:val="single" w:sz="8" w:color="auto"/>
            </w:tcBorders>
            <w:shd w:val="clear" w:color="auto" w:fill="EAEAEA"/>
          </w:tcPr>
          <w:p>
            <w:pPr>
              <w:spacing w:after="0"/>
              <w:rPr>
                <w:sz w:val="13"/>
                <w:szCs w:val="13"/>
                <w:color w:val="auto"/>
              </w:rPr>
            </w:pP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$6,696</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$6,191</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$25,783</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$23,811</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96.8%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96.8%</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96.4%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96.3%</w:t>
            </w:r>
          </w:p>
        </w:tc>
      </w:tr>
      <w:tr>
        <w:trPr>
          <w:trHeight w:val="151"/>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$178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$160</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$789</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$754</w:t>
            </w:r>
          </w:p>
        </w:tc>
      </w:tr>
      <w:tr>
        <w:trPr>
          <w:trHeight w:val="141"/>
        </w:trPr>
        <w:tc>
          <w:tcPr>
            <w:tcW w:w="4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Adjusted earnings before interest, taxes, depreciation and amortization (Adjusted</w:t>
            </w:r>
          </w:p>
        </w:tc>
        <w:tc>
          <w:tcPr>
            <w:tcW w:w="1700" w:type="dxa"/>
            <w:vAlign w:val="bottom"/>
            <w:shd w:val="clear" w:color="auto" w:fill="EAEAEA"/>
          </w:tcPr>
          <w:p>
            <w:pPr>
              <w:spacing w:after="0"/>
              <w:rPr>
                <w:sz w:val="12"/>
                <w:szCs w:val="12"/>
                <w:color w:val="auto"/>
              </w:rPr>
            </w:pPr>
          </w:p>
        </w:tc>
        <w:tc>
          <w:tcPr>
            <w:tcW w:w="140" w:type="dxa"/>
            <w:vAlign w:val="bottom"/>
            <w:tcBorders>
              <w:right w:val="single" w:sz="8" w:color="auto"/>
            </w:tcBorders>
            <w:shd w:val="clear" w:color="auto" w:fill="EAEAEA"/>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shd w:val="clear" w:color="auto" w:fill="EAEAEA"/>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r>
      <w:tr>
        <w:trPr>
          <w:trHeight w:val="136"/>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EBITDA) (e)</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1"/>
                <w:szCs w:val="11"/>
                <w:color w:val="auto"/>
              </w:rPr>
              <w:t>$241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$223</w:t>
            </w:r>
          </w:p>
        </w:tc>
        <w:tc>
          <w:tcPr>
            <w:tcW w:w="18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$1,056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2625725</wp:posOffset>
            </wp:positionH>
            <wp:positionV relativeFrom="paragraph">
              <wp:posOffset>-2584450</wp:posOffset>
            </wp:positionV>
            <wp:extent cx="116649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6495" cy="3257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-2584450</wp:posOffset>
            </wp:positionV>
            <wp:extent cx="116649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6495" cy="3257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-2040890</wp:posOffset>
            </wp:positionV>
            <wp:extent cx="1092200" cy="217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2200" cy="21717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-1715135</wp:posOffset>
            </wp:positionV>
            <wp:extent cx="1092200" cy="217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2200" cy="21717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-1715135</wp:posOffset>
            </wp:positionV>
            <wp:extent cx="1092200" cy="217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92200" cy="21717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-1062990</wp:posOffset>
            </wp:positionV>
            <wp:extent cx="1092200" cy="217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2200" cy="21717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-1062990</wp:posOffset>
            </wp:positionV>
            <wp:extent cx="1092200" cy="217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2200" cy="21717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80"/>
          </w:cols>
          <w:pgMar w:left="220" w:top="578" w:right="19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auto"/>
        </w:rPr>
        <w:t>2020 Earnings Guidance</w:t>
      </w:r>
    </w:p>
    <w:p>
      <w:pPr>
        <w:spacing w:after="0" w:line="163" w:lineRule="exact"/>
        <w:rPr>
          <w:sz w:val="20"/>
          <w:szCs w:val="20"/>
          <w:color w:val="auto"/>
        </w:rPr>
      </w:pPr>
    </w:p>
    <w:p>
      <w:pPr>
        <w:ind w:right="380"/>
        <w:spacing w:after="0" w:line="258" w:lineRule="auto"/>
        <w:rPr>
          <w:sz w:val="20"/>
          <w:szCs w:val="20"/>
          <w:color w:val="auto"/>
        </w:rPr>
      </w:pPr>
      <w:r>
        <w:rPr>
          <w:rFonts w:ascii="Arial" w:cs="Arial" w:eastAsia="Arial" w:hAnsi="Arial"/>
          <w:sz w:val="13"/>
          <w:szCs w:val="13"/>
          <w:color w:val="auto"/>
        </w:rPr>
        <w:t>The company provided its GAAP and Adjusted EPS guidance for the year ending December 31, 2020 (FY 2020) as detailed below. GAAP and Adjusted results for FY 2019 are also shown for comparison. Additional FY 2020 guidance points are included in the table beginning on page 20 of this earnings release.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8520" w:type="dxa"/>
            <w:vAlign w:val="bottom"/>
            <w:tcBorders>
              <w:top w:val="single" w:sz="8" w:color="auto"/>
              <w:left w:val="single" w:sz="8" w:color="auto"/>
              <w:right w:val="single" w:sz="8" w:color="auto"/>
            </w:tcBorders>
            <w:shd w:val="clear" w:color="auto" w:fill="EAEAEA"/>
          </w:tcPr>
          <w:p>
            <w:pPr>
              <w:spacing w:after="0"/>
              <w:rPr>
                <w:sz w:val="10"/>
                <w:szCs w:val="10"/>
                <w:color w:val="auto"/>
              </w:rPr>
            </w:pPr>
          </w:p>
        </w:tc>
        <w:tc>
          <w:tcPr>
            <w:tcW w:w="1500" w:type="dxa"/>
            <w:vAlign w:val="bottom"/>
            <w:tcBorders>
              <w:top w:val="single" w:sz="8" w:color="auto"/>
              <w:right w:val="single" w:sz="8" w:color="auto"/>
            </w:tcBorders>
            <w:shd w:val="clear" w:color="auto" w:fill="EAEAEA"/>
          </w:tcPr>
          <w:p>
            <w:pPr>
              <w:jc w:val="right"/>
              <w:ind w:right="528"/>
              <w:spacing w:after="0"/>
              <w:rPr>
                <w:sz w:val="20"/>
                <w:szCs w:val="20"/>
                <w:color w:val="auto"/>
              </w:rPr>
            </w:pPr>
            <w:r>
              <w:rPr>
                <w:rFonts w:ascii="Arial" w:cs="Arial" w:eastAsia="Arial" w:hAnsi="Arial"/>
                <w:sz w:val="10"/>
                <w:szCs w:val="10"/>
                <w:b w:val="1"/>
                <w:bCs w:val="1"/>
                <w:color w:val="auto"/>
              </w:rPr>
              <w:t>FY 2020</w:t>
            </w:r>
          </w:p>
        </w:tc>
        <w:tc>
          <w:tcPr>
            <w:tcW w:w="1480" w:type="dxa"/>
            <w:vAlign w:val="bottom"/>
            <w:tcBorders>
              <w:top w:val="single" w:sz="8" w:color="auto"/>
              <w:right w:val="single" w:sz="8" w:color="auto"/>
            </w:tcBorders>
          </w:tcPr>
          <w:p>
            <w:pPr>
              <w:spacing w:after="0"/>
              <w:rPr>
                <w:sz w:val="10"/>
                <w:szCs w:val="10"/>
                <w:color w:val="auto"/>
              </w:rPr>
            </w:pPr>
          </w:p>
        </w:tc>
      </w:tr>
      <w:tr>
        <w:trPr>
          <w:trHeight w:val="131"/>
        </w:trPr>
        <w:tc>
          <w:tcPr>
            <w:tcW w:w="8520" w:type="dxa"/>
            <w:vAlign w:val="bottom"/>
            <w:tcBorders>
              <w:left w:val="single" w:sz="8" w:color="auto"/>
              <w:bottom w:val="single" w:sz="8" w:color="auto"/>
              <w:right w:val="single" w:sz="8" w:color="auto"/>
            </w:tcBorders>
            <w:shd w:val="clear" w:color="auto" w:fill="EAEAEA"/>
          </w:tcPr>
          <w:p>
            <w:pPr>
              <w:ind w:left="3420"/>
              <w:spacing w:after="0"/>
              <w:rPr>
                <w:sz w:val="20"/>
                <w:szCs w:val="20"/>
                <w:color w:val="auto"/>
              </w:rPr>
            </w:pPr>
            <w:r>
              <w:rPr>
                <w:rFonts w:ascii="Arial" w:cs="Arial" w:eastAsia="Arial" w:hAnsi="Arial"/>
                <w:sz w:val="10"/>
                <w:szCs w:val="10"/>
                <w:b w:val="1"/>
                <w:bCs w:val="1"/>
                <w:color w:val="auto"/>
              </w:rPr>
              <w:t>Diluted earnings per common share</w:t>
            </w:r>
          </w:p>
        </w:tc>
        <w:tc>
          <w:tcPr>
            <w:tcW w:w="1500" w:type="dxa"/>
            <w:vAlign w:val="bottom"/>
            <w:tcBorders>
              <w:bottom w:val="single" w:sz="8" w:color="auto"/>
              <w:right w:val="single" w:sz="8" w:color="auto"/>
            </w:tcBorders>
            <w:shd w:val="clear" w:color="auto" w:fill="EAEAEA"/>
          </w:tcPr>
          <w:p>
            <w:pPr>
              <w:jc w:val="right"/>
              <w:ind w:right="428"/>
              <w:spacing w:after="0"/>
              <w:rPr>
                <w:sz w:val="20"/>
                <w:szCs w:val="20"/>
                <w:color w:val="auto"/>
              </w:rPr>
            </w:pPr>
            <w:r>
              <w:rPr>
                <w:rFonts w:ascii="Arial" w:cs="Arial" w:eastAsia="Arial" w:hAnsi="Arial"/>
                <w:sz w:val="10"/>
                <w:szCs w:val="10"/>
                <w:b w:val="1"/>
                <w:bCs w:val="1"/>
                <w:color w:val="auto"/>
              </w:rPr>
              <w:t>Guidance (f)</w:t>
            </w:r>
          </w:p>
        </w:tc>
        <w:tc>
          <w:tcPr>
            <w:tcW w:w="1480" w:type="dxa"/>
            <w:vAlign w:val="bottom"/>
            <w:tcBorders>
              <w:bottom w:val="single" w:sz="8" w:color="auto"/>
              <w:right w:val="single" w:sz="8" w:color="auto"/>
            </w:tcBorders>
          </w:tcPr>
          <w:p>
            <w:pPr>
              <w:jc w:val="right"/>
              <w:ind w:right="447"/>
              <w:spacing w:after="0"/>
              <w:rPr>
                <w:sz w:val="20"/>
                <w:szCs w:val="20"/>
                <w:color w:val="auto"/>
              </w:rPr>
            </w:pPr>
            <w:r>
              <w:rPr>
                <w:rFonts w:ascii="Arial" w:cs="Arial" w:eastAsia="Arial" w:hAnsi="Arial"/>
                <w:sz w:val="10"/>
                <w:szCs w:val="10"/>
                <w:color w:val="auto"/>
              </w:rPr>
              <w:t>FY 2019 (c)</w:t>
            </w:r>
          </w:p>
        </w:tc>
      </w:tr>
      <w:tr>
        <w:trPr>
          <w:trHeight w:val="167"/>
        </w:trPr>
        <w:tc>
          <w:tcPr>
            <w:tcW w:w="8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50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b w:val="1"/>
                <w:bCs w:val="1"/>
                <w:color w:val="auto"/>
              </w:rPr>
              <w:t>$17.76 to $18.26</w:t>
            </w:r>
          </w:p>
        </w:tc>
        <w:tc>
          <w:tcPr>
            <w:tcW w:w="14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$20.10</w:t>
            </w:r>
          </w:p>
        </w:tc>
      </w:tr>
      <w:tr>
        <w:trPr>
          <w:trHeight w:val="151"/>
        </w:trPr>
        <w:tc>
          <w:tcPr>
            <w:tcW w:w="8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of identifiable intangibles</w:t>
            </w:r>
          </w:p>
        </w:tc>
        <w:tc>
          <w:tcPr>
            <w:tcW w:w="150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color w:val="auto"/>
              </w:rPr>
              <w:t>0.49</w:t>
            </w:r>
          </w:p>
        </w:tc>
        <w:tc>
          <w:tcPr>
            <w:tcW w:w="14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0.40</w:t>
            </w:r>
          </w:p>
        </w:tc>
      </w:tr>
      <w:tr>
        <w:trPr>
          <w:trHeight w:val="151"/>
        </w:trPr>
        <w:tc>
          <w:tcPr>
            <w:tcW w:w="8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40% minority interest in Kindred at Home</w:t>
            </w:r>
          </w:p>
        </w:tc>
        <w:tc>
          <w:tcPr>
            <w:tcW w:w="150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color w:val="auto"/>
              </w:rPr>
              <w:t>-</w:t>
            </w:r>
          </w:p>
        </w:tc>
        <w:tc>
          <w:tcPr>
            <w:tcW w:w="148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(2.89)</w:t>
            </w:r>
          </w:p>
        </w:tc>
      </w:tr>
      <w:tr>
        <w:trPr>
          <w:trHeight w:val="151"/>
        </w:trPr>
        <w:tc>
          <w:tcPr>
            <w:tcW w:w="8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50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color w:val="auto"/>
              </w:rPr>
              <w:t>-</w:t>
            </w:r>
          </w:p>
        </w:tc>
        <w:tc>
          <w:tcPr>
            <w:tcW w:w="14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0.26</w:t>
            </w:r>
          </w:p>
        </w:tc>
      </w:tr>
      <w:tr>
        <w:trPr>
          <w:trHeight w:val="169"/>
        </w:trPr>
        <w:tc>
          <w:tcPr>
            <w:tcW w:w="8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 – FY 2020 projected; FY 2019 reported</w:t>
            </w:r>
          </w:p>
        </w:tc>
        <w:tc>
          <w:tcPr>
            <w:tcW w:w="1500" w:type="dxa"/>
            <w:vAlign w:val="bottom"/>
            <w:tcBorders>
              <w:bottom w:val="single" w:sz="8" w:color="auto"/>
              <w:right w:val="single" w:sz="8" w:color="auto"/>
            </w:tcBorders>
            <w:shd w:val="clear" w:color="auto" w:fill="EAEAEA"/>
          </w:tcPr>
          <w:p>
            <w:pPr>
              <w:jc w:val="right"/>
              <w:ind w:right="88"/>
              <w:spacing w:after="0"/>
              <w:rPr>
                <w:sz w:val="20"/>
                <w:szCs w:val="20"/>
                <w:color w:val="auto"/>
              </w:rPr>
            </w:pPr>
            <w:r>
              <w:rPr>
                <w:rFonts w:ascii="Arial" w:cs="Arial" w:eastAsia="Arial" w:hAnsi="Arial"/>
                <w:sz w:val="11"/>
                <w:szCs w:val="11"/>
                <w:b w:val="1"/>
                <w:bCs w:val="1"/>
                <w:color w:val="auto"/>
              </w:rPr>
              <w:t>$18.25 to 18.75</w:t>
            </w:r>
          </w:p>
        </w:tc>
        <w:tc>
          <w:tcPr>
            <w:tcW w:w="14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$17.87</w:t>
            </w:r>
          </w:p>
        </w:tc>
      </w:tr>
    </w:tbl>
    <w:p>
      <w:pPr>
        <w:spacing w:after="0" w:line="286"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"We enter 2020 with positive momentum from strong 2019 results and industry-leading individual Medicare Advantage membership growth," said Brian A. Kane, Chief Financial Officer. “Seniors are increasingly choosing Medicare Advantage plans, and Humana’s value proposition, consumer orientation and strong brand resonate in the market as we work to drive better clinical outcomes for our members supporting our strong earnings growth and reinvestment in our products. We expect 2020 to be another good year for the company with solid top and bottom line growth notwithstanding the return of the health insurance industry fee."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 Consolidated Highlights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revenues</w:t>
      </w:r>
    </w:p>
    <w:p>
      <w:pPr>
        <w:spacing w:after="0" w:line="165" w:lineRule="exact"/>
        <w:rPr>
          <w:sz w:val="20"/>
          <w:szCs w:val="20"/>
          <w:color w:val="auto"/>
        </w:rPr>
      </w:pPr>
    </w:p>
    <w:p>
      <w:pPr>
        <w:ind w:right="140"/>
        <w:spacing w:after="0" w:line="250" w:lineRule="auto"/>
        <w:rPr>
          <w:sz w:val="20"/>
          <w:szCs w:val="20"/>
          <w:color w:val="auto"/>
        </w:rPr>
      </w:pPr>
      <w:r>
        <w:rPr>
          <w:rFonts w:ascii="Arial" w:cs="Arial" w:eastAsia="Arial" w:hAnsi="Arial"/>
          <w:sz w:val="13"/>
          <w:szCs w:val="13"/>
          <w:color w:val="auto"/>
        </w:rPr>
        <w:t>GAAP consolidated revenues for 4Q19 were $16.30 billion, an increase of $2.13 billion, or 15 percent, from $14.17 billion in 4Q18. Total premiums and services revenues of $16.15 billion in 4Q19 increased $2.07 billion, or 15 percent, from $14.07 billion in 4Q18. The favorable year-over-year comparisons were primarily driven by higher premium revenues from the company’s Medicare Advantage business resulting from membership growth and higher per member premiums associated with individual Medicare Advantage. These increases were partially offset by the impact of declining stand-alone PDP membership year-over-year, as well as lower Group and Specialty segment revenues as further discussed below.</w:t>
      </w:r>
    </w:p>
    <w:p>
      <w:pPr>
        <w:spacing w:after="0" w:line="134" w:lineRule="exact"/>
        <w:rPr>
          <w:sz w:val="20"/>
          <w:szCs w:val="20"/>
          <w:color w:val="auto"/>
        </w:rPr>
      </w:pPr>
    </w:p>
    <w:p>
      <w:pPr>
        <w:ind w:right="360"/>
        <w:spacing w:after="0" w:line="258" w:lineRule="auto"/>
        <w:rPr>
          <w:sz w:val="20"/>
          <w:szCs w:val="20"/>
          <w:color w:val="auto"/>
        </w:rPr>
      </w:pPr>
      <w:r>
        <w:rPr>
          <w:rFonts w:ascii="Arial" w:cs="Arial" w:eastAsia="Arial" w:hAnsi="Arial"/>
          <w:sz w:val="13"/>
          <w:szCs w:val="13"/>
          <w:color w:val="auto"/>
        </w:rPr>
        <w:t>GAAP consolidated revenues for FY 2019 increased $7.98 billion, or 14 percent, to $64.89 billion from $56.91 billion in FY 2018. Total premiums and services revenues rose to $64.39 billion, increasing $7.99 billion, or 14 percent, from $56.40 billion in the prior-year period. The FY 2019 increases were primarily driven by the same factors impacting the quarterly GAAP comparison.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benefits expense</w:t>
      </w:r>
    </w:p>
    <w:p>
      <w:pPr>
        <w:spacing w:after="0" w:line="165"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The 4Q19 GAAP consolidated benefit ratio of 86.6 percent increased 320 basis points from the 4Q18 GAAP consolidated benefit ratio of 83.4 percent. The year-over-year comparison of the ratio was unfavorably impacted by the following factors:</w:t>
      </w:r>
    </w:p>
    <w:p>
      <w:pPr>
        <w:spacing w:after="0" w:line="129" w:lineRule="exact"/>
        <w:rPr>
          <w:sz w:val="20"/>
          <w:szCs w:val="20"/>
          <w:color w:val="auto"/>
        </w:rPr>
      </w:pPr>
    </w:p>
    <w:p>
      <w:pPr>
        <w:ind w:left="920" w:hanging="225"/>
        <w:spacing w:after="0"/>
        <w:tabs>
          <w:tab w:leader="none" w:pos="9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suspension of the HIF in 2019 which was contemplated in the pricing and benefit design of the company's products,</w:t>
      </w:r>
    </w:p>
    <w:p>
      <w:pPr>
        <w:spacing w:after="0" w:line="147" w:lineRule="exact"/>
        <w:rPr>
          <w:rFonts w:ascii="Arial" w:cs="Arial" w:eastAsia="Arial" w:hAnsi="Arial"/>
          <w:sz w:val="13"/>
          <w:szCs w:val="13"/>
          <w:color w:val="auto"/>
        </w:rPr>
      </w:pPr>
    </w:p>
    <w:p>
      <w:pPr>
        <w:ind w:left="920" w:hanging="225"/>
        <w:spacing w:after="0"/>
        <w:tabs>
          <w:tab w:leader="none" w:pos="9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lower favorable prior period medical claims reserve development (Prior Period Development),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80"/>
          </w:cols>
          <w:pgMar w:left="220" w:top="562" w:right="199" w:bottom="1440" w:gutter="0" w:footer="0" w:header="0"/>
        </w:sectPr>
      </w:pPr>
    </w:p>
    <w:bookmarkStart w:id="15" w:name="page16"/>
    <w:bookmarkEnd w:id="15"/>
    <w:p>
      <w:pPr>
        <w:ind w:left="920" w:hanging="225"/>
        <w:spacing w:after="0"/>
        <w:tabs>
          <w:tab w:leader="none" w:pos="9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increase in the Group and Specialty benefit ratio year over year as discussed in the segment highlights that follow, and</w:t>
      </w:r>
    </w:p>
    <w:p>
      <w:pPr>
        <w:spacing w:after="0" w:line="111" w:lineRule="exact"/>
        <w:rPr>
          <w:rFonts w:ascii="Arial" w:cs="Arial" w:eastAsia="Arial" w:hAnsi="Arial"/>
          <w:sz w:val="13"/>
          <w:szCs w:val="13"/>
          <w:color w:val="auto"/>
        </w:rPr>
      </w:pPr>
    </w:p>
    <w:p>
      <w:pPr>
        <w:ind w:left="920" w:right="180" w:hanging="225"/>
        <w:spacing w:after="0" w:line="258" w:lineRule="auto"/>
        <w:tabs>
          <w:tab w:leader="none" w:pos="9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shift in Medicare membership mix due to the loss of stand-alone PDP members and significant growth in Medicare Advantage members. The benefit ratio for stand-alone PDP members generally decreases as the year progresses.</w:t>
      </w:r>
    </w:p>
    <w:p>
      <w:pPr>
        <w:spacing w:after="0" w:line="200" w:lineRule="exact"/>
        <w:rPr>
          <w:sz w:val="20"/>
          <w:szCs w:val="20"/>
          <w:color w:val="auto"/>
        </w:rPr>
      </w:pPr>
    </w:p>
    <w:p>
      <w:pPr>
        <w:spacing w:after="0" w:line="226" w:lineRule="exact"/>
        <w:rPr>
          <w:sz w:val="20"/>
          <w:szCs w:val="20"/>
          <w:color w:val="auto"/>
        </w:rPr>
      </w:pPr>
    </w:p>
    <w:p>
      <w:pPr>
        <w:ind w:left="920" w:hanging="225"/>
        <w:spacing w:after="0"/>
        <w:tabs>
          <w:tab w:leader="none" w:pos="9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engaging the company's Medicare Advantage members in clinical programs, as well as ensuring they are appropriately documented under the CMS risk-adjustment model; and</w:t>
      </w:r>
    </w:p>
    <w:p>
      <w:pPr>
        <w:spacing w:after="0" w:line="147" w:lineRule="exact"/>
        <w:rPr>
          <w:rFonts w:ascii="Arial" w:cs="Arial" w:eastAsia="Arial" w:hAnsi="Arial"/>
          <w:sz w:val="13"/>
          <w:szCs w:val="13"/>
          <w:color w:val="auto"/>
        </w:rPr>
      </w:pPr>
    </w:p>
    <w:p>
      <w:pPr>
        <w:ind w:left="920" w:hanging="225"/>
        <w:spacing w:after="0"/>
        <w:tabs>
          <w:tab w:leader="none" w:pos="9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lower than expected medical costs as compared to the assumptions used in the pricing of the company's individual Medicare Advantage business for 2019.</w:t>
      </w:r>
    </w:p>
    <w:p>
      <w:pPr>
        <w:spacing w:after="0" w:line="148"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The GAAP consolidated benefit ratio for FY 2019 of 85.6 percent increased 210 basis points from the FY 2018 GAAP consolidated benefit ratio of 83.5 percent. The year-over-year increase was unfavorably impacted by the same factors affecting the quarterly GAAP comparison described above.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680" w:type="dxa"/>
            <w:vAlign w:val="bottom"/>
            <w:tcBorders>
              <w:top w:val="single" w:sz="8" w:color="auto"/>
              <w:left w:val="single" w:sz="8" w:color="auto"/>
              <w:right w:val="single" w:sz="8" w:color="auto"/>
            </w:tcBorders>
          </w:tcPr>
          <w:p>
            <w:pPr>
              <w:spacing w:after="0"/>
              <w:rPr>
                <w:sz w:val="12"/>
                <w:szCs w:val="12"/>
                <w:color w:val="auto"/>
              </w:rPr>
            </w:pPr>
          </w:p>
        </w:tc>
        <w:tc>
          <w:tcPr>
            <w:tcW w:w="1620" w:type="dxa"/>
            <w:vAlign w:val="bottom"/>
            <w:tcBorders>
              <w:top w:val="single" w:sz="8" w:color="auto"/>
              <w:bottom w:val="single" w:sz="8" w:color="auto"/>
              <w:right w:val="single" w:sz="8" w:color="EAEAEA"/>
            </w:tcBorders>
            <w:shd w:val="clear" w:color="auto" w:fill="EAEAEA"/>
          </w:tcPr>
          <w:p>
            <w:pPr>
              <w:spacing w:after="0"/>
              <w:rPr>
                <w:sz w:val="12"/>
                <w:szCs w:val="12"/>
                <w:color w:val="auto"/>
              </w:rPr>
            </w:pPr>
          </w:p>
        </w:tc>
        <w:tc>
          <w:tcPr>
            <w:tcW w:w="1600" w:type="dxa"/>
            <w:vAlign w:val="bottom"/>
            <w:tcBorders>
              <w:top w:val="single" w:sz="8" w:color="auto"/>
              <w:bottom w:val="single" w:sz="8" w:color="auto"/>
              <w:right w:val="single" w:sz="8" w:color="EAEAEA"/>
            </w:tcBorders>
            <w:shd w:val="clear" w:color="auto" w:fill="EAEAEA"/>
          </w:tcPr>
          <w:p>
            <w:pPr>
              <w:jc w:val="center"/>
              <w:spacing w:after="0"/>
              <w:rPr>
                <w:sz w:val="20"/>
                <w:szCs w:val="20"/>
                <w:color w:val="auto"/>
              </w:rPr>
            </w:pPr>
            <w:r>
              <w:rPr>
                <w:rFonts w:ascii="Arial" w:cs="Arial" w:eastAsia="Arial" w:hAnsi="Arial"/>
                <w:sz w:val="10"/>
                <w:szCs w:val="10"/>
                <w:b w:val="1"/>
                <w:bCs w:val="1"/>
                <w:color w:val="auto"/>
                <w:w w:val="96"/>
              </w:rPr>
              <w:t>Fourth Quarter</w:t>
            </w:r>
          </w:p>
        </w:tc>
        <w:tc>
          <w:tcPr>
            <w:tcW w:w="1600" w:type="dxa"/>
            <w:vAlign w:val="bottom"/>
            <w:tcBorders>
              <w:top w:val="single" w:sz="8" w:color="auto"/>
              <w:bottom w:val="single" w:sz="8" w:color="auto"/>
              <w:right w:val="single" w:sz="8" w:color="auto"/>
            </w:tcBorders>
            <w:shd w:val="clear" w:color="auto" w:fill="EAEAEA"/>
          </w:tcPr>
          <w:p>
            <w:pPr>
              <w:spacing w:after="0"/>
              <w:rPr>
                <w:sz w:val="12"/>
                <w:szCs w:val="12"/>
                <w:color w:val="auto"/>
              </w:rPr>
            </w:pPr>
          </w:p>
        </w:tc>
      </w:tr>
      <w:tr>
        <w:trPr>
          <w:trHeight w:val="138"/>
        </w:trPr>
        <w:tc>
          <w:tcPr>
            <w:tcW w:w="6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 xml:space="preserve">Consolidated Prior Period Development </w:t>
            </w:r>
            <w:r>
              <w:rPr>
                <w:rFonts w:ascii="Arial" w:cs="Arial" w:eastAsia="Arial" w:hAnsi="Arial"/>
                <w:sz w:val="10"/>
                <w:szCs w:val="10"/>
                <w:i w:val="1"/>
                <w:iCs w:val="1"/>
                <w:color w:val="auto"/>
              </w:rPr>
              <w:t>(in millions)</w:t>
            </w:r>
          </w:p>
        </w:tc>
        <w:tc>
          <w:tcPr>
            <w:tcW w:w="1620" w:type="dxa"/>
            <w:vAlign w:val="bottom"/>
            <w:tcBorders>
              <w:right w:val="single" w:sz="8" w:color="auto"/>
            </w:tcBorders>
          </w:tcPr>
          <w:p>
            <w:pPr>
              <w:jc w:val="right"/>
              <w:ind w:right="546"/>
              <w:spacing w:after="0"/>
              <w:rPr>
                <w:sz w:val="20"/>
                <w:szCs w:val="20"/>
                <w:color w:val="auto"/>
              </w:rPr>
            </w:pPr>
            <w:r>
              <w:rPr>
                <w:rFonts w:ascii="Arial" w:cs="Arial" w:eastAsia="Arial" w:hAnsi="Arial"/>
                <w:sz w:val="11"/>
                <w:szCs w:val="11"/>
                <w:color w:val="auto"/>
              </w:rPr>
              <w:t>Individual</w:t>
            </w: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shd w:val="clear" w:color="auto" w:fill="EAEAEA"/>
          </w:tcPr>
          <w:p>
            <w:pPr>
              <w:spacing w:after="0"/>
              <w:rPr>
                <w:sz w:val="12"/>
                <w:szCs w:val="12"/>
                <w:color w:val="auto"/>
              </w:rPr>
            </w:pPr>
          </w:p>
        </w:tc>
      </w:tr>
      <w:tr>
        <w:trPr>
          <w:trHeight w:val="139"/>
        </w:trPr>
        <w:tc>
          <w:tcPr>
            <w:tcW w:w="6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Favorable (unfavorable)</w:t>
            </w:r>
          </w:p>
        </w:tc>
        <w:tc>
          <w:tcPr>
            <w:tcW w:w="1620" w:type="dxa"/>
            <w:vAlign w:val="bottom"/>
            <w:tcBorders>
              <w:bottom w:val="single" w:sz="8" w:color="auto"/>
              <w:right w:val="single" w:sz="8" w:color="auto"/>
            </w:tcBorders>
          </w:tcPr>
          <w:p>
            <w:pPr>
              <w:jc w:val="right"/>
              <w:ind w:right="486"/>
              <w:spacing w:after="0"/>
              <w:rPr>
                <w:sz w:val="20"/>
                <w:szCs w:val="20"/>
                <w:color w:val="auto"/>
              </w:rPr>
            </w:pPr>
            <w:r>
              <w:rPr>
                <w:rFonts w:ascii="Arial" w:cs="Arial" w:eastAsia="Arial" w:hAnsi="Arial"/>
                <w:sz w:val="11"/>
                <w:szCs w:val="11"/>
                <w:color w:val="auto"/>
              </w:rPr>
              <w:t>Commercial</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All Other</w:t>
            </w:r>
          </w:p>
        </w:tc>
        <w:tc>
          <w:tcPr>
            <w:tcW w:w="1600" w:type="dxa"/>
            <w:vAlign w:val="bottom"/>
            <w:tcBorders>
              <w:bottom w:val="single" w:sz="8" w:color="auto"/>
              <w:right w:val="single" w:sz="8" w:color="auto"/>
            </w:tcBorders>
            <w:shd w:val="clear" w:color="auto" w:fill="EAEAEA"/>
          </w:tcPr>
          <w:p>
            <w:pPr>
              <w:jc w:val="right"/>
              <w:ind w:right="647"/>
              <w:spacing w:after="0"/>
              <w:rPr>
                <w:sz w:val="20"/>
                <w:szCs w:val="20"/>
                <w:color w:val="auto"/>
              </w:rPr>
            </w:pPr>
            <w:r>
              <w:rPr>
                <w:rFonts w:ascii="Arial" w:cs="Arial" w:eastAsia="Arial" w:hAnsi="Arial"/>
                <w:sz w:val="10"/>
                <w:szCs w:val="10"/>
                <w:b w:val="1"/>
                <w:bCs w:val="1"/>
                <w:color w:val="auto"/>
              </w:rPr>
              <w:t>Total</w:t>
            </w:r>
          </w:p>
        </w:tc>
      </w:tr>
      <w:tr>
        <w:trPr>
          <w:trHeight w:val="167"/>
        </w:trPr>
        <w:tc>
          <w:tcPr>
            <w:tcW w:w="6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Prior Period Development from prior years recognized in 4Q19</w:t>
            </w:r>
          </w:p>
        </w:tc>
        <w:tc>
          <w:tcPr>
            <w:tcW w:w="162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160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1"/>
                <w:szCs w:val="11"/>
                <w:b w:val="1"/>
                <w:bCs w:val="1"/>
                <w:color w:val="auto"/>
              </w:rPr>
              <w:t>$5</w:t>
            </w:r>
          </w:p>
        </w:tc>
        <w:tc>
          <w:tcPr>
            <w:tcW w:w="160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$5</w:t>
            </w:r>
          </w:p>
        </w:tc>
      </w:tr>
      <w:tr>
        <w:trPr>
          <w:trHeight w:val="169"/>
        </w:trPr>
        <w:tc>
          <w:tcPr>
            <w:tcW w:w="6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Prior Period Development from prior years recognized in 4Q18</w:t>
            </w:r>
          </w:p>
        </w:tc>
        <w:tc>
          <w:tcPr>
            <w:tcW w:w="16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($2)</w:t>
            </w:r>
          </w:p>
        </w:tc>
        <w:tc>
          <w:tcPr>
            <w:tcW w:w="160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1"/>
                <w:szCs w:val="11"/>
                <w:color w:val="auto"/>
              </w:rPr>
              <w:t>$38</w:t>
            </w:r>
          </w:p>
        </w:tc>
        <w:tc>
          <w:tcPr>
            <w:tcW w:w="160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color w:val="auto"/>
              </w:rPr>
              <w:t>$36</w:t>
            </w:r>
          </w:p>
        </w:tc>
      </w:tr>
      <w:tr>
        <w:trPr>
          <w:trHeight w:val="136"/>
        </w:trPr>
        <w:tc>
          <w:tcPr>
            <w:tcW w:w="6680" w:type="dxa"/>
            <w:vAlign w:val="bottom"/>
            <w:tcBorders>
              <w:left w:val="single" w:sz="8" w:color="auto"/>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EAEAEA"/>
            </w:tcBorders>
            <w:shd w:val="clear" w:color="auto" w:fill="EAEAEA"/>
          </w:tcPr>
          <w:p>
            <w:pPr>
              <w:spacing w:after="0"/>
              <w:rPr>
                <w:sz w:val="11"/>
                <w:szCs w:val="11"/>
                <w:color w:val="auto"/>
              </w:rPr>
            </w:pPr>
          </w:p>
        </w:tc>
        <w:tc>
          <w:tcPr>
            <w:tcW w:w="1600" w:type="dxa"/>
            <w:vAlign w:val="bottom"/>
            <w:tcBorders>
              <w:bottom w:val="single" w:sz="8" w:color="auto"/>
              <w:right w:val="single" w:sz="8" w:color="EAEAEA"/>
            </w:tcBorders>
            <w:shd w:val="clear" w:color="auto" w:fill="EAEAEA"/>
          </w:tcPr>
          <w:p>
            <w:pPr>
              <w:jc w:val="center"/>
              <w:spacing w:after="0"/>
              <w:rPr>
                <w:sz w:val="20"/>
                <w:szCs w:val="20"/>
                <w:color w:val="auto"/>
              </w:rPr>
            </w:pPr>
            <w:r>
              <w:rPr>
                <w:rFonts w:ascii="Arial" w:cs="Arial" w:eastAsia="Arial" w:hAnsi="Arial"/>
                <w:sz w:val="10"/>
                <w:szCs w:val="10"/>
                <w:b w:val="1"/>
                <w:bCs w:val="1"/>
                <w:color w:val="auto"/>
                <w:w w:val="94"/>
              </w:rPr>
              <w:t>Full Year</w:t>
            </w:r>
          </w:p>
        </w:tc>
        <w:tc>
          <w:tcPr>
            <w:tcW w:w="1600" w:type="dxa"/>
            <w:vAlign w:val="bottom"/>
            <w:tcBorders>
              <w:bottom w:val="single" w:sz="8" w:color="auto"/>
              <w:right w:val="single" w:sz="8" w:color="auto"/>
            </w:tcBorders>
            <w:shd w:val="clear" w:color="auto" w:fill="EAEAEA"/>
          </w:tcPr>
          <w:p>
            <w:pPr>
              <w:spacing w:after="0"/>
              <w:rPr>
                <w:sz w:val="11"/>
                <w:szCs w:val="11"/>
                <w:color w:val="auto"/>
              </w:rPr>
            </w:pPr>
          </w:p>
        </w:tc>
      </w:tr>
      <w:tr>
        <w:trPr>
          <w:trHeight w:val="167"/>
        </w:trPr>
        <w:tc>
          <w:tcPr>
            <w:tcW w:w="6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Prior Period Development from prior years recognized in FY 2019</w:t>
            </w:r>
          </w:p>
        </w:tc>
        <w:tc>
          <w:tcPr>
            <w:tcW w:w="162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160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1"/>
                <w:szCs w:val="11"/>
                <w:b w:val="1"/>
                <w:bCs w:val="1"/>
                <w:color w:val="auto"/>
              </w:rPr>
              <w:t>$336</w:t>
            </w:r>
          </w:p>
        </w:tc>
        <w:tc>
          <w:tcPr>
            <w:tcW w:w="160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$336</w:t>
            </w:r>
          </w:p>
        </w:tc>
      </w:tr>
      <w:tr>
        <w:trPr>
          <w:trHeight w:val="169"/>
        </w:trPr>
        <w:tc>
          <w:tcPr>
            <w:tcW w:w="6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Prior Period Development from prior years recognized in FY 2018</w:t>
            </w:r>
          </w:p>
        </w:tc>
        <w:tc>
          <w:tcPr>
            <w:tcW w:w="162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$56</w:t>
            </w:r>
          </w:p>
        </w:tc>
        <w:tc>
          <w:tcPr>
            <w:tcW w:w="160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1"/>
                <w:szCs w:val="11"/>
                <w:color w:val="auto"/>
              </w:rPr>
              <w:t>$447</w:t>
            </w:r>
          </w:p>
        </w:tc>
        <w:tc>
          <w:tcPr>
            <w:tcW w:w="160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color w:val="auto"/>
              </w:rPr>
              <w:t>$503</w:t>
            </w:r>
          </w:p>
        </w:tc>
      </w:tr>
    </w:tbl>
    <w:p>
      <w:pPr>
        <w:spacing w:after="0" w:line="142"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Favorable Prior Period Development in 4Q19 did not materially impact the consolidated benefit ratio, but decreased the 4Q18 ratio by 30 basis points. Favorable Prior Period Development lowered the FY 2019 consolidated benefit ratio by 50 basis points and decreased the FY 2018 consolidated benefit ratio by 90 basis points.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operating expenses</w:t>
      </w:r>
    </w:p>
    <w:p>
      <w:pPr>
        <w:spacing w:after="0" w:line="238" w:lineRule="exact"/>
        <w:rPr>
          <w:sz w:val="20"/>
          <w:szCs w:val="20"/>
          <w:color w:val="auto"/>
        </w:rPr>
      </w:pPr>
    </w:p>
    <w:tbl>
      <w:tblPr>
        <w:tblLayout w:type="fixed"/>
        <w:tblInd w:w="930" w:type="dxa"/>
        <w:tblCellMar>
          <w:top w:w="0" w:type="dxa"/>
          <w:left w:w="0" w:type="dxa"/>
          <w:bottom w:w="0" w:type="dxa"/>
          <w:right w:w="0" w:type="dxa"/>
        </w:tblCellMar>
      </w:tblPr>
      <w:tr>
        <w:trPr>
          <w:trHeight w:val="142"/>
        </w:trPr>
        <w:tc>
          <w:tcPr>
            <w:tcW w:w="40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Consolidated operating cost ratio</w:t>
            </w:r>
          </w:p>
        </w:tc>
        <w:tc>
          <w:tcPr>
            <w:tcW w:w="860" w:type="dxa"/>
            <w:vAlign w:val="bottom"/>
            <w:tcBorders>
              <w:top w:val="single" w:sz="8" w:color="auto"/>
            </w:tcBorders>
            <w:shd w:val="clear" w:color="auto" w:fill="EAEAEA"/>
          </w:tcPr>
          <w:p>
            <w:pPr>
              <w:spacing w:after="0"/>
              <w:rPr>
                <w:sz w:val="12"/>
                <w:szCs w:val="12"/>
                <w:color w:val="auto"/>
              </w:rPr>
            </w:pPr>
          </w:p>
        </w:tc>
        <w:tc>
          <w:tcPr>
            <w:tcW w:w="400" w:type="dxa"/>
            <w:vAlign w:val="bottom"/>
            <w:tcBorders>
              <w:top w:val="single" w:sz="8" w:color="auto"/>
              <w:right w:val="single" w:sz="8" w:color="auto"/>
            </w:tcBorders>
            <w:shd w:val="clear" w:color="auto" w:fill="EAEAEA"/>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tcBorders>
            <w:shd w:val="clear" w:color="auto" w:fill="EAEAEA"/>
          </w:tcPr>
          <w:p>
            <w:pPr>
              <w:spacing w:after="0"/>
              <w:rPr>
                <w:sz w:val="12"/>
                <w:szCs w:val="12"/>
                <w:color w:val="auto"/>
              </w:rPr>
            </w:pPr>
          </w:p>
        </w:tc>
        <w:tc>
          <w:tcPr>
            <w:tcW w:w="160" w:type="dxa"/>
            <w:vAlign w:val="bottom"/>
            <w:tcBorders>
              <w:top w:val="single" w:sz="8" w:color="auto"/>
              <w:right w:val="single" w:sz="8" w:color="auto"/>
            </w:tcBorders>
            <w:shd w:val="clear" w:color="auto" w:fill="EAEAEA"/>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r>
      <w:tr>
        <w:trPr>
          <w:trHeight w:val="148"/>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(operating costs as a percent of total revenues less investment income)</w:t>
            </w:r>
          </w:p>
        </w:tc>
        <w:tc>
          <w:tcPr>
            <w:tcW w:w="860" w:type="dxa"/>
            <w:vAlign w:val="bottom"/>
            <w:tcBorders>
              <w:bottom w:val="single" w:sz="8" w:color="auto"/>
            </w:tcBorders>
            <w:shd w:val="clear" w:color="auto" w:fill="EAEAEA"/>
          </w:tcPr>
          <w:p>
            <w:pPr>
              <w:ind w:left="400"/>
              <w:spacing w:after="0"/>
              <w:rPr>
                <w:sz w:val="20"/>
                <w:szCs w:val="20"/>
                <w:color w:val="auto"/>
              </w:rPr>
            </w:pPr>
            <w:r>
              <w:rPr>
                <w:rFonts w:ascii="Arial" w:cs="Arial" w:eastAsia="Arial" w:hAnsi="Arial"/>
                <w:sz w:val="11"/>
                <w:szCs w:val="11"/>
                <w:b w:val="1"/>
                <w:bCs w:val="1"/>
                <w:color w:val="auto"/>
              </w:rPr>
              <w:t>4Q19 (a)</w:t>
            </w:r>
          </w:p>
        </w:tc>
        <w:tc>
          <w:tcPr>
            <w:tcW w:w="400" w:type="dxa"/>
            <w:vAlign w:val="bottom"/>
            <w:tcBorders>
              <w:bottom w:val="single" w:sz="8" w:color="auto"/>
              <w:right w:val="single" w:sz="8" w:color="auto"/>
            </w:tcBorders>
            <w:shd w:val="clear" w:color="auto" w:fill="EAEAEA"/>
          </w:tcPr>
          <w:p>
            <w:pPr>
              <w:spacing w:after="0"/>
              <w:rPr>
                <w:sz w:val="12"/>
                <w:szCs w:val="12"/>
                <w:color w:val="auto"/>
              </w:rPr>
            </w:pP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4Q18 (b)</w:t>
            </w:r>
          </w:p>
        </w:tc>
        <w:tc>
          <w:tcPr>
            <w:tcW w:w="46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gridSpan w:val="2"/>
            <w:shd w:val="clear" w:color="auto" w:fill="EAEAEA"/>
          </w:tcPr>
          <w:p>
            <w:pPr>
              <w:jc w:val="right"/>
              <w:ind w:right="366"/>
              <w:spacing w:after="0"/>
              <w:rPr>
                <w:sz w:val="20"/>
                <w:szCs w:val="20"/>
                <w:color w:val="auto"/>
              </w:rPr>
            </w:pPr>
            <w:r>
              <w:rPr>
                <w:rFonts w:ascii="Arial" w:cs="Arial" w:eastAsia="Arial" w:hAnsi="Arial"/>
                <w:sz w:val="11"/>
                <w:szCs w:val="11"/>
                <w:b w:val="1"/>
                <w:bCs w:val="1"/>
                <w:color w:val="auto"/>
              </w:rPr>
              <w:t>FY 2019 (c)</w:t>
            </w:r>
          </w:p>
        </w:tc>
        <w:tc>
          <w:tcPr>
            <w:tcW w:w="1460" w:type="dxa"/>
            <w:vAlign w:val="bottom"/>
            <w:tcBorders>
              <w:bottom w:val="single" w:sz="8" w:color="auto"/>
              <w:right w:val="single" w:sz="8" w:color="auto"/>
            </w:tcBorders>
          </w:tcPr>
          <w:p>
            <w:pPr>
              <w:jc w:val="right"/>
              <w:ind w:right="406"/>
              <w:spacing w:after="0"/>
              <w:rPr>
                <w:sz w:val="20"/>
                <w:szCs w:val="20"/>
                <w:color w:val="auto"/>
              </w:rPr>
            </w:pPr>
            <w:r>
              <w:rPr>
                <w:rFonts w:ascii="Arial" w:cs="Arial" w:eastAsia="Arial" w:hAnsi="Arial"/>
                <w:sz w:val="11"/>
                <w:szCs w:val="11"/>
                <w:color w:val="auto"/>
              </w:rPr>
              <w:t>FY 2018 (d)</w:t>
            </w:r>
          </w:p>
        </w:tc>
      </w:tr>
      <w:tr>
        <w:trPr>
          <w:trHeight w:val="15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860" w:type="dxa"/>
            <w:vAlign w:val="bottom"/>
            <w:tcBorders>
              <w:bottom w:val="single" w:sz="8" w:color="auto"/>
            </w:tcBorders>
            <w:shd w:val="clear" w:color="auto" w:fill="EAEAEA"/>
          </w:tcPr>
          <w:p>
            <w:pPr>
              <w:spacing w:after="0"/>
              <w:rPr>
                <w:sz w:val="13"/>
                <w:szCs w:val="13"/>
                <w:color w:val="auto"/>
              </w:rPr>
            </w:pPr>
          </w:p>
        </w:tc>
        <w:tc>
          <w:tcPr>
            <w:tcW w:w="4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13.2%</w:t>
            </w: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11.5</w:t>
            </w:r>
          </w:p>
        </w:tc>
        <w:tc>
          <w:tcPr>
            <w:tcW w:w="16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13.3%</w:t>
            </w:r>
          </w:p>
        </w:tc>
      </w:tr>
      <w:tr>
        <w:trPr>
          <w:trHeight w:val="15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1"/>
                <w:szCs w:val="11"/>
                <w:color w:val="auto"/>
              </w:rPr>
              <w:t>(0.1)%</w:t>
            </w:r>
          </w:p>
        </w:tc>
        <w:tc>
          <w:tcPr>
            <w:tcW w:w="14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r>
      <w:tr>
        <w:trPr>
          <w:trHeight w:val="15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Adjusted (non-GAAP)</w:t>
            </w: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13.2%</w:t>
            </w: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4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1"/>
                <w:szCs w:val="11"/>
                <w:color w:val="auto"/>
              </w:rPr>
              <w:t>11.4 %</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-330835</wp:posOffset>
            </wp:positionV>
            <wp:extent cx="80073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0735" cy="3257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-330835</wp:posOffset>
            </wp:positionV>
            <wp:extent cx="892175"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92175" cy="325755"/>
                    </a:xfrm>
                    <a:prstGeom prst="rect">
                      <a:avLst/>
                    </a:prstGeom>
                    <a:noFill/>
                  </pic:spPr>
                </pic:pic>
              </a:graphicData>
            </a:graphic>
          </wp:anchor>
        </w:drawing>
      </w:r>
    </w:p>
    <w:p>
      <w:pPr>
        <w:spacing w:after="0" w:line="122"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The 4Q19 GAAP consolidated operating cost ratio (operating costs as a percent of total revenues less investment income) of 13.2 percent decreased 180 basis points from the 4Q18 ratio of 15.0 percent. The decline was primarily related to the following factors:</w:t>
      </w:r>
    </w:p>
    <w:p>
      <w:pPr>
        <w:spacing w:after="0" w:line="129"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suspension of the HIF for 2019, which increased the company's 4Q18 GAAP operating cost ratio by approximately 180 basis points,</w:t>
      </w:r>
    </w:p>
    <w:p>
      <w:pPr>
        <w:spacing w:after="0" w:line="147"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scale efficiencies associated with growth in the company's Medicare Advantage membership, and</w:t>
      </w:r>
    </w:p>
    <w:p>
      <w:pPr>
        <w:spacing w:after="0" w:line="147"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significant operating cost efficiencies in 2019 driven by previously implemented productivity initiatives.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80"/>
          </w:cols>
          <w:pgMar w:left="220" w:top="542" w:right="199"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auto"/>
        </w:rPr>
        <w:t>These improvements were partially offset by the following items in 4Q19:</w:t>
      </w:r>
    </w:p>
    <w:p>
      <w:pPr>
        <w:spacing w:after="0" w:line="148"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strategic investments in the company's integrated care delivery model,</w:t>
      </w:r>
    </w:p>
    <w:p>
      <w:pPr>
        <w:spacing w:after="0" w:line="147" w:lineRule="exact"/>
        <w:rPr>
          <w:rFonts w:ascii="Arial" w:cs="Arial" w:eastAsia="Arial" w:hAnsi="Arial"/>
          <w:sz w:val="13"/>
          <w:szCs w:val="13"/>
          <w:color w:val="auto"/>
        </w:rPr>
      </w:pPr>
    </w:p>
    <w:p>
      <w:pPr>
        <w:ind w:left="420" w:hanging="212"/>
        <w:spacing w:after="0" w:line="252" w:lineRule="auto"/>
        <w:tabs>
          <w:tab w:leader="none" w:pos="4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impact of higher compensation expense accruals in 4Q19 for the AIP offered to employees across all levels of the company. The higher accruals resulted from the continued strong performance of the company, including improved customer satisfaction as measured by its net promoter score, along with higher than anticipated individual Medicare Advantage membership and Adjusted EPS growth, and</w:t>
      </w:r>
    </w:p>
    <w:p>
      <w:pPr>
        <w:spacing w:after="0" w:line="132"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increased spending associated with the Medicare AEP.</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color w:val="auto"/>
        </w:rPr>
        <w:t>The 180 basis point decrease in the FY 2019 GAAP consolidated operating cost ratio of 11.5 percent from 13.3 percent in FY 2018 was primarily impacted by the same factors influencing the fourth quarter GAAP comparison, as well as the impact of charges associated with workforce optimization. The non-deductible HIF increased the FY 2018 consolidated GAAP operating cost ratio by approximately 180 basis points.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Balance sheet</w:t>
      </w:r>
    </w:p>
    <w:p>
      <w:pPr>
        <w:spacing w:after="0" w:line="157" w:lineRule="exact"/>
        <w:rPr>
          <w:sz w:val="20"/>
          <w:szCs w:val="20"/>
          <w:color w:val="auto"/>
        </w:rPr>
      </w:pPr>
    </w:p>
    <w:p>
      <w:pPr>
        <w:ind w:left="420" w:right="60" w:hanging="221"/>
        <w:spacing w:after="0" w:line="254" w:lineRule="auto"/>
        <w:tabs>
          <w:tab w:leader="none" w:pos="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At December 31, 2019, the company had cash, cash equivalents, and investment securities of $15.43 billion, down approximately $930 million, or 6 percent, from $16.36 billion at September 30, 2019. The decrease primarily reflects the repayment of $400 million related to the company's 2.625 percent senior notes which came due on October 1, along with capital expenditures and net withdrawals from CMS associated with Medicare Part D claim subsidies for which the company does not assume risk. These declines were partially offset by strong operating cash flows. Additional changes are outlined in the company’s consolidated statement of cash flows on pages S-6 and S-7 of the statistical supplement included in this release.</w:t>
      </w:r>
    </w:p>
    <w:p>
      <w:pPr>
        <w:spacing w:after="0" w:line="95" w:lineRule="exact"/>
        <w:rPr>
          <w:rFonts w:ascii="Arial" w:cs="Arial" w:eastAsia="Arial" w:hAnsi="Arial"/>
          <w:sz w:val="13"/>
          <w:szCs w:val="13"/>
          <w:color w:val="auto"/>
        </w:rPr>
      </w:pPr>
    </w:p>
    <w:p>
      <w:pPr>
        <w:ind w:left="420" w:right="120" w:hanging="221"/>
        <w:spacing w:after="0" w:line="250" w:lineRule="auto"/>
        <w:tabs>
          <w:tab w:leader="none" w:pos="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At December 31, 2019, cash and short-term investments held at the parent company of $1.36 billion decreased approximately $310 million, or 19 percent, from $1.67 billion at September 30, 2019 primarily resulting from the repayment of $400 million related to the company's 2.625 percent senior notes which came due on October 1, contributions to subsidiaries, and capital expenditures. This decline was partially offset by dividends received from subsidiaries, non-regulated subsidiary earnings, and the timing of working capital benefits between the parent and the company's subsidiaries.</w:t>
      </w:r>
    </w:p>
    <w:p>
      <w:pPr>
        <w:spacing w:after="0" w:line="89" w:lineRule="exact"/>
        <w:rPr>
          <w:rFonts w:ascii="Arial" w:cs="Arial" w:eastAsia="Arial" w:hAnsi="Arial"/>
          <w:sz w:val="13"/>
          <w:szCs w:val="13"/>
          <w:color w:val="auto"/>
        </w:rPr>
      </w:pPr>
    </w:p>
    <w:p>
      <w:pPr>
        <w:ind w:left="420" w:right="340" w:hanging="221"/>
        <w:spacing w:after="0" w:line="271" w:lineRule="auto"/>
        <w:tabs>
          <w:tab w:leader="none" w:pos="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Days in claims payable (DCP) of 40.4 days at December 31, 2019, decreased by 2.4 days from 42.8 days at September 30, 2019 but increased 1.3 days from 39.1 days at December 31, 2018. Changes are outlined in the DCP rollforward on page S-19 of the statistical supplement included in this release.</w:t>
      </w:r>
    </w:p>
    <w:p>
      <w:pPr>
        <w:spacing w:after="0" w:line="76" w:lineRule="exact"/>
        <w:rPr>
          <w:rFonts w:ascii="Arial" w:cs="Arial" w:eastAsia="Arial" w:hAnsi="Arial"/>
          <w:sz w:val="13"/>
          <w:szCs w:val="13"/>
          <w:color w:val="auto"/>
        </w:rPr>
      </w:pPr>
    </w:p>
    <w:p>
      <w:pPr>
        <w:ind w:left="420" w:right="300" w:hanging="221"/>
        <w:spacing w:after="0" w:line="271" w:lineRule="auto"/>
        <w:tabs>
          <w:tab w:leader="none" w:pos="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Debt-to-total capitalization at December 31, 2019 was 32.0 percent, down 230 basis points from 34.3 percent at September 30, 2019 primarily resulting from the impact of the company's $400 million repayment of senior debt in the quarter and the net impact of 4Q19 earnings.</w:t>
      </w:r>
    </w:p>
    <w:p>
      <w:pPr>
        <w:spacing w:after="0" w:line="84" w:lineRule="exact"/>
        <w:rPr>
          <w:rFonts w:ascii="Arial" w:cs="Arial" w:eastAsia="Arial" w:hAnsi="Arial"/>
          <w:sz w:val="13"/>
          <w:szCs w:val="13"/>
          <w:color w:val="auto"/>
        </w:rPr>
      </w:pPr>
    </w:p>
    <w:p>
      <w:pPr>
        <w:ind w:left="420" w:right="480"/>
        <w:spacing w:after="0" w:line="258" w:lineRule="auto"/>
        <w:rPr>
          <w:rFonts w:ascii="Arial" w:cs="Arial" w:eastAsia="Arial" w:hAnsi="Arial"/>
          <w:sz w:val="13"/>
          <w:szCs w:val="13"/>
          <w:color w:val="auto"/>
        </w:rPr>
      </w:pPr>
      <w:r>
        <w:rPr>
          <w:rFonts w:ascii="Arial" w:cs="Arial" w:eastAsia="Arial" w:hAnsi="Arial"/>
          <w:sz w:val="13"/>
          <w:szCs w:val="13"/>
          <w:color w:val="auto"/>
        </w:rPr>
        <w:t>The company’s long-term debt-to-total capitalization target of approximately 35 percent is expected to allow the company to maintain its investment grade credit rating while providing significant financial flexibility. At times, the company's debt-to-total capitalization will exceed this target due to the timing of share repurchases, acquisitions, and debt issuance.</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Operating cash flows</w:t>
      </w:r>
    </w:p>
    <w:p>
      <w:pPr>
        <w:spacing w:after="0" w:line="156" w:lineRule="exact"/>
        <w:rPr>
          <w:sz w:val="20"/>
          <w:szCs w:val="20"/>
          <w:color w:val="auto"/>
        </w:rPr>
      </w:pPr>
    </w:p>
    <w:p>
      <w:pPr>
        <w:ind w:left="420" w:right="60" w:hanging="221"/>
        <w:spacing w:after="0" w:line="254" w:lineRule="auto"/>
        <w:tabs>
          <w:tab w:leader="none" w:pos="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GAAP cash flows provided by operations of $512 million in 4Q19 favorably compared to cash flows used in operations of $333 million in 4Q18, an increase of $845 million year over year. The year-over-year comparison of GAAP cash flows was favorably impacted by higher earnings in 4Q19 as compared to 4Q18, as well as being further positively impacted by the $1.04 billion payment related to the HIF in October 2018, along with the timing of other working capital items. 4Q19 GAAP cash flows were not impacted by the HIF due to the suspension of the fee in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80"/>
          </w:cols>
          <w:pgMar w:left="220" w:top="578" w:right="199" w:bottom="1440" w:gutter="0" w:footer="0" w:header="0"/>
        </w:sectPr>
      </w:pPr>
    </w:p>
    <w:bookmarkStart w:id="17" w:name="page18"/>
    <w:bookmarkEnd w:id="17"/>
    <w:p>
      <w:pPr>
        <w:ind w:left="420" w:right="20" w:hanging="221"/>
        <w:spacing w:after="0" w:line="254" w:lineRule="auto"/>
        <w:tabs>
          <w:tab w:leader="none" w:pos="4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FY 2019, GAAP cash flows provided by operations totaled $5.28 billion versus $2.17 billion of GAAP cash flows provided by operations during FY 2018, an increase of $3.11 billion year over year. The strong operating cash flows for FY 2019 reflect the significant impact of increasing premiums and enrollment, as premiums generally are collected in advance of claim payments by a period of up to several months. The year-over-year comparison was further impacted by the timing of other working capital changes, higher earnings in 2019 versus 2018, and the negative impact on 2018 cash flows resulting from the funding of reinsurance transactions in connection with the sale of KMG.</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Share repurchases</w:t>
      </w:r>
    </w:p>
    <w:p>
      <w:pPr>
        <w:spacing w:after="0" w:line="164" w:lineRule="exact"/>
        <w:rPr>
          <w:sz w:val="20"/>
          <w:szCs w:val="20"/>
          <w:color w:val="auto"/>
        </w:rPr>
      </w:pPr>
    </w:p>
    <w:p>
      <w:pPr>
        <w:ind w:left="420" w:right="100" w:hanging="221"/>
        <w:spacing w:after="0" w:line="250" w:lineRule="auto"/>
        <w:tabs>
          <w:tab w:leader="none" w:pos="4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July 2019, Humana's Board of Directors approved a $3.00 billion share repurchase authorization with an expiration date of June 30, 2022. The company subsequently entered into an agreement with a third-party financial institution on July 31, 2019 to effect a $1.00 billion ASR program under the authorization. Under the terms of this program, which was completed in 4Q19, the company repurchased approximately 3,376,200 shares at an average price of $296.19. Aside from the completion of the ASR program, the company did not complete any additional open-market share repurchase transactions during 4Q19.</w:t>
      </w:r>
    </w:p>
    <w:p>
      <w:pPr>
        <w:spacing w:after="0" w:line="133" w:lineRule="exact"/>
        <w:rPr>
          <w:rFonts w:ascii="Arial" w:cs="Arial" w:eastAsia="Arial" w:hAnsi="Arial"/>
          <w:sz w:val="13"/>
          <w:szCs w:val="13"/>
          <w:color w:val="auto"/>
        </w:rPr>
      </w:pPr>
    </w:p>
    <w:p>
      <w:pPr>
        <w:ind w:left="420" w:hanging="221"/>
        <w:spacing w:after="0"/>
        <w:tabs>
          <w:tab w:leader="none" w:pos="4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As of February 4, 2020, the company has a remaining repurchase authorization of $2.00 billion.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Cash dividends</w:t>
      </w:r>
    </w:p>
    <w:p>
      <w:pPr>
        <w:spacing w:after="0" w:line="156" w:lineRule="exact"/>
        <w:rPr>
          <w:sz w:val="20"/>
          <w:szCs w:val="20"/>
          <w:color w:val="auto"/>
        </w:rPr>
      </w:pPr>
    </w:p>
    <w:p>
      <w:pPr>
        <w:ind w:left="420" w:hanging="221"/>
        <w:spacing w:after="0" w:line="258" w:lineRule="auto"/>
        <w:tabs>
          <w:tab w:leader="none" w:pos="4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company paid cash dividends to its stockholders of $75 million in 4Q19 versus $70 million in 4Q18. Cash dividends of $291 million were paid to the company’s stockholders during FY 2019 compared to $265 million in FY 2018. The increases primarily reflect an increase in the per share dividend amount in 2019 to $0.55 from $0.50 per share in 2018, as previously disclosed.</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60"/>
          </w:cols>
          <w:pgMar w:left="220" w:top="570" w:right="41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auto"/>
        </w:rPr>
        <w:t>Humana’s Retail Segment</w:t>
      </w:r>
    </w:p>
    <w:p>
      <w:pPr>
        <w:spacing w:after="0" w:line="163"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services under the Medicaid program, including Temporary Assistance for Needy Families (TANF), dual eligible, and Long-Term Support Services benefits. In addition, this segment also includes the company’s contract with Centers for Medicare &amp; Medicaid Services (CMS) to administer the Limited Income Newly Eligible Transition prescription drug plan (PDP) program.</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revenues:</w:t>
      </w:r>
    </w:p>
    <w:p>
      <w:pPr>
        <w:spacing w:after="0" w:line="156" w:lineRule="exact"/>
        <w:rPr>
          <w:sz w:val="20"/>
          <w:szCs w:val="20"/>
          <w:color w:val="auto"/>
        </w:rPr>
      </w:pPr>
    </w:p>
    <w:p>
      <w:pPr>
        <w:ind w:left="420" w:hanging="221"/>
        <w:spacing w:after="0" w:line="258" w:lineRule="auto"/>
        <w:tabs>
          <w:tab w:leader="none" w:pos="4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4Q19 revenues for the Retail segment were $14.21 billion, an increase of $2.17 billion, or 18 percent, from $12.04 billion in 4Q18 primarily reflecting higher premiums as a result of Medicare Advantage membership growth and higher per member individual Medicare Advantage premiums, as well as increased state-based contracts membership. These favorable items were partially offset by the decline in membership in the company's stand-alone PDP offerings. The year-over-year membership changes are further discussed below.</w:t>
      </w:r>
    </w:p>
    <w:p>
      <w:pPr>
        <w:spacing w:after="0" w:line="121" w:lineRule="exact"/>
        <w:rPr>
          <w:rFonts w:ascii="Arial" w:cs="Arial" w:eastAsia="Arial" w:hAnsi="Arial"/>
          <w:sz w:val="13"/>
          <w:szCs w:val="13"/>
          <w:color w:val="auto"/>
        </w:rPr>
      </w:pPr>
    </w:p>
    <w:p>
      <w:pPr>
        <w:ind w:left="420" w:right="160" w:hanging="221"/>
        <w:spacing w:after="0" w:line="271" w:lineRule="auto"/>
        <w:tabs>
          <w:tab w:leader="none" w:pos="4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FY 2019 revenues for the Retail segment were $56.47 billion, up $8.21 billion, or 17 percent, from $48.26 billion in FY 2018, primarily reflecting the same factors impacting the year-over-year fourth quarter comparison.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enrollment:</w:t>
      </w:r>
    </w:p>
    <w:p>
      <w:pPr>
        <w:spacing w:after="0" w:line="148" w:lineRule="exact"/>
        <w:rPr>
          <w:sz w:val="20"/>
          <w:szCs w:val="20"/>
          <w:color w:val="auto"/>
        </w:rPr>
      </w:pPr>
    </w:p>
    <w:p>
      <w:pPr>
        <w:ind w:left="420" w:hanging="221"/>
        <w:spacing w:after="0" w:line="258"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Individual Medicare Advantage </w:t>
      </w:r>
      <w:r>
        <w:rPr>
          <w:rFonts w:ascii="Arial" w:cs="Arial" w:eastAsia="Arial" w:hAnsi="Arial"/>
          <w:sz w:val="13"/>
          <w:szCs w:val="13"/>
          <w:color w:val="auto"/>
        </w:rPr>
        <w:t>membership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3,587,200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of December 31, 2019, a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523,200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17 percent,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3,064,000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of December 31, 2018,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up 34,700,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percent, from 3,552,500 as of September 30, 2019. The year-over-year increase was primarily due to membership additions associated with the 2019 AEP and Open Election Period (OEP) for Medicare beneficiaries. The OEP sales period, which ran from January 1 to March 31, 2019 added approximately 43,700 members. Since the conclusion of the OEP, enrollment continued to increase due to strong sales to age-ins and those eligible for Dual Eligible Special Need Plans (D-SNP).</w:t>
      </w:r>
    </w:p>
    <w:p>
      <w:pPr>
        <w:spacing w:after="0" w:line="129" w:lineRule="exact"/>
        <w:rPr>
          <w:rFonts w:ascii="Arial" w:cs="Arial" w:eastAsia="Arial" w:hAnsi="Arial"/>
          <w:sz w:val="13"/>
          <w:szCs w:val="13"/>
          <w:color w:val="auto"/>
        </w:rPr>
      </w:pPr>
    </w:p>
    <w:p>
      <w:pPr>
        <w:ind w:left="420" w:right="140"/>
        <w:spacing w:after="0" w:line="258" w:lineRule="auto"/>
        <w:rPr>
          <w:rFonts w:ascii="Arial" w:cs="Arial" w:eastAsia="Arial" w:hAnsi="Arial"/>
          <w:sz w:val="13"/>
          <w:szCs w:val="13"/>
          <w:color w:val="auto"/>
        </w:rPr>
      </w:pPr>
      <w:r>
        <w:rPr>
          <w:rFonts w:ascii="Arial" w:cs="Arial" w:eastAsia="Arial" w:hAnsi="Arial"/>
          <w:sz w:val="13"/>
          <w:szCs w:val="13"/>
          <w:color w:val="auto"/>
        </w:rPr>
        <w:t>Individual Medicare Advantage membership includes 288,200 D-SNP members as of December 31, 2019, a net increase of 69,600, or 32 percent, from 218,600 as of December 31, 2018, and up 7,500, or 3 percent, from 280,700 as of September 30, 2019.</w:t>
      </w:r>
    </w:p>
    <w:p>
      <w:pPr>
        <w:spacing w:after="0" w:line="112" w:lineRule="exact"/>
        <w:rPr>
          <w:rFonts w:ascii="Arial" w:cs="Arial" w:eastAsia="Arial" w:hAnsi="Arial"/>
          <w:sz w:val="13"/>
          <w:szCs w:val="13"/>
          <w:color w:val="auto"/>
        </w:rPr>
      </w:pPr>
    </w:p>
    <w:p>
      <w:pPr>
        <w:ind w:left="420" w:right="520" w:hanging="221"/>
        <w:spacing w:after="0" w:line="284"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 xml:space="preserve">January 2020 individual Medicare Advantage </w:t>
      </w:r>
      <w:r>
        <w:rPr>
          <w:rFonts w:ascii="Arial" w:cs="Arial" w:eastAsia="Arial" w:hAnsi="Arial"/>
          <w:sz w:val="13"/>
          <w:szCs w:val="13"/>
          <w:color w:val="auto"/>
        </w:rPr>
        <w:t>membership approximated 3,816,000, up approximately 228,800, or 6 percent, from December 31, 2019, reflecting net membership</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additions during the recently concluded 2020 AEP.</w:t>
      </w:r>
    </w:p>
    <w:p>
      <w:pPr>
        <w:spacing w:after="0" w:line="112" w:lineRule="exact"/>
        <w:rPr>
          <w:rFonts w:ascii="Arial" w:cs="Arial" w:eastAsia="Arial" w:hAnsi="Arial"/>
          <w:sz w:val="13"/>
          <w:szCs w:val="13"/>
          <w:color w:val="auto"/>
        </w:rPr>
      </w:pPr>
    </w:p>
    <w:p>
      <w:pPr>
        <w:ind w:left="420" w:right="660"/>
        <w:spacing w:after="0" w:line="258" w:lineRule="auto"/>
        <w:rPr>
          <w:rFonts w:ascii="Arial" w:cs="Arial" w:eastAsia="Arial" w:hAnsi="Arial"/>
          <w:sz w:val="13"/>
          <w:szCs w:val="13"/>
          <w:color w:val="auto"/>
        </w:rPr>
      </w:pPr>
      <w:r>
        <w:rPr>
          <w:rFonts w:ascii="Arial" w:cs="Arial" w:eastAsia="Arial" w:hAnsi="Arial"/>
          <w:sz w:val="13"/>
          <w:szCs w:val="13"/>
          <w:color w:val="auto"/>
        </w:rPr>
        <w:t>January 2020 individual Medicare Advantage membership includes 325,000 D-SNP members, which represents growth of 36,800, or 13 percent, over December 31, 2019 D-SNP membership.</w:t>
      </w:r>
    </w:p>
    <w:p>
      <w:pPr>
        <w:spacing w:after="0" w:line="112" w:lineRule="exact"/>
        <w:rPr>
          <w:rFonts w:ascii="Arial" w:cs="Arial" w:eastAsia="Arial" w:hAnsi="Arial"/>
          <w:sz w:val="13"/>
          <w:szCs w:val="13"/>
          <w:color w:val="auto"/>
        </w:rPr>
      </w:pPr>
    </w:p>
    <w:p>
      <w:pPr>
        <w:ind w:left="420" w:right="180" w:hanging="221"/>
        <w:spacing w:after="0" w:line="284"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b w:val="1"/>
          <w:bCs w:val="1"/>
          <w:i w:val="1"/>
          <w:iCs w:val="1"/>
          <w:color w:val="auto"/>
        </w:rPr>
        <w:t>Group Medicare Advantag</w:t>
      </w:r>
      <w:r>
        <w:rPr>
          <w:rFonts w:ascii="Arial" w:cs="Arial" w:eastAsia="Arial" w:hAnsi="Arial"/>
          <w:sz w:val="13"/>
          <w:szCs w:val="13"/>
          <w:b w:val="1"/>
          <w:bCs w:val="1"/>
          <w:color w:val="auto"/>
        </w:rPr>
        <w: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membership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525,300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of December 31, 2019, a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27,500,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6 percent,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497,800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 December 31, 2018,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up 1,400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523,900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September 30, 2019. The year-over-year increase primarily resulted from net membership additions associated with the 2019 AEP for Medicare beneficiaries.</w:t>
      </w:r>
    </w:p>
    <w:p>
      <w:pPr>
        <w:spacing w:after="0" w:line="96" w:lineRule="exact"/>
        <w:rPr>
          <w:rFonts w:ascii="Arial" w:cs="Arial" w:eastAsia="Arial" w:hAnsi="Arial"/>
          <w:sz w:val="13"/>
          <w:szCs w:val="13"/>
          <w:color w:val="auto"/>
        </w:rPr>
      </w:pPr>
    </w:p>
    <w:p>
      <w:pPr>
        <w:ind w:left="420" w:right="300" w:hanging="221"/>
        <w:spacing w:after="0" w:line="284"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J</w:t>
      </w:r>
      <w:r>
        <w:rPr>
          <w:rFonts w:ascii="Arial" w:cs="Arial" w:eastAsia="Arial" w:hAnsi="Arial"/>
          <w:sz w:val="13"/>
          <w:szCs w:val="13"/>
          <w:b w:val="1"/>
          <w:bCs w:val="1"/>
          <w:color w:val="auto"/>
        </w:rPr>
        <w:t>anuary 2020 group Medicare Advantage</w:t>
      </w:r>
      <w:r>
        <w:rPr>
          <w:rFonts w:ascii="Arial" w:cs="Arial" w:eastAsia="Arial" w:hAnsi="Arial"/>
          <w:sz w:val="13"/>
          <w:szCs w:val="13"/>
          <w:color w:val="auto"/>
        </w:rPr>
        <w:t xml:space="preserve"> membership approximated 602,000, up approximately 76,700, or 15 percent, from December 31, 2019, reflecting net membership additions during the recently concluded 2020 AEP for Medicare beneficiaries.</w:t>
      </w:r>
    </w:p>
    <w:p>
      <w:pPr>
        <w:spacing w:after="0" w:line="96" w:lineRule="exact"/>
        <w:rPr>
          <w:rFonts w:ascii="Arial" w:cs="Arial" w:eastAsia="Arial" w:hAnsi="Arial"/>
          <w:sz w:val="13"/>
          <w:szCs w:val="13"/>
          <w:color w:val="auto"/>
        </w:rPr>
      </w:pPr>
    </w:p>
    <w:p>
      <w:pPr>
        <w:ind w:left="420" w:right="20" w:hanging="221"/>
        <w:spacing w:after="0" w:line="265"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Membership in the company’s </w:t>
      </w:r>
      <w:r>
        <w:rPr>
          <w:rFonts w:ascii="Arial" w:cs="Arial" w:eastAsia="Arial" w:hAnsi="Arial"/>
          <w:sz w:val="13"/>
          <w:szCs w:val="13"/>
          <w:b w:val="1"/>
          <w:bCs w:val="1"/>
          <w:i w:val="1"/>
          <w:iCs w:val="1"/>
          <w:color w:val="auto"/>
        </w:rPr>
        <w:t>stand-alone PDP</w:t>
      </w:r>
      <w:r>
        <w:rPr>
          <w:rFonts w:ascii="Arial" w:cs="Arial" w:eastAsia="Arial" w:hAnsi="Arial"/>
          <w:sz w:val="13"/>
          <w:szCs w:val="13"/>
          <w:color w:val="auto"/>
        </w:rPr>
        <w:t xml:space="preserve"> offerings was 4,365,200 as of December 31, 2019, a net decrease of 639,100, or 13 percent, from 5,004,300 as of December 31, 2018, and down 14,600 from 4,379,800 as of September 30, 2019. The year-over-year comparison primarily reflects net declines during the 2019 AEP for Medicare beneficiaries. The anticipated year-over-year decline was primarily due to the competitive nature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60"/>
          </w:cols>
          <w:pgMar w:left="220" w:top="418" w:right="219" w:bottom="1440" w:gutter="0" w:footer="0" w:header="0"/>
        </w:sectPr>
      </w:pPr>
    </w:p>
    <w:bookmarkStart w:id="19" w:name="page20"/>
    <w:bookmarkEnd w:id="19"/>
    <w:p>
      <w:pPr>
        <w:ind w:left="420"/>
        <w:spacing w:after="0"/>
        <w:rPr>
          <w:sz w:val="20"/>
          <w:szCs w:val="20"/>
          <w:color w:val="auto"/>
        </w:rPr>
      </w:pPr>
      <w:r>
        <w:rPr>
          <w:rFonts w:ascii="Arial" w:cs="Arial" w:eastAsia="Arial" w:hAnsi="Arial"/>
          <w:sz w:val="13"/>
          <w:szCs w:val="13"/>
          <w:color w:val="auto"/>
        </w:rPr>
        <w:t>the industry and the pricing discipline the company has employed, which resulted in it no longer being the low cost plan in any market for 2019.</w:t>
      </w:r>
    </w:p>
    <w:p>
      <w:pPr>
        <w:spacing w:after="0" w:line="123" w:lineRule="exact"/>
        <w:rPr>
          <w:sz w:val="20"/>
          <w:szCs w:val="20"/>
          <w:color w:val="auto"/>
        </w:rPr>
      </w:pPr>
    </w:p>
    <w:p>
      <w:pPr>
        <w:ind w:left="420" w:right="20" w:hanging="221"/>
        <w:spacing w:after="0" w:line="258" w:lineRule="auto"/>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 xml:space="preserve">January 2020 stand-alone PDP </w:t>
      </w:r>
      <w:r>
        <w:rPr>
          <w:rFonts w:ascii="Arial" w:cs="Arial" w:eastAsia="Arial" w:hAnsi="Arial"/>
          <w:sz w:val="13"/>
          <w:szCs w:val="13"/>
          <w:color w:val="auto"/>
        </w:rPr>
        <w:t>membership approximated 3,905,000, down approximately 460,200, or 11 percent, from December 31, 2019, reflecting net membership declines during the</w:t>
      </w:r>
      <w:r>
        <w:rPr>
          <w:rFonts w:ascii="Arial" w:cs="Arial" w:eastAsia="Arial" w:hAnsi="Arial"/>
          <w:sz w:val="13"/>
          <w:szCs w:val="13"/>
          <w:b w:val="1"/>
          <w:bCs w:val="1"/>
          <w:color w:val="auto"/>
        </w:rPr>
        <w:t xml:space="preserve"> </w:t>
      </w:r>
      <w:r>
        <w:rPr>
          <w:rFonts w:ascii="Arial" w:cs="Arial" w:eastAsia="Arial" w:hAnsi="Arial"/>
          <w:sz w:val="13"/>
          <w:szCs w:val="13"/>
          <w:color w:val="auto"/>
        </w:rPr>
        <w:t>recently concluded AEP for Medicare beneficiaries. The declines are primarily the result of terminations driven by premium and benefit adjustments experienced by members that were previously enrolled in the company's 2019 Humana Walmart Rx plan and 2019 Humana Enhanced plan, which were consolidated into the Premier Rx plan in 2020. These expected PDP losses are partially offset by growth in the new low-price Humana Walmart Value Rx plan, driven by both new sales and plan to plan changes.</w:t>
      </w:r>
    </w:p>
    <w:p>
      <w:pPr>
        <w:spacing w:after="0" w:line="113" w:lineRule="exact"/>
        <w:rPr>
          <w:rFonts w:ascii="Arial" w:cs="Arial" w:eastAsia="Arial" w:hAnsi="Arial"/>
          <w:sz w:val="13"/>
          <w:szCs w:val="13"/>
          <w:color w:val="auto"/>
        </w:rPr>
      </w:pPr>
    </w:p>
    <w:p>
      <w:pPr>
        <w:ind w:left="420" w:right="60" w:hanging="221"/>
        <w:spacing w:after="0" w:line="265" w:lineRule="auto"/>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State-based contracts </w:t>
      </w:r>
      <w:r>
        <w:rPr>
          <w:rFonts w:ascii="Arial" w:cs="Arial" w:eastAsia="Arial" w:hAnsi="Arial"/>
          <w:sz w:val="13"/>
          <w:szCs w:val="13"/>
          <w:color w:val="auto"/>
        </w:rPr>
        <w:t>membership (including dual-eligible demonstration members)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469,000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of December 31, 2019, a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127,900,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37 percent,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341,100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2018. Membership at December 31, 2019 was unchanged from membership at September 30, 2019. The year-over-year increase primarily resulted from the statewide award of a comprehensive contract under the Managed Medical Assistance (MMA) program in Florida.</w:t>
      </w:r>
    </w:p>
    <w:p>
      <w:pPr>
        <w:spacing w:after="0" w:line="108" w:lineRule="exact"/>
        <w:rPr>
          <w:rFonts w:ascii="Arial" w:cs="Arial" w:eastAsia="Arial" w:hAnsi="Arial"/>
          <w:sz w:val="13"/>
          <w:szCs w:val="13"/>
          <w:color w:val="auto"/>
        </w:rPr>
      </w:pPr>
    </w:p>
    <w:p>
      <w:pPr>
        <w:ind w:left="420" w:right="400" w:hanging="221"/>
        <w:spacing w:after="0" w:line="284" w:lineRule="auto"/>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 xml:space="preserve">January 2020 state-based contracts </w:t>
      </w:r>
      <w:r>
        <w:rPr>
          <w:rFonts w:ascii="Arial" w:cs="Arial" w:eastAsia="Arial" w:hAnsi="Arial"/>
          <w:sz w:val="13"/>
          <w:szCs w:val="13"/>
          <w:color w:val="auto"/>
        </w:rPr>
        <w:t>membership was 608,000, representing growth of 139,000, or 30 percent, from December 31, 2019. This growth primarily reflects the impact of</w:t>
      </w:r>
      <w:r>
        <w:rPr>
          <w:rFonts w:ascii="Arial" w:cs="Arial" w:eastAsia="Arial" w:hAnsi="Arial"/>
          <w:sz w:val="13"/>
          <w:szCs w:val="13"/>
          <w:b w:val="1"/>
          <w:bCs w:val="1"/>
          <w:color w:val="auto"/>
        </w:rPr>
        <w:t xml:space="preserve"> </w:t>
      </w:r>
      <w:r>
        <w:rPr>
          <w:rFonts w:ascii="Arial" w:cs="Arial" w:eastAsia="Arial" w:hAnsi="Arial"/>
          <w:sz w:val="13"/>
          <w:szCs w:val="13"/>
          <w:color w:val="auto"/>
        </w:rPr>
        <w:t>discontinuing the reinsurance agreement with CareSource and the assumption of full financial risk for the existing Kentucky Medicaid contract as of January 1, 2020.</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benefits expense:</w:t>
      </w:r>
    </w:p>
    <w:p>
      <w:pPr>
        <w:spacing w:after="0" w:line="156" w:lineRule="exact"/>
        <w:rPr>
          <w:sz w:val="20"/>
          <w:szCs w:val="20"/>
          <w:color w:val="auto"/>
        </w:rPr>
      </w:pPr>
    </w:p>
    <w:p>
      <w:pPr>
        <w:ind w:left="420" w:hanging="221"/>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4Q19 benefit ratio for the Retail segment of 86.3 percent increased 230 basis points from 84.0 percent in 4Q18. The year-over-year increase was primarily the result of the following factors:</w:t>
      </w:r>
    </w:p>
    <w:p>
      <w:pPr>
        <w:spacing w:after="0" w:line="167" w:lineRule="exact"/>
        <w:rPr>
          <w:rFonts w:ascii="Arial" w:cs="Arial" w:eastAsia="Arial" w:hAnsi="Arial"/>
          <w:sz w:val="12"/>
          <w:szCs w:val="12"/>
          <w:color w:val="auto"/>
        </w:rPr>
      </w:pPr>
    </w:p>
    <w:p>
      <w:pPr>
        <w:ind w:left="640" w:hanging="216"/>
        <w:spacing w:after="0"/>
        <w:tabs>
          <w:tab w:leader="none" w:pos="6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the suspension of the HIF in 2019 which was contemplated in the pricing and benefit design of the company's products,</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lower favorable Prior Period Development in the segment in 4Q19, and</w:t>
      </w:r>
    </w:p>
    <w:p>
      <w:pPr>
        <w:spacing w:after="0" w:line="147" w:lineRule="exact"/>
        <w:rPr>
          <w:rFonts w:ascii="Arial" w:cs="Arial" w:eastAsia="Arial" w:hAnsi="Arial"/>
          <w:sz w:val="13"/>
          <w:szCs w:val="13"/>
          <w:color w:val="auto"/>
        </w:rPr>
      </w:pPr>
    </w:p>
    <w:p>
      <w:pPr>
        <w:ind w:left="640" w:right="420" w:hanging="216"/>
        <w:spacing w:after="0" w:line="258" w:lineRule="auto"/>
        <w:tabs>
          <w:tab w:leader="none" w:pos="6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the shift in Medicare membership mix due to the loss of stand-alone PDP members and significant growth in Medicare Advantage members. The benefit ratio for stand-alone PDP members generally decreases as the year progresses.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These increases were partially offset by the following factors:</w:t>
      </w:r>
    </w:p>
    <w:p>
      <w:pPr>
        <w:spacing w:after="0" w:line="148" w:lineRule="exact"/>
        <w:rPr>
          <w:sz w:val="20"/>
          <w:szCs w:val="20"/>
          <w:color w:val="auto"/>
        </w:rPr>
      </w:pPr>
    </w:p>
    <w:p>
      <w:pPr>
        <w:ind w:left="640" w:hanging="216"/>
        <w:spacing w:after="0"/>
        <w:tabs>
          <w:tab w:leader="none" w:pos="640" w:val="left"/>
        </w:tabs>
        <w:numPr>
          <w:ilvl w:val="1"/>
          <w:numId w:val="26"/>
        </w:numPr>
        <w:rPr>
          <w:rFonts w:ascii="Arial" w:cs="Arial" w:eastAsia="Arial" w:hAnsi="Arial"/>
          <w:sz w:val="13"/>
          <w:szCs w:val="13"/>
          <w:color w:val="auto"/>
        </w:rPr>
      </w:pPr>
      <w:r>
        <w:rPr>
          <w:rFonts w:ascii="Arial" w:cs="Arial" w:eastAsia="Arial" w:hAnsi="Arial"/>
          <w:sz w:val="13"/>
          <w:szCs w:val="13"/>
          <w:color w:val="auto"/>
        </w:rPr>
        <w:t>engaging the company's Medicare Advantage members in clinical programs, as well as ensuring they are appropriately documented under the CMS risk-adjustment model; and</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26"/>
        </w:numPr>
        <w:rPr>
          <w:rFonts w:ascii="Arial" w:cs="Arial" w:eastAsia="Arial" w:hAnsi="Arial"/>
          <w:sz w:val="13"/>
          <w:szCs w:val="13"/>
          <w:color w:val="auto"/>
        </w:rPr>
      </w:pPr>
      <w:r>
        <w:rPr>
          <w:rFonts w:ascii="Arial" w:cs="Arial" w:eastAsia="Arial" w:hAnsi="Arial"/>
          <w:sz w:val="13"/>
          <w:szCs w:val="13"/>
          <w:color w:val="auto"/>
        </w:rPr>
        <w:t>lower than expected medical costs as compared to the assumptions used in the pricing of the company's individual Medicare Advantage business for 2019.</w:t>
      </w:r>
    </w:p>
    <w:p>
      <w:pPr>
        <w:spacing w:after="0" w:line="139" w:lineRule="exact"/>
        <w:rPr>
          <w:rFonts w:ascii="Arial" w:cs="Arial" w:eastAsia="Arial" w:hAnsi="Arial"/>
          <w:sz w:val="13"/>
          <w:szCs w:val="13"/>
          <w:color w:val="auto"/>
        </w:rPr>
      </w:pPr>
    </w:p>
    <w:p>
      <w:pPr>
        <w:ind w:left="800" w:hanging="592"/>
        <w:spacing w:after="0" w:line="258" w:lineRule="auto"/>
        <w:tabs>
          <w:tab w:leader="none" w:pos="422"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The FY 2019 benefit ratio for the Retail segment of 86.4 percent was 130 basis points higher than the FY 2018 ratio of 85.1 percent. The year-over-year increase in the benefit ratio primarily reflected the same factors that affected the fourth quarter comparison described above. </w:t>
      </w:r>
      <w:r>
        <w:rPr>
          <w:rFonts w:ascii="Arial" w:cs="Arial" w:eastAsia="Arial" w:hAnsi="Arial"/>
          <w:sz w:val="13"/>
          <w:szCs w:val="13"/>
          <w:color w:val="2C2C2C"/>
        </w:rPr>
        <w:t>The increases were partially offset by the impact of a less severe flu season experienced in the</w:t>
      </w:r>
      <w:r>
        <w:rPr>
          <w:rFonts w:ascii="Arial" w:cs="Arial" w:eastAsia="Arial" w:hAnsi="Arial"/>
          <w:sz w:val="13"/>
          <w:szCs w:val="13"/>
          <w:color w:val="auto"/>
        </w:rPr>
        <w:t xml:space="preserve"> </w:t>
      </w:r>
      <w:r>
        <w:rPr>
          <w:rFonts w:ascii="Arial" w:cs="Arial" w:eastAsia="Arial" w:hAnsi="Arial"/>
          <w:sz w:val="13"/>
          <w:szCs w:val="13"/>
          <w:color w:val="2C2C2C"/>
        </w:rPr>
        <w:t>first quarter of 2019 compared to that in the first quarter of 2018.</w:t>
      </w:r>
    </w:p>
    <w:p>
      <w:pPr>
        <w:spacing w:after="0" w:line="129" w:lineRule="exact"/>
        <w:rPr>
          <w:rFonts w:ascii="Arial" w:cs="Arial" w:eastAsia="Arial" w:hAnsi="Arial"/>
          <w:sz w:val="13"/>
          <w:szCs w:val="13"/>
          <w:color w:val="auto"/>
        </w:rPr>
      </w:pPr>
    </w:p>
    <w:p>
      <w:pPr>
        <w:ind w:left="420" w:right="220" w:hanging="221"/>
        <w:spacing w:after="0" w:line="258" w:lineRule="auto"/>
        <w:tabs>
          <w:tab w:leader="none" w:pos="4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Retail segment's favorable Prior Period Development, as noted in the table below, lowered the segment benefit ratio by 10 basis points in 4Q19 and by 30 basis points in 4Q18. Prior Period Development lowered the FY 2019 ratio by 70 basis points and lowered the FY 2018 benefit ratio by 80 basis points.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60"/>
          </w:cols>
          <w:pgMar w:left="220" w:top="578" w:right="21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142"/>
        </w:trPr>
        <w:tc>
          <w:tcPr>
            <w:tcW w:w="51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 xml:space="preserve">Retail segment Prior Period Development </w:t>
            </w:r>
            <w:r>
              <w:rPr>
                <w:rFonts w:ascii="Arial" w:cs="Arial" w:eastAsia="Arial" w:hAnsi="Arial"/>
                <w:sz w:val="10"/>
                <w:szCs w:val="10"/>
                <w:color w:val="auto"/>
              </w:rPr>
              <w:t>(in millions)</w:t>
            </w:r>
          </w:p>
        </w:tc>
        <w:tc>
          <w:tcPr>
            <w:tcW w:w="1080" w:type="dxa"/>
            <w:vAlign w:val="bottom"/>
            <w:tcBorders>
              <w:top w:val="single" w:sz="8" w:color="auto"/>
              <w:right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First</w:t>
            </w:r>
          </w:p>
        </w:tc>
        <w:tc>
          <w:tcPr>
            <w:tcW w:w="1200" w:type="dxa"/>
            <w:vAlign w:val="bottom"/>
            <w:tcBorders>
              <w:top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Second</w:t>
            </w:r>
          </w:p>
        </w:tc>
        <w:tc>
          <w:tcPr>
            <w:tcW w:w="1080" w:type="dxa"/>
            <w:vAlign w:val="bottom"/>
            <w:tcBorders>
              <w:top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Third</w:t>
            </w:r>
          </w:p>
        </w:tc>
        <w:tc>
          <w:tcPr>
            <w:tcW w:w="1060" w:type="dxa"/>
            <w:vAlign w:val="bottom"/>
            <w:tcBorders>
              <w:top w:val="single" w:sz="8" w:color="auto"/>
              <w:right w:val="single" w:sz="8" w:color="auto"/>
            </w:tcBorders>
            <w:shd w:val="clear" w:color="auto" w:fill="EAEAEA"/>
          </w:tcPr>
          <w:p>
            <w:pPr>
              <w:jc w:val="right"/>
              <w:ind w:right="326"/>
              <w:spacing w:after="0"/>
              <w:rPr>
                <w:sz w:val="20"/>
                <w:szCs w:val="20"/>
                <w:color w:val="auto"/>
              </w:rPr>
            </w:pPr>
            <w:r>
              <w:rPr>
                <w:rFonts w:ascii="Arial" w:cs="Arial" w:eastAsia="Arial" w:hAnsi="Arial"/>
                <w:sz w:val="11"/>
                <w:szCs w:val="11"/>
                <w:b w:val="1"/>
                <w:bCs w:val="1"/>
                <w:color w:val="auto"/>
              </w:rPr>
              <w:t>Fourth</w:t>
            </w:r>
          </w:p>
        </w:tc>
        <w:tc>
          <w:tcPr>
            <w:tcW w:w="1160" w:type="dxa"/>
            <w:vAlign w:val="bottom"/>
            <w:tcBorders>
              <w:top w:val="single" w:sz="8" w:color="auto"/>
              <w:right w:val="single" w:sz="8" w:color="auto"/>
            </w:tcBorders>
            <w:shd w:val="clear" w:color="auto" w:fill="EAEAEA"/>
          </w:tcPr>
          <w:p>
            <w:pPr>
              <w:spacing w:after="0"/>
              <w:rPr>
                <w:sz w:val="12"/>
                <w:szCs w:val="12"/>
                <w:color w:val="auto"/>
              </w:rPr>
            </w:pPr>
          </w:p>
        </w:tc>
      </w:tr>
      <w:tr>
        <w:trPr>
          <w:trHeight w:val="148"/>
        </w:trPr>
        <w:tc>
          <w:tcPr>
            <w:tcW w:w="5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Favorable (unfavorable)</w:t>
            </w:r>
          </w:p>
        </w:tc>
        <w:tc>
          <w:tcPr>
            <w:tcW w:w="1080" w:type="dxa"/>
            <w:vAlign w:val="bottom"/>
            <w:tcBorders>
              <w:bottom w:val="single" w:sz="8" w:color="auto"/>
              <w:right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Quarter</w:t>
            </w:r>
          </w:p>
        </w:tc>
        <w:tc>
          <w:tcPr>
            <w:tcW w:w="120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Quarter</w:t>
            </w:r>
          </w:p>
        </w:tc>
        <w:tc>
          <w:tcPr>
            <w:tcW w:w="1080" w:type="dxa"/>
            <w:vAlign w:val="bottom"/>
            <w:tcBorders>
              <w:bottom w:val="single" w:sz="8" w:color="auto"/>
              <w:right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Quarter</w:t>
            </w:r>
          </w:p>
        </w:tc>
        <w:tc>
          <w:tcPr>
            <w:tcW w:w="1060" w:type="dxa"/>
            <w:vAlign w:val="bottom"/>
            <w:tcBorders>
              <w:bottom w:val="single" w:sz="8" w:color="auto"/>
              <w:right w:val="single" w:sz="8" w:color="auto"/>
            </w:tcBorders>
            <w:shd w:val="clear" w:color="auto" w:fill="EAEAEA"/>
          </w:tcPr>
          <w:p>
            <w:pPr>
              <w:jc w:val="right"/>
              <w:ind w:right="306"/>
              <w:spacing w:after="0"/>
              <w:rPr>
                <w:sz w:val="20"/>
                <w:szCs w:val="20"/>
                <w:color w:val="auto"/>
              </w:rPr>
            </w:pPr>
            <w:r>
              <w:rPr>
                <w:rFonts w:ascii="Arial" w:cs="Arial" w:eastAsia="Arial" w:hAnsi="Arial"/>
                <w:sz w:val="11"/>
                <w:szCs w:val="11"/>
                <w:b w:val="1"/>
                <w:bCs w:val="1"/>
                <w:color w:val="auto"/>
              </w:rPr>
              <w:t>Quarter</w:t>
            </w:r>
          </w:p>
        </w:tc>
        <w:tc>
          <w:tcPr>
            <w:tcW w:w="1160" w:type="dxa"/>
            <w:vAlign w:val="bottom"/>
            <w:tcBorders>
              <w:bottom w:val="single" w:sz="8" w:color="auto"/>
              <w:right w:val="single" w:sz="8" w:color="auto"/>
            </w:tcBorders>
            <w:shd w:val="clear" w:color="auto" w:fill="EAEAEA"/>
          </w:tcPr>
          <w:p>
            <w:pPr>
              <w:jc w:val="right"/>
              <w:ind w:right="466"/>
              <w:spacing w:after="0"/>
              <w:rPr>
                <w:sz w:val="20"/>
                <w:szCs w:val="20"/>
                <w:color w:val="auto"/>
              </w:rPr>
            </w:pPr>
            <w:r>
              <w:rPr>
                <w:rFonts w:ascii="Arial" w:cs="Arial" w:eastAsia="Arial" w:hAnsi="Arial"/>
                <w:sz w:val="11"/>
                <w:szCs w:val="11"/>
                <w:b w:val="1"/>
                <w:bCs w:val="1"/>
                <w:color w:val="auto"/>
              </w:rPr>
              <w:t>FY</w:t>
            </w:r>
          </w:p>
        </w:tc>
      </w:tr>
      <w:tr>
        <w:trPr>
          <w:trHeight w:val="169"/>
        </w:trPr>
        <w:tc>
          <w:tcPr>
            <w:tcW w:w="5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Prior Period Development from prior years recognized in FY 2019</w:t>
            </w:r>
          </w:p>
        </w:tc>
        <w:tc>
          <w:tcPr>
            <w:tcW w:w="10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$283</w:t>
            </w:r>
          </w:p>
        </w:tc>
        <w:tc>
          <w:tcPr>
            <w:tcW w:w="12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$28</w:t>
            </w:r>
          </w:p>
        </w:tc>
        <w:tc>
          <w:tcPr>
            <w:tcW w:w="10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$55</w:t>
            </w:r>
          </w:p>
        </w:tc>
        <w:tc>
          <w:tcPr>
            <w:tcW w:w="1060" w:type="dxa"/>
            <w:vAlign w:val="bottom"/>
            <w:tcBorders>
              <w:bottom w:val="single" w:sz="8" w:color="auto"/>
              <w:right w:val="single" w:sz="8" w:color="auto"/>
            </w:tcBorders>
            <w:shd w:val="clear" w:color="auto" w:fill="EAEAEA"/>
          </w:tcPr>
          <w:p>
            <w:pPr>
              <w:jc w:val="right"/>
              <w:ind w:right="66"/>
              <w:spacing w:after="0"/>
              <w:rPr>
                <w:sz w:val="20"/>
                <w:szCs w:val="20"/>
                <w:color w:val="auto"/>
              </w:rPr>
            </w:pPr>
            <w:r>
              <w:rPr>
                <w:rFonts w:ascii="Arial" w:cs="Arial" w:eastAsia="Arial" w:hAnsi="Arial"/>
                <w:sz w:val="11"/>
                <w:szCs w:val="11"/>
                <w:b w:val="1"/>
                <w:bCs w:val="1"/>
                <w:color w:val="auto"/>
              </w:rPr>
              <w:t>$20</w:t>
            </w:r>
          </w:p>
        </w:tc>
        <w:tc>
          <w:tcPr>
            <w:tcW w:w="1160" w:type="dxa"/>
            <w:vAlign w:val="bottom"/>
            <w:tcBorders>
              <w:bottom w:val="single" w:sz="8" w:color="auto"/>
              <w:right w:val="single" w:sz="8" w:color="auto"/>
            </w:tcBorders>
            <w:shd w:val="clear" w:color="auto" w:fill="EAEAEA"/>
          </w:tcPr>
          <w:p>
            <w:pPr>
              <w:jc w:val="right"/>
              <w:ind w:right="66"/>
              <w:spacing w:after="0"/>
              <w:rPr>
                <w:sz w:val="20"/>
                <w:szCs w:val="20"/>
                <w:color w:val="auto"/>
              </w:rPr>
            </w:pPr>
            <w:r>
              <w:rPr>
                <w:rFonts w:ascii="Arial" w:cs="Arial" w:eastAsia="Arial" w:hAnsi="Arial"/>
                <w:sz w:val="11"/>
                <w:szCs w:val="11"/>
                <w:b w:val="1"/>
                <w:bCs w:val="1"/>
                <w:color w:val="auto"/>
              </w:rPr>
              <w:t>$386</w:t>
            </w:r>
          </w:p>
        </w:tc>
      </w:tr>
      <w:tr>
        <w:trPr>
          <w:trHeight w:val="169"/>
        </w:trPr>
        <w:tc>
          <w:tcPr>
            <w:tcW w:w="5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Prior Period Development from prior years recognized in FY 2018</w:t>
            </w:r>
          </w:p>
        </w:tc>
        <w:tc>
          <w:tcPr>
            <w:tcW w:w="10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2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$60</w:t>
            </w:r>
          </w:p>
        </w:tc>
        <w:tc>
          <w:tcPr>
            <w:tcW w:w="10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$120</w:t>
            </w:r>
          </w:p>
        </w:tc>
        <w:tc>
          <w:tcPr>
            <w:tcW w:w="1060" w:type="dxa"/>
            <w:vAlign w:val="bottom"/>
            <w:tcBorders>
              <w:bottom w:val="single" w:sz="8" w:color="auto"/>
              <w:right w:val="single" w:sz="8" w:color="auto"/>
            </w:tcBorders>
            <w:shd w:val="clear" w:color="auto" w:fill="EAEAEA"/>
          </w:tcPr>
          <w:p>
            <w:pPr>
              <w:jc w:val="right"/>
              <w:ind w:right="66"/>
              <w:spacing w:after="0"/>
              <w:rPr>
                <w:sz w:val="20"/>
                <w:szCs w:val="20"/>
                <w:color w:val="auto"/>
              </w:rPr>
            </w:pPr>
            <w:r>
              <w:rPr>
                <w:rFonts w:ascii="Arial" w:cs="Arial" w:eastAsia="Arial" w:hAnsi="Arial"/>
                <w:sz w:val="11"/>
                <w:szCs w:val="11"/>
                <w:color w:val="auto"/>
              </w:rPr>
              <w:t>$31</w:t>
            </w:r>
          </w:p>
        </w:tc>
        <w:tc>
          <w:tcPr>
            <w:tcW w:w="1160" w:type="dxa"/>
            <w:vAlign w:val="bottom"/>
            <w:tcBorders>
              <w:bottom w:val="single" w:sz="8" w:color="auto"/>
              <w:right w:val="single" w:sz="8" w:color="auto"/>
            </w:tcBorders>
            <w:shd w:val="clear" w:color="auto" w:fill="EAEAEA"/>
          </w:tcPr>
          <w:p>
            <w:pPr>
              <w:jc w:val="right"/>
              <w:ind w:right="66"/>
              <w:spacing w:after="0"/>
              <w:rPr>
                <w:sz w:val="20"/>
                <w:szCs w:val="20"/>
                <w:color w:val="auto"/>
              </w:rPr>
            </w:pPr>
            <w:r>
              <w:rPr>
                <w:rFonts w:ascii="Arial" w:cs="Arial" w:eastAsia="Arial" w:hAnsi="Arial"/>
                <w:sz w:val="11"/>
                <w:szCs w:val="11"/>
                <w:color w:val="auto"/>
              </w:rPr>
              <w:t>$398</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operating costs:</w:t>
      </w:r>
    </w:p>
    <w:p>
      <w:pPr>
        <w:spacing w:after="0" w:line="156" w:lineRule="exact"/>
        <w:rPr>
          <w:sz w:val="20"/>
          <w:szCs w:val="20"/>
          <w:color w:val="auto"/>
        </w:rPr>
      </w:pPr>
    </w:p>
    <w:p>
      <w:pPr>
        <w:ind w:left="420" w:right="580" w:hanging="221"/>
        <w:spacing w:after="0" w:line="271" w:lineRule="auto"/>
        <w:tabs>
          <w:tab w:leader="none" w:pos="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Retail segment’s operating cost ratio of 11.6 percent in 4Q19 decreased 130 basis points from 12.9 percent in 4Q18. The year-over-year comparison was positively impacted by the following:</w:t>
      </w:r>
    </w:p>
    <w:p>
      <w:pPr>
        <w:spacing w:after="0" w:line="120" w:lineRule="exact"/>
        <w:rPr>
          <w:rFonts w:ascii="Arial" w:cs="Arial" w:eastAsia="Arial" w:hAnsi="Arial"/>
          <w:sz w:val="13"/>
          <w:szCs w:val="13"/>
          <w:color w:val="auto"/>
        </w:rPr>
      </w:pPr>
    </w:p>
    <w:p>
      <w:pPr>
        <w:ind w:left="660" w:hanging="218"/>
        <w:spacing w:after="0"/>
        <w:tabs>
          <w:tab w:leader="none" w:pos="6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the suspension of the HIF in 2019, which increased the Retail segment’s operating cost ratio by approximately 190 basis points in 4Q18,</w:t>
      </w:r>
    </w:p>
    <w:p>
      <w:pPr>
        <w:spacing w:after="0" w:line="147" w:lineRule="exact"/>
        <w:rPr>
          <w:rFonts w:ascii="Arial" w:cs="Arial" w:eastAsia="Arial" w:hAnsi="Arial"/>
          <w:sz w:val="13"/>
          <w:szCs w:val="13"/>
          <w:color w:val="auto"/>
        </w:rPr>
      </w:pPr>
    </w:p>
    <w:p>
      <w:pPr>
        <w:ind w:left="660" w:hanging="218"/>
        <w:spacing w:after="0"/>
        <w:tabs>
          <w:tab w:leader="none" w:pos="6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scale efficiencies associated with growth in the company's Medicare Advantage membership, and</w:t>
      </w:r>
    </w:p>
    <w:p>
      <w:pPr>
        <w:spacing w:after="0" w:line="147" w:lineRule="exact"/>
        <w:rPr>
          <w:rFonts w:ascii="Arial" w:cs="Arial" w:eastAsia="Arial" w:hAnsi="Arial"/>
          <w:sz w:val="13"/>
          <w:szCs w:val="13"/>
          <w:color w:val="auto"/>
        </w:rPr>
      </w:pPr>
    </w:p>
    <w:p>
      <w:pPr>
        <w:ind w:left="660" w:hanging="218"/>
        <w:spacing w:after="0"/>
        <w:tabs>
          <w:tab w:leader="none" w:pos="6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significant operating cost efficiencies in 2019 driven by previously implemented productivity initiatives.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improvements were partially offset by the following items:</w:t>
      </w:r>
    </w:p>
    <w:p>
      <w:pPr>
        <w:spacing w:after="0" w:line="148" w:lineRule="exact"/>
        <w:rPr>
          <w:sz w:val="20"/>
          <w:szCs w:val="20"/>
          <w:color w:val="auto"/>
        </w:rPr>
      </w:pPr>
    </w:p>
    <w:p>
      <w:pPr>
        <w:ind w:left="640" w:hanging="216"/>
        <w:spacing w:after="0"/>
        <w:tabs>
          <w:tab w:leader="none" w:pos="6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strategic investments in the company's integrated care delivery model in 4Q19,</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the impact of higher compensation expense accruals in 4Q19 for the AIP as a result of the continued strong performance of the company, and</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increased spending associated with the Medicare AEP.</w:t>
      </w:r>
    </w:p>
    <w:p>
      <w:pPr>
        <w:spacing w:after="0" w:line="139" w:lineRule="exact"/>
        <w:rPr>
          <w:rFonts w:ascii="Arial" w:cs="Arial" w:eastAsia="Arial" w:hAnsi="Arial"/>
          <w:sz w:val="13"/>
          <w:szCs w:val="13"/>
          <w:color w:val="auto"/>
        </w:rPr>
      </w:pPr>
    </w:p>
    <w:p>
      <w:pPr>
        <w:ind w:left="420" w:right="100" w:hanging="212"/>
        <w:spacing w:after="0" w:line="271" w:lineRule="auto"/>
        <w:tabs>
          <w:tab w:leader="none" w:pos="4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Retail segment’s FY 2019 operating cost ratio of 9.4 percent decreased 170 basis points from 11.1 percent in FY 2018 primarily reflecting the same factors that impacted the year-over-year comparison for the fourth quarter. The HIF impacted the segment’s FY 2018 operating cost ratio by approximately 190 basis points.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results: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60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Retail segment earnings</w:t>
            </w:r>
          </w:p>
        </w:tc>
        <w:tc>
          <w:tcPr>
            <w:tcW w:w="1380" w:type="dxa"/>
            <w:vAlign w:val="bottom"/>
            <w:tcBorders>
              <w:top w:val="single" w:sz="8" w:color="auto"/>
              <w:right w:val="single" w:sz="8" w:color="auto"/>
            </w:tcBorders>
            <w:shd w:val="clear" w:color="auto" w:fill="EAEAEA"/>
          </w:tcPr>
          <w:p>
            <w:pPr>
              <w:spacing w:after="0"/>
              <w:rPr>
                <w:sz w:val="10"/>
                <w:szCs w:val="10"/>
                <w:color w:val="auto"/>
              </w:rPr>
            </w:pPr>
          </w:p>
        </w:tc>
        <w:tc>
          <w:tcPr>
            <w:tcW w:w="1380" w:type="dxa"/>
            <w:vAlign w:val="bottom"/>
            <w:tcBorders>
              <w:top w:val="single" w:sz="8" w:color="auto"/>
              <w:right w:val="single" w:sz="8" w:color="auto"/>
            </w:tcBorders>
          </w:tcPr>
          <w:p>
            <w:pPr>
              <w:spacing w:after="0"/>
              <w:rPr>
                <w:sz w:val="10"/>
                <w:szCs w:val="10"/>
                <w:color w:val="auto"/>
              </w:rPr>
            </w:pPr>
          </w:p>
        </w:tc>
        <w:tc>
          <w:tcPr>
            <w:tcW w:w="1380" w:type="dxa"/>
            <w:vAlign w:val="bottom"/>
            <w:tcBorders>
              <w:top w:val="single" w:sz="8" w:color="auto"/>
              <w:right w:val="single" w:sz="8" w:color="auto"/>
            </w:tcBorders>
            <w:shd w:val="clear" w:color="auto" w:fill="EAEAEA"/>
          </w:tcPr>
          <w:p>
            <w:pPr>
              <w:spacing w:after="0"/>
              <w:rPr>
                <w:sz w:val="10"/>
                <w:szCs w:val="10"/>
                <w:color w:val="auto"/>
              </w:rPr>
            </w:pPr>
          </w:p>
        </w:tc>
        <w:tc>
          <w:tcPr>
            <w:tcW w:w="1360" w:type="dxa"/>
            <w:vAlign w:val="bottom"/>
            <w:tcBorders>
              <w:top w:val="single" w:sz="8" w:color="auto"/>
              <w:right w:val="single" w:sz="8" w:color="auto"/>
            </w:tcBorders>
          </w:tcPr>
          <w:p>
            <w:pPr>
              <w:spacing w:after="0"/>
              <w:rPr>
                <w:sz w:val="10"/>
                <w:szCs w:val="10"/>
                <w:color w:val="auto"/>
              </w:rPr>
            </w:pPr>
          </w:p>
        </w:tc>
      </w:tr>
      <w:tr>
        <w:trPr>
          <w:trHeight w:val="144"/>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380" w:type="dxa"/>
            <w:vAlign w:val="bottom"/>
            <w:tcBorders>
              <w:bottom w:val="single" w:sz="8" w:color="auto"/>
              <w:right w:val="single" w:sz="8" w:color="auto"/>
            </w:tcBorders>
            <w:shd w:val="clear" w:color="auto" w:fill="EAEAEA"/>
          </w:tcPr>
          <w:p>
            <w:pPr>
              <w:jc w:val="right"/>
              <w:ind w:right="467"/>
              <w:spacing w:after="0"/>
              <w:rPr>
                <w:sz w:val="20"/>
                <w:szCs w:val="20"/>
                <w:color w:val="auto"/>
              </w:rPr>
            </w:pPr>
            <w:r>
              <w:rPr>
                <w:rFonts w:ascii="Arial" w:cs="Arial" w:eastAsia="Arial" w:hAnsi="Arial"/>
                <w:sz w:val="10"/>
                <w:szCs w:val="10"/>
                <w:b w:val="1"/>
                <w:bCs w:val="1"/>
                <w:color w:val="auto"/>
                <w:shd w:val="clear" w:color="auto" w:fill="EAEAEA"/>
              </w:rPr>
              <w:t>4Q19 (a)</w:t>
            </w:r>
          </w:p>
        </w:tc>
        <w:tc>
          <w:tcPr>
            <w:tcW w:w="1380" w:type="dxa"/>
            <w:vAlign w:val="bottom"/>
            <w:tcBorders>
              <w:bottom w:val="single" w:sz="8" w:color="auto"/>
              <w:right w:val="single" w:sz="8" w:color="auto"/>
            </w:tcBorders>
          </w:tcPr>
          <w:p>
            <w:pPr>
              <w:jc w:val="right"/>
              <w:ind w:right="467"/>
              <w:spacing w:after="0"/>
              <w:rPr>
                <w:sz w:val="20"/>
                <w:szCs w:val="20"/>
                <w:color w:val="auto"/>
              </w:rPr>
            </w:pPr>
            <w:r>
              <w:rPr>
                <w:rFonts w:ascii="Arial" w:cs="Arial" w:eastAsia="Arial" w:hAnsi="Arial"/>
                <w:sz w:val="10"/>
                <w:szCs w:val="10"/>
                <w:color w:val="auto"/>
              </w:rPr>
              <w:t>4Q18 (b)</w:t>
            </w:r>
          </w:p>
        </w:tc>
        <w:tc>
          <w:tcPr>
            <w:tcW w:w="1380" w:type="dxa"/>
            <w:vAlign w:val="bottom"/>
            <w:tcBorders>
              <w:bottom w:val="single" w:sz="8" w:color="auto"/>
              <w:right w:val="single" w:sz="8" w:color="auto"/>
            </w:tcBorders>
            <w:shd w:val="clear" w:color="auto" w:fill="EAEAEA"/>
          </w:tcPr>
          <w:p>
            <w:pPr>
              <w:jc w:val="right"/>
              <w:ind w:right="407"/>
              <w:spacing w:after="0"/>
              <w:rPr>
                <w:sz w:val="20"/>
                <w:szCs w:val="20"/>
                <w:color w:val="auto"/>
              </w:rPr>
            </w:pPr>
            <w:r>
              <w:rPr>
                <w:rFonts w:ascii="Arial" w:cs="Arial" w:eastAsia="Arial" w:hAnsi="Arial"/>
                <w:sz w:val="10"/>
                <w:szCs w:val="10"/>
                <w:b w:val="1"/>
                <w:bCs w:val="1"/>
                <w:color w:val="auto"/>
                <w:shd w:val="clear" w:color="auto" w:fill="EAEAEA"/>
              </w:rPr>
              <w:t>FY 2019 (c)</w:t>
            </w:r>
          </w:p>
        </w:tc>
        <w:tc>
          <w:tcPr>
            <w:tcW w:w="136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0"/>
                <w:szCs w:val="10"/>
                <w:color w:val="auto"/>
              </w:rPr>
              <w:t>FY 2018 (d)</w:t>
            </w:r>
          </w:p>
        </w:tc>
      </w:tr>
      <w:tr>
        <w:trPr>
          <w:trHeight w:val="172"/>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38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$275</w:t>
            </w:r>
          </w:p>
        </w:tc>
        <w:tc>
          <w:tcPr>
            <w:tcW w:w="13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$339</w:t>
            </w:r>
          </w:p>
        </w:tc>
        <w:tc>
          <w:tcPr>
            <w:tcW w:w="138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$2,235</w:t>
            </w:r>
          </w:p>
        </w:tc>
        <w:tc>
          <w:tcPr>
            <w:tcW w:w="136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$1,733</w:t>
            </w:r>
          </w:p>
        </w:tc>
      </w:tr>
      <w:tr>
        <w:trPr>
          <w:trHeight w:val="151"/>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38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4</w:t>
            </w:r>
          </w:p>
        </w:tc>
        <w:tc>
          <w:tcPr>
            <w:tcW w:w="13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4</w:t>
            </w:r>
          </w:p>
        </w:tc>
        <w:tc>
          <w:tcPr>
            <w:tcW w:w="138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16</w:t>
            </w:r>
          </w:p>
        </w:tc>
        <w:tc>
          <w:tcPr>
            <w:tcW w:w="136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19</w:t>
            </w:r>
          </w:p>
        </w:tc>
      </w:tr>
      <w:tr>
        <w:trPr>
          <w:trHeight w:val="169"/>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38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$279</w:t>
            </w:r>
          </w:p>
        </w:tc>
        <w:tc>
          <w:tcPr>
            <w:tcW w:w="13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$343</w:t>
            </w:r>
          </w:p>
        </w:tc>
        <w:tc>
          <w:tcPr>
            <w:tcW w:w="138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$2,251</w:t>
            </w:r>
          </w:p>
        </w:tc>
        <w:tc>
          <w:tcPr>
            <w:tcW w:w="136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$1,752</w:t>
            </w:r>
          </w:p>
        </w:tc>
      </w:tr>
    </w:tbl>
    <w:p>
      <w:pPr>
        <w:spacing w:after="0" w:line="134" w:lineRule="exact"/>
        <w:rPr>
          <w:sz w:val="20"/>
          <w:szCs w:val="20"/>
          <w:color w:val="auto"/>
        </w:rPr>
      </w:pPr>
    </w:p>
    <w:p>
      <w:pPr>
        <w:ind w:left="420" w:right="600" w:hanging="221"/>
        <w:spacing w:after="0" w:line="271" w:lineRule="auto"/>
        <w:tabs>
          <w:tab w:leader="none" w:pos="4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Retail segment’s GAAP segment earnings of $275 million in 4Q19 decreased $64 million, or 19 percent, from GAAP segment earnings of $339 million in 4Q18. The year-over-year unfavorable comparison was impacted by the same factors that resulted in the segment's higher benefit ratio, partially offset by the improvement in the operating cost ratio.</w:t>
      </w:r>
    </w:p>
    <w:p>
      <w:pPr>
        <w:spacing w:after="0" w:line="112" w:lineRule="exact"/>
        <w:rPr>
          <w:rFonts w:ascii="Arial" w:cs="Arial" w:eastAsia="Arial" w:hAnsi="Arial"/>
          <w:sz w:val="13"/>
          <w:szCs w:val="13"/>
          <w:color w:val="auto"/>
        </w:rPr>
      </w:pPr>
    </w:p>
    <w:p>
      <w:pPr>
        <w:ind w:left="420" w:right="140" w:hanging="221"/>
        <w:spacing w:after="0" w:line="271" w:lineRule="auto"/>
        <w:tabs>
          <w:tab w:leader="none" w:pos="4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For FY 2019, GAAP segment earnings for the Retail segment of $2.24 billion increased $502 million, or 29 percent, from $1.73 billion in FY 2018. The year-over-year increase primarily reflects the lower operating cost ratio in FY 2019, which was partially offset by the segment's higher benefit ratio in FY 2019 as described above.</w:t>
      </w:r>
    </w:p>
    <w:p>
      <w:pPr>
        <w:spacing w:after="0" w:line="120" w:lineRule="exact"/>
        <w:rPr>
          <w:rFonts w:ascii="Arial" w:cs="Arial" w:eastAsia="Arial" w:hAnsi="Arial"/>
          <w:sz w:val="13"/>
          <w:szCs w:val="13"/>
          <w:color w:val="auto"/>
        </w:rPr>
      </w:pPr>
    </w:p>
    <w:p>
      <w:pPr>
        <w:ind w:left="420" w:right="60" w:hanging="221"/>
        <w:spacing w:after="0" w:line="252" w:lineRule="auto"/>
        <w:tabs>
          <w:tab w:leader="none" w:pos="4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 expected, the company's higher-than-anticipated individual Medicare Advantage membership growth in 2019 had a muted impact on the segment's earnings during the year. While new Medicare Advantage members increase revenues, on average, they have a breakeven impact on segment earnings in the first year as they were not previously engaged in clinical programs or appropriately documented under the CMS risk-adjustment model, and accordingly, carry a higher benefit ratio.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80"/>
          </w:cols>
          <w:pgMar w:left="220" w:top="651" w:right="19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auto"/>
        </w:rPr>
        <w:t>Humana’s Group and Specialty Segment</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This segment consists of the company’s employer group fully-insured commercial medical products and specialty insurance benefits marketed to individuals and groups, including dental, vision, and life insurance benefits. In addition, the segment also includes the company’s administrative services only (ASO) products and its military services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revenues:</w:t>
      </w:r>
    </w:p>
    <w:p>
      <w:pPr>
        <w:spacing w:after="0" w:line="156" w:lineRule="exact"/>
        <w:rPr>
          <w:sz w:val="20"/>
          <w:szCs w:val="20"/>
          <w:color w:val="auto"/>
        </w:rPr>
      </w:pPr>
    </w:p>
    <w:p>
      <w:pPr>
        <w:ind w:left="420" w:hanging="221"/>
        <w:spacing w:after="0"/>
        <w:tabs>
          <w:tab w:leader="none" w:pos="4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4Q19 revenues for the Group and Specialty segment were $1.88 billion, down $34 million year over year from $1.91 billion in 4Q18. This decrease was primarily due to the following:</w:t>
      </w:r>
    </w:p>
    <w:p>
      <w:pPr>
        <w:spacing w:after="0" w:line="155" w:lineRule="exact"/>
        <w:rPr>
          <w:rFonts w:ascii="Arial" w:cs="Arial" w:eastAsia="Arial" w:hAnsi="Arial"/>
          <w:sz w:val="13"/>
          <w:szCs w:val="13"/>
          <w:color w:val="auto"/>
        </w:rPr>
      </w:pPr>
    </w:p>
    <w:p>
      <w:pPr>
        <w:ind w:left="840" w:hanging="208"/>
        <w:spacing w:after="0"/>
        <w:tabs>
          <w:tab w:leader="none" w:pos="840" w:val="left"/>
        </w:tabs>
        <w:numPr>
          <w:ilvl w:val="1"/>
          <w:numId w:val="30"/>
        </w:numPr>
        <w:rPr>
          <w:rFonts w:ascii="Arial" w:cs="Arial" w:eastAsia="Arial" w:hAnsi="Arial"/>
          <w:sz w:val="13"/>
          <w:szCs w:val="13"/>
          <w:color w:val="auto"/>
        </w:rPr>
      </w:pPr>
      <w:r>
        <w:rPr>
          <w:rFonts w:ascii="Arial" w:cs="Arial" w:eastAsia="Arial" w:hAnsi="Arial"/>
          <w:sz w:val="13"/>
          <w:szCs w:val="13"/>
          <w:color w:val="auto"/>
        </w:rPr>
        <w:t>decline in the company's fully-insured group commercial and specialty membership; and</w:t>
      </w:r>
    </w:p>
    <w:p>
      <w:pPr>
        <w:spacing w:after="0" w:line="147" w:lineRule="exact"/>
        <w:rPr>
          <w:rFonts w:ascii="Arial" w:cs="Arial" w:eastAsia="Arial" w:hAnsi="Arial"/>
          <w:sz w:val="13"/>
          <w:szCs w:val="13"/>
          <w:color w:val="auto"/>
        </w:rPr>
      </w:pPr>
    </w:p>
    <w:p>
      <w:pPr>
        <w:ind w:left="840" w:right="120" w:hanging="208"/>
        <w:spacing w:after="0" w:line="258" w:lineRule="auto"/>
        <w:tabs>
          <w:tab w:leader="none" w:pos="84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an unfavorable commercial risk adjustment (CRA) payable estimate in 4Q19 as compared to 4Q18 which resulted in lower small group fully-insured commercial revenues year-over-year.</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decrease was partially offset by the following factors:</w:t>
      </w:r>
    </w:p>
    <w:p>
      <w:pPr>
        <w:spacing w:after="0" w:line="148" w:lineRule="exact"/>
        <w:rPr>
          <w:sz w:val="20"/>
          <w:szCs w:val="20"/>
          <w:color w:val="auto"/>
        </w:rPr>
      </w:pPr>
    </w:p>
    <w:p>
      <w:pPr>
        <w:ind w:left="860" w:hanging="219"/>
        <w:spacing w:after="0"/>
        <w:tabs>
          <w:tab w:leader="none" w:pos="860" w:val="left"/>
        </w:tabs>
        <w:numPr>
          <w:ilvl w:val="1"/>
          <w:numId w:val="31"/>
        </w:numPr>
        <w:rPr>
          <w:rFonts w:ascii="Arial" w:cs="Arial" w:eastAsia="Arial" w:hAnsi="Arial"/>
          <w:sz w:val="13"/>
          <w:szCs w:val="13"/>
          <w:color w:val="auto"/>
        </w:rPr>
      </w:pPr>
      <w:r>
        <w:rPr>
          <w:rFonts w:ascii="Arial" w:cs="Arial" w:eastAsia="Arial" w:hAnsi="Arial"/>
          <w:sz w:val="13"/>
          <w:szCs w:val="13"/>
          <w:color w:val="auto"/>
        </w:rPr>
        <w:t>higher stop-loss revenues related to the company's level-funded ASO accounts resulting from membership growth in this product as more fully described below; and</w:t>
      </w:r>
    </w:p>
    <w:p>
      <w:pPr>
        <w:spacing w:after="0" w:line="147" w:lineRule="exact"/>
        <w:rPr>
          <w:rFonts w:ascii="Arial" w:cs="Arial" w:eastAsia="Arial" w:hAnsi="Arial"/>
          <w:sz w:val="13"/>
          <w:szCs w:val="13"/>
          <w:color w:val="auto"/>
        </w:rPr>
      </w:pPr>
    </w:p>
    <w:p>
      <w:pPr>
        <w:ind w:left="860" w:hanging="219"/>
        <w:spacing w:after="0"/>
        <w:tabs>
          <w:tab w:leader="none" w:pos="860" w:val="left"/>
        </w:tabs>
        <w:numPr>
          <w:ilvl w:val="1"/>
          <w:numId w:val="31"/>
        </w:numPr>
        <w:rPr>
          <w:rFonts w:ascii="Arial" w:cs="Arial" w:eastAsia="Arial" w:hAnsi="Arial"/>
          <w:sz w:val="13"/>
          <w:szCs w:val="13"/>
          <w:color w:val="auto"/>
        </w:rPr>
      </w:pPr>
      <w:r>
        <w:rPr>
          <w:rFonts w:ascii="Arial" w:cs="Arial" w:eastAsia="Arial" w:hAnsi="Arial"/>
          <w:sz w:val="13"/>
          <w:szCs w:val="13"/>
          <w:color w:val="auto"/>
        </w:rPr>
        <w:t>higher per member premiums across the fully-insured business.</w:t>
      </w:r>
    </w:p>
    <w:p>
      <w:pPr>
        <w:spacing w:after="0" w:line="139" w:lineRule="exact"/>
        <w:rPr>
          <w:rFonts w:ascii="Arial" w:cs="Arial" w:eastAsia="Arial" w:hAnsi="Arial"/>
          <w:sz w:val="13"/>
          <w:szCs w:val="13"/>
          <w:color w:val="auto"/>
        </w:rPr>
      </w:pPr>
    </w:p>
    <w:p>
      <w:pPr>
        <w:ind w:left="420" w:right="180" w:hanging="212"/>
        <w:spacing w:after="0" w:line="252" w:lineRule="auto"/>
        <w:tabs>
          <w:tab w:leader="none" w:pos="4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The FY 2019 revenues for the Group and Specialty segment were $7.53 billion, down $154 million, or </w:t>
      </w:r>
      <w:r>
        <w:rPr>
          <w:rFonts w:ascii="Arial" w:cs="Arial" w:eastAsia="Arial" w:hAnsi="Arial"/>
          <w:sz w:val="13"/>
          <w:szCs w:val="13"/>
          <w:color w:val="2C2C2C"/>
        </w:rPr>
        <w:t>2 percent</w:t>
      </w:r>
      <w:r>
        <w:rPr>
          <w:rFonts w:ascii="Arial" w:cs="Arial" w:eastAsia="Arial" w:hAnsi="Arial"/>
          <w:sz w:val="13"/>
          <w:szCs w:val="13"/>
          <w:color w:val="auto"/>
        </w:rPr>
        <w:t>, from $7.68 billion in FY 2018, primarily reflecting the same factors that impacted the year-over-year fourth quarter comparison. The year-over-year FY comparison was also further negatively impacted by the reduction in FY 2019 premium revenues related to the company's workplace voluntary benefits (WVB) and financial protection products (FPP) lines of business due to the exit of these businesses in connection with Humana's divestiture of KMG during the second quarter of 2018. The year-over-year decline also resulted from the impact of certain contractual incentives and adjustments related to the previous TRICARE contract received in 2018 that did not recur in 2019.</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enrollment:</w:t>
      </w:r>
    </w:p>
    <w:p>
      <w:pPr>
        <w:spacing w:after="0" w:line="148" w:lineRule="exact"/>
        <w:rPr>
          <w:sz w:val="20"/>
          <w:szCs w:val="20"/>
          <w:color w:val="auto"/>
        </w:rPr>
      </w:pPr>
    </w:p>
    <w:p>
      <w:pPr>
        <w:ind w:left="420" w:right="40" w:hanging="221"/>
        <w:spacing w:after="0" w:line="255" w:lineRule="auto"/>
        <w:tabs>
          <w:tab w:leader="none" w:pos="420" w:val="left"/>
        </w:tabs>
        <w:numPr>
          <w:ilvl w:val="0"/>
          <w:numId w:val="3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Group fully-insured commercial medical </w:t>
      </w:r>
      <w:r>
        <w:rPr>
          <w:rFonts w:ascii="Arial" w:cs="Arial" w:eastAsia="Arial" w:hAnsi="Arial"/>
          <w:sz w:val="13"/>
          <w:szCs w:val="13"/>
          <w:color w:val="auto"/>
        </w:rPr>
        <w:t>membership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908,600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 December 31, 2019,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96,100,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10 percent,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1,004,700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 December 31, 2018,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down 18,800,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percent, from 927,400 at September 30, 2019. These anticipated declines primarily reflect lower membership in small group accounts due in part to more small group accounts selecting level-funded ASO products in 2019, as well as the loss of certain large group accounts due to the competitive pricing environment. The portion of group fully-insured commercial medical membership in small group accounts (2-99 sized employer groups) was approximately 59 percent at December 31, 2019 compared to 60 percent at September 30, 2019 and 61 percent at December 31, 2018.</w:t>
      </w:r>
    </w:p>
    <w:p>
      <w:pPr>
        <w:spacing w:after="0" w:line="115" w:lineRule="exact"/>
        <w:rPr>
          <w:rFonts w:ascii="Arial" w:cs="Arial" w:eastAsia="Arial" w:hAnsi="Arial"/>
          <w:sz w:val="13"/>
          <w:szCs w:val="13"/>
          <w:color w:val="auto"/>
        </w:rPr>
      </w:pPr>
    </w:p>
    <w:p>
      <w:pPr>
        <w:ind w:left="420" w:right="80" w:hanging="221"/>
        <w:spacing w:after="0" w:line="258" w:lineRule="auto"/>
        <w:tabs>
          <w:tab w:leader="none" w:pos="420" w:val="left"/>
        </w:tabs>
        <w:numPr>
          <w:ilvl w:val="0"/>
          <w:numId w:val="3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Group ASO commercial medical </w:t>
      </w:r>
      <w:r>
        <w:rPr>
          <w:rFonts w:ascii="Arial" w:cs="Arial" w:eastAsia="Arial" w:hAnsi="Arial"/>
          <w:sz w:val="13"/>
          <w:szCs w:val="13"/>
          <w:color w:val="auto"/>
        </w:rPr>
        <w:t>membership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529,200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 December 31, 2019,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47,300,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10 percent,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481,900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 December 31, 2018, and up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12,400,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 percent,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516,800 at September 30, 2019. These increases primarily reflect more small group accounts selecting level-funded ASO products, partially offset by the loss of certain large group accounts due to continued discipline in pricing of services for self-funded accounts amid a highly competitive environment. Small group membership comprised 40 percent of group ASO medical membership at December 31, 2019 versus 26 percent at December 31, 2018 and 39 percent at September 30, 2019.</w:t>
      </w:r>
    </w:p>
    <w:p>
      <w:pPr>
        <w:spacing w:after="0" w:line="113" w:lineRule="exact"/>
        <w:rPr>
          <w:rFonts w:ascii="Arial" w:cs="Arial" w:eastAsia="Arial" w:hAnsi="Arial"/>
          <w:sz w:val="13"/>
          <w:szCs w:val="13"/>
          <w:color w:val="auto"/>
        </w:rPr>
      </w:pPr>
    </w:p>
    <w:p>
      <w:pPr>
        <w:ind w:left="420" w:right="80" w:hanging="221"/>
        <w:spacing w:after="0" w:line="284" w:lineRule="auto"/>
        <w:tabs>
          <w:tab w:leader="none" w:pos="420" w:val="left"/>
        </w:tabs>
        <w:numPr>
          <w:ilvl w:val="0"/>
          <w:numId w:val="3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Military services </w:t>
      </w:r>
      <w:r>
        <w:rPr>
          <w:rFonts w:ascii="Arial" w:cs="Arial" w:eastAsia="Arial" w:hAnsi="Arial"/>
          <w:sz w:val="13"/>
          <w:szCs w:val="13"/>
          <w:color w:val="auto"/>
        </w:rPr>
        <w:t>membership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5,984,300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 December 31, 2019,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55,700,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 percent,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5,928,600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 December 31, 2018,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down 14,400, or less than 1 percent, versus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5,998,700 at September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80"/>
          </w:cols>
          <w:pgMar w:left="220" w:top="562" w:right="199" w:bottom="1440" w:gutter="0" w:footer="0" w:header="0"/>
        </w:sectPr>
      </w:pPr>
    </w:p>
    <w:bookmarkStart w:id="22" w:name="page23"/>
    <w:bookmarkEnd w:id="22"/>
    <w:p>
      <w:pPr>
        <w:ind w:left="420" w:right="380"/>
        <w:spacing w:after="0" w:line="244" w:lineRule="auto"/>
        <w:rPr>
          <w:sz w:val="20"/>
          <w:szCs w:val="20"/>
          <w:color w:val="auto"/>
        </w:rPr>
      </w:pPr>
      <w:r>
        <w:rPr>
          <w:rFonts w:ascii="Arial" w:cs="Arial" w:eastAsia="Arial" w:hAnsi="Arial"/>
          <w:sz w:val="13"/>
          <w:szCs w:val="13"/>
          <w:color w:val="auto"/>
        </w:rPr>
        <w:t>30, 2019. Membership includes military service members, retirees, and their families to whom the company is providing healthcare services under the current TRICARE East Region contract. The current contract, which covers 32 states, became effective on January 1, 2018.</w:t>
      </w:r>
    </w:p>
    <w:p>
      <w:pPr>
        <w:spacing w:after="0" w:line="112" w:lineRule="exact"/>
        <w:rPr>
          <w:sz w:val="20"/>
          <w:szCs w:val="20"/>
          <w:color w:val="auto"/>
        </w:rPr>
      </w:pPr>
    </w:p>
    <w:p>
      <w:pPr>
        <w:ind w:left="420" w:right="400" w:hanging="221"/>
        <w:spacing w:after="0" w:line="248" w:lineRule="auto"/>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 xml:space="preserve">Membership in </w:t>
      </w:r>
      <w:r>
        <w:rPr>
          <w:rFonts w:ascii="Arial" w:cs="Arial" w:eastAsia="Arial" w:hAnsi="Arial"/>
          <w:sz w:val="12"/>
          <w:szCs w:val="12"/>
          <w:b w:val="1"/>
          <w:bCs w:val="1"/>
          <w:i w:val="1"/>
          <w:iCs w:val="1"/>
          <w:color w:val="auto"/>
        </w:rPr>
        <w:t>specialty products</w:t>
      </w:r>
      <w:r>
        <w:rPr>
          <w:rFonts w:ascii="Arial" w:cs="Arial" w:eastAsia="Arial" w:hAnsi="Arial"/>
          <w:sz w:val="16"/>
          <w:szCs w:val="16"/>
          <w:color w:val="auto"/>
          <w:vertAlign w:val="superscript"/>
        </w:rPr>
        <w:t>(g)</w:t>
      </w:r>
      <w:r>
        <w:rPr>
          <w:rFonts w:ascii="Arial" w:cs="Arial" w:eastAsia="Arial" w:hAnsi="Arial"/>
          <w:sz w:val="12"/>
          <w:szCs w:val="12"/>
          <w:color w:val="auto"/>
        </w:rPr>
        <w:t xml:space="preserve"> was 5,425,900 at December 31, 2019, a decrease of 646,400, or 11 percent, from 6,072,300, at December 31, 2018, and up 14,500 from 5,411,400 at September 30, 2019. The year-over-year decrease resulted from the loss of certain group accounts, including one jumbo account, offering stand-alone dental and vision products.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benefits expense:</w:t>
      </w:r>
    </w:p>
    <w:p>
      <w:pPr>
        <w:spacing w:after="0" w:line="156" w:lineRule="exact"/>
        <w:rPr>
          <w:sz w:val="20"/>
          <w:szCs w:val="20"/>
          <w:color w:val="auto"/>
        </w:rPr>
      </w:pPr>
    </w:p>
    <w:p>
      <w:pPr>
        <w:ind w:left="420" w:right="120" w:hanging="212"/>
        <w:spacing w:after="0" w:line="271" w:lineRule="auto"/>
        <w:tabs>
          <w:tab w:leader="none" w:pos="4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4Q19 benefit ratio for the Group and Specialty segment was 95.2 percent, an increase from 84.6 percent for 4Q18. The year-over-year increase in the benefit ratio is primarily due to the impact of the following factors:</w:t>
      </w:r>
    </w:p>
    <w:p>
      <w:pPr>
        <w:spacing w:after="0" w:line="120" w:lineRule="exact"/>
        <w:rPr>
          <w:rFonts w:ascii="Arial" w:cs="Arial" w:eastAsia="Arial" w:hAnsi="Arial"/>
          <w:sz w:val="13"/>
          <w:szCs w:val="13"/>
          <w:color w:val="auto"/>
        </w:rPr>
      </w:pPr>
    </w:p>
    <w:p>
      <w:pPr>
        <w:ind w:left="640" w:hanging="216"/>
        <w:spacing w:after="0"/>
        <w:tabs>
          <w:tab w:leader="none" w:pos="6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the meaningful impact of the continued migration of fully-insured group members to level-funded ASO products in 2019 resulting in a membership mix transformation,</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the impact of the suspension of the HIF in 2019 which was contemplated in the pricing of the company's products,</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unfavorable Prior Period Development driven by meaningful provider settlements that were partially offset by positive claims development, and</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 unfavorable premium adjustment in 4Q19 versus 4Q18 related to the company's CRA accrual associated with its Affordable Care Act (ACA)-compliant business.</w:t>
      </w:r>
    </w:p>
    <w:p>
      <w:pPr>
        <w:spacing w:after="0" w:line="139" w:lineRule="exact"/>
        <w:rPr>
          <w:rFonts w:ascii="Arial" w:cs="Arial" w:eastAsia="Arial" w:hAnsi="Arial"/>
          <w:sz w:val="13"/>
          <w:szCs w:val="13"/>
          <w:color w:val="auto"/>
        </w:rPr>
      </w:pPr>
    </w:p>
    <w:p>
      <w:pPr>
        <w:jc w:val="both"/>
        <w:ind w:left="420" w:right="60" w:hanging="221"/>
        <w:spacing w:after="0" w:line="258" w:lineRule="auto"/>
        <w:tabs>
          <w:tab w:leader="none" w:pos="4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FY 2019 benefit ratio for the segment of 86.0 percent was 630 basis points higher than the FY 2018 ratio of 79.7 percent. The FY comparison was primarily impacted by the same factors affecting the fourth quarter comparison. The year-over-year FY comparison was also negatively impacted by adjustments to dental network contracted rates resulting from dental network recontracting and expansion to position the business for the future.</w:t>
      </w:r>
    </w:p>
    <w:p>
      <w:pPr>
        <w:spacing w:after="0" w:line="129" w:lineRule="exact"/>
        <w:rPr>
          <w:rFonts w:ascii="Arial" w:cs="Arial" w:eastAsia="Arial" w:hAnsi="Arial"/>
          <w:sz w:val="13"/>
          <w:szCs w:val="13"/>
          <w:color w:val="auto"/>
        </w:rPr>
      </w:pPr>
    </w:p>
    <w:p>
      <w:pPr>
        <w:ind w:left="420" w:hanging="221"/>
        <w:spacing w:after="0" w:line="258" w:lineRule="auto"/>
        <w:tabs>
          <w:tab w:leader="none" w:pos="4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Prior Period Development for the Group and Specialty segment, as noted in the table below, increased the 4Q19 segment benefit ratio by 90 basis points versus lowering the 4Q18 ratio by 30 basis points. Prior Period Development increased the FY 2019 segment benefit ratio by 70 basis points while lowering the FY 2018 ratio by 70 basis points.</w:t>
      </w:r>
    </w:p>
    <w:p>
      <w:pPr>
        <w:spacing w:after="0" w:line="201" w:lineRule="exact"/>
        <w:rPr>
          <w:sz w:val="20"/>
          <w:szCs w:val="20"/>
          <w:color w:val="auto"/>
        </w:rPr>
      </w:pPr>
    </w:p>
    <w:tbl>
      <w:tblPr>
        <w:tblLayout w:type="fixed"/>
        <w:tblInd w:w="430" w:type="dxa"/>
        <w:tblCellMar>
          <w:top w:w="0" w:type="dxa"/>
          <w:left w:w="0" w:type="dxa"/>
          <w:bottom w:w="0" w:type="dxa"/>
          <w:right w:w="0" w:type="dxa"/>
        </w:tblCellMar>
      </w:tblPr>
      <w:tr>
        <w:trPr>
          <w:trHeight w:val="142"/>
        </w:trPr>
        <w:tc>
          <w:tcPr>
            <w:tcW w:w="5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 xml:space="preserve">Group and Specialty segment Prior Period Development </w:t>
            </w:r>
            <w:r>
              <w:rPr>
                <w:rFonts w:ascii="Arial" w:cs="Arial" w:eastAsia="Arial" w:hAnsi="Arial"/>
                <w:sz w:val="10"/>
                <w:szCs w:val="10"/>
                <w:color w:val="auto"/>
              </w:rPr>
              <w:t>(in millions)</w:t>
            </w:r>
          </w:p>
        </w:tc>
        <w:tc>
          <w:tcPr>
            <w:tcW w:w="1040" w:type="dxa"/>
            <w:vAlign w:val="bottom"/>
            <w:tcBorders>
              <w:top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First</w:t>
            </w:r>
          </w:p>
        </w:tc>
        <w:tc>
          <w:tcPr>
            <w:tcW w:w="1040" w:type="dxa"/>
            <w:vAlign w:val="bottom"/>
            <w:tcBorders>
              <w:top w:val="single" w:sz="8" w:color="auto"/>
              <w:right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Second</w:t>
            </w:r>
          </w:p>
        </w:tc>
        <w:tc>
          <w:tcPr>
            <w:tcW w:w="1020" w:type="dxa"/>
            <w:vAlign w:val="bottom"/>
            <w:tcBorders>
              <w:top w:val="single" w:sz="8" w:color="auto"/>
              <w:right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Third</w:t>
            </w:r>
          </w:p>
        </w:tc>
        <w:tc>
          <w:tcPr>
            <w:tcW w:w="1020" w:type="dxa"/>
            <w:vAlign w:val="bottom"/>
            <w:tcBorders>
              <w:top w:val="single" w:sz="8" w:color="auto"/>
              <w:right w:val="single" w:sz="8" w:color="auto"/>
            </w:tcBorders>
            <w:shd w:val="clear" w:color="auto" w:fill="EAEAEA"/>
          </w:tcPr>
          <w:p>
            <w:pPr>
              <w:jc w:val="right"/>
              <w:ind w:right="306"/>
              <w:spacing w:after="0"/>
              <w:rPr>
                <w:sz w:val="20"/>
                <w:szCs w:val="20"/>
                <w:color w:val="auto"/>
              </w:rPr>
            </w:pPr>
            <w:r>
              <w:rPr>
                <w:rFonts w:ascii="Arial" w:cs="Arial" w:eastAsia="Arial" w:hAnsi="Arial"/>
                <w:sz w:val="11"/>
                <w:szCs w:val="11"/>
                <w:b w:val="1"/>
                <w:bCs w:val="1"/>
                <w:color w:val="auto"/>
              </w:rPr>
              <w:t>Fourth</w:t>
            </w:r>
          </w:p>
        </w:tc>
        <w:tc>
          <w:tcPr>
            <w:tcW w:w="1020" w:type="dxa"/>
            <w:vAlign w:val="bottom"/>
            <w:tcBorders>
              <w:top w:val="single" w:sz="8" w:color="auto"/>
              <w:right w:val="single" w:sz="8" w:color="auto"/>
            </w:tcBorders>
            <w:shd w:val="clear" w:color="auto" w:fill="EAEAEA"/>
          </w:tcPr>
          <w:p>
            <w:pPr>
              <w:spacing w:after="0"/>
              <w:rPr>
                <w:sz w:val="12"/>
                <w:szCs w:val="12"/>
                <w:color w:val="auto"/>
              </w:rPr>
            </w:pPr>
          </w:p>
        </w:tc>
      </w:tr>
      <w:tr>
        <w:trPr>
          <w:trHeight w:val="148"/>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Favorable (unfavorable)</w:t>
            </w:r>
          </w:p>
        </w:tc>
        <w:tc>
          <w:tcPr>
            <w:tcW w:w="104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Quarter</w:t>
            </w:r>
          </w:p>
        </w:tc>
        <w:tc>
          <w:tcPr>
            <w:tcW w:w="104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Quarter</w:t>
            </w:r>
          </w:p>
        </w:tc>
        <w:tc>
          <w:tcPr>
            <w:tcW w:w="1020" w:type="dxa"/>
            <w:vAlign w:val="bottom"/>
            <w:tcBorders>
              <w:bottom w:val="single" w:sz="8" w:color="auto"/>
              <w:right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Quarter</w:t>
            </w:r>
          </w:p>
        </w:tc>
        <w:tc>
          <w:tcPr>
            <w:tcW w:w="1020" w:type="dxa"/>
            <w:vAlign w:val="bottom"/>
            <w:tcBorders>
              <w:bottom w:val="single" w:sz="8" w:color="auto"/>
              <w:right w:val="single" w:sz="8" w:color="auto"/>
            </w:tcBorders>
            <w:shd w:val="clear" w:color="auto" w:fill="EAEAEA"/>
          </w:tcPr>
          <w:p>
            <w:pPr>
              <w:jc w:val="right"/>
              <w:ind w:right="266"/>
              <w:spacing w:after="0"/>
              <w:rPr>
                <w:sz w:val="20"/>
                <w:szCs w:val="20"/>
                <w:color w:val="auto"/>
              </w:rPr>
            </w:pPr>
            <w:r>
              <w:rPr>
                <w:rFonts w:ascii="Arial" w:cs="Arial" w:eastAsia="Arial" w:hAnsi="Arial"/>
                <w:sz w:val="11"/>
                <w:szCs w:val="11"/>
                <w:b w:val="1"/>
                <w:bCs w:val="1"/>
                <w:color w:val="auto"/>
              </w:rPr>
              <w:t>Quarter</w:t>
            </w:r>
          </w:p>
        </w:tc>
        <w:tc>
          <w:tcPr>
            <w:tcW w:w="1020" w:type="dxa"/>
            <w:vAlign w:val="bottom"/>
            <w:tcBorders>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FY</w:t>
            </w:r>
          </w:p>
        </w:tc>
      </w:tr>
      <w:tr>
        <w:trPr>
          <w:trHeight w:val="169"/>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Prior Period Development from prior years recognized in FY 2019</w:t>
            </w:r>
          </w:p>
        </w:tc>
        <w:tc>
          <w:tcPr>
            <w:tcW w:w="104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($16)</w:t>
            </w:r>
          </w:p>
        </w:tc>
        <w:tc>
          <w:tcPr>
            <w:tcW w:w="10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w:t>
            </w:r>
          </w:p>
        </w:tc>
        <w:tc>
          <w:tcPr>
            <w:tcW w:w="10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$1</w:t>
            </w:r>
          </w:p>
        </w:tc>
        <w:tc>
          <w:tcPr>
            <w:tcW w:w="102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($15)</w:t>
            </w:r>
          </w:p>
        </w:tc>
        <w:tc>
          <w:tcPr>
            <w:tcW w:w="102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($50)</w:t>
            </w:r>
          </w:p>
        </w:tc>
      </w:tr>
      <w:tr>
        <w:trPr>
          <w:trHeight w:val="169"/>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Prior Period Development from prior years recognized in FY 2018</w:t>
            </w:r>
          </w:p>
        </w:tc>
        <w:tc>
          <w:tcPr>
            <w:tcW w:w="10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$34</w:t>
            </w:r>
          </w:p>
        </w:tc>
        <w:tc>
          <w:tcPr>
            <w:tcW w:w="10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$7</w:t>
            </w:r>
          </w:p>
        </w:tc>
        <w:tc>
          <w:tcPr>
            <w:tcW w:w="1020" w:type="dxa"/>
            <w:vAlign w:val="bottom"/>
            <w:tcBorders>
              <w:bottom w:val="single" w:sz="8" w:color="auto"/>
              <w:right w:val="single" w:sz="8" w:color="auto"/>
            </w:tcBorders>
            <w:shd w:val="clear" w:color="auto" w:fill="EAEAEA"/>
          </w:tcPr>
          <w:p>
            <w:pPr>
              <w:jc w:val="right"/>
              <w:ind w:right="66"/>
              <w:spacing w:after="0"/>
              <w:rPr>
                <w:sz w:val="20"/>
                <w:szCs w:val="20"/>
                <w:color w:val="auto"/>
              </w:rPr>
            </w:pPr>
            <w:r>
              <w:rPr>
                <w:rFonts w:ascii="Arial" w:cs="Arial" w:eastAsia="Arial" w:hAnsi="Arial"/>
                <w:sz w:val="11"/>
                <w:szCs w:val="11"/>
                <w:color w:val="auto"/>
              </w:rPr>
              <w:t>$5</w:t>
            </w:r>
          </w:p>
        </w:tc>
        <w:tc>
          <w:tcPr>
            <w:tcW w:w="1020" w:type="dxa"/>
            <w:vAlign w:val="bottom"/>
            <w:tcBorders>
              <w:bottom w:val="single" w:sz="8" w:color="auto"/>
              <w:right w:val="single" w:sz="8" w:color="auto"/>
            </w:tcBorders>
            <w:shd w:val="clear" w:color="auto" w:fill="EAEAEA"/>
          </w:tcPr>
          <w:p>
            <w:pPr>
              <w:jc w:val="right"/>
              <w:ind w:right="66"/>
              <w:spacing w:after="0"/>
              <w:rPr>
                <w:sz w:val="20"/>
                <w:szCs w:val="20"/>
                <w:color w:val="auto"/>
              </w:rPr>
            </w:pPr>
            <w:r>
              <w:rPr>
                <w:rFonts w:ascii="Arial" w:cs="Arial" w:eastAsia="Arial" w:hAnsi="Arial"/>
                <w:sz w:val="11"/>
                <w:szCs w:val="11"/>
                <w:color w:val="auto"/>
              </w:rPr>
              <w:t>$46</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40"/>
          </w:cols>
          <w:pgMar w:left="220" w:top="578"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Group and Specialty segment operating costs:</w:t>
      </w:r>
    </w:p>
    <w:p>
      <w:pPr>
        <w:spacing w:after="0" w:line="156" w:lineRule="exact"/>
        <w:rPr>
          <w:sz w:val="20"/>
          <w:szCs w:val="20"/>
          <w:color w:val="auto"/>
        </w:rPr>
      </w:pPr>
    </w:p>
    <w:p>
      <w:pPr>
        <w:ind w:left="420" w:hanging="221"/>
        <w:spacing w:after="0"/>
        <w:tabs>
          <w:tab w:leader="none" w:pos="4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Group and Specialty segment’s operating cost ratio was 22.4 percent in 4Q19, a decrease of 150 basis points from 23.9 percent in 4Q18 primarily reflecting the following factors:</w:t>
      </w:r>
    </w:p>
    <w:p>
      <w:pPr>
        <w:spacing w:after="0" w:line="155" w:lineRule="exact"/>
        <w:rPr>
          <w:rFonts w:ascii="Arial" w:cs="Arial" w:eastAsia="Arial" w:hAnsi="Arial"/>
          <w:sz w:val="13"/>
          <w:szCs w:val="13"/>
          <w:color w:val="auto"/>
        </w:rPr>
      </w:pPr>
    </w:p>
    <w:p>
      <w:pPr>
        <w:ind w:left="640" w:hanging="216"/>
        <w:spacing w:after="0"/>
        <w:tabs>
          <w:tab w:leader="none" w:pos="640" w:val="left"/>
        </w:tabs>
        <w:numPr>
          <w:ilvl w:val="1"/>
          <w:numId w:val="35"/>
        </w:numPr>
        <w:rPr>
          <w:rFonts w:ascii="Arial" w:cs="Arial" w:eastAsia="Arial" w:hAnsi="Arial"/>
          <w:sz w:val="13"/>
          <w:szCs w:val="13"/>
          <w:color w:val="auto"/>
        </w:rPr>
      </w:pPr>
      <w:r>
        <w:rPr>
          <w:rFonts w:ascii="Arial" w:cs="Arial" w:eastAsia="Arial" w:hAnsi="Arial"/>
          <w:sz w:val="13"/>
          <w:szCs w:val="13"/>
          <w:color w:val="auto"/>
        </w:rPr>
        <w:t>suspension of the HIF in 2019, which increased the segment's 4Q18 GAAP operating cost ratio by approximately 160 basis points; and</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35"/>
        </w:numPr>
        <w:rPr>
          <w:rFonts w:ascii="Arial" w:cs="Arial" w:eastAsia="Arial" w:hAnsi="Arial"/>
          <w:sz w:val="13"/>
          <w:szCs w:val="13"/>
          <w:color w:val="auto"/>
        </w:rPr>
      </w:pPr>
      <w:r>
        <w:rPr>
          <w:rFonts w:ascii="Arial" w:cs="Arial" w:eastAsia="Arial" w:hAnsi="Arial"/>
          <w:sz w:val="13"/>
          <w:szCs w:val="13"/>
          <w:color w:val="auto"/>
        </w:rPr>
        <w:t>significant operating cost efficiencies in 2019 driven by previously implemented productivity initiatives.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improvements were offset by the higher compensation expense accruals in 4Q19 for the AIP as a result of the continued strong performance of the company.</w:t>
      </w:r>
    </w:p>
    <w:p>
      <w:pPr>
        <w:spacing w:after="0" w:line="140" w:lineRule="exact"/>
        <w:rPr>
          <w:sz w:val="20"/>
          <w:szCs w:val="20"/>
          <w:color w:val="auto"/>
        </w:rPr>
      </w:pPr>
    </w:p>
    <w:p>
      <w:pPr>
        <w:ind w:left="420" w:right="300" w:hanging="221"/>
        <w:spacing w:after="0" w:line="258" w:lineRule="auto"/>
        <w:tabs>
          <w:tab w:leader="none" w:pos="4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Group and Specialty segment’s operating cost ratio of 22.0 percent for FY 2019 was down 160 basis points compared to 23.6 percent for FY 2018. The year-over-year decrease was primarily impacted by the same factors influencing the fourth quarter comparison, while further benefiting from the exit of the WVB and FPP lines of business in connection with the KMG divestiture during second quarter 2018. The WVB and FPP lines of business carried a higher operating cost ratio.</w:t>
      </w:r>
    </w:p>
    <w:p>
      <w:pPr>
        <w:spacing w:after="0" w:line="129"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3"/>
          <w:szCs w:val="13"/>
          <w:color w:val="auto"/>
        </w:rPr>
        <w:t>The non-deductible HIF impacted the segment’s FY 2018 operating cost ratio by approximately 160 basis points.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results:</w:t>
      </w:r>
    </w:p>
    <w:p>
      <w:pPr>
        <w:spacing w:after="0" w:line="236" w:lineRule="exact"/>
        <w:rPr>
          <w:sz w:val="20"/>
          <w:szCs w:val="20"/>
          <w:color w:val="auto"/>
        </w:rPr>
      </w:pPr>
    </w:p>
    <w:tbl>
      <w:tblPr>
        <w:tblLayout w:type="fixed"/>
        <w:tblInd w:w="110" w:type="dxa"/>
        <w:tblCellMar>
          <w:top w:w="0" w:type="dxa"/>
          <w:left w:w="0" w:type="dxa"/>
          <w:bottom w:w="0" w:type="dxa"/>
          <w:right w:w="0" w:type="dxa"/>
        </w:tblCellMar>
      </w:tblPr>
      <w:tr>
        <w:trPr>
          <w:trHeight w:val="126"/>
        </w:trPr>
        <w:tc>
          <w:tcPr>
            <w:tcW w:w="64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Group and Specialty segment (losses) earnings</w:t>
            </w:r>
          </w:p>
        </w:tc>
        <w:tc>
          <w:tcPr>
            <w:tcW w:w="1260" w:type="dxa"/>
            <w:vAlign w:val="bottom"/>
            <w:tcBorders>
              <w:top w:val="single" w:sz="8" w:color="auto"/>
              <w:right w:val="single" w:sz="8" w:color="auto"/>
            </w:tcBorders>
            <w:shd w:val="clear" w:color="auto" w:fill="EAEAEA"/>
          </w:tcPr>
          <w:p>
            <w:pPr>
              <w:spacing w:after="0"/>
              <w:rPr>
                <w:sz w:val="10"/>
                <w:szCs w:val="10"/>
                <w:color w:val="auto"/>
              </w:rPr>
            </w:pPr>
          </w:p>
        </w:tc>
        <w:tc>
          <w:tcPr>
            <w:tcW w:w="1260" w:type="dxa"/>
            <w:vAlign w:val="bottom"/>
            <w:tcBorders>
              <w:top w:val="single" w:sz="8" w:color="auto"/>
              <w:right w:val="single" w:sz="8" w:color="auto"/>
            </w:tcBorders>
          </w:tcPr>
          <w:p>
            <w:pPr>
              <w:spacing w:after="0"/>
              <w:rPr>
                <w:sz w:val="10"/>
                <w:szCs w:val="10"/>
                <w:color w:val="auto"/>
              </w:rPr>
            </w:pPr>
          </w:p>
        </w:tc>
        <w:tc>
          <w:tcPr>
            <w:tcW w:w="1240" w:type="dxa"/>
            <w:vAlign w:val="bottom"/>
            <w:tcBorders>
              <w:top w:val="single" w:sz="8" w:color="auto"/>
              <w:right w:val="single" w:sz="8" w:color="auto"/>
            </w:tcBorders>
            <w:shd w:val="clear" w:color="auto" w:fill="EAEAEA"/>
          </w:tcPr>
          <w:p>
            <w:pPr>
              <w:spacing w:after="0"/>
              <w:rPr>
                <w:sz w:val="10"/>
                <w:szCs w:val="10"/>
                <w:color w:val="auto"/>
              </w:rPr>
            </w:pPr>
          </w:p>
        </w:tc>
        <w:tc>
          <w:tcPr>
            <w:tcW w:w="1240" w:type="dxa"/>
            <w:vAlign w:val="bottom"/>
            <w:tcBorders>
              <w:top w:val="single" w:sz="8" w:color="auto"/>
              <w:right w:val="single" w:sz="8" w:color="auto"/>
            </w:tcBorders>
          </w:tcPr>
          <w:p>
            <w:pPr>
              <w:spacing w:after="0"/>
              <w:rPr>
                <w:sz w:val="10"/>
                <w:szCs w:val="10"/>
                <w:color w:val="auto"/>
              </w:rPr>
            </w:pPr>
          </w:p>
        </w:tc>
      </w:tr>
      <w:tr>
        <w:trPr>
          <w:trHeight w:val="144"/>
        </w:trPr>
        <w:tc>
          <w:tcPr>
            <w:tcW w:w="6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260" w:type="dxa"/>
            <w:vAlign w:val="bottom"/>
            <w:tcBorders>
              <w:bottom w:val="single" w:sz="8" w:color="auto"/>
              <w:right w:val="single" w:sz="8" w:color="auto"/>
            </w:tcBorders>
            <w:shd w:val="clear" w:color="auto" w:fill="EAEAEA"/>
          </w:tcPr>
          <w:p>
            <w:pPr>
              <w:jc w:val="right"/>
              <w:ind w:right="407"/>
              <w:spacing w:after="0"/>
              <w:rPr>
                <w:sz w:val="20"/>
                <w:szCs w:val="20"/>
                <w:color w:val="auto"/>
              </w:rPr>
            </w:pPr>
            <w:r>
              <w:rPr>
                <w:rFonts w:ascii="Arial" w:cs="Arial" w:eastAsia="Arial" w:hAnsi="Arial"/>
                <w:sz w:val="10"/>
                <w:szCs w:val="10"/>
                <w:b w:val="1"/>
                <w:bCs w:val="1"/>
                <w:color w:val="auto"/>
                <w:shd w:val="clear" w:color="auto" w:fill="EAEAEA"/>
              </w:rPr>
              <w:t>4Q19 (a)</w:t>
            </w:r>
          </w:p>
        </w:tc>
        <w:tc>
          <w:tcPr>
            <w:tcW w:w="1260" w:type="dxa"/>
            <w:vAlign w:val="bottom"/>
            <w:tcBorders>
              <w:bottom w:val="single" w:sz="8" w:color="auto"/>
              <w:right w:val="single" w:sz="8" w:color="auto"/>
            </w:tcBorders>
          </w:tcPr>
          <w:p>
            <w:pPr>
              <w:jc w:val="right"/>
              <w:ind w:right="407"/>
              <w:spacing w:after="0"/>
              <w:rPr>
                <w:sz w:val="20"/>
                <w:szCs w:val="20"/>
                <w:color w:val="auto"/>
              </w:rPr>
            </w:pPr>
            <w:r>
              <w:rPr>
                <w:rFonts w:ascii="Arial" w:cs="Arial" w:eastAsia="Arial" w:hAnsi="Arial"/>
                <w:sz w:val="10"/>
                <w:szCs w:val="10"/>
                <w:color w:val="auto"/>
              </w:rPr>
              <w:t>4Q18 (b)</w:t>
            </w:r>
          </w:p>
        </w:tc>
        <w:tc>
          <w:tcPr>
            <w:tcW w:w="1240" w:type="dxa"/>
            <w:vAlign w:val="bottom"/>
            <w:tcBorders>
              <w:bottom w:val="single" w:sz="8" w:color="auto"/>
              <w:right w:val="single" w:sz="8" w:color="auto"/>
            </w:tcBorders>
            <w:shd w:val="clear" w:color="auto" w:fill="EAEAEA"/>
          </w:tcPr>
          <w:p>
            <w:pPr>
              <w:jc w:val="right"/>
              <w:ind w:right="327"/>
              <w:spacing w:after="0"/>
              <w:rPr>
                <w:sz w:val="20"/>
                <w:szCs w:val="20"/>
                <w:color w:val="auto"/>
              </w:rPr>
            </w:pPr>
            <w:r>
              <w:rPr>
                <w:rFonts w:ascii="Arial" w:cs="Arial" w:eastAsia="Arial" w:hAnsi="Arial"/>
                <w:sz w:val="10"/>
                <w:szCs w:val="10"/>
                <w:b w:val="1"/>
                <w:bCs w:val="1"/>
                <w:color w:val="auto"/>
                <w:shd w:val="clear" w:color="auto" w:fill="EAEAEA"/>
              </w:rPr>
              <w:t>FY 2019 (c)</w:t>
            </w:r>
          </w:p>
        </w:tc>
        <w:tc>
          <w:tcPr>
            <w:tcW w:w="1240" w:type="dxa"/>
            <w:vAlign w:val="bottom"/>
            <w:tcBorders>
              <w:bottom w:val="single" w:sz="8" w:color="auto"/>
              <w:right w:val="single" w:sz="8" w:color="auto"/>
            </w:tcBorders>
          </w:tcPr>
          <w:p>
            <w:pPr>
              <w:jc w:val="right"/>
              <w:ind w:right="327"/>
              <w:spacing w:after="0"/>
              <w:rPr>
                <w:sz w:val="20"/>
                <w:szCs w:val="20"/>
                <w:color w:val="auto"/>
              </w:rPr>
            </w:pPr>
            <w:r>
              <w:rPr>
                <w:rFonts w:ascii="Arial" w:cs="Arial" w:eastAsia="Arial" w:hAnsi="Arial"/>
                <w:sz w:val="10"/>
                <w:szCs w:val="10"/>
                <w:color w:val="auto"/>
              </w:rPr>
              <w:t>FY 2018 (d)</w:t>
            </w:r>
          </w:p>
        </w:tc>
      </w:tr>
      <w:tr>
        <w:trPr>
          <w:trHeight w:val="172"/>
        </w:trPr>
        <w:tc>
          <w:tcPr>
            <w:tcW w:w="6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26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($146)</w:t>
            </w:r>
          </w:p>
        </w:tc>
        <w:tc>
          <w:tcPr>
            <w:tcW w:w="12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rPr>
              <w:t>($11)</w:t>
            </w:r>
          </w:p>
        </w:tc>
        <w:tc>
          <w:tcPr>
            <w:tcW w:w="1240" w:type="dxa"/>
            <w:vAlign w:val="bottom"/>
            <w:tcBorders>
              <w:bottom w:val="single" w:sz="8" w:color="auto"/>
              <w:right w:val="single" w:sz="8" w:color="auto"/>
            </w:tcBorders>
            <w:shd w:val="clear" w:color="auto" w:fill="EAEAEA"/>
          </w:tcPr>
          <w:p>
            <w:pPr>
              <w:jc w:val="right"/>
              <w:ind w:right="67"/>
              <w:spacing w:after="0"/>
              <w:rPr>
                <w:sz w:val="20"/>
                <w:szCs w:val="20"/>
                <w:color w:val="auto"/>
              </w:rPr>
            </w:pPr>
            <w:r>
              <w:rPr>
                <w:rFonts w:ascii="Arial" w:cs="Arial" w:eastAsia="Arial" w:hAnsi="Arial"/>
                <w:sz w:val="11"/>
                <w:szCs w:val="11"/>
                <w:b w:val="1"/>
                <w:bCs w:val="1"/>
                <w:color w:val="auto"/>
              </w:rPr>
              <w:t>$28</w:t>
            </w:r>
          </w:p>
        </w:tc>
        <w:tc>
          <w:tcPr>
            <w:tcW w:w="124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$361</w:t>
            </w:r>
          </w:p>
        </w:tc>
      </w:tr>
      <w:tr>
        <w:trPr>
          <w:trHeight w:val="151"/>
        </w:trPr>
        <w:tc>
          <w:tcPr>
            <w:tcW w:w="6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26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1</w:t>
            </w:r>
          </w:p>
        </w:tc>
        <w:tc>
          <w:tcPr>
            <w:tcW w:w="126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1</w:t>
            </w:r>
          </w:p>
        </w:tc>
        <w:tc>
          <w:tcPr>
            <w:tcW w:w="1240" w:type="dxa"/>
            <w:vAlign w:val="bottom"/>
            <w:tcBorders>
              <w:bottom w:val="single" w:sz="8" w:color="auto"/>
              <w:right w:val="single" w:sz="8" w:color="auto"/>
            </w:tcBorders>
            <w:shd w:val="clear" w:color="auto" w:fill="EAEAEA"/>
          </w:tcPr>
          <w:p>
            <w:pPr>
              <w:jc w:val="right"/>
              <w:ind w:right="67"/>
              <w:spacing w:after="0"/>
              <w:rPr>
                <w:sz w:val="20"/>
                <w:szCs w:val="20"/>
                <w:color w:val="auto"/>
              </w:rPr>
            </w:pPr>
            <w:r>
              <w:rPr>
                <w:rFonts w:ascii="Arial" w:cs="Arial" w:eastAsia="Arial" w:hAnsi="Arial"/>
                <w:sz w:val="11"/>
                <w:szCs w:val="11"/>
                <w:b w:val="1"/>
                <w:bCs w:val="1"/>
                <w:color w:val="auto"/>
              </w:rPr>
              <w:t>4</w:t>
            </w:r>
          </w:p>
        </w:tc>
        <w:tc>
          <w:tcPr>
            <w:tcW w:w="124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5</w:t>
            </w:r>
          </w:p>
        </w:tc>
      </w:tr>
      <w:tr>
        <w:trPr>
          <w:trHeight w:val="169"/>
        </w:trPr>
        <w:tc>
          <w:tcPr>
            <w:tcW w:w="6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260" w:type="dxa"/>
            <w:vAlign w:val="bottom"/>
            <w:tcBorders>
              <w:bottom w:val="single" w:sz="8" w:color="auto"/>
              <w:right w:val="single" w:sz="8" w:color="auto"/>
            </w:tcBorders>
            <w:shd w:val="clear" w:color="auto" w:fill="EAEAEA"/>
          </w:tcPr>
          <w:p>
            <w:pPr>
              <w:jc w:val="right"/>
              <w:ind w:right="87"/>
              <w:spacing w:after="0"/>
              <w:rPr>
                <w:sz w:val="20"/>
                <w:szCs w:val="20"/>
                <w:color w:val="auto"/>
              </w:rPr>
            </w:pPr>
            <w:r>
              <w:rPr>
                <w:rFonts w:ascii="Arial" w:cs="Arial" w:eastAsia="Arial" w:hAnsi="Arial"/>
                <w:sz w:val="11"/>
                <w:szCs w:val="11"/>
                <w:b w:val="1"/>
                <w:bCs w:val="1"/>
                <w:color w:val="auto"/>
              </w:rPr>
              <w:t>($145)</w:t>
            </w:r>
          </w:p>
        </w:tc>
        <w:tc>
          <w:tcPr>
            <w:tcW w:w="12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rPr>
              <w:t>($10)</w:t>
            </w:r>
          </w:p>
        </w:tc>
        <w:tc>
          <w:tcPr>
            <w:tcW w:w="1240" w:type="dxa"/>
            <w:vAlign w:val="bottom"/>
            <w:tcBorders>
              <w:bottom w:val="single" w:sz="8" w:color="auto"/>
              <w:right w:val="single" w:sz="8" w:color="auto"/>
            </w:tcBorders>
            <w:shd w:val="clear" w:color="auto" w:fill="EAEAEA"/>
          </w:tcPr>
          <w:p>
            <w:pPr>
              <w:jc w:val="right"/>
              <w:ind w:right="67"/>
              <w:spacing w:after="0"/>
              <w:rPr>
                <w:sz w:val="20"/>
                <w:szCs w:val="20"/>
                <w:color w:val="auto"/>
              </w:rPr>
            </w:pPr>
            <w:r>
              <w:rPr>
                <w:rFonts w:ascii="Arial" w:cs="Arial" w:eastAsia="Arial" w:hAnsi="Arial"/>
                <w:sz w:val="11"/>
                <w:szCs w:val="11"/>
                <w:b w:val="1"/>
                <w:bCs w:val="1"/>
                <w:color w:val="auto"/>
              </w:rPr>
              <w:t>$32</w:t>
            </w:r>
          </w:p>
        </w:tc>
        <w:tc>
          <w:tcPr>
            <w:tcW w:w="124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$366</w:t>
            </w:r>
          </w:p>
        </w:tc>
      </w:tr>
    </w:tbl>
    <w:p>
      <w:pPr>
        <w:spacing w:after="0" w:line="134" w:lineRule="exact"/>
        <w:rPr>
          <w:sz w:val="20"/>
          <w:szCs w:val="20"/>
          <w:color w:val="auto"/>
        </w:rPr>
      </w:pPr>
    </w:p>
    <w:p>
      <w:pPr>
        <w:ind w:left="420" w:right="300" w:hanging="221"/>
        <w:spacing w:after="0" w:line="258" w:lineRule="auto"/>
        <w:tabs>
          <w:tab w:leader="none" w:pos="4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Group and Specialty segment’s GAAP segment losses of $146 million in 4Q19 compared to GAAP segment losses of $11 million in 4Q18, a decrease of $135 million. The decrease primarily reflects the same factors resulting in the segment's higher benefit ratio. These declines were partially offset by the improvement of the operating cost ratio in 4Q19 compared to 4Q18 along with higher earnings from the military services business.</w:t>
      </w:r>
    </w:p>
    <w:p>
      <w:pPr>
        <w:spacing w:after="0" w:line="121" w:lineRule="exact"/>
        <w:rPr>
          <w:rFonts w:ascii="Arial" w:cs="Arial" w:eastAsia="Arial" w:hAnsi="Arial"/>
          <w:sz w:val="13"/>
          <w:szCs w:val="13"/>
          <w:color w:val="auto"/>
        </w:rPr>
      </w:pPr>
    </w:p>
    <w:p>
      <w:pPr>
        <w:ind w:left="420" w:right="220" w:hanging="221"/>
        <w:spacing w:after="0" w:line="254" w:lineRule="auto"/>
        <w:tabs>
          <w:tab w:leader="none" w:pos="4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Group and Specialty segment’s GAAP segment earnings of $28 million in FY 2019 compared to GAAP segment earnings of $361 million in FY 2018, a decrease of $333 million, or 92 percent. The decrease primarily reflects the same factors impacting the fourth quarter GAAP comparison with the exception of lower FY 2019 earnings from the military services business. The year-over-year earnings comparison of the military services business was unfavorably impacted by the receipt of certain contractual incentives and adjustments that occurred in 2018 but did not recur in 2019.</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Humana’s Healthcare Services Segment</w:t>
      </w:r>
    </w:p>
    <w:p>
      <w:pPr>
        <w:spacing w:after="0" w:line="163" w:lineRule="exact"/>
        <w:rPr>
          <w:sz w:val="20"/>
          <w:szCs w:val="20"/>
          <w:color w:val="auto"/>
        </w:rPr>
      </w:pPr>
    </w:p>
    <w:p>
      <w:pPr>
        <w:ind w:right="360"/>
        <w:spacing w:after="0" w:line="258" w:lineRule="auto"/>
        <w:rPr>
          <w:sz w:val="20"/>
          <w:szCs w:val="20"/>
          <w:color w:val="auto"/>
        </w:rPr>
      </w:pPr>
      <w:r>
        <w:rPr>
          <w:rFonts w:ascii="Arial" w:cs="Arial" w:eastAsia="Arial" w:hAnsi="Arial"/>
          <w:sz w:val="13"/>
          <w:szCs w:val="13"/>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 including the company’s minority investment in Kindred at Home.</w:t>
      </w:r>
    </w:p>
    <w:p>
      <w:pPr>
        <w:spacing w:after="0" w:line="129"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Services offered by this segment are designed to enhance members’ healthcare experience overall. These services may lead to lower utilization associated with improved member health and/or lower drug costs.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80"/>
          </w:cols>
          <w:pgMar w:left="220" w:top="562" w:right="19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auto"/>
        </w:rPr>
        <w:t>Healthcare Services segment revenues:</w:t>
      </w:r>
    </w:p>
    <w:p>
      <w:pPr>
        <w:spacing w:after="0" w:line="156" w:lineRule="exact"/>
        <w:rPr>
          <w:sz w:val="20"/>
          <w:szCs w:val="20"/>
          <w:color w:val="auto"/>
        </w:rPr>
      </w:pPr>
    </w:p>
    <w:p>
      <w:pPr>
        <w:ind w:left="420" w:right="60" w:hanging="221"/>
        <w:spacing w:after="0" w:line="258" w:lineRule="auto"/>
        <w:tabs>
          <w:tab w:leader="none" w:pos="4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Revenues of $6.70 billion in 4Q19 for the Healthcare Services segment increased by $505 million, or 8 percent, from $6.19 billion in 4Q18. The year-over-year comparison was favorably impacted by the company's strong Medicare Advantage membership growth, while being partially offset by the loss of intersegment revenues associated with the decline in stand-alone PDP membership as previously discussed.</w:t>
      </w:r>
    </w:p>
    <w:p>
      <w:pPr>
        <w:spacing w:after="0" w:line="121" w:lineRule="exact"/>
        <w:rPr>
          <w:rFonts w:ascii="Arial" w:cs="Arial" w:eastAsia="Arial" w:hAnsi="Arial"/>
          <w:sz w:val="13"/>
          <w:szCs w:val="13"/>
          <w:color w:val="auto"/>
        </w:rPr>
      </w:pPr>
    </w:p>
    <w:p>
      <w:pPr>
        <w:ind w:left="420" w:right="100" w:hanging="221"/>
        <w:spacing w:after="0" w:line="258" w:lineRule="auto"/>
        <w:tabs>
          <w:tab w:leader="none" w:pos="4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FY 2019 revenues for the Healthcare Services segment were $25.78 billion, an increase of $1.97 billion, or 8 percent, from $23.81 billion in FY 2018 primarily due to the same factors affecting the year-over-year comparison for the fourth quarter, as well as higher revenues associated with the company's provider services business reflecting the previously disclosed acquisitions of MCCI Holdings, LLC (MCCI) and Family Physicians Group (FPG).</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operating costs:</w:t>
      </w:r>
    </w:p>
    <w:p>
      <w:pPr>
        <w:spacing w:after="0" w:line="156" w:lineRule="exact"/>
        <w:rPr>
          <w:sz w:val="20"/>
          <w:szCs w:val="20"/>
          <w:color w:val="auto"/>
        </w:rPr>
      </w:pPr>
    </w:p>
    <w:p>
      <w:pPr>
        <w:ind w:left="420" w:right="240" w:hanging="221"/>
        <w:spacing w:after="0" w:line="271" w:lineRule="auto"/>
        <w:tabs>
          <w:tab w:leader="none" w:pos="4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Healthcare Services segment’s operating cost ratios of 96.8 percent and 96.4 percent in 4Q19 and FY 2019, respectively, were relatively unchanged from 96.8 percent and 96.3 percent in 4Q18 and FY 2018,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operating statistics:</w:t>
      </w:r>
    </w:p>
    <w:p>
      <w:pPr>
        <w:spacing w:after="0" w:line="156" w:lineRule="exact"/>
        <w:rPr>
          <w:sz w:val="20"/>
          <w:szCs w:val="20"/>
          <w:color w:val="auto"/>
        </w:rPr>
      </w:pPr>
    </w:p>
    <w:p>
      <w:pPr>
        <w:ind w:left="420" w:hanging="221"/>
        <w:spacing w:after="0" w:line="258" w:lineRule="auto"/>
        <w:tabs>
          <w:tab w:leader="none" w:pos="4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Primary care providers in value-based (shared risk and path to risk) relationships of 61,900 at December 31, 2019 increased 3 percent from 60,200 at September 30, 2019, and increased 16 percent from 53,400 at December 31, 2018. The percentage of the company’s individual Medicare Advantage members in value-based relationships was 67 percent as of December 31, 2019 and December 31, 2018, compared to 66 percent at September 30, 2019.</w:t>
      </w:r>
    </w:p>
    <w:p>
      <w:pPr>
        <w:spacing w:after="0" w:line="121" w:lineRule="exact"/>
        <w:rPr>
          <w:rFonts w:ascii="Arial" w:cs="Arial" w:eastAsia="Arial" w:hAnsi="Arial"/>
          <w:sz w:val="13"/>
          <w:szCs w:val="13"/>
          <w:color w:val="auto"/>
        </w:rPr>
      </w:pPr>
    </w:p>
    <w:p>
      <w:pPr>
        <w:ind w:left="420" w:right="60" w:hanging="221"/>
        <w:spacing w:after="0" w:line="223" w:lineRule="auto"/>
        <w:tabs>
          <w:tab w:leader="none" w:pos="4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Medicare Advantage and dual demonstration program membership enrolled in a Humana chronic care management program </w:t>
      </w:r>
      <w:r>
        <w:rPr>
          <w:rFonts w:ascii="Arial" w:cs="Arial" w:eastAsia="Arial" w:hAnsi="Arial"/>
          <w:sz w:val="18"/>
          <w:szCs w:val="18"/>
          <w:color w:val="auto"/>
          <w:vertAlign w:val="superscript"/>
        </w:rPr>
        <w:t>(h)</w:t>
      </w:r>
      <w:r>
        <w:rPr>
          <w:rFonts w:ascii="Arial" w:cs="Arial" w:eastAsia="Arial" w:hAnsi="Arial"/>
          <w:sz w:val="13"/>
          <w:szCs w:val="13"/>
          <w:color w:val="auto"/>
        </w:rPr>
        <w:t xml:space="preserve"> was 868,800 at December 31, 2019, down 2 percent from 882,800 at September 30, 2019 but up 21 percent from 716,000 at December 31, 2018. These changes were driven by the company's improved process for identifying and enrolling members in the appropriate program at the right time, coupled with growth in Special Needs Plans (SNP) membership.</w:t>
      </w:r>
    </w:p>
    <w:p>
      <w:pPr>
        <w:spacing w:after="0" w:line="133" w:lineRule="exact"/>
        <w:rPr>
          <w:rFonts w:ascii="Arial" w:cs="Arial" w:eastAsia="Arial" w:hAnsi="Arial"/>
          <w:sz w:val="13"/>
          <w:szCs w:val="13"/>
          <w:color w:val="auto"/>
        </w:rPr>
      </w:pPr>
    </w:p>
    <w:p>
      <w:pPr>
        <w:ind w:left="420" w:right="120" w:hanging="221"/>
        <w:spacing w:after="0" w:line="258" w:lineRule="auto"/>
        <w:tabs>
          <w:tab w:leader="none" w:pos="4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Pharmacy script volume on an adjusted 30-day equivalent basis of 118 million for 4Q19 increased 5 percent compared to 112 million for 4Q18. Pharmacy script volume of 456 million for FY 2019 increased 4 percent compared to 440 million for FY 2018. These increases primarily were driven by higher Medicare Advantage and state-based contracts membership, partially offset by the decline in stand-alone PDP membership.</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results: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64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Healthcare Services segment results</w:t>
            </w:r>
          </w:p>
        </w:tc>
        <w:tc>
          <w:tcPr>
            <w:tcW w:w="1260" w:type="dxa"/>
            <w:vAlign w:val="bottom"/>
            <w:tcBorders>
              <w:top w:val="single" w:sz="8" w:color="auto"/>
              <w:right w:val="single" w:sz="8" w:color="auto"/>
            </w:tcBorders>
            <w:vMerge w:val="restart"/>
            <w:shd w:val="clear" w:color="auto" w:fill="EAEAEA"/>
          </w:tcPr>
          <w:p>
            <w:pPr>
              <w:jc w:val="right"/>
              <w:ind w:right="466"/>
              <w:spacing w:after="0"/>
              <w:rPr>
                <w:sz w:val="20"/>
                <w:szCs w:val="20"/>
                <w:color w:val="auto"/>
              </w:rPr>
            </w:pPr>
            <w:r>
              <w:rPr>
                <w:rFonts w:ascii="Arial" w:cs="Arial" w:eastAsia="Arial" w:hAnsi="Arial"/>
                <w:sz w:val="11"/>
                <w:szCs w:val="11"/>
                <w:b w:val="1"/>
                <w:bCs w:val="1"/>
                <w:color w:val="auto"/>
              </w:rPr>
              <w:t>4Q19</w:t>
            </w:r>
          </w:p>
        </w:tc>
        <w:tc>
          <w:tcPr>
            <w:tcW w:w="1280" w:type="dxa"/>
            <w:vAlign w:val="bottom"/>
            <w:tcBorders>
              <w:top w:val="single" w:sz="8" w:color="auto"/>
              <w:right w:val="single" w:sz="8" w:color="auto"/>
            </w:tcBorders>
          </w:tcPr>
          <w:p>
            <w:pPr>
              <w:spacing w:after="0"/>
              <w:rPr>
                <w:sz w:val="10"/>
                <w:szCs w:val="10"/>
                <w:color w:val="auto"/>
              </w:rPr>
            </w:pPr>
          </w:p>
        </w:tc>
        <w:tc>
          <w:tcPr>
            <w:tcW w:w="1260" w:type="dxa"/>
            <w:vAlign w:val="bottom"/>
            <w:tcBorders>
              <w:top w:val="single" w:sz="8" w:color="auto"/>
              <w:right w:val="single" w:sz="8" w:color="auto"/>
            </w:tcBorders>
            <w:vMerge w:val="restart"/>
            <w:shd w:val="clear" w:color="auto" w:fill="EAEAEA"/>
          </w:tcPr>
          <w:p>
            <w:pPr>
              <w:jc w:val="right"/>
              <w:ind w:right="386"/>
              <w:spacing w:after="0"/>
              <w:rPr>
                <w:sz w:val="20"/>
                <w:szCs w:val="20"/>
                <w:color w:val="auto"/>
              </w:rPr>
            </w:pPr>
            <w:r>
              <w:rPr>
                <w:rFonts w:ascii="Arial" w:cs="Arial" w:eastAsia="Arial" w:hAnsi="Arial"/>
                <w:sz w:val="11"/>
                <w:szCs w:val="11"/>
                <w:b w:val="1"/>
                <w:bCs w:val="1"/>
                <w:color w:val="auto"/>
              </w:rPr>
              <w:t>FY 2019</w:t>
            </w:r>
          </w:p>
        </w:tc>
        <w:tc>
          <w:tcPr>
            <w:tcW w:w="12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260" w:type="dxa"/>
            <w:vAlign w:val="bottom"/>
            <w:tcBorders>
              <w:bottom w:val="single" w:sz="8" w:color="auto"/>
              <w:right w:val="single" w:sz="8" w:color="auto"/>
            </w:tcBorders>
            <w:vMerge w:val="continue"/>
            <w:shd w:val="clear" w:color="auto" w:fill="EAEAEA"/>
          </w:tcPr>
          <w:p>
            <w:pPr>
              <w:spacing w:after="0"/>
              <w:rPr>
                <w:sz w:val="12"/>
                <w:szCs w:val="12"/>
                <w:color w:val="auto"/>
              </w:rPr>
            </w:pPr>
          </w:p>
        </w:tc>
        <w:tc>
          <w:tcPr>
            <w:tcW w:w="1280" w:type="dxa"/>
            <w:vAlign w:val="bottom"/>
            <w:tcBorders>
              <w:bottom w:val="single" w:sz="8" w:color="auto"/>
              <w:right w:val="single" w:sz="8" w:color="auto"/>
            </w:tcBorders>
          </w:tcPr>
          <w:p>
            <w:pPr>
              <w:jc w:val="right"/>
              <w:ind w:right="466"/>
              <w:spacing w:after="0"/>
              <w:rPr>
                <w:sz w:val="20"/>
                <w:szCs w:val="20"/>
                <w:color w:val="auto"/>
              </w:rPr>
            </w:pPr>
            <w:r>
              <w:rPr>
                <w:rFonts w:ascii="Arial" w:cs="Arial" w:eastAsia="Arial" w:hAnsi="Arial"/>
                <w:sz w:val="11"/>
                <w:szCs w:val="11"/>
                <w:color w:val="auto"/>
              </w:rPr>
              <w:t>4Q18</w:t>
            </w:r>
          </w:p>
        </w:tc>
        <w:tc>
          <w:tcPr>
            <w:tcW w:w="1260" w:type="dxa"/>
            <w:vAlign w:val="bottom"/>
            <w:tcBorders>
              <w:bottom w:val="single" w:sz="8" w:color="auto"/>
              <w:right w:val="single" w:sz="8" w:color="auto"/>
            </w:tcBorders>
            <w:vMerge w:val="continue"/>
            <w:shd w:val="clear" w:color="auto" w:fill="EAEAEA"/>
          </w:tcPr>
          <w:p>
            <w:pPr>
              <w:spacing w:after="0"/>
              <w:rPr>
                <w:sz w:val="12"/>
                <w:szCs w:val="12"/>
                <w:color w:val="auto"/>
              </w:rPr>
            </w:pPr>
          </w:p>
        </w:tc>
        <w:tc>
          <w:tcPr>
            <w:tcW w:w="1240" w:type="dxa"/>
            <w:vAlign w:val="bottom"/>
            <w:tcBorders>
              <w:bottom w:val="single" w:sz="8" w:color="auto"/>
              <w:right w:val="single" w:sz="8" w:color="auto"/>
            </w:tcBorders>
          </w:tcPr>
          <w:p>
            <w:pPr>
              <w:jc w:val="right"/>
              <w:ind w:right="386"/>
              <w:spacing w:after="0"/>
              <w:rPr>
                <w:sz w:val="20"/>
                <w:szCs w:val="20"/>
                <w:color w:val="auto"/>
              </w:rPr>
            </w:pPr>
            <w:r>
              <w:rPr>
                <w:rFonts w:ascii="Arial" w:cs="Arial" w:eastAsia="Arial" w:hAnsi="Arial"/>
                <w:sz w:val="11"/>
                <w:szCs w:val="11"/>
                <w:color w:val="auto"/>
              </w:rPr>
              <w:t>FY 2018</w:t>
            </w:r>
          </w:p>
        </w:tc>
        <w:tc>
          <w:tcPr>
            <w:tcW w:w="0" w:type="dxa"/>
            <w:vAlign w:val="bottom"/>
          </w:tcPr>
          <w:p>
            <w:pPr>
              <w:spacing w:after="0"/>
              <w:rPr>
                <w:sz w:val="1"/>
                <w:szCs w:val="1"/>
                <w:color w:val="auto"/>
              </w:rPr>
            </w:pPr>
          </w:p>
        </w:tc>
      </w:tr>
      <w:tr>
        <w:trPr>
          <w:trHeight w:val="169"/>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 segment earnings</w:t>
            </w:r>
          </w:p>
        </w:tc>
        <w:tc>
          <w:tcPr>
            <w:tcW w:w="126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$178</w:t>
            </w:r>
          </w:p>
        </w:tc>
        <w:tc>
          <w:tcPr>
            <w:tcW w:w="12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$160</w:t>
            </w:r>
          </w:p>
        </w:tc>
        <w:tc>
          <w:tcPr>
            <w:tcW w:w="126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$789</w:t>
            </w:r>
          </w:p>
        </w:tc>
        <w:tc>
          <w:tcPr>
            <w:tcW w:w="12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$754</w:t>
            </w:r>
          </w:p>
        </w:tc>
        <w:tc>
          <w:tcPr>
            <w:tcW w:w="0" w:type="dxa"/>
            <w:vAlign w:val="bottom"/>
          </w:tcPr>
          <w:p>
            <w:pPr>
              <w:spacing w:after="0"/>
              <w:rPr>
                <w:sz w:val="1"/>
                <w:szCs w:val="1"/>
                <w:color w:val="auto"/>
              </w:rPr>
            </w:pPr>
          </w:p>
        </w:tc>
      </w:tr>
      <w:tr>
        <w:trPr>
          <w:trHeight w:val="151"/>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Depreciation and amortization expense</w:t>
            </w:r>
          </w:p>
        </w:tc>
        <w:tc>
          <w:tcPr>
            <w:tcW w:w="126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44</w:t>
            </w:r>
          </w:p>
        </w:tc>
        <w:tc>
          <w:tcPr>
            <w:tcW w:w="12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43</w:t>
            </w:r>
          </w:p>
        </w:tc>
        <w:tc>
          <w:tcPr>
            <w:tcW w:w="126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color w:val="auto"/>
              </w:rPr>
              <w:t>179</w:t>
            </w:r>
          </w:p>
        </w:tc>
        <w:tc>
          <w:tcPr>
            <w:tcW w:w="12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51"/>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Interest and taxes</w:t>
            </w:r>
          </w:p>
        </w:tc>
        <w:tc>
          <w:tcPr>
            <w:tcW w:w="126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19</w:t>
            </w:r>
          </w:p>
        </w:tc>
        <w:tc>
          <w:tcPr>
            <w:tcW w:w="12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20</w:t>
            </w:r>
          </w:p>
        </w:tc>
        <w:tc>
          <w:tcPr>
            <w:tcW w:w="126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color w:val="auto"/>
              </w:rPr>
              <w:t>88</w:t>
            </w:r>
          </w:p>
        </w:tc>
        <w:tc>
          <w:tcPr>
            <w:tcW w:w="12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9"/>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EBITDA (e)</w:t>
            </w:r>
          </w:p>
        </w:tc>
        <w:tc>
          <w:tcPr>
            <w:tcW w:w="126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$241</w:t>
            </w:r>
          </w:p>
        </w:tc>
        <w:tc>
          <w:tcPr>
            <w:tcW w:w="12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$223</w:t>
            </w:r>
          </w:p>
        </w:tc>
        <w:tc>
          <w:tcPr>
            <w:tcW w:w="1260" w:type="dxa"/>
            <w:vAlign w:val="bottom"/>
            <w:tcBorders>
              <w:bottom w:val="single" w:sz="8" w:color="auto"/>
              <w:right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rPr>
              <w:t>$1,056</w:t>
            </w:r>
          </w:p>
        </w:tc>
        <w:tc>
          <w:tcPr>
            <w:tcW w:w="12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$969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20" w:right="360" w:hanging="221"/>
        <w:spacing w:after="0" w:line="271" w:lineRule="auto"/>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Healthcare Services segment’s 4Q19 GAAP segment earnings increased $18 million, or 11 percent, to $178 million compared to GAAP segment earnings of $160 million in 4Q18. The increase primarily resulted from the following factors:</w:t>
      </w:r>
    </w:p>
    <w:p>
      <w:pPr>
        <w:spacing w:after="0" w:line="120"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3"/>
          <w:szCs w:val="13"/>
          <w:color w:val="auto"/>
        </w:rPr>
        <w:t>◦   higher earnings from the company's pharmacy operations; and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80"/>
          </w:cols>
          <w:pgMar w:left="220" w:top="562" w:right="199" w:bottom="1440" w:gutter="0" w:footer="0" w:header="0"/>
        </w:sectPr>
      </w:pPr>
    </w:p>
    <w:bookmarkStart w:id="25" w:name="page26"/>
    <w:bookmarkEnd w:id="25"/>
    <w:p>
      <w:pPr>
        <w:ind w:left="640" w:hanging="216"/>
        <w:spacing w:after="0"/>
        <w:tabs>
          <w:tab w:leader="none" w:pos="6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improvement in core operating results from the provider services business year over year.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increases were partially offset by additional investments in clinical assets associated with the provider business.</w:t>
      </w:r>
    </w:p>
    <w:p>
      <w:pPr>
        <w:spacing w:after="0" w:line="148" w:lineRule="exact"/>
        <w:rPr>
          <w:sz w:val="20"/>
          <w:szCs w:val="20"/>
          <w:color w:val="auto"/>
        </w:rPr>
      </w:pPr>
    </w:p>
    <w:p>
      <w:pPr>
        <w:ind w:left="420" w:right="280"/>
        <w:spacing w:after="0" w:line="252" w:lineRule="auto"/>
        <w:rPr>
          <w:sz w:val="20"/>
          <w:szCs w:val="20"/>
          <w:color w:val="auto"/>
        </w:rPr>
      </w:pPr>
      <w:r>
        <w:rPr>
          <w:rFonts w:ascii="Arial" w:cs="Arial" w:eastAsia="Arial" w:hAnsi="Arial"/>
          <w:sz w:val="13"/>
          <w:szCs w:val="13"/>
          <w:color w:val="auto"/>
        </w:rPr>
        <w:t>Adjusted EBITDA in 4Q19 for the Healthcare Services segment of $241 million was up $ 18 million, or 8 percent, compared to Adjusted EBITDA of $223 million in 4Q18. The favorable comparison of Adjusted EBITDA year over year primarily resulted from the same factors that impacted the quarterly GAAP segment results comparison while excluding the impact of the factors detailed in the table above.</w:t>
      </w:r>
    </w:p>
    <w:p>
      <w:pPr>
        <w:spacing w:after="0" w:line="124" w:lineRule="exact"/>
        <w:rPr>
          <w:sz w:val="20"/>
          <w:szCs w:val="20"/>
          <w:color w:val="auto"/>
        </w:rPr>
      </w:pPr>
    </w:p>
    <w:p>
      <w:pPr>
        <w:ind w:left="420" w:right="200" w:hanging="221"/>
        <w:spacing w:after="0" w:line="271" w:lineRule="auto"/>
        <w:tabs>
          <w:tab w:leader="none" w:pos="4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Healthcare Services segment’s GAAP segment earnings in FY 2019 increased $35 million, or 5 percent, to $789 million compared to GAAP segment earnings of $754 million in FY 2018 primarily reflecting the following factors:</w:t>
      </w:r>
    </w:p>
    <w:p>
      <w:pPr>
        <w:spacing w:after="0" w:line="120" w:lineRule="exact"/>
        <w:rPr>
          <w:rFonts w:ascii="Arial" w:cs="Arial" w:eastAsia="Arial" w:hAnsi="Arial"/>
          <w:sz w:val="13"/>
          <w:szCs w:val="13"/>
          <w:color w:val="auto"/>
        </w:rPr>
      </w:pPr>
    </w:p>
    <w:p>
      <w:pPr>
        <w:ind w:left="900" w:hanging="485"/>
        <w:spacing w:after="0"/>
        <w:tabs>
          <w:tab w:leader="none" w:pos="9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higher earnings from the company's pharmacy and clinical operations; and</w:t>
      </w:r>
    </w:p>
    <w:p>
      <w:pPr>
        <w:spacing w:after="0" w:line="138" w:lineRule="exact"/>
        <w:rPr>
          <w:rFonts w:ascii="Arial" w:cs="Arial" w:eastAsia="Arial" w:hAnsi="Arial"/>
          <w:sz w:val="13"/>
          <w:szCs w:val="13"/>
          <w:color w:val="auto"/>
        </w:rPr>
      </w:pPr>
    </w:p>
    <w:p>
      <w:pPr>
        <w:ind w:left="900" w:hanging="485"/>
        <w:spacing w:after="0"/>
        <w:tabs>
          <w:tab w:leader="none" w:pos="9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higher earnings from Kindred at Home operations.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factors were partially offset by additional investments in clinical assets associated with the company's provider services businesses.</w:t>
      </w:r>
    </w:p>
    <w:p>
      <w:pPr>
        <w:spacing w:after="0" w:line="148" w:lineRule="exact"/>
        <w:rPr>
          <w:sz w:val="20"/>
          <w:szCs w:val="20"/>
          <w:color w:val="auto"/>
        </w:rPr>
      </w:pPr>
    </w:p>
    <w:p>
      <w:pPr>
        <w:ind w:left="420" w:right="120"/>
        <w:spacing w:after="0" w:line="252" w:lineRule="auto"/>
        <w:rPr>
          <w:sz w:val="20"/>
          <w:szCs w:val="20"/>
          <w:color w:val="auto"/>
        </w:rPr>
      </w:pPr>
      <w:r>
        <w:rPr>
          <w:rFonts w:ascii="Arial" w:cs="Arial" w:eastAsia="Arial" w:hAnsi="Arial"/>
          <w:sz w:val="13"/>
          <w:szCs w:val="13"/>
          <w:color w:val="auto"/>
        </w:rPr>
        <w:t>Adjusted EBITDA for FY 2019 of $1.06 billion increased $87 million, or 9 percent, versus the FY 2018 Adjusted EBITDA for the Healthcare Services segment of $969 million. The favorable comparison of Adjusted EBITDA year over year primarily resulted from the same factors that impacted the GAAP segment results comparison while excluding the impact of the factors detailed in the table above.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Humana will host a conference call at 9:00 a.m. Eastern time today to discuss its financial results for the quarter and the company’s expectations for future earnings.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 xml:space="preserve">All parties interested in the company’s 4Q19 earnings conference call are invited to dial 888-625-7430. No password is required. The audio-only webcast of the 4Q19 earnings call may be accessed via Humana’s Investor Relations page at </w:t>
      </w:r>
      <w:r>
        <w:rPr>
          <w:rFonts w:ascii="Arial" w:cs="Arial" w:eastAsia="Arial" w:hAnsi="Arial"/>
          <w:sz w:val="13"/>
          <w:szCs w:val="13"/>
          <w:u w:val="single" w:color="auto"/>
          <w:color w:val="auto"/>
        </w:rPr>
        <w:t>humana.com.</w:t>
      </w:r>
      <w:r>
        <w:rPr>
          <w:rFonts w:ascii="Arial" w:cs="Arial" w:eastAsia="Arial" w:hAnsi="Arial"/>
          <w:sz w:val="13"/>
          <w:szCs w:val="13"/>
          <w:color w:val="auto"/>
        </w:rPr>
        <w:t xml:space="preserve"> The company suggests participants for both the conference call and those listening via the web dial in or sign on at least 15 minutes in advance of the call.</w:t>
      </w:r>
    </w:p>
    <w:p>
      <w:pPr>
        <w:spacing w:after="0" w:line="133" w:lineRule="exact"/>
        <w:rPr>
          <w:sz w:val="20"/>
          <w:szCs w:val="20"/>
          <w:color w:val="auto"/>
        </w:rPr>
      </w:pPr>
    </w:p>
    <w:p>
      <w:pPr>
        <w:jc w:val="both"/>
        <w:ind w:right="40"/>
        <w:spacing w:after="0" w:line="252" w:lineRule="auto"/>
        <w:rPr>
          <w:sz w:val="20"/>
          <w:szCs w:val="20"/>
          <w:color w:val="auto"/>
        </w:rPr>
      </w:pPr>
      <w:r>
        <w:rPr>
          <w:rFonts w:ascii="Arial" w:cs="Arial" w:eastAsia="Arial" w:hAnsi="Arial"/>
          <w:sz w:val="13"/>
          <w:szCs w:val="13"/>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3"/>
          <w:szCs w:val="13"/>
          <w:u w:val="single" w:color="auto"/>
          <w:color w:val="auto"/>
        </w:rPr>
        <w:t>humana.com</w:t>
      </w:r>
      <w:r>
        <w:rPr>
          <w:rFonts w:ascii="Arial" w:cs="Arial" w:eastAsia="Arial" w:hAnsi="Arial"/>
          <w:sz w:val="13"/>
          <w:szCs w:val="13"/>
          <w:color w:val="auto"/>
        </w:rPr>
        <w:t>, approximately two hours following the live webcast. Telephone replays will also be available from approximately 12:15 p.m. Eastern time on February 5, 2020 until 11:59 p.m. Eastern time on April 5, 2020 and can be accessed by dialing 855-859-2056 and providing the conference ID #2179917.</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Footnotes</w:t>
      </w:r>
    </w:p>
    <w:p>
      <w:pPr>
        <w:spacing w:after="0" w:line="163" w:lineRule="exact"/>
        <w:rPr>
          <w:sz w:val="20"/>
          <w:szCs w:val="20"/>
          <w:color w:val="auto"/>
        </w:rPr>
      </w:pPr>
    </w:p>
    <w:p>
      <w:pPr>
        <w:ind w:left="360" w:hanging="206"/>
        <w:spacing w:after="0"/>
        <w:tabs>
          <w:tab w:leader="none" w:pos="360" w:val="left"/>
        </w:tabs>
        <w:numPr>
          <w:ilvl w:val="0"/>
          <w:numId w:val="44"/>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4Q19 Adjusted results exclude the following:</w:t>
      </w:r>
    </w:p>
    <w:p>
      <w:pPr>
        <w:spacing w:after="0" w:line="5" w:lineRule="exact"/>
        <w:rPr>
          <w:rFonts w:ascii="Arial" w:cs="Arial" w:eastAsia="Arial" w:hAnsi="Arial"/>
          <w:sz w:val="13"/>
          <w:szCs w:val="13"/>
          <w:u w:val="single" w:color="auto"/>
          <w:color w:val="auto"/>
        </w:rPr>
      </w:pPr>
    </w:p>
    <w:p>
      <w:pPr>
        <w:ind w:left="660" w:right="220" w:hanging="218"/>
        <w:spacing w:after="0" w:line="245" w:lineRule="auto"/>
        <w:tabs>
          <w:tab w:leader="none" w:pos="6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$17 million pretax income, or $0.10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13"/>
          <w:szCs w:val="13"/>
          <w:color w:val="auto"/>
        </w:rPr>
      </w:pPr>
    </w:p>
    <w:p>
      <w:pPr>
        <w:ind w:left="660" w:right="160" w:hanging="218"/>
        <w:spacing w:after="0" w:line="245" w:lineRule="auto"/>
        <w:tabs>
          <w:tab w:leader="none" w:pos="6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Put/call valuation adjustments of approximately $289 million, or $1.67 per diluted common share, associated with Humana’s 40% minority interest in Kindred at Home. GAAP measures affected in this release include consolidated pretax and EPS.</w:t>
      </w:r>
    </w:p>
    <w:p>
      <w:pPr>
        <w:spacing w:after="0" w:line="1" w:lineRule="exact"/>
        <w:rPr>
          <w:rFonts w:ascii="Arial" w:cs="Arial" w:eastAsia="Arial" w:hAnsi="Arial"/>
          <w:sz w:val="13"/>
          <w:szCs w:val="13"/>
          <w:color w:val="auto"/>
        </w:rPr>
      </w:pPr>
    </w:p>
    <w:p>
      <w:pPr>
        <w:ind w:left="660" w:right="280" w:hanging="218"/>
        <w:spacing w:after="0" w:line="255" w:lineRule="auto"/>
        <w:tabs>
          <w:tab w:leader="none" w:pos="6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Expense associated with involuntary workforce reduction of approximately $1 million pretax, or $0.01 per diluted common share; GAAP measures affected in this release include consolidated pretax, EPS, and consolidated operating cost ratio.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60"/>
          </w:cols>
          <w:pgMar w:left="220" w:top="578" w:right="219" w:bottom="1440" w:gutter="0" w:footer="0" w:header="0"/>
        </w:sectPr>
      </w:pPr>
    </w:p>
    <w:bookmarkStart w:id="26" w:name="page27"/>
    <w:bookmarkEnd w:id="26"/>
    <w:p>
      <w:pPr>
        <w:ind w:left="206" w:hanging="206"/>
        <w:spacing w:after="0"/>
        <w:tabs>
          <w:tab w:leader="none" w:pos="206" w:val="left"/>
        </w:tabs>
        <w:numPr>
          <w:ilvl w:val="0"/>
          <w:numId w:val="45"/>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4Q18 Adjusted results exclude the following:</w:t>
      </w:r>
    </w:p>
    <w:p>
      <w:pPr>
        <w:spacing w:after="0" w:line="5" w:lineRule="exact"/>
        <w:rPr>
          <w:rFonts w:ascii="Arial" w:cs="Arial" w:eastAsia="Arial" w:hAnsi="Arial"/>
          <w:sz w:val="13"/>
          <w:szCs w:val="13"/>
          <w:u w:val="single" w:color="auto"/>
          <w:color w:val="auto"/>
        </w:rPr>
      </w:pPr>
    </w:p>
    <w:p>
      <w:pPr>
        <w:ind w:left="506" w:right="100"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$20 million pretax, or $0.11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13"/>
          <w:szCs w:val="13"/>
          <w:color w:val="auto"/>
        </w:rPr>
      </w:pPr>
    </w:p>
    <w:p>
      <w:pPr>
        <w:ind w:left="506" w:right="200"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Put/call valuation adjustments of approximately $22 million, or $0.13 per diluted common share, associated with Humana's 40% minority interest in Kindred at Home. GAAP measures affected in this release include consolidated pretax and EPS.</w:t>
      </w:r>
    </w:p>
    <w:p>
      <w:pPr>
        <w:spacing w:after="0" w:line="1" w:lineRule="exact"/>
        <w:rPr>
          <w:rFonts w:ascii="Arial" w:cs="Arial" w:eastAsia="Arial" w:hAnsi="Arial"/>
          <w:sz w:val="13"/>
          <w:szCs w:val="13"/>
          <w:color w:val="auto"/>
        </w:rPr>
      </w:pPr>
    </w:p>
    <w:p>
      <w:pPr>
        <w:ind w:left="506"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Favorable adjustment to the previously recognized loss associated with the company's sale of its wholly-owned subsidiary, KMG America Corporation (KMG) of approximately $0.17 per diluted common share. GAAP measure affected in this release is EPS.</w:t>
      </w:r>
    </w:p>
    <w:p>
      <w:pPr>
        <w:spacing w:after="0" w:line="1" w:lineRule="exact"/>
        <w:rPr>
          <w:rFonts w:ascii="Arial" w:cs="Arial" w:eastAsia="Arial" w:hAnsi="Arial"/>
          <w:sz w:val="13"/>
          <w:szCs w:val="13"/>
          <w:color w:val="auto"/>
        </w:rPr>
      </w:pPr>
    </w:p>
    <w:p>
      <w:pPr>
        <w:ind w:left="506" w:right="40" w:hanging="218"/>
        <w:spacing w:after="0" w:line="25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Segment losses of $2 million (no material EPS impact) for the company’s Individual Commercial segment given the company’s exit on January 1, 2018, as previously disclosed. GAAP measures affected in this release include consolidated pretax income and EPS.</w:t>
      </w:r>
    </w:p>
    <w:p>
      <w:pPr>
        <w:spacing w:after="0" w:line="292" w:lineRule="exact"/>
        <w:rPr>
          <w:rFonts w:ascii="Arial" w:cs="Arial" w:eastAsia="Arial" w:hAnsi="Arial"/>
          <w:sz w:val="13"/>
          <w:szCs w:val="13"/>
          <w:color w:val="auto"/>
        </w:rPr>
      </w:pPr>
    </w:p>
    <w:p>
      <w:pPr>
        <w:ind w:left="186" w:hanging="186"/>
        <w:spacing w:after="0"/>
        <w:tabs>
          <w:tab w:leader="none" w:pos="186" w:val="left"/>
        </w:tabs>
        <w:numPr>
          <w:ilvl w:val="0"/>
          <w:numId w:val="45"/>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FY 2019 Adjusted results exclude the following:</w:t>
      </w:r>
    </w:p>
    <w:p>
      <w:pPr>
        <w:spacing w:after="0" w:line="5" w:lineRule="exact"/>
        <w:rPr>
          <w:rFonts w:ascii="Arial" w:cs="Arial" w:eastAsia="Arial" w:hAnsi="Arial"/>
          <w:sz w:val="13"/>
          <w:szCs w:val="13"/>
          <w:u w:val="single" w:color="auto"/>
          <w:color w:val="auto"/>
        </w:rPr>
      </w:pPr>
    </w:p>
    <w:p>
      <w:pPr>
        <w:ind w:left="506" w:right="180"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$70 million pretax income, or $0.40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13"/>
          <w:szCs w:val="13"/>
          <w:color w:val="auto"/>
        </w:rPr>
      </w:pPr>
    </w:p>
    <w:p>
      <w:pPr>
        <w:ind w:left="506" w:right="120"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Put/call valuation adjustments of approximately $506 million, or $2.89 per diluted common share, associated with Humana’s 40% minority interest in Kindred at Home. GAAP measures affected in this release include consolidated pretax and EPS.</w:t>
      </w:r>
    </w:p>
    <w:p>
      <w:pPr>
        <w:spacing w:after="0" w:line="1" w:lineRule="exact"/>
        <w:rPr>
          <w:rFonts w:ascii="Arial" w:cs="Arial" w:eastAsia="Arial" w:hAnsi="Arial"/>
          <w:sz w:val="13"/>
          <w:szCs w:val="13"/>
          <w:color w:val="auto"/>
        </w:rPr>
      </w:pPr>
    </w:p>
    <w:p>
      <w:pPr>
        <w:ind w:left="506" w:right="180" w:hanging="218"/>
        <w:spacing w:after="0" w:line="25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Expense associated with involuntary workforce reduction of approximately $47 million pretax, or $0.26 per diluted common share; GAAP measures affected in this release include consolidated pretax, EPS, and consolidated operating cost ratio.</w:t>
      </w:r>
    </w:p>
    <w:p>
      <w:pPr>
        <w:spacing w:after="0" w:line="292" w:lineRule="exact"/>
        <w:rPr>
          <w:rFonts w:ascii="Arial" w:cs="Arial" w:eastAsia="Arial" w:hAnsi="Arial"/>
          <w:sz w:val="13"/>
          <w:szCs w:val="13"/>
          <w:color w:val="auto"/>
        </w:rPr>
      </w:pPr>
    </w:p>
    <w:p>
      <w:pPr>
        <w:ind w:left="206" w:hanging="206"/>
        <w:spacing w:after="0"/>
        <w:tabs>
          <w:tab w:leader="none" w:pos="206" w:val="left"/>
        </w:tabs>
        <w:numPr>
          <w:ilvl w:val="0"/>
          <w:numId w:val="45"/>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FY 2018 Adjusted results exclude the following:</w:t>
      </w:r>
    </w:p>
    <w:p>
      <w:pPr>
        <w:spacing w:after="0" w:line="5" w:lineRule="exact"/>
        <w:rPr>
          <w:rFonts w:ascii="Arial" w:cs="Arial" w:eastAsia="Arial" w:hAnsi="Arial"/>
          <w:sz w:val="13"/>
          <w:szCs w:val="13"/>
          <w:u w:val="single" w:color="auto"/>
          <w:color w:val="auto"/>
        </w:rPr>
      </w:pPr>
    </w:p>
    <w:p>
      <w:pPr>
        <w:ind w:left="506" w:right="100"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$90 million pretax, or $0.49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13"/>
          <w:szCs w:val="13"/>
          <w:color w:val="auto"/>
        </w:rPr>
      </w:pPr>
    </w:p>
    <w:p>
      <w:pPr>
        <w:ind w:left="506" w:right="200"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Put/call valuation adjustments of approximately $33 million, or $0.18 per diluted common share, associated with Humana's 40% minority interest in Kindred at Home. GAAP measures affected in this release include consolidated pretax and EPS.</w:t>
      </w:r>
    </w:p>
    <w:p>
      <w:pPr>
        <w:spacing w:after="0" w:line="1" w:lineRule="exact"/>
        <w:rPr>
          <w:rFonts w:ascii="Arial" w:cs="Arial" w:eastAsia="Arial" w:hAnsi="Arial"/>
          <w:sz w:val="13"/>
          <w:szCs w:val="13"/>
          <w:color w:val="auto"/>
        </w:rPr>
      </w:pPr>
    </w:p>
    <w:p>
      <w:pPr>
        <w:ind w:left="506" w:right="120"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Loss of approximately $786 million pretax, or $2.41 per diluted common share, associated with the company's sale of its wholly-owned subsidiary, KMG America Corporation (KMG). GAAP measures affected in this release include consolidated pretax and EPS.</w:t>
      </w:r>
    </w:p>
    <w:p>
      <w:pPr>
        <w:spacing w:after="0" w:line="1" w:lineRule="exact"/>
        <w:rPr>
          <w:rFonts w:ascii="Arial" w:cs="Arial" w:eastAsia="Arial" w:hAnsi="Arial"/>
          <w:sz w:val="13"/>
          <w:szCs w:val="13"/>
          <w:color w:val="auto"/>
        </w:rPr>
      </w:pPr>
    </w:p>
    <w:p>
      <w:pPr>
        <w:ind w:left="506" w:right="400" w:hanging="218"/>
        <w:spacing w:after="0" w:line="245" w:lineRule="auto"/>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Segment earnings of approximately $74 million, or $0.41 per diluted common share, for the company’s Individual Commercial segment given the company’s exit on January 1, 2018, as previously disclosed. GAAP measures affected in this release include consolidated pretax income and EPS.</w:t>
      </w:r>
    </w:p>
    <w:p>
      <w:pPr>
        <w:spacing w:after="0" w:line="1" w:lineRule="exact"/>
        <w:rPr>
          <w:rFonts w:ascii="Arial" w:cs="Arial" w:eastAsia="Arial" w:hAnsi="Arial"/>
          <w:sz w:val="13"/>
          <w:szCs w:val="13"/>
          <w:color w:val="auto"/>
        </w:rPr>
      </w:pPr>
    </w:p>
    <w:p>
      <w:pPr>
        <w:ind w:left="506" w:hanging="218"/>
        <w:spacing w:after="0"/>
        <w:tabs>
          <w:tab w:leader="none" w:pos="506" w:val="left"/>
        </w:tabs>
        <w:numPr>
          <w:ilvl w:val="1"/>
          <w:numId w:val="45"/>
        </w:numPr>
        <w:rPr>
          <w:rFonts w:ascii="Arial" w:cs="Arial" w:eastAsia="Arial" w:hAnsi="Arial"/>
          <w:sz w:val="12"/>
          <w:szCs w:val="12"/>
          <w:color w:val="auto"/>
        </w:rPr>
      </w:pPr>
      <w:r>
        <w:rPr>
          <w:rFonts w:ascii="Arial" w:cs="Arial" w:eastAsia="Arial" w:hAnsi="Arial"/>
          <w:sz w:val="12"/>
          <w:szCs w:val="12"/>
          <w:color w:val="auto"/>
        </w:rPr>
        <w:t>Adjustment of $0.28 per diluted common share related to provisional estimates for the income tax effects related to the Tax Reform Law. The only GAAP measure affected in this release is EPS.</w:t>
      </w:r>
    </w:p>
    <w:p>
      <w:pPr>
        <w:spacing w:after="0" w:line="166" w:lineRule="exact"/>
        <w:rPr>
          <w:rFonts w:ascii="Arial" w:cs="Arial" w:eastAsia="Arial" w:hAnsi="Arial"/>
          <w:sz w:val="12"/>
          <w:szCs w:val="12"/>
          <w:color w:val="auto"/>
        </w:rPr>
      </w:pPr>
    </w:p>
    <w:p>
      <w:pPr>
        <w:ind w:left="226" w:right="160" w:hanging="226"/>
        <w:spacing w:after="0" w:line="258" w:lineRule="auto"/>
        <w:tabs>
          <w:tab w:leader="none" w:pos="208"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as well as the impact of Humana’s 40% minority interest in Kindred at Home.</w:t>
      </w:r>
    </w:p>
    <w:p>
      <w:pPr>
        <w:spacing w:after="0" w:line="137" w:lineRule="exact"/>
        <w:rPr>
          <w:rFonts w:ascii="Arial" w:cs="Arial" w:eastAsia="Arial" w:hAnsi="Arial"/>
          <w:sz w:val="13"/>
          <w:szCs w:val="13"/>
          <w:color w:val="auto"/>
        </w:rPr>
      </w:pPr>
    </w:p>
    <w:p>
      <w:pPr>
        <w:ind w:left="166" w:hanging="166"/>
        <w:spacing w:after="0"/>
        <w:tabs>
          <w:tab w:leader="none" w:pos="166" w:val="left"/>
        </w:tabs>
        <w:numPr>
          <w:ilvl w:val="0"/>
          <w:numId w:val="45"/>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FY 2020 Adjusted EPS projections exclude the following:</w:t>
      </w:r>
    </w:p>
    <w:p>
      <w:pPr>
        <w:spacing w:after="0" w:line="5" w:lineRule="exact"/>
        <w:rPr>
          <w:rFonts w:ascii="Arial" w:cs="Arial" w:eastAsia="Arial" w:hAnsi="Arial"/>
          <w:sz w:val="13"/>
          <w:szCs w:val="13"/>
          <w:u w:val="single" w:color="auto"/>
          <w:color w:val="auto"/>
        </w:rPr>
      </w:pPr>
    </w:p>
    <w:p>
      <w:pPr>
        <w:ind w:left="506" w:hanging="218"/>
        <w:spacing w:after="0"/>
        <w:tabs>
          <w:tab w:leader="none" w:pos="506" w:val="left"/>
        </w:tabs>
        <w:numPr>
          <w:ilvl w:val="1"/>
          <w:numId w:val="45"/>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$0.49 per diluted common share.</w:t>
      </w:r>
    </w:p>
    <w:p>
      <w:pPr>
        <w:spacing w:after="0" w:line="138" w:lineRule="exact"/>
        <w:rPr>
          <w:sz w:val="20"/>
          <w:szCs w:val="20"/>
          <w:color w:val="auto"/>
        </w:rPr>
      </w:pPr>
    </w:p>
    <w:p>
      <w:pPr>
        <w:jc w:val="center"/>
        <w:ind w:right="94"/>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66"/>
          </w:cols>
          <w:pgMar w:left="374" w:top="587" w:right="259" w:bottom="1440" w:gutter="0" w:footer="0" w:header="0"/>
        </w:sectPr>
      </w:pPr>
    </w:p>
    <w:bookmarkStart w:id="27" w:name="page28"/>
    <w:bookmarkEnd w:id="27"/>
    <w:p>
      <w:pPr>
        <w:ind w:left="660" w:right="340" w:hanging="218"/>
        <w:spacing w:after="0" w:line="271" w:lineRule="auto"/>
        <w:tabs>
          <w:tab w:leader="none" w:pos="660" w:val="left"/>
        </w:tabs>
        <w:numPr>
          <w:ilvl w:val="1"/>
          <w:numId w:val="46"/>
        </w:numPr>
        <w:rPr>
          <w:rFonts w:ascii="Arial" w:cs="Arial" w:eastAsia="Arial" w:hAnsi="Arial"/>
          <w:sz w:val="13"/>
          <w:szCs w:val="13"/>
          <w:color w:val="auto"/>
        </w:rPr>
      </w:pPr>
      <w:r>
        <w:rPr>
          <w:rFonts w:ascii="Arial" w:cs="Arial" w:eastAsia="Arial" w:hAnsi="Arial"/>
          <w:sz w:val="13"/>
          <w:szCs w:val="13"/>
          <w:color w:val="auto"/>
        </w:rPr>
        <w:t>FY20 GAAP EPS guidance excludes the impact of future value changes of put/call options related to the company's minority interest in certain investments. The future value change of these put/call options cannot be estimated.</w:t>
      </w:r>
    </w:p>
    <w:p>
      <w:pPr>
        <w:spacing w:after="0" w:line="129" w:lineRule="exact"/>
        <w:rPr>
          <w:rFonts w:ascii="Arial" w:cs="Arial" w:eastAsia="Arial" w:hAnsi="Arial"/>
          <w:sz w:val="13"/>
          <w:szCs w:val="13"/>
          <w:color w:val="auto"/>
        </w:rPr>
      </w:pPr>
    </w:p>
    <w:p>
      <w:pPr>
        <w:ind w:left="360" w:right="120" w:hanging="224"/>
        <w:spacing w:after="0" w:line="258" w:lineRule="auto"/>
        <w:tabs>
          <w:tab w:leader="none" w:pos="34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company provides a full range of insured specialty products including dental, vision, and life insurance benefits marketed to individuals and groups. Members included in these products may not be unique to each product since members have the ability to enroll in multiple products.</w:t>
      </w:r>
    </w:p>
    <w:p>
      <w:pPr>
        <w:spacing w:after="0" w:line="128" w:lineRule="exact"/>
        <w:rPr>
          <w:rFonts w:ascii="Arial" w:cs="Arial" w:eastAsia="Arial" w:hAnsi="Arial"/>
          <w:sz w:val="13"/>
          <w:szCs w:val="13"/>
          <w:color w:val="auto"/>
        </w:rPr>
      </w:pPr>
    </w:p>
    <w:p>
      <w:pPr>
        <w:ind w:left="360" w:right="20" w:hanging="224"/>
        <w:spacing w:after="0" w:line="250" w:lineRule="auto"/>
        <w:tabs>
          <w:tab w:leader="none" w:pos="342"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Cautionary Statement</w:t>
      </w:r>
    </w:p>
    <w:p>
      <w:pPr>
        <w:spacing w:after="0" w:line="173" w:lineRule="exact"/>
        <w:rPr>
          <w:sz w:val="20"/>
          <w:szCs w:val="20"/>
          <w:color w:val="auto"/>
        </w:rPr>
      </w:pPr>
    </w:p>
    <w:p>
      <w:pPr>
        <w:ind w:left="200"/>
        <w:spacing w:after="0" w:line="252" w:lineRule="auto"/>
        <w:rPr>
          <w:sz w:val="20"/>
          <w:szCs w:val="20"/>
          <w:color w:val="auto"/>
        </w:rPr>
      </w:pPr>
      <w:r>
        <w:rPr>
          <w:rFonts w:ascii="Arial" w:cs="Arial" w:eastAsia="Arial" w:hAnsi="Arial"/>
          <w:sz w:val="13"/>
          <w:szCs w:val="13"/>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142" w:lineRule="exact"/>
        <w:rPr>
          <w:sz w:val="20"/>
          <w:szCs w:val="20"/>
          <w:color w:val="auto"/>
        </w:rPr>
      </w:pPr>
    </w:p>
    <w:p>
      <w:pPr>
        <w:ind w:left="200" w:right="140"/>
        <w:spacing w:after="0" w:line="258" w:lineRule="auto"/>
        <w:rPr>
          <w:sz w:val="20"/>
          <w:szCs w:val="20"/>
          <w:color w:val="auto"/>
        </w:rPr>
      </w:pPr>
      <w:r>
        <w:rPr>
          <w:rFonts w:ascii="Arial" w:cs="Arial" w:eastAsia="Arial" w:hAnsi="Arial"/>
          <w:sz w:val="13"/>
          <w:szCs w:val="13"/>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157" w:lineRule="exact"/>
        <w:rPr>
          <w:sz w:val="20"/>
          <w:szCs w:val="20"/>
          <w:color w:val="auto"/>
        </w:rPr>
      </w:pPr>
    </w:p>
    <w:p>
      <w:pPr>
        <w:ind w:left="860" w:right="60" w:hanging="219"/>
        <w:spacing w:after="0" w:line="293" w:lineRule="auto"/>
        <w:tabs>
          <w:tab w:leader="none" w:pos="860" w:val="left"/>
        </w:tabs>
        <w:numPr>
          <w:ilvl w:val="0"/>
          <w:numId w:val="47"/>
        </w:numPr>
        <w:rPr>
          <w:rFonts w:ascii="Arial" w:cs="Arial" w:eastAsia="Arial" w:hAnsi="Arial"/>
          <w:sz w:val="11"/>
          <w:szCs w:val="11"/>
          <w:color w:val="auto"/>
        </w:rPr>
      </w:pPr>
      <w:r>
        <w:rPr>
          <w:rFonts w:ascii="Arial" w:cs="Arial" w:eastAsia="Arial" w:hAnsi="Arial"/>
          <w:sz w:val="11"/>
          <w:szCs w:val="11"/>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ind w:left="860" w:hanging="219"/>
        <w:spacing w:after="0" w:line="245" w:lineRule="auto"/>
        <w:tabs>
          <w:tab w:leader="none" w:pos="8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1" w:lineRule="exact"/>
        <w:rPr>
          <w:rFonts w:ascii="Arial" w:cs="Arial" w:eastAsia="Arial" w:hAnsi="Arial"/>
          <w:sz w:val="13"/>
          <w:szCs w:val="13"/>
          <w:color w:val="auto"/>
        </w:rPr>
      </w:pPr>
    </w:p>
    <w:p>
      <w:pPr>
        <w:ind w:left="860" w:hanging="219"/>
        <w:spacing w:after="0"/>
        <w:tabs>
          <w:tab w:leader="none" w:pos="8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If Humana fails to properly maintain the integrity of its data, to strategically implement new information systems, to protect Humana’s proprietary rights to its systems, or to defend against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40"/>
          </w:cols>
          <w:pgMar w:left="220" w:top="426" w:right="239" w:bottom="1440" w:gutter="0" w:footer="0" w:header="0"/>
        </w:sectPr>
      </w:pPr>
    </w:p>
    <w:bookmarkStart w:id="28" w:name="page29"/>
    <w:bookmarkEnd w:id="28"/>
    <w:p>
      <w:pPr>
        <w:ind w:left="219" w:right="100"/>
        <w:spacing w:after="0" w:line="237" w:lineRule="auto"/>
        <w:rPr>
          <w:sz w:val="20"/>
          <w:szCs w:val="20"/>
          <w:color w:val="auto"/>
        </w:rPr>
      </w:pPr>
      <w:r>
        <w:rPr>
          <w:rFonts w:ascii="Arial" w:cs="Arial" w:eastAsia="Arial" w:hAnsi="Arial"/>
          <w:sz w:val="13"/>
          <w:szCs w:val="13"/>
          <w:color w:val="auto"/>
        </w:rPr>
        <w:t>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1" w:lineRule="exact"/>
        <w:rPr>
          <w:sz w:val="20"/>
          <w:szCs w:val="20"/>
          <w:color w:val="auto"/>
        </w:rPr>
      </w:pPr>
    </w:p>
    <w:p>
      <w:pPr>
        <w:ind w:left="219" w:right="100" w:hanging="219"/>
        <w:spacing w:after="0" w:line="267" w:lineRule="auto"/>
        <w:tabs>
          <w:tab w:leader="none" w:pos="219" w:val="left"/>
        </w:tabs>
        <w:numPr>
          <w:ilvl w:val="0"/>
          <w:numId w:val="48"/>
        </w:numPr>
        <w:rPr>
          <w:rFonts w:ascii="Arial" w:cs="Arial" w:eastAsia="Arial" w:hAnsi="Arial"/>
          <w:sz w:val="12"/>
          <w:szCs w:val="12"/>
          <w:color w:val="auto"/>
        </w:rPr>
      </w:pPr>
      <w:r>
        <w:rPr>
          <w:rFonts w:ascii="Arial" w:cs="Arial" w:eastAsia="Arial" w:hAnsi="Arial"/>
          <w:sz w:val="12"/>
          <w:szCs w:val="12"/>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ind w:left="219" w:right="20" w:hanging="219"/>
        <w:spacing w:after="0" w:line="245" w:lineRule="auto"/>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3" w:lineRule="exact"/>
        <w:rPr>
          <w:rFonts w:ascii="Arial" w:cs="Arial" w:eastAsia="Arial" w:hAnsi="Arial"/>
          <w:sz w:val="13"/>
          <w:szCs w:val="13"/>
          <w:color w:val="auto"/>
        </w:rPr>
      </w:pPr>
    </w:p>
    <w:p>
      <w:pPr>
        <w:ind w:left="219" w:hanging="219"/>
        <w:spacing w:after="0" w:line="266" w:lineRule="auto"/>
        <w:tabs>
          <w:tab w:leader="none" w:pos="219"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or judicial changes, including activities to invalidate, repeal or replace, in whole or in part, the Health Care Reform Law, creates uncertainty for Humana’s business, and when, or in what form, such legislative or judicial changes may occur cannot be predicted with certainty.</w:t>
      </w:r>
    </w:p>
    <w:p>
      <w:pPr>
        <w:spacing w:after="0" w:line="1" w:lineRule="exact"/>
        <w:rPr>
          <w:rFonts w:ascii="Arial" w:cs="Arial" w:eastAsia="Arial" w:hAnsi="Arial"/>
          <w:sz w:val="12"/>
          <w:szCs w:val="12"/>
          <w:color w:val="auto"/>
        </w:rPr>
      </w:pPr>
    </w:p>
    <w:p>
      <w:pPr>
        <w:ind w:left="219" w:right="300" w:hanging="219"/>
        <w:spacing w:after="0" w:line="245" w:lineRule="auto"/>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1" w:lineRule="exact"/>
        <w:rPr>
          <w:rFonts w:ascii="Arial" w:cs="Arial" w:eastAsia="Arial" w:hAnsi="Arial"/>
          <w:sz w:val="13"/>
          <w:szCs w:val="13"/>
          <w:color w:val="auto"/>
        </w:rPr>
      </w:pPr>
    </w:p>
    <w:p>
      <w:pPr>
        <w:ind w:left="219" w:right="140" w:hanging="219"/>
        <w:spacing w:after="0" w:line="245" w:lineRule="auto"/>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Humana’s failure to manage acquisitions, divestitures and other significant transactions successfully may have a material adverse effect on the company’s results of operations, financial position, and cash flows.</w:t>
      </w:r>
    </w:p>
    <w:p>
      <w:pPr>
        <w:spacing w:after="0" w:line="1" w:lineRule="exact"/>
        <w:rPr>
          <w:rFonts w:ascii="Arial" w:cs="Arial" w:eastAsia="Arial" w:hAnsi="Arial"/>
          <w:sz w:val="13"/>
          <w:szCs w:val="13"/>
          <w:color w:val="auto"/>
        </w:rPr>
      </w:pPr>
    </w:p>
    <w:p>
      <w:pPr>
        <w:ind w:left="219" w:hanging="219"/>
        <w:spacing w:after="0"/>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Humana fails to develop and maintain satisfactory relationships with the providers of care to its members, the company’s business may be adversely affected.</w:t>
      </w:r>
    </w:p>
    <w:p>
      <w:pPr>
        <w:spacing w:after="0" w:line="3" w:lineRule="exact"/>
        <w:rPr>
          <w:rFonts w:ascii="Arial" w:cs="Arial" w:eastAsia="Arial" w:hAnsi="Arial"/>
          <w:sz w:val="13"/>
          <w:szCs w:val="13"/>
          <w:color w:val="auto"/>
        </w:rPr>
      </w:pPr>
    </w:p>
    <w:p>
      <w:pPr>
        <w:ind w:left="219" w:hanging="219"/>
        <w:spacing w:after="0"/>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Humana’s pharmacy business is highly competitive and subjects it to regulations in addition to those the company faces with its core health benefits businesses.</w:t>
      </w:r>
    </w:p>
    <w:p>
      <w:pPr>
        <w:spacing w:after="0" w:line="3" w:lineRule="exact"/>
        <w:rPr>
          <w:rFonts w:ascii="Arial" w:cs="Arial" w:eastAsia="Arial" w:hAnsi="Arial"/>
          <w:sz w:val="13"/>
          <w:szCs w:val="13"/>
          <w:color w:val="auto"/>
        </w:rPr>
      </w:pPr>
    </w:p>
    <w:p>
      <w:pPr>
        <w:ind w:left="219" w:hanging="219"/>
        <w:spacing w:after="0"/>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Changes in the prescription drug industry pricing benchmarks may adversely affect Humana’s financial performance.</w:t>
      </w:r>
    </w:p>
    <w:p>
      <w:pPr>
        <w:spacing w:after="0" w:line="3" w:lineRule="exact"/>
        <w:rPr>
          <w:rFonts w:ascii="Arial" w:cs="Arial" w:eastAsia="Arial" w:hAnsi="Arial"/>
          <w:sz w:val="13"/>
          <w:szCs w:val="13"/>
          <w:color w:val="auto"/>
        </w:rPr>
      </w:pPr>
    </w:p>
    <w:p>
      <w:pPr>
        <w:ind w:left="219" w:hanging="219"/>
        <w:spacing w:after="0"/>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Humana does not continue to earn and retain purchase discounts and volume rebates from pharmaceutical manufacturers at current levels, Humana’s gross margins may decline.</w:t>
      </w:r>
    </w:p>
    <w:p>
      <w:pPr>
        <w:spacing w:after="0" w:line="3" w:lineRule="exact"/>
        <w:rPr>
          <w:rFonts w:ascii="Arial" w:cs="Arial" w:eastAsia="Arial" w:hAnsi="Arial"/>
          <w:sz w:val="13"/>
          <w:szCs w:val="13"/>
          <w:color w:val="auto"/>
        </w:rPr>
      </w:pPr>
    </w:p>
    <w:p>
      <w:pPr>
        <w:ind w:left="219" w:hanging="219"/>
        <w:spacing w:after="0"/>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Humana’s ability to obtain funds from certain of its licensed subsidiaries is restricted by state insurance regulations.</w:t>
      </w:r>
    </w:p>
    <w:p>
      <w:pPr>
        <w:spacing w:after="0" w:line="3" w:lineRule="exact"/>
        <w:rPr>
          <w:rFonts w:ascii="Arial" w:cs="Arial" w:eastAsia="Arial" w:hAnsi="Arial"/>
          <w:sz w:val="13"/>
          <w:szCs w:val="13"/>
          <w:color w:val="auto"/>
        </w:rPr>
      </w:pPr>
    </w:p>
    <w:p>
      <w:pPr>
        <w:ind w:left="219" w:hanging="219"/>
        <w:spacing w:after="0"/>
        <w:tabs>
          <w:tab w:leader="none" w:pos="219" w:val="left"/>
        </w:tabs>
        <w:numPr>
          <w:ilvl w:val="0"/>
          <w:numId w:val="48"/>
        </w:numPr>
        <w:rPr>
          <w:rFonts w:ascii="Arial" w:cs="Arial" w:eastAsia="Arial" w:hAnsi="Arial"/>
          <w:sz w:val="13"/>
          <w:szCs w:val="13"/>
          <w:color w:val="auto"/>
        </w:rPr>
      </w:pPr>
      <w:r>
        <w:rPr>
          <w:rFonts w:ascii="Arial" w:cs="Arial" w:eastAsia="Arial" w:hAnsi="Arial"/>
          <w:sz w:val="13"/>
          <w:szCs w:val="13"/>
          <w:color w:val="auto"/>
        </w:rPr>
        <w:t>Downgrades in Humana’s debt ratings, should they occur, may adversely affect its business, results of operations, and financial condition.</w:t>
      </w:r>
    </w:p>
    <w:p>
      <w:pPr>
        <w:spacing w:after="0" w:line="138" w:lineRule="exact"/>
        <w:rPr>
          <w:sz w:val="20"/>
          <w:szCs w:val="20"/>
          <w:color w:val="auto"/>
        </w:rPr>
      </w:pPr>
    </w:p>
    <w:p>
      <w:pPr>
        <w:ind w:left="50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819"/>
          </w:cols>
          <w:pgMar w:left="861" w:top="426" w:right="219" w:bottom="1440" w:gutter="0" w:footer="0" w:header="0"/>
        </w:sectPr>
      </w:pPr>
    </w:p>
    <w:bookmarkStart w:id="29" w:name="page30"/>
    <w:bookmarkEnd w:id="29"/>
    <w:p>
      <w:pPr>
        <w:ind w:left="860" w:hanging="219"/>
        <w:spacing w:after="0"/>
        <w:tabs>
          <w:tab w:leader="none" w:pos="8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securities and credit markets may experience volatility and disruption, which may adversely affect Humana’s business.</w:t>
      </w:r>
    </w:p>
    <w:p>
      <w:pPr>
        <w:spacing w:after="0" w:line="219" w:lineRule="exact"/>
        <w:rPr>
          <w:sz w:val="20"/>
          <w:szCs w:val="20"/>
          <w:color w:val="auto"/>
        </w:rPr>
      </w:pPr>
    </w:p>
    <w:p>
      <w:pPr>
        <w:ind w:left="200"/>
        <w:spacing w:after="0" w:line="252" w:lineRule="auto"/>
        <w:rPr>
          <w:sz w:val="20"/>
          <w:szCs w:val="20"/>
          <w:color w:val="auto"/>
        </w:rPr>
      </w:pPr>
      <w:r>
        <w:rPr>
          <w:rFonts w:ascii="Arial" w:cs="Arial" w:eastAsia="Arial" w:hAnsi="Arial"/>
          <w:sz w:val="13"/>
          <w:szCs w:val="13"/>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Humana advises investors to read the following documents as filed by the company with the SEC for further discussion both of the risks it faces and its historical performance:</w:t>
      </w:r>
    </w:p>
    <w:p>
      <w:pPr>
        <w:spacing w:after="0" w:line="140" w:lineRule="exact"/>
        <w:rPr>
          <w:sz w:val="20"/>
          <w:szCs w:val="20"/>
          <w:color w:val="auto"/>
        </w:rPr>
      </w:pPr>
    </w:p>
    <w:p>
      <w:pPr>
        <w:ind w:left="420" w:hanging="221"/>
        <w:spacing w:after="0"/>
        <w:tabs>
          <w:tab w:leader="none" w:pos="4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Form 10-K for the year ended December 31, 2018;</w:t>
      </w:r>
    </w:p>
    <w:p>
      <w:pPr>
        <w:spacing w:after="0" w:line="13" w:lineRule="exact"/>
        <w:rPr>
          <w:rFonts w:ascii="Arial" w:cs="Arial" w:eastAsia="Arial" w:hAnsi="Arial"/>
          <w:sz w:val="13"/>
          <w:szCs w:val="13"/>
          <w:color w:val="auto"/>
        </w:rPr>
      </w:pPr>
    </w:p>
    <w:p>
      <w:pPr>
        <w:ind w:left="420" w:hanging="221"/>
        <w:spacing w:after="0"/>
        <w:tabs>
          <w:tab w:leader="none" w:pos="4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Form 10-Q for the quarter ended March 31, 2019; June 30, 2019; September 30, 2019; and</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Form 8-Ks filed during 2019 and 2020.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Humana</w:t>
      </w:r>
    </w:p>
    <w:p>
      <w:pPr>
        <w:spacing w:after="0" w:line="163"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33" w:lineRule="exact"/>
        <w:rPr>
          <w:sz w:val="20"/>
          <w:szCs w:val="20"/>
          <w:color w:val="auto"/>
        </w:rPr>
      </w:pPr>
    </w:p>
    <w:p>
      <w:pPr>
        <w:ind w:right="320"/>
        <w:spacing w:after="0" w:line="252" w:lineRule="auto"/>
        <w:rPr>
          <w:sz w:val="20"/>
          <w:szCs w:val="20"/>
          <w:color w:val="auto"/>
        </w:rPr>
      </w:pPr>
      <w:r>
        <w:rPr>
          <w:rFonts w:ascii="Arial" w:cs="Arial" w:eastAsia="Arial" w:hAnsi="Arial"/>
          <w:sz w:val="13"/>
          <w:szCs w:val="13"/>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More information regarding Humana is available to investors via the Investor Relations page of the company’s website at </w:t>
      </w:r>
      <w:r>
        <w:rPr>
          <w:rFonts w:ascii="Arial" w:cs="Arial" w:eastAsia="Arial" w:hAnsi="Arial"/>
          <w:sz w:val="13"/>
          <w:szCs w:val="13"/>
          <w:u w:val="single" w:color="auto"/>
          <w:color w:val="auto"/>
        </w:rPr>
        <w:t>humana.com</w:t>
      </w:r>
      <w:r>
        <w:rPr>
          <w:rFonts w:ascii="Arial" w:cs="Arial" w:eastAsia="Arial" w:hAnsi="Arial"/>
          <w:sz w:val="13"/>
          <w:szCs w:val="13"/>
          <w:color w:val="auto"/>
        </w:rPr>
        <w:t>, including copies of:</w:t>
      </w:r>
    </w:p>
    <w:p>
      <w:pPr>
        <w:spacing w:after="0" w:line="140" w:lineRule="exact"/>
        <w:rPr>
          <w:sz w:val="20"/>
          <w:szCs w:val="20"/>
          <w:color w:val="auto"/>
        </w:rPr>
      </w:pPr>
    </w:p>
    <w:p>
      <w:pPr>
        <w:ind w:left="420" w:hanging="221"/>
        <w:spacing w:after="0"/>
        <w:tabs>
          <w:tab w:leader="none" w:pos="4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Annual reports to stockholders</w:t>
      </w:r>
    </w:p>
    <w:p>
      <w:pPr>
        <w:spacing w:after="0" w:line="13" w:lineRule="exact"/>
        <w:rPr>
          <w:rFonts w:ascii="Arial" w:cs="Arial" w:eastAsia="Arial" w:hAnsi="Arial"/>
          <w:sz w:val="13"/>
          <w:szCs w:val="13"/>
          <w:color w:val="auto"/>
        </w:rPr>
      </w:pPr>
    </w:p>
    <w:p>
      <w:pPr>
        <w:ind w:left="420" w:hanging="221"/>
        <w:spacing w:after="0"/>
        <w:tabs>
          <w:tab w:leader="none" w:pos="4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Securities and Exchange Commission filings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Most recent investor conference presentations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Quarterly earnings news releases and conference calls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Calendar of events</w:t>
      </w:r>
    </w:p>
    <w:p>
      <w:pPr>
        <w:spacing w:after="0" w:line="3" w:lineRule="exact"/>
        <w:rPr>
          <w:rFonts w:ascii="Arial" w:cs="Arial" w:eastAsia="Arial" w:hAnsi="Arial"/>
          <w:sz w:val="13"/>
          <w:szCs w:val="13"/>
          <w:color w:val="auto"/>
        </w:rPr>
      </w:pPr>
    </w:p>
    <w:p>
      <w:pPr>
        <w:ind w:left="420" w:hanging="221"/>
        <w:spacing w:after="0"/>
        <w:tabs>
          <w:tab w:leader="none" w:pos="4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Corporate Governance information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60"/>
          </w:cols>
          <w:pgMar w:left="220" w:top="426" w:right="21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67"/>
        </w:trPr>
        <w:tc>
          <w:tcPr>
            <w:tcW w:w="1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In accordance</w:t>
            </w:r>
          </w:p>
        </w:tc>
        <w:tc>
          <w:tcPr>
            <w:tcW w:w="12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gridSpan w:val="2"/>
          </w:tcPr>
          <w:p>
            <w:pPr>
              <w:jc w:val="center"/>
              <w:ind w:left="1623"/>
              <w:spacing w:after="0"/>
              <w:rPr>
                <w:sz w:val="20"/>
                <w:szCs w:val="20"/>
                <w:color w:val="auto"/>
              </w:rPr>
            </w:pPr>
            <w:r>
              <w:rPr>
                <w:rFonts w:ascii="Arial" w:cs="Arial" w:eastAsia="Arial" w:hAnsi="Arial"/>
                <w:sz w:val="14"/>
                <w:szCs w:val="14"/>
                <w:b w:val="1"/>
                <w:bCs w:val="1"/>
                <w:color w:val="477915"/>
              </w:rPr>
              <w:t>Humana Inc.</w:t>
            </w:r>
          </w:p>
        </w:tc>
        <w:tc>
          <w:tcPr>
            <w:tcW w:w="17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344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4"/>
                <w:szCs w:val="14"/>
                <w:b w:val="1"/>
                <w:bCs w:val="1"/>
                <w:color w:val="477915"/>
              </w:rPr>
              <w:t>Comments</w:t>
            </w: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with GAAP</w:t>
            </w:r>
          </w:p>
        </w:tc>
        <w:tc>
          <w:tcPr>
            <w:tcW w:w="120" w:type="dxa"/>
            <w:vAlign w:val="bottom"/>
          </w:tcPr>
          <w:p>
            <w:pPr>
              <w:spacing w:after="0"/>
              <w:rPr>
                <w:sz w:val="14"/>
                <w:szCs w:val="14"/>
                <w:color w:val="auto"/>
              </w:rPr>
            </w:pPr>
          </w:p>
        </w:tc>
        <w:tc>
          <w:tcPr>
            <w:tcW w:w="4240" w:type="dxa"/>
            <w:vAlign w:val="bottom"/>
            <w:gridSpan w:val="2"/>
          </w:tcPr>
          <w:p>
            <w:pPr>
              <w:jc w:val="center"/>
              <w:ind w:left="1623"/>
              <w:spacing w:after="0"/>
              <w:rPr>
                <w:sz w:val="20"/>
                <w:szCs w:val="20"/>
                <w:color w:val="auto"/>
              </w:rPr>
            </w:pPr>
            <w:r>
              <w:rPr>
                <w:rFonts w:ascii="Arial" w:cs="Arial" w:eastAsia="Arial" w:hAnsi="Arial"/>
                <w:sz w:val="14"/>
                <w:szCs w:val="14"/>
                <w:b w:val="1"/>
                <w:bCs w:val="1"/>
                <w:color w:val="477915"/>
              </w:rPr>
              <w:t>Full-Year 2020 Projections</w:t>
            </w: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w w:val="99"/>
              </w:rPr>
              <w:t>unless</w:t>
            </w:r>
          </w:p>
        </w:tc>
        <w:tc>
          <w:tcPr>
            <w:tcW w:w="120" w:type="dxa"/>
            <w:vAlign w:val="bottom"/>
          </w:tcPr>
          <w:p>
            <w:pPr>
              <w:spacing w:after="0"/>
              <w:rPr>
                <w:sz w:val="14"/>
                <w:szCs w:val="14"/>
                <w:color w:val="auto"/>
              </w:rPr>
            </w:pPr>
          </w:p>
        </w:tc>
        <w:tc>
          <w:tcPr>
            <w:tcW w:w="4240" w:type="dxa"/>
            <w:vAlign w:val="bottom"/>
            <w:gridSpan w:val="2"/>
          </w:tcPr>
          <w:p>
            <w:pPr>
              <w:jc w:val="center"/>
              <w:ind w:left="1643"/>
              <w:spacing w:after="0"/>
              <w:rPr>
                <w:sz w:val="20"/>
                <w:szCs w:val="20"/>
                <w:color w:val="auto"/>
              </w:rPr>
            </w:pPr>
            <w:r>
              <w:rPr>
                <w:rFonts w:ascii="Arial" w:cs="Arial" w:eastAsia="Arial" w:hAnsi="Arial"/>
                <w:sz w:val="14"/>
                <w:szCs w:val="14"/>
                <w:b w:val="1"/>
                <w:bCs w:val="1"/>
                <w:color w:val="477915"/>
              </w:rPr>
              <w:t>As of February 5, 2020</w:t>
            </w: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otherwise</w:t>
            </w: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noted</w:t>
            </w: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Diluted earnings</w:t>
            </w:r>
          </w:p>
        </w:tc>
        <w:tc>
          <w:tcPr>
            <w:tcW w:w="12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GAAP</w:t>
            </w:r>
          </w:p>
        </w:tc>
        <w:tc>
          <w:tcPr>
            <w:tcW w:w="1380" w:type="dxa"/>
            <w:vAlign w:val="bottom"/>
          </w:tcPr>
          <w:p>
            <w:pPr>
              <w:spacing w:after="0"/>
              <w:rPr>
                <w:sz w:val="11"/>
                <w:szCs w:val="11"/>
                <w:color w:val="auto"/>
              </w:rPr>
            </w:pPr>
          </w:p>
        </w:tc>
        <w:tc>
          <w:tcPr>
            <w:tcW w:w="1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$17.76 to $18.26</w:t>
            </w:r>
          </w:p>
        </w:tc>
        <w:tc>
          <w:tcPr>
            <w:tcW w:w="100" w:type="dxa"/>
            <w:vAlign w:val="bottom"/>
            <w:tcBorders>
              <w:right w:val="single" w:sz="8" w:color="auto"/>
            </w:tcBorders>
          </w:tcPr>
          <w:p>
            <w:pPr>
              <w:spacing w:after="0"/>
              <w:rPr>
                <w:sz w:val="11"/>
                <w:szCs w:val="11"/>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  GAAP EPS guidance excludes the impact of future fair value</w:t>
            </w: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1"/>
                <w:szCs w:val="11"/>
                <w:b w:val="1"/>
                <w:bCs w:val="1"/>
                <w:color w:val="auto"/>
              </w:rPr>
              <w:t>per common</w:t>
            </w:r>
          </w:p>
        </w:tc>
        <w:tc>
          <w:tcPr>
            <w:tcW w:w="12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w w:val="98"/>
              </w:rPr>
              <w:t>changes of put/call options related to the company's minority interest</w:t>
            </w:r>
          </w:p>
        </w:tc>
        <w:tc>
          <w:tcPr>
            <w:tcW w:w="0" w:type="dxa"/>
            <w:vAlign w:val="bottom"/>
          </w:tcPr>
          <w:p>
            <w:pPr>
              <w:spacing w:after="0"/>
              <w:rPr>
                <w:sz w:val="1"/>
                <w:szCs w:val="1"/>
                <w:color w:val="auto"/>
              </w:rPr>
            </w:pPr>
          </w:p>
        </w:tc>
      </w:tr>
      <w:tr>
        <w:trPr>
          <w:trHeight w:val="29"/>
        </w:trPr>
        <w:tc>
          <w:tcPr>
            <w:tcW w:w="1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1"/>
                <w:szCs w:val="11"/>
                <w:b w:val="1"/>
                <w:bCs w:val="1"/>
                <w:color w:val="auto"/>
              </w:rPr>
              <w:t>share (EPS)</w:t>
            </w:r>
          </w:p>
        </w:tc>
        <w:tc>
          <w:tcPr>
            <w:tcW w:w="120" w:type="dxa"/>
            <w:vAlign w:val="bottom"/>
            <w:tcBorders>
              <w:right w:val="single" w:sz="8" w:color="auto"/>
            </w:tcBorders>
            <w:vMerge w:val="restart"/>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in certain investments. The future value change of these put/call</w:t>
            </w:r>
          </w:p>
        </w:tc>
        <w:tc>
          <w:tcPr>
            <w:tcW w:w="0" w:type="dxa"/>
            <w:vAlign w:val="bottom"/>
          </w:tcPr>
          <w:p>
            <w:pPr>
              <w:spacing w:after="0"/>
              <w:rPr>
                <w:sz w:val="1"/>
                <w:szCs w:val="1"/>
                <w:color w:val="auto"/>
              </w:rPr>
            </w:pPr>
          </w:p>
        </w:tc>
      </w:tr>
      <w:tr>
        <w:trPr>
          <w:trHeight w:val="89"/>
        </w:trPr>
        <w:tc>
          <w:tcPr>
            <w:tcW w:w="1860" w:type="dxa"/>
            <w:vAlign w:val="bottom"/>
            <w:tcBorders>
              <w:left w:val="single" w:sz="8" w:color="auto"/>
              <w:right w:val="single" w:sz="8" w:color="auto"/>
            </w:tcBorders>
            <w:vMerge w:val="continue"/>
          </w:tcPr>
          <w:p>
            <w:pPr>
              <w:spacing w:after="0"/>
              <w:rPr>
                <w:sz w:val="7"/>
                <w:szCs w:val="7"/>
                <w:color w:val="auto"/>
              </w:rPr>
            </w:pPr>
          </w:p>
        </w:tc>
        <w:tc>
          <w:tcPr>
            <w:tcW w:w="120" w:type="dxa"/>
            <w:vAlign w:val="bottom"/>
            <w:tcBorders>
              <w:right w:val="single" w:sz="8" w:color="auto"/>
            </w:tcBorders>
            <w:vMerge w:val="continue"/>
          </w:tcPr>
          <w:p>
            <w:pPr>
              <w:spacing w:after="0"/>
              <w:rPr>
                <w:sz w:val="7"/>
                <w:szCs w:val="7"/>
                <w:color w:val="auto"/>
              </w:rPr>
            </w:pPr>
          </w:p>
        </w:tc>
        <w:tc>
          <w:tcPr>
            <w:tcW w:w="28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Adjustments</w:t>
            </w:r>
          </w:p>
        </w:tc>
        <w:tc>
          <w:tcPr>
            <w:tcW w:w="1380" w:type="dxa"/>
            <w:vAlign w:val="bottom"/>
          </w:tcPr>
          <w:p>
            <w:pPr>
              <w:spacing w:after="0"/>
              <w:rPr>
                <w:sz w:val="7"/>
                <w:szCs w:val="7"/>
                <w:color w:val="auto"/>
              </w:rPr>
            </w:pPr>
          </w:p>
        </w:tc>
        <w:tc>
          <w:tcPr>
            <w:tcW w:w="1700" w:type="dxa"/>
            <w:vAlign w:val="bottom"/>
            <w:vMerge w:val="restart"/>
          </w:tcPr>
          <w:p>
            <w:pPr>
              <w:jc w:val="right"/>
              <w:spacing w:after="0"/>
              <w:rPr>
                <w:sz w:val="20"/>
                <w:szCs w:val="20"/>
                <w:color w:val="auto"/>
              </w:rPr>
            </w:pPr>
            <w:r>
              <w:rPr>
                <w:rFonts w:ascii="Arial" w:cs="Arial" w:eastAsia="Arial" w:hAnsi="Arial"/>
                <w:sz w:val="11"/>
                <w:szCs w:val="11"/>
                <w:color w:val="auto"/>
              </w:rPr>
              <w:t>~0.49</w:t>
            </w:r>
          </w:p>
        </w:tc>
        <w:tc>
          <w:tcPr>
            <w:tcW w:w="40" w:type="dxa"/>
            <w:vAlign w:val="bottom"/>
            <w:tcBorders>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86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860" w:type="dxa"/>
            <w:vAlign w:val="bottom"/>
            <w:tcBorders>
              <w:right w:val="single" w:sz="8" w:color="auto"/>
            </w:tcBorders>
            <w:vMerge w:val="continue"/>
          </w:tcPr>
          <w:p>
            <w:pPr>
              <w:spacing w:after="0"/>
              <w:rPr>
                <w:sz w:val="4"/>
                <w:szCs w:val="4"/>
                <w:color w:val="auto"/>
              </w:rPr>
            </w:pPr>
          </w:p>
        </w:tc>
        <w:tc>
          <w:tcPr>
            <w:tcW w:w="138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3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options cannot be estimated.</w:t>
            </w:r>
          </w:p>
        </w:tc>
        <w:tc>
          <w:tcPr>
            <w:tcW w:w="0" w:type="dxa"/>
            <w:vAlign w:val="bottom"/>
          </w:tcPr>
          <w:p>
            <w:pPr>
              <w:spacing w:after="0"/>
              <w:rPr>
                <w:sz w:val="1"/>
                <w:szCs w:val="1"/>
                <w:color w:val="auto"/>
              </w:rPr>
            </w:pPr>
          </w:p>
        </w:tc>
      </w:tr>
      <w:tr>
        <w:trPr>
          <w:trHeight w:val="22"/>
        </w:trPr>
        <w:tc>
          <w:tcPr>
            <w:tcW w:w="18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
        </w:trPr>
        <w:tc>
          <w:tcPr>
            <w:tcW w:w="186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8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Non-GAAP</w:t>
            </w:r>
          </w:p>
        </w:tc>
        <w:tc>
          <w:tcPr>
            <w:tcW w:w="1380" w:type="dxa"/>
            <w:vAlign w:val="bottom"/>
          </w:tcPr>
          <w:p>
            <w:pPr>
              <w:spacing w:after="0"/>
              <w:rPr>
                <w:sz w:val="3"/>
                <w:szCs w:val="3"/>
                <w:color w:val="auto"/>
              </w:rPr>
            </w:pPr>
          </w:p>
        </w:tc>
        <w:tc>
          <w:tcPr>
            <w:tcW w:w="174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1"/>
                <w:szCs w:val="11"/>
                <w:color w:val="auto"/>
              </w:rPr>
              <w:t>$18.25 to $18.75</w:t>
            </w:r>
          </w:p>
        </w:tc>
        <w:tc>
          <w:tcPr>
            <w:tcW w:w="100" w:type="dxa"/>
            <w:vAlign w:val="bottom"/>
            <w:tcBorders>
              <w:right w:val="single" w:sz="8" w:color="auto"/>
            </w:tcBorders>
          </w:tcPr>
          <w:p>
            <w:pPr>
              <w:spacing w:after="0"/>
              <w:rPr>
                <w:sz w:val="3"/>
                <w:szCs w:val="3"/>
                <w:color w:val="auto"/>
              </w:rPr>
            </w:pPr>
          </w:p>
        </w:tc>
        <w:tc>
          <w:tcPr>
            <w:tcW w:w="3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1860" w:type="dxa"/>
            <w:vAlign w:val="bottom"/>
            <w:tcBorders>
              <w:left w:val="single" w:sz="8" w:color="auto"/>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  See footnote (f) for detail of non-GAAP adjustments.</w:t>
            </w:r>
          </w:p>
        </w:tc>
        <w:tc>
          <w:tcPr>
            <w:tcW w:w="0" w:type="dxa"/>
            <w:vAlign w:val="bottom"/>
          </w:tcPr>
          <w:p>
            <w:pPr>
              <w:spacing w:after="0"/>
              <w:rPr>
                <w:sz w:val="1"/>
                <w:szCs w:val="1"/>
                <w:color w:val="auto"/>
              </w:rPr>
            </w:pPr>
          </w:p>
        </w:tc>
      </w:tr>
      <w:tr>
        <w:trPr>
          <w:trHeight w:val="112"/>
        </w:trPr>
        <w:tc>
          <w:tcPr>
            <w:tcW w:w="1860" w:type="dxa"/>
            <w:vAlign w:val="bottom"/>
            <w:tcBorders>
              <w:left w:val="single" w:sz="8" w:color="auto"/>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740" w:type="dxa"/>
            <w:vAlign w:val="bottom"/>
            <w:tcBorders>
              <w:bottom w:val="single" w:sz="8" w:color="auto"/>
              <w:right w:val="single" w:sz="8" w:color="auto"/>
            </w:tcBorders>
            <w:gridSpan w:val="2"/>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revenues</w:t>
            </w:r>
          </w:p>
        </w:tc>
        <w:tc>
          <w:tcPr>
            <w:tcW w:w="12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i w:val="1"/>
                <w:iCs w:val="1"/>
                <w:color w:val="auto"/>
              </w:rPr>
              <w:t>Consolidated</w:t>
            </w:r>
          </w:p>
        </w:tc>
        <w:tc>
          <w:tcPr>
            <w:tcW w:w="1380" w:type="dxa"/>
            <w:vAlign w:val="bottom"/>
          </w:tcPr>
          <w:p>
            <w:pPr>
              <w:spacing w:after="0"/>
              <w:rPr>
                <w:sz w:val="11"/>
                <w:szCs w:val="11"/>
                <w:color w:val="auto"/>
              </w:rPr>
            </w:pPr>
          </w:p>
        </w:tc>
        <w:tc>
          <w:tcPr>
            <w:tcW w:w="1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$73.9 billion to $74.5 billion</w:t>
            </w:r>
          </w:p>
        </w:tc>
        <w:tc>
          <w:tcPr>
            <w:tcW w:w="100" w:type="dxa"/>
            <w:vAlign w:val="bottom"/>
            <w:tcBorders>
              <w:right w:val="single" w:sz="8" w:color="auto"/>
            </w:tcBorders>
          </w:tcPr>
          <w:p>
            <w:pPr>
              <w:spacing w:after="0"/>
              <w:rPr>
                <w:sz w:val="11"/>
                <w:szCs w:val="11"/>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  Consolidated and segment-level revenue projections include</w:t>
            </w:r>
          </w:p>
        </w:tc>
        <w:tc>
          <w:tcPr>
            <w:tcW w:w="0" w:type="dxa"/>
            <w:vAlign w:val="bottom"/>
          </w:tcPr>
          <w:p>
            <w:pPr>
              <w:spacing w:after="0"/>
              <w:rPr>
                <w:sz w:val="1"/>
                <w:szCs w:val="1"/>
                <w:color w:val="auto"/>
              </w:rPr>
            </w:pPr>
          </w:p>
        </w:tc>
      </w:tr>
      <w:tr>
        <w:trPr>
          <w:trHeight w:val="26"/>
        </w:trPr>
        <w:tc>
          <w:tcPr>
            <w:tcW w:w="186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expected investment income.</w:t>
            </w:r>
          </w:p>
        </w:tc>
        <w:tc>
          <w:tcPr>
            <w:tcW w:w="0" w:type="dxa"/>
            <w:vAlign w:val="bottom"/>
          </w:tcPr>
          <w:p>
            <w:pPr>
              <w:spacing w:after="0"/>
              <w:rPr>
                <w:sz w:val="1"/>
                <w:szCs w:val="1"/>
                <w:color w:val="auto"/>
              </w:rPr>
            </w:pPr>
          </w:p>
        </w:tc>
      </w:tr>
      <w:tr>
        <w:trPr>
          <w:trHeight w:val="80"/>
        </w:trPr>
        <w:tc>
          <w:tcPr>
            <w:tcW w:w="1860" w:type="dxa"/>
            <w:vAlign w:val="bottom"/>
            <w:tcBorders>
              <w:left w:val="single" w:sz="8" w:color="auto"/>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28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i w:val="1"/>
                <w:iCs w:val="1"/>
                <w:color w:val="auto"/>
              </w:rPr>
              <w:t>Retail segment</w:t>
            </w:r>
          </w:p>
        </w:tc>
        <w:tc>
          <w:tcPr>
            <w:tcW w:w="1380" w:type="dxa"/>
            <w:vAlign w:val="bottom"/>
          </w:tcPr>
          <w:p>
            <w:pPr>
              <w:spacing w:after="0"/>
              <w:rPr>
                <w:sz w:val="6"/>
                <w:szCs w:val="6"/>
                <w:color w:val="auto"/>
              </w:rPr>
            </w:pPr>
          </w:p>
        </w:tc>
        <w:tc>
          <w:tcPr>
            <w:tcW w:w="174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1"/>
                <w:szCs w:val="11"/>
                <w:color w:val="auto"/>
              </w:rPr>
              <w:t>$65.3 billion to $65.9 billion</w:t>
            </w:r>
          </w:p>
        </w:tc>
        <w:tc>
          <w:tcPr>
            <w:tcW w:w="100" w:type="dxa"/>
            <w:vAlign w:val="bottom"/>
            <w:tcBorders>
              <w:right w:val="single" w:sz="8" w:color="auto"/>
            </w:tcBorders>
          </w:tcPr>
          <w:p>
            <w:pPr>
              <w:spacing w:after="0"/>
              <w:rPr>
                <w:sz w:val="6"/>
                <w:szCs w:val="6"/>
                <w:color w:val="auto"/>
              </w:rPr>
            </w:pPr>
          </w:p>
        </w:tc>
        <w:tc>
          <w:tcPr>
            <w:tcW w:w="34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860" w:type="dxa"/>
            <w:vAlign w:val="bottom"/>
            <w:tcBorders>
              <w:left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1380" w:type="dxa"/>
            <w:vAlign w:val="bottom"/>
          </w:tcPr>
          <w:p>
            <w:pPr>
              <w:spacing w:after="0"/>
              <w:rPr>
                <w:sz w:val="5"/>
                <w:szCs w:val="5"/>
                <w:color w:val="auto"/>
              </w:rPr>
            </w:pPr>
          </w:p>
        </w:tc>
        <w:tc>
          <w:tcPr>
            <w:tcW w:w="1740" w:type="dxa"/>
            <w:vAlign w:val="bottom"/>
            <w:tcBorders>
              <w:right w:val="single" w:sz="8" w:color="auto"/>
            </w:tcBorders>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  Segment-level revenues include amounts that eliminate in</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4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1860" w:type="dxa"/>
            <w:vAlign w:val="bottom"/>
            <w:tcBorders>
              <w:left w:val="single" w:sz="8" w:color="auto"/>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3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consolidation.</w:t>
            </w:r>
          </w:p>
        </w:tc>
        <w:tc>
          <w:tcPr>
            <w:tcW w:w="0" w:type="dxa"/>
            <w:vAlign w:val="bottom"/>
          </w:tcPr>
          <w:p>
            <w:pPr>
              <w:spacing w:after="0"/>
              <w:rPr>
                <w:sz w:val="1"/>
                <w:szCs w:val="1"/>
                <w:color w:val="auto"/>
              </w:rPr>
            </w:pPr>
          </w:p>
        </w:tc>
      </w:tr>
      <w:tr>
        <w:trPr>
          <w:trHeight w:val="35"/>
        </w:trPr>
        <w:tc>
          <w:tcPr>
            <w:tcW w:w="186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8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i w:val="1"/>
                <w:iCs w:val="1"/>
                <w:color w:val="auto"/>
              </w:rPr>
              <w:t>Group and Specialty segment</w:t>
            </w:r>
          </w:p>
        </w:tc>
        <w:tc>
          <w:tcPr>
            <w:tcW w:w="1380" w:type="dxa"/>
            <w:vAlign w:val="bottom"/>
          </w:tcPr>
          <w:p>
            <w:pPr>
              <w:spacing w:after="0"/>
              <w:rPr>
                <w:sz w:val="3"/>
                <w:szCs w:val="3"/>
                <w:color w:val="auto"/>
              </w:rPr>
            </w:pPr>
          </w:p>
        </w:tc>
        <w:tc>
          <w:tcPr>
            <w:tcW w:w="174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1"/>
                <w:szCs w:val="11"/>
                <w:color w:val="auto"/>
              </w:rPr>
              <w:t>$7.4 billion to $7.9 billion</w:t>
            </w:r>
          </w:p>
        </w:tc>
        <w:tc>
          <w:tcPr>
            <w:tcW w:w="100" w:type="dxa"/>
            <w:vAlign w:val="bottom"/>
            <w:tcBorders>
              <w:right w:val="single" w:sz="8" w:color="auto"/>
            </w:tcBorders>
          </w:tcPr>
          <w:p>
            <w:pPr>
              <w:spacing w:after="0"/>
              <w:rPr>
                <w:sz w:val="3"/>
                <w:szCs w:val="3"/>
                <w:color w:val="auto"/>
              </w:rPr>
            </w:pPr>
          </w:p>
        </w:tc>
        <w:tc>
          <w:tcPr>
            <w:tcW w:w="3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1860" w:type="dxa"/>
            <w:vAlign w:val="bottom"/>
            <w:tcBorders>
              <w:left w:val="single" w:sz="8" w:color="auto"/>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color w:val="auto"/>
              </w:rPr>
              <w:t>•  Consolidated and Retail segment revenues exclude any impact of</w:t>
            </w:r>
          </w:p>
        </w:tc>
        <w:tc>
          <w:tcPr>
            <w:tcW w:w="0" w:type="dxa"/>
            <w:vAlign w:val="bottom"/>
          </w:tcPr>
          <w:p>
            <w:pPr>
              <w:spacing w:after="0"/>
              <w:rPr>
                <w:sz w:val="1"/>
                <w:szCs w:val="1"/>
                <w:color w:val="auto"/>
              </w:rPr>
            </w:pPr>
          </w:p>
        </w:tc>
      </w:tr>
      <w:tr>
        <w:trPr>
          <w:trHeight w:val="138"/>
        </w:trPr>
        <w:tc>
          <w:tcPr>
            <w:tcW w:w="18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i w:val="1"/>
                <w:iCs w:val="1"/>
                <w:color w:val="auto"/>
              </w:rPr>
              <w:t>Healthcare Services segment</w:t>
            </w:r>
          </w:p>
        </w:tc>
        <w:tc>
          <w:tcPr>
            <w:tcW w:w="138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$26.4 billion to $26.7 billion</w:t>
            </w:r>
          </w:p>
        </w:tc>
        <w:tc>
          <w:tcPr>
            <w:tcW w:w="10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ind w:left="120"/>
              <w:spacing w:after="0" w:line="111" w:lineRule="exact"/>
              <w:rPr>
                <w:sz w:val="20"/>
                <w:szCs w:val="20"/>
                <w:color w:val="auto"/>
              </w:rPr>
            </w:pPr>
            <w:r>
              <w:rPr>
                <w:rFonts w:ascii="Arial" w:cs="Arial" w:eastAsia="Arial" w:hAnsi="Arial"/>
                <w:sz w:val="11"/>
                <w:szCs w:val="11"/>
                <w:color w:val="auto"/>
              </w:rPr>
              <w:t>the Louisiana Medicaid contract currently under protest.</w:t>
            </w:r>
          </w:p>
        </w:tc>
        <w:tc>
          <w:tcPr>
            <w:tcW w:w="0" w:type="dxa"/>
            <w:vAlign w:val="bottom"/>
          </w:tcPr>
          <w:p>
            <w:pPr>
              <w:spacing w:after="0"/>
              <w:rPr>
                <w:sz w:val="1"/>
                <w:szCs w:val="1"/>
                <w:color w:val="auto"/>
              </w:rPr>
            </w:pPr>
          </w:p>
        </w:tc>
      </w:tr>
      <w:tr>
        <w:trPr>
          <w:trHeight w:val="139"/>
        </w:trPr>
        <w:tc>
          <w:tcPr>
            <w:tcW w:w="18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8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tcPr>
          <w:p>
            <w:pPr>
              <w:ind w:left="20"/>
              <w:spacing w:after="0" w:line="123" w:lineRule="exact"/>
              <w:rPr>
                <w:sz w:val="20"/>
                <w:szCs w:val="20"/>
                <w:color w:val="auto"/>
              </w:rPr>
            </w:pPr>
            <w:r>
              <w:rPr>
                <w:rFonts w:ascii="Arial" w:cs="Arial" w:eastAsia="Arial" w:hAnsi="Arial"/>
                <w:sz w:val="11"/>
                <w:szCs w:val="11"/>
                <w:b w:val="1"/>
                <w:bCs w:val="1"/>
                <w:color w:val="auto"/>
              </w:rPr>
              <w:t>Change in year-</w:t>
            </w:r>
          </w:p>
        </w:tc>
        <w:tc>
          <w:tcPr>
            <w:tcW w:w="120" w:type="dxa"/>
            <w:vAlign w:val="bottom"/>
          </w:tcPr>
          <w:p>
            <w:pPr>
              <w:spacing w:after="0"/>
              <w:rPr>
                <w:sz w:val="10"/>
                <w:szCs w:val="10"/>
                <w:color w:val="auto"/>
              </w:rPr>
            </w:pPr>
          </w:p>
        </w:tc>
        <w:tc>
          <w:tcPr>
            <w:tcW w:w="4240" w:type="dxa"/>
            <w:vAlign w:val="bottom"/>
            <w:gridSpan w:val="2"/>
          </w:tcPr>
          <w:p>
            <w:pPr>
              <w:spacing w:after="0" w:line="123"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Individual Medicare Advantage:</w:t>
            </w:r>
            <w:r>
              <w:rPr>
                <w:rFonts w:ascii="Arial" w:cs="Arial" w:eastAsia="Arial" w:hAnsi="Arial"/>
                <w:sz w:val="11"/>
                <w:szCs w:val="11"/>
                <w:color w:val="auto"/>
              </w:rPr>
              <w:t xml:space="preserve"> Up Up 270,000 to 330,000 (no change)</w:t>
            </w: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spacing w:after="0" w:line="123" w:lineRule="exact"/>
              <w:rPr>
                <w:sz w:val="20"/>
                <w:szCs w:val="20"/>
                <w:color w:val="auto"/>
              </w:rPr>
            </w:pPr>
            <w:r>
              <w:rPr>
                <w:rFonts w:ascii="Arial" w:cs="Arial" w:eastAsia="Arial" w:hAnsi="Arial"/>
                <w:sz w:val="11"/>
                <w:szCs w:val="11"/>
                <w:color w:val="auto"/>
              </w:rPr>
              <w:t>•  State-based contracts includes current membership in Florida,</w:t>
            </w: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1"/>
                <w:szCs w:val="11"/>
                <w:b w:val="1"/>
                <w:bCs w:val="1"/>
                <w:color w:val="auto"/>
              </w:rPr>
              <w:t>end medical</w:t>
            </w:r>
          </w:p>
        </w:tc>
        <w:tc>
          <w:tcPr>
            <w:tcW w:w="120" w:type="dxa"/>
            <w:vAlign w:val="bottom"/>
          </w:tcPr>
          <w:p>
            <w:pPr>
              <w:spacing w:after="0"/>
              <w:rPr>
                <w:sz w:val="10"/>
                <w:szCs w:val="10"/>
                <w:color w:val="auto"/>
              </w:rPr>
            </w:pPr>
          </w:p>
        </w:tc>
        <w:tc>
          <w:tcPr>
            <w:tcW w:w="4240" w:type="dxa"/>
            <w:vAlign w:val="bottom"/>
            <w:gridSpan w:val="2"/>
            <w:vMerge w:val="restart"/>
          </w:tcPr>
          <w:p>
            <w:pPr>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Group Medicare Advantage:</w:t>
            </w:r>
            <w:r>
              <w:rPr>
                <w:rFonts w:ascii="Arial" w:cs="Arial" w:eastAsia="Arial" w:hAnsi="Arial"/>
                <w:sz w:val="11"/>
                <w:szCs w:val="11"/>
                <w:color w:val="auto"/>
              </w:rPr>
              <w:t xml:space="preserve"> Up ~90,000 (no change)</w:t>
            </w: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w w:val="98"/>
              </w:rPr>
              <w:t>Illinois, and Kentucky, while excluding any impact from the Louisiana</w:t>
            </w:r>
          </w:p>
        </w:tc>
        <w:tc>
          <w:tcPr>
            <w:tcW w:w="0" w:type="dxa"/>
            <w:vAlign w:val="bottom"/>
          </w:tcPr>
          <w:p>
            <w:pPr>
              <w:spacing w:after="0"/>
              <w:rPr>
                <w:sz w:val="1"/>
                <w:szCs w:val="1"/>
                <w:color w:val="auto"/>
              </w:rPr>
            </w:pPr>
          </w:p>
        </w:tc>
      </w:tr>
      <w:tr>
        <w:trPr>
          <w:trHeight w:val="70"/>
        </w:trPr>
        <w:tc>
          <w:tcPr>
            <w:tcW w:w="1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1"/>
                <w:szCs w:val="11"/>
                <w:b w:val="1"/>
                <w:bCs w:val="1"/>
                <w:color w:val="auto"/>
              </w:rPr>
              <w:t>membership</w:t>
            </w:r>
          </w:p>
        </w:tc>
        <w:tc>
          <w:tcPr>
            <w:tcW w:w="120" w:type="dxa"/>
            <w:vAlign w:val="bottom"/>
          </w:tcPr>
          <w:p>
            <w:pPr>
              <w:spacing w:after="0"/>
              <w:rPr>
                <w:sz w:val="6"/>
                <w:szCs w:val="6"/>
                <w:color w:val="auto"/>
              </w:rPr>
            </w:pPr>
          </w:p>
        </w:tc>
        <w:tc>
          <w:tcPr>
            <w:tcW w:w="42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3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Medicaid contract that is currently under protest.</w:t>
            </w:r>
          </w:p>
        </w:tc>
        <w:tc>
          <w:tcPr>
            <w:tcW w:w="0" w:type="dxa"/>
            <w:vAlign w:val="bottom"/>
          </w:tcPr>
          <w:p>
            <w:pPr>
              <w:spacing w:after="0"/>
              <w:rPr>
                <w:sz w:val="1"/>
                <w:szCs w:val="1"/>
                <w:color w:val="auto"/>
              </w:rPr>
            </w:pPr>
          </w:p>
        </w:tc>
      </w:tr>
      <w:tr>
        <w:trPr>
          <w:trHeight w:val="56"/>
        </w:trPr>
        <w:tc>
          <w:tcPr>
            <w:tcW w:w="1860" w:type="dxa"/>
            <w:vAlign w:val="bottom"/>
            <w:tcBorders>
              <w:left w:val="single" w:sz="8" w:color="auto"/>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240" w:type="dxa"/>
            <w:vAlign w:val="bottom"/>
            <w:gridSpan w:val="2"/>
            <w:vMerge w:val="restart"/>
          </w:tcPr>
          <w:p>
            <w:pPr>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Medicare stand-alone PDP:</w:t>
            </w:r>
            <w:r>
              <w:rPr>
                <w:rFonts w:ascii="Arial" w:cs="Arial" w:eastAsia="Arial" w:hAnsi="Arial"/>
                <w:sz w:val="11"/>
                <w:szCs w:val="11"/>
                <w:color w:val="auto"/>
              </w:rPr>
              <w:t xml:space="preserve"> Down ~550,000 (was Down ~600,000)</w:t>
            </w:r>
          </w:p>
        </w:tc>
        <w:tc>
          <w:tcPr>
            <w:tcW w:w="1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3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1"/>
                <w:szCs w:val="11"/>
                <w:b w:val="1"/>
                <w:bCs w:val="1"/>
                <w:color w:val="auto"/>
              </w:rPr>
              <w:t>from prior</w:t>
            </w:r>
          </w:p>
        </w:tc>
        <w:tc>
          <w:tcPr>
            <w:tcW w:w="120" w:type="dxa"/>
            <w:vAlign w:val="bottom"/>
          </w:tcPr>
          <w:p>
            <w:pPr>
              <w:spacing w:after="0"/>
              <w:rPr>
                <w:sz w:val="10"/>
                <w:szCs w:val="10"/>
                <w:color w:val="auto"/>
              </w:rPr>
            </w:pPr>
          </w:p>
        </w:tc>
        <w:tc>
          <w:tcPr>
            <w:tcW w:w="4240" w:type="dxa"/>
            <w:vAlign w:val="bottom"/>
            <w:gridSpan w:val="2"/>
            <w:vMerge w:val="continue"/>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  Group commercial medical membership includes fully-insured and</w:t>
            </w:r>
          </w:p>
        </w:tc>
        <w:tc>
          <w:tcPr>
            <w:tcW w:w="0" w:type="dxa"/>
            <w:vAlign w:val="bottom"/>
          </w:tcPr>
          <w:p>
            <w:pPr>
              <w:spacing w:after="0"/>
              <w:rPr>
                <w:sz w:val="1"/>
                <w:szCs w:val="1"/>
                <w:color w:val="auto"/>
              </w:rPr>
            </w:pPr>
          </w:p>
        </w:tc>
      </w:tr>
      <w:tr>
        <w:trPr>
          <w:trHeight w:val="29"/>
        </w:trPr>
        <w:tc>
          <w:tcPr>
            <w:tcW w:w="1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1"/>
                <w:szCs w:val="11"/>
                <w:b w:val="1"/>
                <w:bCs w:val="1"/>
                <w:color w:val="auto"/>
              </w:rPr>
              <w:t>year end</w:t>
            </w:r>
          </w:p>
        </w:tc>
        <w:tc>
          <w:tcPr>
            <w:tcW w:w="120" w:type="dxa"/>
            <w:vAlign w:val="bottom"/>
            <w:vMerge w:val="restart"/>
          </w:tcPr>
          <w:p>
            <w:pPr>
              <w:spacing w:after="0"/>
              <w:rPr>
                <w:sz w:val="2"/>
                <w:szCs w:val="2"/>
                <w:color w:val="auto"/>
              </w:rPr>
            </w:pPr>
          </w:p>
        </w:tc>
        <w:tc>
          <w:tcPr>
            <w:tcW w:w="4240" w:type="dxa"/>
            <w:vAlign w:val="bottom"/>
            <w:gridSpan w:val="2"/>
            <w:vMerge w:val="restart"/>
          </w:tcPr>
          <w:p>
            <w:pPr>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State-based contracts</w:t>
            </w:r>
            <w:r>
              <w:rPr>
                <w:rFonts w:ascii="Arial" w:cs="Arial" w:eastAsia="Arial" w:hAnsi="Arial"/>
                <w:sz w:val="11"/>
                <w:szCs w:val="11"/>
                <w:b w:val="1"/>
                <w:bCs w:val="1"/>
                <w:i w:val="1"/>
                <w:iCs w:val="1"/>
                <w:color w:val="auto"/>
              </w:rPr>
              <w:t>:</w:t>
            </w:r>
            <w:r>
              <w:rPr>
                <w:rFonts w:ascii="Arial" w:cs="Arial" w:eastAsia="Arial" w:hAnsi="Arial"/>
                <w:sz w:val="11"/>
                <w:szCs w:val="11"/>
                <w:color w:val="auto"/>
              </w:rPr>
              <w:t xml:space="preserve"> Up ~150,000 to 200,000 (no change)</w:t>
            </w:r>
          </w:p>
        </w:tc>
        <w:tc>
          <w:tcPr>
            <w:tcW w:w="17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ASO (self-insured).</w:t>
            </w:r>
          </w:p>
        </w:tc>
        <w:tc>
          <w:tcPr>
            <w:tcW w:w="0" w:type="dxa"/>
            <w:vAlign w:val="bottom"/>
          </w:tcPr>
          <w:p>
            <w:pPr>
              <w:spacing w:after="0"/>
              <w:rPr>
                <w:sz w:val="1"/>
                <w:szCs w:val="1"/>
                <w:color w:val="auto"/>
              </w:rPr>
            </w:pPr>
          </w:p>
        </w:tc>
      </w:tr>
      <w:tr>
        <w:trPr>
          <w:trHeight w:val="93"/>
        </w:trPr>
        <w:tc>
          <w:tcPr>
            <w:tcW w:w="1860" w:type="dxa"/>
            <w:vAlign w:val="bottom"/>
            <w:tcBorders>
              <w:left w:val="single" w:sz="8" w:color="auto"/>
              <w:righ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424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860" w:type="dxa"/>
            <w:vAlign w:val="bottom"/>
            <w:tcBorders>
              <w:left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40" w:type="dxa"/>
            <w:vAlign w:val="bottom"/>
            <w:gridSpan w:val="2"/>
            <w:vMerge w:val="continue"/>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34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gridSpan w:val="2"/>
          </w:tcPr>
          <w:p>
            <w:pPr>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Group commercial medical:</w:t>
            </w:r>
            <w:r>
              <w:rPr>
                <w:rFonts w:ascii="Arial" w:cs="Arial" w:eastAsia="Arial" w:hAnsi="Arial"/>
                <w:sz w:val="11"/>
                <w:szCs w:val="11"/>
                <w:color w:val="auto"/>
              </w:rPr>
              <w:t xml:space="preserve"> Down ~80,000 to 100,000 (no change)</w:t>
            </w: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Benefit ratios</w:t>
            </w:r>
          </w:p>
        </w:tc>
        <w:tc>
          <w:tcPr>
            <w:tcW w:w="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  Ratio calculation: benefits expense as a percent of premium</w:t>
            </w:r>
          </w:p>
        </w:tc>
        <w:tc>
          <w:tcPr>
            <w:tcW w:w="0" w:type="dxa"/>
            <w:vAlign w:val="bottom"/>
          </w:tcPr>
          <w:p>
            <w:pPr>
              <w:spacing w:after="0"/>
              <w:rPr>
                <w:sz w:val="1"/>
                <w:szCs w:val="1"/>
                <w:color w:val="auto"/>
              </w:rPr>
            </w:pPr>
          </w:p>
        </w:tc>
      </w:tr>
      <w:tr>
        <w:trPr>
          <w:trHeight w:val="35"/>
        </w:trPr>
        <w:tc>
          <w:tcPr>
            <w:tcW w:w="1860" w:type="dxa"/>
            <w:vAlign w:val="bottom"/>
            <w:tcBorders>
              <w:left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vMerge w:val="restart"/>
          </w:tcPr>
          <w:p>
            <w:pPr>
              <w:spacing w:after="0"/>
              <w:rPr>
                <w:sz w:val="3"/>
                <w:szCs w:val="3"/>
                <w:color w:val="auto"/>
              </w:rPr>
            </w:pPr>
          </w:p>
        </w:tc>
        <w:tc>
          <w:tcPr>
            <w:tcW w:w="3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revenues.</w:t>
            </w: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28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i w:val="1"/>
                <w:iCs w:val="1"/>
                <w:color w:val="auto"/>
              </w:rPr>
              <w:t>Retail segment</w:t>
            </w:r>
          </w:p>
        </w:tc>
        <w:tc>
          <w:tcPr>
            <w:tcW w:w="1380" w:type="dxa"/>
            <w:vAlign w:val="bottom"/>
          </w:tcPr>
          <w:p>
            <w:pPr>
              <w:spacing w:after="0"/>
              <w:rPr>
                <w:sz w:val="6"/>
                <w:szCs w:val="6"/>
                <w:color w:val="auto"/>
              </w:rPr>
            </w:pPr>
          </w:p>
        </w:tc>
        <w:tc>
          <w:tcPr>
            <w:tcW w:w="174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1"/>
                <w:szCs w:val="11"/>
                <w:color w:val="auto"/>
              </w:rPr>
              <w:t>85.5% to 86.5%</w:t>
            </w:r>
          </w:p>
        </w:tc>
        <w:tc>
          <w:tcPr>
            <w:tcW w:w="100" w:type="dxa"/>
            <w:vAlign w:val="bottom"/>
            <w:tcBorders>
              <w:right w:val="single" w:sz="8" w:color="auto"/>
            </w:tcBorders>
            <w:vMerge w:val="continue"/>
          </w:tcPr>
          <w:p>
            <w:pPr>
              <w:spacing w:after="0"/>
              <w:rPr>
                <w:sz w:val="6"/>
                <w:szCs w:val="6"/>
                <w:color w:val="auto"/>
              </w:rPr>
            </w:pPr>
          </w:p>
        </w:tc>
        <w:tc>
          <w:tcPr>
            <w:tcW w:w="34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860" w:type="dxa"/>
            <w:vAlign w:val="bottom"/>
            <w:tcBorders>
              <w:left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1380" w:type="dxa"/>
            <w:vAlign w:val="bottom"/>
          </w:tcPr>
          <w:p>
            <w:pPr>
              <w:spacing w:after="0"/>
              <w:rPr>
                <w:sz w:val="5"/>
                <w:szCs w:val="5"/>
                <w:color w:val="auto"/>
              </w:rPr>
            </w:pPr>
          </w:p>
        </w:tc>
        <w:tc>
          <w:tcPr>
            <w:tcW w:w="1740" w:type="dxa"/>
            <w:vAlign w:val="bottom"/>
            <w:tcBorders>
              <w:right w:val="single" w:sz="8" w:color="auto"/>
            </w:tcBorders>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8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Group and Specialty segment</w:t>
            </w:r>
          </w:p>
        </w:tc>
        <w:tc>
          <w:tcPr>
            <w:tcW w:w="138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84.0% to 84.5%</w:t>
            </w:r>
          </w:p>
        </w:tc>
        <w:tc>
          <w:tcPr>
            <w:tcW w:w="10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tcPr>
          <w:p>
            <w:pPr>
              <w:ind w:left="20"/>
              <w:spacing w:after="0" w:line="123" w:lineRule="exact"/>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operating cost</w:t>
            </w:r>
          </w:p>
        </w:tc>
        <w:tc>
          <w:tcPr>
            <w:tcW w:w="120" w:type="dxa"/>
            <w:vAlign w:val="bottom"/>
          </w:tcPr>
          <w:p>
            <w:pPr>
              <w:spacing w:after="0"/>
              <w:rPr>
                <w:sz w:val="10"/>
                <w:szCs w:val="10"/>
                <w:color w:val="auto"/>
              </w:rPr>
            </w:pPr>
          </w:p>
        </w:tc>
        <w:tc>
          <w:tcPr>
            <w:tcW w:w="4240" w:type="dxa"/>
            <w:vAlign w:val="bottom"/>
            <w:gridSpan w:val="2"/>
          </w:tcPr>
          <w:p>
            <w:pPr>
              <w:spacing w:after="0"/>
              <w:rPr>
                <w:sz w:val="20"/>
                <w:szCs w:val="20"/>
                <w:color w:val="auto"/>
              </w:rPr>
            </w:pPr>
            <w:r>
              <w:rPr>
                <w:rFonts w:ascii="Arial" w:cs="Arial" w:eastAsia="Arial" w:hAnsi="Arial"/>
                <w:sz w:val="11"/>
                <w:szCs w:val="11"/>
                <w:color w:val="auto"/>
              </w:rPr>
              <w:t>11.55% to 12.35%</w:t>
            </w: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  Ratio calculation: operating costs excluding depreciation and</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ratio</w:t>
            </w:r>
          </w:p>
        </w:tc>
        <w:tc>
          <w:tcPr>
            <w:tcW w:w="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w w:val="98"/>
              </w:rPr>
              <w:t>amortization as a percent of revenues excluding investment income.</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80"/>
          </w:cols>
          <w:pgMar w:left="220" w:top="507" w:right="19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167"/>
        </w:trPr>
        <w:tc>
          <w:tcPr>
            <w:tcW w:w="1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In accordance</w:t>
            </w:r>
          </w:p>
        </w:tc>
        <w:tc>
          <w:tcPr>
            <w:tcW w:w="12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477915"/>
              </w:rPr>
              <w:t>Humana Inc.</w:t>
            </w:r>
          </w:p>
        </w:tc>
        <w:tc>
          <w:tcPr>
            <w:tcW w:w="1720" w:type="dxa"/>
            <w:vAlign w:val="bottom"/>
            <w:tcBorders>
              <w:top w:val="single" w:sz="8" w:color="auto"/>
            </w:tcBorders>
          </w:tcPr>
          <w:p>
            <w:pPr>
              <w:spacing w:after="0"/>
              <w:rPr>
                <w:sz w:val="14"/>
                <w:szCs w:val="14"/>
                <w:color w:val="auto"/>
              </w:rPr>
            </w:pPr>
          </w:p>
        </w:tc>
        <w:tc>
          <w:tcPr>
            <w:tcW w:w="120" w:type="dxa"/>
            <w:vAlign w:val="bottom"/>
            <w:tcBorders>
              <w:top w:val="single" w:sz="8" w:color="auto"/>
              <w:right w:val="single" w:sz="8" w:color="auto"/>
            </w:tcBorders>
          </w:tcPr>
          <w:p>
            <w:pPr>
              <w:spacing w:after="0"/>
              <w:rPr>
                <w:sz w:val="14"/>
                <w:szCs w:val="14"/>
                <w:color w:val="auto"/>
              </w:rPr>
            </w:pPr>
          </w:p>
        </w:tc>
        <w:tc>
          <w:tcPr>
            <w:tcW w:w="344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4"/>
                <w:szCs w:val="14"/>
                <w:b w:val="1"/>
                <w:bCs w:val="1"/>
                <w:color w:val="477915"/>
              </w:rPr>
              <w:t>Comments</w:t>
            </w: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with GAAP</w:t>
            </w: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477915"/>
              </w:rPr>
              <w:t>Full-Year 2020 Projections</w:t>
            </w:r>
          </w:p>
        </w:tc>
        <w:tc>
          <w:tcPr>
            <w:tcW w:w="1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w w:val="99"/>
              </w:rPr>
              <w:t>unless</w:t>
            </w: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477915"/>
              </w:rPr>
              <w:t>As of February 5, 2020</w:t>
            </w:r>
          </w:p>
        </w:tc>
        <w:tc>
          <w:tcPr>
            <w:tcW w:w="1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otherwise</w:t>
            </w: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noted</w:t>
            </w: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Segment results</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  No material impact to segment earnings anticipated from non-</w:t>
            </w:r>
          </w:p>
        </w:tc>
        <w:tc>
          <w:tcPr>
            <w:tcW w:w="0" w:type="dxa"/>
            <w:vAlign w:val="bottom"/>
          </w:tcPr>
          <w:p>
            <w:pPr>
              <w:spacing w:after="0"/>
              <w:rPr>
                <w:sz w:val="1"/>
                <w:szCs w:val="1"/>
                <w:color w:val="auto"/>
              </w:rPr>
            </w:pPr>
          </w:p>
        </w:tc>
      </w:tr>
      <w:tr>
        <w:trPr>
          <w:trHeight w:val="35"/>
        </w:trPr>
        <w:tc>
          <w:tcPr>
            <w:tcW w:w="1860" w:type="dxa"/>
            <w:vAlign w:val="bottom"/>
            <w:tcBorders>
              <w:left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vMerge w:val="restart"/>
          </w:tcPr>
          <w:p>
            <w:pPr>
              <w:spacing w:after="0"/>
              <w:rPr>
                <w:sz w:val="3"/>
                <w:szCs w:val="3"/>
                <w:color w:val="auto"/>
              </w:rPr>
            </w:pPr>
          </w:p>
        </w:tc>
        <w:tc>
          <w:tcPr>
            <w:tcW w:w="3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GAAP adjustments.</w:t>
            </w: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2040" w:type="dxa"/>
            <w:vAlign w:val="bottom"/>
            <w:vMerge w:val="restart"/>
          </w:tcPr>
          <w:p>
            <w:pPr>
              <w:spacing w:after="0"/>
              <w:rPr>
                <w:sz w:val="20"/>
                <w:szCs w:val="20"/>
                <w:color w:val="auto"/>
              </w:rPr>
            </w:pPr>
            <w:r>
              <w:rPr>
                <w:rFonts w:ascii="Arial" w:cs="Arial" w:eastAsia="Arial" w:hAnsi="Arial"/>
                <w:sz w:val="11"/>
                <w:szCs w:val="11"/>
                <w:b w:val="1"/>
                <w:bCs w:val="1"/>
                <w:color w:val="auto"/>
              </w:rPr>
              <w:t>Retail segment earnings</w:t>
            </w:r>
          </w:p>
        </w:tc>
        <w:tc>
          <w:tcPr>
            <w:tcW w:w="84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17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1"/>
                <w:szCs w:val="11"/>
                <w:color w:val="auto"/>
                <w:w w:val="97"/>
              </w:rPr>
              <w:t>$2.30 billion to $2.50 billion</w:t>
            </w:r>
          </w:p>
        </w:tc>
        <w:tc>
          <w:tcPr>
            <w:tcW w:w="120" w:type="dxa"/>
            <w:vAlign w:val="bottom"/>
            <w:tcBorders>
              <w:right w:val="single" w:sz="8" w:color="auto"/>
            </w:tcBorders>
            <w:vMerge w:val="continue"/>
          </w:tcPr>
          <w:p>
            <w:pPr>
              <w:spacing w:after="0"/>
              <w:rPr>
                <w:sz w:val="6"/>
                <w:szCs w:val="6"/>
                <w:color w:val="auto"/>
              </w:rPr>
            </w:pPr>
          </w:p>
        </w:tc>
        <w:tc>
          <w:tcPr>
            <w:tcW w:w="34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860" w:type="dxa"/>
            <w:vAlign w:val="bottom"/>
            <w:tcBorders>
              <w:left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40" w:type="dxa"/>
            <w:vAlign w:val="bottom"/>
            <w:vMerge w:val="continue"/>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360" w:type="dxa"/>
            <w:vAlign w:val="bottom"/>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8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40" w:type="dxa"/>
            <w:vAlign w:val="bottom"/>
          </w:tcPr>
          <w:p>
            <w:pPr>
              <w:spacing w:after="0"/>
              <w:rPr>
                <w:sz w:val="20"/>
                <w:szCs w:val="20"/>
                <w:color w:val="auto"/>
              </w:rPr>
            </w:pPr>
            <w:r>
              <w:rPr>
                <w:rFonts w:ascii="Arial" w:cs="Arial" w:eastAsia="Arial" w:hAnsi="Arial"/>
                <w:sz w:val="11"/>
                <w:szCs w:val="11"/>
                <w:b w:val="1"/>
                <w:bCs w:val="1"/>
                <w:color w:val="auto"/>
                <w:w w:val="98"/>
              </w:rPr>
              <w:t>Group and Specialty segment earnings</w:t>
            </w:r>
          </w:p>
        </w:tc>
        <w:tc>
          <w:tcPr>
            <w:tcW w:w="840" w:type="dxa"/>
            <w:vAlign w:val="bottom"/>
            <w:tcBorders>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Borders>
              <w:right w:val="single" w:sz="8" w:color="auto"/>
            </w:tcBorders>
          </w:tcPr>
          <w:p>
            <w:pPr>
              <w:ind w:left="380"/>
              <w:spacing w:after="0"/>
              <w:rPr>
                <w:sz w:val="20"/>
                <w:szCs w:val="20"/>
                <w:color w:val="auto"/>
              </w:rPr>
            </w:pPr>
            <w:r>
              <w:rPr>
                <w:rFonts w:ascii="Arial" w:cs="Arial" w:eastAsia="Arial" w:hAnsi="Arial"/>
                <w:sz w:val="11"/>
                <w:szCs w:val="11"/>
                <w:color w:val="auto"/>
                <w:w w:val="97"/>
              </w:rPr>
              <w:t>$100 million to $150 million</w:t>
            </w:r>
          </w:p>
        </w:tc>
        <w:tc>
          <w:tcPr>
            <w:tcW w:w="12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40" w:type="dxa"/>
            <w:vAlign w:val="bottom"/>
          </w:tcPr>
          <w:p>
            <w:pPr>
              <w:spacing w:after="0"/>
              <w:rPr>
                <w:sz w:val="20"/>
                <w:szCs w:val="20"/>
                <w:color w:val="auto"/>
              </w:rPr>
            </w:pPr>
            <w:r>
              <w:rPr>
                <w:rFonts w:ascii="Arial" w:cs="Arial" w:eastAsia="Arial" w:hAnsi="Arial"/>
                <w:sz w:val="11"/>
                <w:szCs w:val="11"/>
                <w:b w:val="1"/>
                <w:bCs w:val="1"/>
                <w:color w:val="auto"/>
              </w:rPr>
              <w:t>Healthcare Services Adjusted EBITDA</w:t>
            </w:r>
          </w:p>
        </w:tc>
        <w:tc>
          <w:tcPr>
            <w:tcW w:w="840" w:type="dxa"/>
            <w:vAlign w:val="bottom"/>
            <w:tcBorders>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Borders>
              <w:right w:val="single" w:sz="8" w:color="auto"/>
            </w:tcBorders>
          </w:tcPr>
          <w:p>
            <w:pPr>
              <w:ind w:left="380"/>
              <w:spacing w:after="0"/>
              <w:rPr>
                <w:sz w:val="20"/>
                <w:szCs w:val="20"/>
                <w:color w:val="auto"/>
              </w:rPr>
            </w:pPr>
            <w:r>
              <w:rPr>
                <w:rFonts w:ascii="Arial" w:cs="Arial" w:eastAsia="Arial" w:hAnsi="Arial"/>
                <w:sz w:val="11"/>
                <w:szCs w:val="11"/>
                <w:color w:val="auto"/>
                <w:w w:val="97"/>
              </w:rPr>
              <w:t>$1.21 billion to $1.26 billion</w:t>
            </w:r>
          </w:p>
        </w:tc>
        <w:tc>
          <w:tcPr>
            <w:tcW w:w="12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Effective tax rate</w:t>
            </w:r>
          </w:p>
        </w:tc>
        <w:tc>
          <w:tcPr>
            <w:tcW w:w="120" w:type="dxa"/>
            <w:vAlign w:val="bottom"/>
          </w:tcPr>
          <w:p>
            <w:pPr>
              <w:spacing w:after="0"/>
              <w:rPr>
                <w:sz w:val="12"/>
                <w:szCs w:val="12"/>
                <w:color w:val="auto"/>
              </w:rPr>
            </w:pPr>
          </w:p>
        </w:tc>
        <w:tc>
          <w:tcPr>
            <w:tcW w:w="2040" w:type="dxa"/>
            <w:vAlign w:val="bottom"/>
            <w:vMerge w:val="restart"/>
          </w:tcPr>
          <w:p>
            <w:pPr>
              <w:spacing w:after="0"/>
              <w:rPr>
                <w:sz w:val="20"/>
                <w:szCs w:val="20"/>
                <w:color w:val="auto"/>
              </w:rPr>
            </w:pPr>
            <w:r>
              <w:rPr>
                <w:rFonts w:ascii="Arial" w:cs="Arial" w:eastAsia="Arial" w:hAnsi="Arial"/>
                <w:sz w:val="11"/>
                <w:szCs w:val="11"/>
                <w:color w:val="auto"/>
              </w:rPr>
              <w:t>GAAP: 30.8% to 31.3%</w:t>
            </w: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spacing w:after="0"/>
              <w:rPr>
                <w:sz w:val="20"/>
                <w:szCs w:val="20"/>
                <w:color w:val="auto"/>
              </w:rPr>
            </w:pPr>
            <w:r>
              <w:rPr>
                <w:rFonts w:ascii="Arial" w:cs="Arial" w:eastAsia="Arial" w:hAnsi="Arial"/>
                <w:sz w:val="11"/>
                <w:szCs w:val="11"/>
                <w:color w:val="auto"/>
              </w:rPr>
              <w:t>Adjustment: ~0.2%</w:t>
            </w:r>
          </w:p>
        </w:tc>
        <w:tc>
          <w:tcPr>
            <w:tcW w:w="8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Non-GAAP: 30.6% to 31.1%</w:t>
            </w:r>
          </w:p>
        </w:tc>
        <w:tc>
          <w:tcPr>
            <w:tcW w:w="8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3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Weighted average share count for</w:t>
            </w:r>
          </w:p>
        </w:tc>
        <w:tc>
          <w:tcPr>
            <w:tcW w:w="1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Arial" w:cs="Arial" w:eastAsia="Arial" w:hAnsi="Arial"/>
                <w:sz w:val="11"/>
                <w:szCs w:val="11"/>
                <w:color w:val="auto"/>
              </w:rPr>
              <w:t>132.2 million to 133.2 million</w:t>
            </w: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  FY 2020 guidance reflects incremental share repurchase.</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diluted EPS</w:t>
            </w:r>
          </w:p>
        </w:tc>
        <w:tc>
          <w:tcPr>
            <w:tcW w:w="1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4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Cash flows from operations</w:t>
            </w:r>
          </w:p>
        </w:tc>
        <w:tc>
          <w:tcPr>
            <w:tcW w:w="120" w:type="dxa"/>
            <w:vAlign w:val="bottom"/>
          </w:tcPr>
          <w:p>
            <w:pPr>
              <w:spacing w:after="0"/>
              <w:rPr>
                <w:sz w:val="12"/>
                <w:szCs w:val="12"/>
                <w:color w:val="auto"/>
              </w:rPr>
            </w:pPr>
          </w:p>
        </w:tc>
        <w:tc>
          <w:tcPr>
            <w:tcW w:w="2040" w:type="dxa"/>
            <w:vAlign w:val="bottom"/>
          </w:tcPr>
          <w:p>
            <w:pPr>
              <w:spacing w:after="0"/>
              <w:rPr>
                <w:sz w:val="20"/>
                <w:szCs w:val="20"/>
                <w:color w:val="auto"/>
              </w:rPr>
            </w:pPr>
            <w:r>
              <w:rPr>
                <w:rFonts w:ascii="Arial" w:cs="Arial" w:eastAsia="Arial" w:hAnsi="Arial"/>
                <w:sz w:val="11"/>
                <w:szCs w:val="11"/>
                <w:color w:val="auto"/>
              </w:rPr>
              <w:t>$3.2 billion to $3.6 billion</w:t>
            </w: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tcPr>
          <w:p>
            <w:pPr>
              <w:ind w:left="20"/>
              <w:spacing w:after="0" w:line="123" w:lineRule="exact"/>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0"/>
                <w:szCs w:val="10"/>
                <w:color w:val="auto"/>
              </w:rPr>
            </w:pPr>
          </w:p>
        </w:tc>
        <w:tc>
          <w:tcPr>
            <w:tcW w:w="2040" w:type="dxa"/>
            <w:vAlign w:val="bottom"/>
          </w:tcPr>
          <w:p>
            <w:pPr>
              <w:spacing w:after="0" w:line="123" w:lineRule="exact"/>
              <w:rPr>
                <w:sz w:val="20"/>
                <w:szCs w:val="20"/>
                <w:color w:val="auto"/>
              </w:rPr>
            </w:pPr>
            <w:r>
              <w:rPr>
                <w:rFonts w:ascii="Arial" w:cs="Arial" w:eastAsia="Arial" w:hAnsi="Arial"/>
                <w:sz w:val="11"/>
                <w:szCs w:val="11"/>
                <w:color w:val="auto"/>
              </w:rPr>
              <w:t>$850 million to $900 million</w:t>
            </w:r>
          </w:p>
        </w:tc>
        <w:tc>
          <w:tcPr>
            <w:tcW w:w="8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b w:val="1"/>
                <w:bCs w:val="1"/>
                <w:color w:val="auto"/>
              </w:rPr>
              <w:t>expenditures</w:t>
            </w:r>
          </w:p>
        </w:tc>
        <w:tc>
          <w:tcPr>
            <w:tcW w:w="1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4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80"/>
          </w:cols>
          <w:pgMar w:left="220" w:top="507" w:right="199" w:bottom="1440" w:gutter="0" w:footer="0" w:header="0"/>
        </w:sectPr>
      </w:pPr>
    </w:p>
    <w:bookmarkStart w:id="32" w:name="page33"/>
    <w:bookmarkEnd w:id="32"/>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48"/>
          <w:szCs w:val="48"/>
          <w:color w:val="auto"/>
        </w:rPr>
        <w:t>Humana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48"/>
          <w:szCs w:val="48"/>
          <w:color w:val="auto"/>
        </w:rPr>
        <w:t>Statistical Schedules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48"/>
          <w:szCs w:val="48"/>
          <w:color w:val="auto"/>
        </w:rPr>
        <w:t>And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47"/>
          <w:szCs w:val="47"/>
          <w:color w:val="auto"/>
        </w:rPr>
        <w:t>Supplementary Information</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48"/>
          <w:szCs w:val="48"/>
          <w:color w:val="auto"/>
        </w:rPr>
        <w:t>4Q19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S-1</w:t>
      </w:r>
    </w:p>
    <w:p>
      <w:pPr>
        <w:sectPr>
          <w:pgSz w:w="11900" w:h="16838" w:orient="portrait"/>
          <w:cols w:equalWidth="0" w:num="1">
            <w:col w:w="9019"/>
          </w:cols>
          <w:pgMar w:left="1440" w:top="1440" w:right="1440" w:bottom="1440" w:gutter="0" w:footer="0" w:header="0"/>
        </w:sectPr>
      </w:pPr>
    </w:p>
    <w:bookmarkStart w:id="33" w:name="page34"/>
    <w:bookmarkEnd w:id="33"/>
    <w:p>
      <w:pPr>
        <w:ind w:left="2000"/>
        <w:spacing w:after="0"/>
        <w:rPr>
          <w:sz w:val="20"/>
          <w:szCs w:val="20"/>
          <w:color w:val="auto"/>
        </w:rPr>
      </w:pPr>
      <w:r>
        <w:rPr>
          <w:rFonts w:ascii="Arial" w:cs="Arial" w:eastAsia="Arial" w:hAnsi="Arial"/>
          <w:sz w:val="18"/>
          <w:szCs w:val="18"/>
          <w:color w:val="auto"/>
        </w:rPr>
        <w:t>Humana Inc.</w:t>
      </w:r>
    </w:p>
    <w:p>
      <w:pPr>
        <w:ind w:left="2000"/>
        <w:spacing w:after="0"/>
        <w:rPr>
          <w:sz w:val="20"/>
          <w:szCs w:val="20"/>
          <w:color w:val="auto"/>
        </w:rPr>
      </w:pPr>
      <w:r>
        <w:rPr>
          <w:rFonts w:ascii="Arial" w:cs="Arial" w:eastAsia="Arial" w:hAnsi="Arial"/>
          <w:sz w:val="18"/>
          <w:szCs w:val="18"/>
          <w:color w:val="auto"/>
        </w:rPr>
        <w:t>Statistical Schedules and Supplementary Information 4Q19</w:t>
      </w:r>
    </w:p>
    <w:p>
      <w:pPr>
        <w:ind w:left="2000"/>
        <w:spacing w:after="0"/>
        <w:rPr>
          <w:sz w:val="20"/>
          <w:szCs w:val="20"/>
          <w:color w:val="auto"/>
        </w:rPr>
      </w:pPr>
      <w:r>
        <w:rPr>
          <w:rFonts w:ascii="Arial" w:cs="Arial" w:eastAsia="Arial" w:hAnsi="Arial"/>
          <w:sz w:val="18"/>
          <w:szCs w:val="18"/>
          <w:color w:val="auto"/>
        </w:rPr>
        <w:t>Earnings Release</w:t>
      </w:r>
    </w:p>
    <w:p>
      <w:pPr>
        <w:spacing w:after="0" w:line="3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Contents</w:t>
      </w:r>
    </w:p>
    <w:p>
      <w:pPr>
        <w:spacing w:after="0" w:line="249"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Consolidated Financial Statements</w:t>
      </w:r>
    </w:p>
    <w:p>
      <w:pPr>
        <w:spacing w:after="0" w:line="37" w:lineRule="exact"/>
        <w:rPr>
          <w:sz w:val="20"/>
          <w:szCs w:val="20"/>
          <w:color w:val="auto"/>
        </w:rPr>
      </w:pPr>
    </w:p>
    <w:p>
      <w:pPr>
        <w:ind w:left="2780" w:hanging="165"/>
        <w:spacing w:after="0"/>
        <w:tabs>
          <w:tab w:leader="none" w:pos="2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Consolidated Statements of Income (S-3 - S-4)</w:t>
      </w:r>
    </w:p>
    <w:p>
      <w:pPr>
        <w:spacing w:after="0" w:line="37" w:lineRule="exact"/>
        <w:rPr>
          <w:rFonts w:ascii="Arial" w:cs="Arial" w:eastAsia="Arial" w:hAnsi="Arial"/>
          <w:sz w:val="14"/>
          <w:szCs w:val="14"/>
          <w:color w:val="auto"/>
        </w:rPr>
      </w:pPr>
    </w:p>
    <w:p>
      <w:pPr>
        <w:ind w:left="2780" w:hanging="165"/>
        <w:spacing w:after="0"/>
        <w:tabs>
          <w:tab w:leader="none" w:pos="2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Consolidated Balance Sheets (S-5)</w:t>
      </w:r>
    </w:p>
    <w:p>
      <w:pPr>
        <w:spacing w:after="0" w:line="37" w:lineRule="exact"/>
        <w:rPr>
          <w:rFonts w:ascii="Arial" w:cs="Arial" w:eastAsia="Arial" w:hAnsi="Arial"/>
          <w:sz w:val="14"/>
          <w:szCs w:val="14"/>
          <w:color w:val="auto"/>
        </w:rPr>
      </w:pPr>
    </w:p>
    <w:p>
      <w:pPr>
        <w:ind w:left="2000" w:right="2979" w:firstLine="615"/>
        <w:spacing w:after="0" w:line="295" w:lineRule="auto"/>
        <w:tabs>
          <w:tab w:leader="none" w:pos="2775"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Consolidated Statements of Cash Flows (S-6 - S-7) Operating Results Detail</w:t>
      </w:r>
    </w:p>
    <w:p>
      <w:pPr>
        <w:ind w:left="2780" w:hanging="165"/>
        <w:spacing w:after="0"/>
        <w:tabs>
          <w:tab w:leader="none" w:pos="2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Consolidating Statements of Income - Quarter (S-8 - S-9)</w:t>
      </w:r>
    </w:p>
    <w:p>
      <w:pPr>
        <w:spacing w:after="0" w:line="37" w:lineRule="exact"/>
        <w:rPr>
          <w:rFonts w:ascii="Arial" w:cs="Arial" w:eastAsia="Arial" w:hAnsi="Arial"/>
          <w:sz w:val="14"/>
          <w:szCs w:val="14"/>
          <w:color w:val="auto"/>
        </w:rPr>
      </w:pPr>
    </w:p>
    <w:p>
      <w:pPr>
        <w:ind w:left="2780" w:hanging="165"/>
        <w:spacing w:after="0"/>
        <w:tabs>
          <w:tab w:leader="none" w:pos="2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Consolidating Statements of Income - FY (S-10 - S-11)</w:t>
      </w:r>
    </w:p>
    <w:p>
      <w:pPr>
        <w:spacing w:after="0" w:line="37" w:lineRule="exact"/>
        <w:rPr>
          <w:rFonts w:ascii="Arial" w:cs="Arial" w:eastAsia="Arial" w:hAnsi="Arial"/>
          <w:sz w:val="14"/>
          <w:szCs w:val="14"/>
          <w:color w:val="auto"/>
        </w:rPr>
      </w:pPr>
    </w:p>
    <w:p>
      <w:pPr>
        <w:ind w:left="2780" w:hanging="165"/>
        <w:spacing w:after="0"/>
        <w:tabs>
          <w:tab w:leader="none" w:pos="2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Ending Membership Detail (S-12)</w:t>
      </w:r>
    </w:p>
    <w:p>
      <w:pPr>
        <w:spacing w:after="0" w:line="37" w:lineRule="exact"/>
        <w:rPr>
          <w:rFonts w:ascii="Arial" w:cs="Arial" w:eastAsia="Arial" w:hAnsi="Arial"/>
          <w:sz w:val="14"/>
          <w:szCs w:val="14"/>
          <w:color w:val="auto"/>
        </w:rPr>
      </w:pPr>
    </w:p>
    <w:p>
      <w:pPr>
        <w:ind w:left="2780" w:hanging="165"/>
        <w:spacing w:after="0"/>
        <w:tabs>
          <w:tab w:leader="none" w:pos="2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Premiums and Services Revenue Detail (S-13 - S-14)</w:t>
      </w:r>
    </w:p>
    <w:p>
      <w:pPr>
        <w:spacing w:after="0" w:line="37" w:lineRule="exact"/>
        <w:rPr>
          <w:rFonts w:ascii="Arial" w:cs="Arial" w:eastAsia="Arial" w:hAnsi="Arial"/>
          <w:sz w:val="14"/>
          <w:szCs w:val="14"/>
          <w:color w:val="auto"/>
        </w:rPr>
      </w:pPr>
    </w:p>
    <w:p>
      <w:pPr>
        <w:ind w:left="2780" w:hanging="165"/>
        <w:spacing w:after="0"/>
        <w:tabs>
          <w:tab w:leader="none" w:pos="2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Healthcare Services Segment Metrics (S-15 - S-17)</w:t>
      </w:r>
    </w:p>
    <w:p>
      <w:pPr>
        <w:spacing w:after="0" w:line="235" w:lineRule="exact"/>
        <w:rPr>
          <w:sz w:val="20"/>
          <w:szCs w:val="20"/>
          <w:color w:val="auto"/>
        </w:rPr>
      </w:pPr>
    </w:p>
    <w:p>
      <w:pPr>
        <w:ind w:left="2000" w:right="2979" w:firstLine="535"/>
        <w:spacing w:after="0" w:line="312" w:lineRule="auto"/>
        <w:tabs>
          <w:tab w:leader="none" w:pos="2775" w:val="left"/>
        </w:tabs>
        <w:numPr>
          <w:ilvl w:val="0"/>
          <w:numId w:val="54"/>
        </w:numPr>
        <w:rPr>
          <w:rFonts w:ascii="Arial" w:cs="Arial" w:eastAsia="Arial" w:hAnsi="Arial"/>
          <w:sz w:val="14"/>
          <w:szCs w:val="14"/>
          <w:color w:val="auto"/>
        </w:rPr>
      </w:pPr>
      <w:r>
        <w:rPr>
          <w:rFonts w:ascii="Arial" w:cs="Arial" w:eastAsia="Arial" w:hAnsi="Arial"/>
          <w:sz w:val="14"/>
          <w:szCs w:val="14"/>
          <w:color w:val="auto"/>
        </w:rPr>
        <w:t>Benefits Payable Detail and Statistics (S-18 - S-19) Footnotes (S-20)</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S-2</w:t>
      </w:r>
    </w:p>
    <w:p>
      <w:pPr>
        <w:sectPr>
          <w:pgSz w:w="11900" w:h="16838" w:orient="portrait"/>
          <w:cols w:equalWidth="0" w:num="1">
            <w:col w:w="9019"/>
          </w:cols>
          <w:pgMar w:left="1440" w:top="544" w:right="1440"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Humana Inc.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Income</w:t>
      </w:r>
    </w:p>
    <w:p>
      <w:pPr>
        <w:spacing w:after="0"/>
        <w:rPr>
          <w:sz w:val="20"/>
          <w:szCs w:val="20"/>
          <w:color w:val="auto"/>
        </w:rPr>
      </w:pPr>
      <w:r>
        <w:rPr>
          <w:rFonts w:ascii="Arial" w:cs="Arial" w:eastAsia="Arial" w:hAnsi="Arial"/>
          <w:sz w:val="13"/>
          <w:szCs w:val="13"/>
          <w:i w:val="1"/>
          <w:iCs w:val="1"/>
          <w:color w:val="auto"/>
        </w:rPr>
        <w:t>Dollars in millions, except per common share results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640" w:type="dxa"/>
            <w:vAlign w:val="bottom"/>
            <w:tcBorders>
              <w:right w:val="single" w:sz="8" w:color="auto"/>
            </w:tcBorders>
          </w:tcPr>
          <w:p>
            <w:pPr>
              <w:spacing w:after="0"/>
              <w:rPr>
                <w:sz w:val="15"/>
                <w:szCs w:val="15"/>
                <w:color w:val="auto"/>
              </w:rPr>
            </w:pPr>
          </w:p>
        </w:tc>
        <w:tc>
          <w:tcPr>
            <w:tcW w:w="3380" w:type="dxa"/>
            <w:vAlign w:val="bottom"/>
            <w:tcBorders>
              <w:top w:val="single" w:sz="8" w:color="auto"/>
              <w:bottom w:val="single" w:sz="8" w:color="auto"/>
              <w:right w:val="single" w:sz="8" w:color="auto"/>
            </w:tcBorders>
            <w:gridSpan w:val="4"/>
          </w:tcPr>
          <w:p>
            <w:pPr>
              <w:jc w:val="right"/>
              <w:ind w:right="314"/>
              <w:spacing w:after="0"/>
              <w:rPr>
                <w:sz w:val="20"/>
                <w:szCs w:val="20"/>
                <w:color w:val="auto"/>
              </w:rPr>
            </w:pPr>
            <w:r>
              <w:rPr>
                <w:rFonts w:ascii="Arial" w:cs="Arial" w:eastAsia="Arial" w:hAnsi="Arial"/>
                <w:sz w:val="13"/>
                <w:szCs w:val="13"/>
                <w:b w:val="1"/>
                <w:bCs w:val="1"/>
                <w:color w:val="auto"/>
              </w:rPr>
              <w:t>For the three months ended December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3"/>
                <w:szCs w:val="13"/>
                <w:color w:val="auto"/>
              </w:rPr>
              <w:t>Dollar</w:t>
            </w:r>
          </w:p>
        </w:tc>
        <w:tc>
          <w:tcPr>
            <w:tcW w:w="1220" w:type="dxa"/>
            <w:vAlign w:val="bottom"/>
          </w:tcPr>
          <w:p>
            <w:pPr>
              <w:jc w:val="right"/>
              <w:ind w:right="194"/>
              <w:spacing w:after="0"/>
              <w:rPr>
                <w:sz w:val="20"/>
                <w:szCs w:val="20"/>
                <w:color w:val="auto"/>
              </w:rPr>
            </w:pPr>
            <w:r>
              <w:rPr>
                <w:rFonts w:ascii="Arial" w:cs="Arial" w:eastAsia="Arial" w:hAnsi="Arial"/>
                <w:sz w:val="13"/>
                <w:szCs w:val="13"/>
                <w:color w:val="auto"/>
              </w:rPr>
              <w:t>Percentage</w:t>
            </w:r>
          </w:p>
        </w:tc>
        <w:tc>
          <w:tcPr>
            <w:tcW w:w="0" w:type="dxa"/>
            <w:vAlign w:val="bottom"/>
          </w:tcPr>
          <w:p>
            <w:pPr>
              <w:spacing w:after="0"/>
              <w:rPr>
                <w:sz w:val="1"/>
                <w:szCs w:val="1"/>
                <w:color w:val="auto"/>
              </w:rPr>
            </w:pPr>
          </w:p>
        </w:tc>
      </w:tr>
      <w:tr>
        <w:trPr>
          <w:trHeight w:val="166"/>
        </w:trPr>
        <w:tc>
          <w:tcPr>
            <w:tcW w:w="5640" w:type="dxa"/>
            <w:vAlign w:val="bottom"/>
            <w:tcBorders>
              <w:right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00497F"/>
              </w:rPr>
              <w:t>2019</w:t>
            </w:r>
          </w:p>
        </w:tc>
        <w:tc>
          <w:tcPr>
            <w:tcW w:w="66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Change</w:t>
            </w: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6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Revenues:</w:t>
            </w:r>
          </w:p>
        </w:tc>
        <w:tc>
          <w:tcPr>
            <w:tcW w:w="102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Premiums</w:t>
            </w:r>
          </w:p>
        </w:tc>
        <w:tc>
          <w:tcPr>
            <w:tcW w:w="1020" w:type="dxa"/>
            <w:vAlign w:val="bottom"/>
          </w:tcPr>
          <w:p>
            <w:pPr>
              <w:spacing w:after="0"/>
              <w:rPr>
                <w:sz w:val="20"/>
                <w:szCs w:val="20"/>
                <w:color w:val="auto"/>
              </w:rPr>
            </w:pPr>
            <w:r>
              <w:rPr>
                <w:rFonts w:ascii="Arial" w:cs="Arial" w:eastAsia="Arial" w:hAnsi="Arial"/>
                <w:sz w:val="13"/>
                <w:szCs w:val="13"/>
                <w:b w:val="1"/>
                <w:bCs w:val="1"/>
                <w:color w:val="00497F"/>
              </w:rPr>
              <w:t>$</w:t>
            </w: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15,809</w:t>
            </w:r>
          </w:p>
        </w:tc>
        <w:tc>
          <w:tcPr>
            <w:tcW w:w="1040" w:type="dxa"/>
            <w:vAlign w:val="bottom"/>
          </w:tcPr>
          <w:p>
            <w:pPr>
              <w:jc w:val="right"/>
              <w:ind w:right="89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13,705</w:t>
            </w:r>
          </w:p>
        </w:tc>
        <w:tc>
          <w:tcPr>
            <w:tcW w:w="100" w:type="dxa"/>
            <w:vAlign w:val="bottom"/>
          </w:tcPr>
          <w:p>
            <w:pPr>
              <w:spacing w:after="0"/>
              <w:rPr>
                <w:sz w:val="16"/>
                <w:szCs w:val="16"/>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2,104</w:t>
            </w:r>
          </w:p>
        </w:tc>
        <w:tc>
          <w:tcPr>
            <w:tcW w:w="1220" w:type="dxa"/>
            <w:vAlign w:val="bottom"/>
          </w:tcPr>
          <w:p>
            <w:pPr>
              <w:jc w:val="right"/>
              <w:spacing w:after="0"/>
              <w:rPr>
                <w:sz w:val="20"/>
                <w:szCs w:val="20"/>
                <w:color w:val="auto"/>
              </w:rPr>
            </w:pPr>
            <w:r>
              <w:rPr>
                <w:rFonts w:ascii="Arial" w:cs="Arial" w:eastAsia="Arial" w:hAnsi="Arial"/>
                <w:sz w:val="13"/>
                <w:szCs w:val="13"/>
                <w:color w:val="auto"/>
              </w:rPr>
              <w:t>15.4 %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Services</w:t>
            </w:r>
          </w:p>
        </w:tc>
        <w:tc>
          <w:tcPr>
            <w:tcW w:w="1020" w:type="dxa"/>
            <w:vAlign w:val="bottom"/>
          </w:tcPr>
          <w:p>
            <w:pPr>
              <w:spacing w:after="0"/>
              <w:rPr>
                <w:sz w:val="15"/>
                <w:szCs w:val="15"/>
                <w:color w:val="auto"/>
              </w:rPr>
            </w:pP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336</w:t>
            </w:r>
          </w:p>
        </w:tc>
        <w:tc>
          <w:tcPr>
            <w:tcW w:w="1040" w:type="dxa"/>
            <w:vAlign w:val="bottom"/>
          </w:tcPr>
          <w:p>
            <w:pPr>
              <w:spacing w:after="0"/>
              <w:rPr>
                <w:sz w:val="15"/>
                <w:szCs w:val="15"/>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w:t>
            </w:r>
          </w:p>
        </w:tc>
        <w:tc>
          <w:tcPr>
            <w:tcW w:w="1220" w:type="dxa"/>
            <w:vAlign w:val="bottom"/>
          </w:tcPr>
          <w:p>
            <w:pPr>
              <w:jc w:val="right"/>
              <w:spacing w:after="0"/>
              <w:rPr>
                <w:sz w:val="20"/>
                <w:szCs w:val="20"/>
                <w:color w:val="auto"/>
              </w:rPr>
            </w:pPr>
            <w:r>
              <w:rPr>
                <w:rFonts w:ascii="Arial" w:cs="Arial" w:eastAsia="Arial" w:hAnsi="Arial"/>
                <w:sz w:val="13"/>
                <w:szCs w:val="13"/>
                <w:color w:val="auto"/>
              </w:rPr>
              <w:t>-8.4 %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Investment income</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150</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w:t>
            </w:r>
          </w:p>
        </w:tc>
        <w:tc>
          <w:tcPr>
            <w:tcW w:w="1220" w:type="dxa"/>
            <w:vAlign w:val="bottom"/>
          </w:tcPr>
          <w:p>
            <w:pPr>
              <w:jc w:val="right"/>
              <w:spacing w:after="0"/>
              <w:rPr>
                <w:sz w:val="20"/>
                <w:szCs w:val="20"/>
                <w:color w:val="auto"/>
              </w:rPr>
            </w:pPr>
            <w:r>
              <w:rPr>
                <w:rFonts w:ascii="Arial" w:cs="Arial" w:eastAsia="Arial" w:hAnsi="Arial"/>
                <w:sz w:val="13"/>
                <w:szCs w:val="13"/>
                <w:color w:val="auto"/>
              </w:rPr>
              <w:t>56.3 %</w:t>
            </w:r>
          </w:p>
        </w:tc>
        <w:tc>
          <w:tcPr>
            <w:tcW w:w="0" w:type="dxa"/>
            <w:vAlign w:val="bottom"/>
          </w:tcPr>
          <w:p>
            <w:pPr>
              <w:spacing w:after="0"/>
              <w:rPr>
                <w:sz w:val="1"/>
                <w:szCs w:val="1"/>
                <w:color w:val="auto"/>
              </w:rPr>
            </w:pPr>
          </w:p>
        </w:tc>
      </w:tr>
      <w:tr>
        <w:trPr>
          <w:trHeight w:val="170"/>
        </w:trPr>
        <w:tc>
          <w:tcPr>
            <w:tcW w:w="5640" w:type="dxa"/>
            <w:vAlign w:val="bottom"/>
            <w:tcBorders>
              <w:right w:val="single" w:sz="8" w:color="auto"/>
            </w:tcBorders>
          </w:tcPr>
          <w:p>
            <w:pPr>
              <w:ind w:left="440"/>
              <w:spacing w:after="0"/>
              <w:rPr>
                <w:sz w:val="20"/>
                <w:szCs w:val="20"/>
                <w:color w:val="auto"/>
              </w:rPr>
            </w:pPr>
            <w:r>
              <w:rPr>
                <w:rFonts w:ascii="Arial" w:cs="Arial" w:eastAsia="Arial" w:hAnsi="Arial"/>
                <w:sz w:val="13"/>
                <w:szCs w:val="13"/>
                <w:b w:val="1"/>
                <w:bCs w:val="1"/>
                <w:color w:val="auto"/>
              </w:rPr>
              <w:t>Total revenues</w:t>
            </w: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16,295</w:t>
            </w: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14,168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2,127</w:t>
            </w:r>
          </w:p>
        </w:tc>
        <w:tc>
          <w:tcPr>
            <w:tcW w:w="1220" w:type="dxa"/>
            <w:vAlign w:val="bottom"/>
          </w:tcPr>
          <w:p>
            <w:pPr>
              <w:jc w:val="right"/>
              <w:spacing w:after="0"/>
              <w:rPr>
                <w:sz w:val="20"/>
                <w:szCs w:val="20"/>
                <w:color w:val="auto"/>
              </w:rPr>
            </w:pPr>
            <w:r>
              <w:rPr>
                <w:rFonts w:ascii="Arial" w:cs="Arial" w:eastAsia="Arial" w:hAnsi="Arial"/>
                <w:sz w:val="13"/>
                <w:szCs w:val="13"/>
                <w:color w:val="auto"/>
              </w:rPr>
              <w:t>15.0 %</w:t>
            </w:r>
          </w:p>
        </w:tc>
        <w:tc>
          <w:tcPr>
            <w:tcW w:w="0" w:type="dxa"/>
            <w:vAlign w:val="bottom"/>
          </w:tcPr>
          <w:p>
            <w:pPr>
              <w:spacing w:after="0"/>
              <w:rPr>
                <w:sz w:val="1"/>
                <w:szCs w:val="1"/>
                <w:color w:val="auto"/>
              </w:rPr>
            </w:pPr>
          </w:p>
        </w:tc>
      </w:tr>
      <w:tr>
        <w:trPr>
          <w:trHeight w:val="16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Operating expenses:</w:t>
            </w:r>
          </w:p>
        </w:tc>
        <w:tc>
          <w:tcPr>
            <w:tcW w:w="102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Benefits</w:t>
            </w:r>
          </w:p>
        </w:tc>
        <w:tc>
          <w:tcPr>
            <w:tcW w:w="1020" w:type="dxa"/>
            <w:vAlign w:val="bottom"/>
          </w:tcPr>
          <w:p>
            <w:pPr>
              <w:spacing w:after="0"/>
              <w:rPr>
                <w:sz w:val="16"/>
                <w:szCs w:val="16"/>
                <w:color w:val="auto"/>
              </w:rPr>
            </w:pP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13,689</w:t>
            </w:r>
          </w:p>
        </w:tc>
        <w:tc>
          <w:tcPr>
            <w:tcW w:w="1040" w:type="dxa"/>
            <w:vAlign w:val="bottom"/>
          </w:tcPr>
          <w:p>
            <w:pPr>
              <w:spacing w:after="0"/>
              <w:rPr>
                <w:sz w:val="16"/>
                <w:szCs w:val="16"/>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11,433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2,256</w:t>
            </w:r>
          </w:p>
        </w:tc>
        <w:tc>
          <w:tcPr>
            <w:tcW w:w="1220" w:type="dxa"/>
            <w:vAlign w:val="bottom"/>
          </w:tcPr>
          <w:p>
            <w:pPr>
              <w:jc w:val="right"/>
              <w:spacing w:after="0"/>
              <w:rPr>
                <w:sz w:val="20"/>
                <w:szCs w:val="20"/>
                <w:color w:val="auto"/>
              </w:rPr>
            </w:pPr>
            <w:r>
              <w:rPr>
                <w:rFonts w:ascii="Arial" w:cs="Arial" w:eastAsia="Arial" w:hAnsi="Arial"/>
                <w:sz w:val="13"/>
                <w:szCs w:val="13"/>
                <w:color w:val="auto"/>
              </w:rPr>
              <w:t>19.7 %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Operating costs</w:t>
            </w:r>
          </w:p>
        </w:tc>
        <w:tc>
          <w:tcPr>
            <w:tcW w:w="1020" w:type="dxa"/>
            <w:vAlign w:val="bottom"/>
          </w:tcPr>
          <w:p>
            <w:pPr>
              <w:spacing w:after="0"/>
              <w:rPr>
                <w:sz w:val="15"/>
                <w:szCs w:val="15"/>
                <w:color w:val="auto"/>
              </w:rPr>
            </w:pP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2,129</w:t>
            </w:r>
          </w:p>
        </w:tc>
        <w:tc>
          <w:tcPr>
            <w:tcW w:w="1040" w:type="dxa"/>
            <w:vAlign w:val="bottom"/>
          </w:tcPr>
          <w:p>
            <w:pPr>
              <w:spacing w:after="0"/>
              <w:rPr>
                <w:sz w:val="15"/>
                <w:szCs w:val="15"/>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2,115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14</w:t>
            </w:r>
          </w:p>
        </w:tc>
        <w:tc>
          <w:tcPr>
            <w:tcW w:w="1220" w:type="dxa"/>
            <w:vAlign w:val="bottom"/>
          </w:tcPr>
          <w:p>
            <w:pPr>
              <w:jc w:val="right"/>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Depreciation and amortization</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115</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w:t>
            </w:r>
          </w:p>
        </w:tc>
        <w:tc>
          <w:tcPr>
            <w:tcW w:w="1220" w:type="dxa"/>
            <w:vAlign w:val="bottom"/>
          </w:tcPr>
          <w:p>
            <w:pPr>
              <w:jc w:val="right"/>
              <w:spacing w:after="0"/>
              <w:rPr>
                <w:sz w:val="20"/>
                <w:szCs w:val="20"/>
                <w:color w:val="auto"/>
              </w:rPr>
            </w:pPr>
            <w:r>
              <w:rPr>
                <w:rFonts w:ascii="Arial" w:cs="Arial" w:eastAsia="Arial" w:hAnsi="Arial"/>
                <w:sz w:val="13"/>
                <w:szCs w:val="13"/>
                <w:color w:val="auto"/>
              </w:rPr>
              <w:t>11.7 %</w:t>
            </w:r>
          </w:p>
        </w:tc>
        <w:tc>
          <w:tcPr>
            <w:tcW w:w="0" w:type="dxa"/>
            <w:vAlign w:val="bottom"/>
          </w:tcPr>
          <w:p>
            <w:pPr>
              <w:spacing w:after="0"/>
              <w:rPr>
                <w:sz w:val="1"/>
                <w:szCs w:val="1"/>
                <w:color w:val="auto"/>
              </w:rPr>
            </w:pPr>
          </w:p>
        </w:tc>
      </w:tr>
      <w:tr>
        <w:trPr>
          <w:trHeight w:val="170"/>
        </w:trPr>
        <w:tc>
          <w:tcPr>
            <w:tcW w:w="5640" w:type="dxa"/>
            <w:vAlign w:val="bottom"/>
            <w:tcBorders>
              <w:right w:val="single" w:sz="8" w:color="auto"/>
            </w:tcBorders>
          </w:tcPr>
          <w:p>
            <w:pPr>
              <w:ind w:left="440"/>
              <w:spacing w:after="0"/>
              <w:rPr>
                <w:sz w:val="20"/>
                <w:szCs w:val="20"/>
                <w:color w:val="auto"/>
              </w:rPr>
            </w:pPr>
            <w:r>
              <w:rPr>
                <w:rFonts w:ascii="Arial" w:cs="Arial" w:eastAsia="Arial" w:hAnsi="Arial"/>
                <w:sz w:val="13"/>
                <w:szCs w:val="13"/>
                <w:b w:val="1"/>
                <w:bCs w:val="1"/>
                <w:color w:val="auto"/>
              </w:rPr>
              <w:t>Total operating expenses</w:t>
            </w: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15,933</w:t>
            </w: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13,651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2,282</w:t>
            </w:r>
          </w:p>
        </w:tc>
        <w:tc>
          <w:tcPr>
            <w:tcW w:w="1220" w:type="dxa"/>
            <w:vAlign w:val="bottom"/>
          </w:tcPr>
          <w:p>
            <w:pPr>
              <w:jc w:val="right"/>
              <w:spacing w:after="0"/>
              <w:rPr>
                <w:sz w:val="20"/>
                <w:szCs w:val="20"/>
                <w:color w:val="auto"/>
              </w:rPr>
            </w:pPr>
            <w:r>
              <w:rPr>
                <w:rFonts w:ascii="Arial" w:cs="Arial" w:eastAsia="Arial" w:hAnsi="Arial"/>
                <w:sz w:val="13"/>
                <w:szCs w:val="13"/>
                <w:color w:val="auto"/>
              </w:rPr>
              <w:t>16.7 %</w:t>
            </w:r>
          </w:p>
        </w:tc>
        <w:tc>
          <w:tcPr>
            <w:tcW w:w="0" w:type="dxa"/>
            <w:vAlign w:val="bottom"/>
          </w:tcPr>
          <w:p>
            <w:pPr>
              <w:spacing w:after="0"/>
              <w:rPr>
                <w:sz w:val="1"/>
                <w:szCs w:val="1"/>
                <w:color w:val="auto"/>
              </w:rPr>
            </w:pPr>
          </w:p>
        </w:tc>
      </w:tr>
      <w:tr>
        <w:trPr>
          <w:trHeight w:val="169"/>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Income from operations</w:t>
            </w:r>
          </w:p>
        </w:tc>
        <w:tc>
          <w:tcPr>
            <w:tcW w:w="1020" w:type="dxa"/>
            <w:vAlign w:val="bottom"/>
          </w:tcPr>
          <w:p>
            <w:pPr>
              <w:spacing w:after="0"/>
              <w:rPr>
                <w:sz w:val="14"/>
                <w:szCs w:val="14"/>
                <w:color w:val="auto"/>
              </w:rPr>
            </w:pP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362</w:t>
            </w:r>
          </w:p>
        </w:tc>
        <w:tc>
          <w:tcPr>
            <w:tcW w:w="1040" w:type="dxa"/>
            <w:vAlign w:val="bottom"/>
          </w:tcPr>
          <w:p>
            <w:pPr>
              <w:spacing w:after="0"/>
              <w:rPr>
                <w:sz w:val="14"/>
                <w:szCs w:val="14"/>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w:t>
            </w:r>
          </w:p>
        </w:tc>
        <w:tc>
          <w:tcPr>
            <w:tcW w:w="1220" w:type="dxa"/>
            <w:vAlign w:val="bottom"/>
          </w:tcPr>
          <w:p>
            <w:pPr>
              <w:jc w:val="right"/>
              <w:spacing w:after="0"/>
              <w:rPr>
                <w:sz w:val="20"/>
                <w:szCs w:val="20"/>
                <w:color w:val="auto"/>
              </w:rPr>
            </w:pPr>
            <w:r>
              <w:rPr>
                <w:rFonts w:ascii="Arial" w:cs="Arial" w:eastAsia="Arial" w:hAnsi="Arial"/>
                <w:sz w:val="13"/>
                <w:szCs w:val="13"/>
                <w:color w:val="auto"/>
              </w:rPr>
              <w:t>-30.0 %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Interest expense</w:t>
            </w:r>
          </w:p>
        </w:tc>
        <w:tc>
          <w:tcPr>
            <w:tcW w:w="1020" w:type="dxa"/>
            <w:vAlign w:val="bottom"/>
          </w:tcPr>
          <w:p>
            <w:pPr>
              <w:spacing w:after="0"/>
              <w:rPr>
                <w:sz w:val="15"/>
                <w:szCs w:val="15"/>
                <w:color w:val="auto"/>
              </w:rPr>
            </w:pP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58</w:t>
            </w:r>
          </w:p>
        </w:tc>
        <w:tc>
          <w:tcPr>
            <w:tcW w:w="1040" w:type="dxa"/>
            <w:vAlign w:val="bottom"/>
          </w:tcPr>
          <w:p>
            <w:pPr>
              <w:spacing w:after="0"/>
              <w:rPr>
                <w:sz w:val="15"/>
                <w:szCs w:val="15"/>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220" w:type="dxa"/>
            <w:vAlign w:val="bottom"/>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Other (income) expense, net (A)</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(289)</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311</w:t>
            </w:r>
          </w:p>
        </w:tc>
        <w:tc>
          <w:tcPr>
            <w:tcW w:w="1220" w:type="dxa"/>
            <w:vAlign w:val="bottom"/>
          </w:tcPr>
          <w:p>
            <w:pPr>
              <w:jc w:val="right"/>
              <w:spacing w:after="0"/>
              <w:rPr>
                <w:sz w:val="20"/>
                <w:szCs w:val="20"/>
                <w:color w:val="auto"/>
              </w:rPr>
            </w:pPr>
            <w:r>
              <w:rPr>
                <w:rFonts w:ascii="Arial" w:cs="Arial" w:eastAsia="Arial" w:hAnsi="Arial"/>
                <w:sz w:val="13"/>
                <w:szCs w:val="13"/>
                <w:color w:val="auto"/>
              </w:rPr>
              <w:t>1,413.6 %</w:t>
            </w:r>
          </w:p>
        </w:tc>
        <w:tc>
          <w:tcPr>
            <w:tcW w:w="0" w:type="dxa"/>
            <w:vAlign w:val="bottom"/>
          </w:tcPr>
          <w:p>
            <w:pPr>
              <w:spacing w:after="0"/>
              <w:rPr>
                <w:sz w:val="1"/>
                <w:szCs w:val="1"/>
                <w:color w:val="auto"/>
              </w:rPr>
            </w:pPr>
          </w:p>
        </w:tc>
      </w:tr>
      <w:tr>
        <w:trPr>
          <w:trHeight w:val="17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Income before income taxes and equity in net (losses) earnings</w:t>
            </w:r>
          </w:p>
        </w:tc>
        <w:tc>
          <w:tcPr>
            <w:tcW w:w="1020" w:type="dxa"/>
            <w:vAlign w:val="bottom"/>
          </w:tcPr>
          <w:p>
            <w:pPr>
              <w:spacing w:after="0"/>
              <w:rPr>
                <w:sz w:val="14"/>
                <w:szCs w:val="14"/>
                <w:color w:val="auto"/>
              </w:rPr>
            </w:pP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593</w:t>
            </w:r>
          </w:p>
        </w:tc>
        <w:tc>
          <w:tcPr>
            <w:tcW w:w="1040" w:type="dxa"/>
            <w:vAlign w:val="bottom"/>
          </w:tcPr>
          <w:p>
            <w:pPr>
              <w:spacing w:after="0"/>
              <w:rPr>
                <w:sz w:val="14"/>
                <w:szCs w:val="14"/>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157</w:t>
            </w:r>
          </w:p>
        </w:tc>
        <w:tc>
          <w:tcPr>
            <w:tcW w:w="1220" w:type="dxa"/>
            <w:vAlign w:val="bottom"/>
          </w:tcPr>
          <w:p>
            <w:pPr>
              <w:jc w:val="right"/>
              <w:spacing w:after="0"/>
              <w:rPr>
                <w:sz w:val="20"/>
                <w:szCs w:val="20"/>
                <w:color w:val="auto"/>
              </w:rPr>
            </w:pPr>
            <w:r>
              <w:rPr>
                <w:rFonts w:ascii="Arial" w:cs="Arial" w:eastAsia="Arial" w:hAnsi="Arial"/>
                <w:sz w:val="13"/>
                <w:szCs w:val="13"/>
                <w:color w:val="auto"/>
              </w:rPr>
              <w:t>36.0 %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Provision for income taxes</w:t>
            </w:r>
          </w:p>
        </w:tc>
        <w:tc>
          <w:tcPr>
            <w:tcW w:w="1020" w:type="dxa"/>
            <w:vAlign w:val="bottom"/>
          </w:tcPr>
          <w:p>
            <w:pPr>
              <w:spacing w:after="0"/>
              <w:rPr>
                <w:sz w:val="15"/>
                <w:szCs w:val="15"/>
                <w:color w:val="auto"/>
              </w:rPr>
            </w:pP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79</w:t>
            </w:r>
          </w:p>
        </w:tc>
        <w:tc>
          <w:tcPr>
            <w:tcW w:w="1040" w:type="dxa"/>
            <w:vAlign w:val="bottom"/>
          </w:tcPr>
          <w:p>
            <w:pPr>
              <w:spacing w:after="0"/>
              <w:rPr>
                <w:sz w:val="15"/>
                <w:szCs w:val="15"/>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1220" w:type="dxa"/>
            <w:vAlign w:val="bottom"/>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Equity in net (losses) earnings of Kindred at Home (B)</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(2)</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20" w:type="dxa"/>
            <w:vAlign w:val="bottom"/>
          </w:tcPr>
          <w:p>
            <w:pPr>
              <w:jc w:val="right"/>
              <w:spacing w:after="0"/>
              <w:rPr>
                <w:sz w:val="20"/>
                <w:szCs w:val="20"/>
                <w:color w:val="auto"/>
              </w:rPr>
            </w:pPr>
            <w:r>
              <w:rPr>
                <w:rFonts w:ascii="Arial" w:cs="Arial" w:eastAsia="Arial" w:hAnsi="Arial"/>
                <w:sz w:val="13"/>
                <w:szCs w:val="13"/>
                <w:color w:val="auto"/>
              </w:rPr>
              <w:t>-200.0 %</w:t>
            </w:r>
          </w:p>
        </w:tc>
        <w:tc>
          <w:tcPr>
            <w:tcW w:w="0" w:type="dxa"/>
            <w:vAlign w:val="bottom"/>
          </w:tcPr>
          <w:p>
            <w:pPr>
              <w:spacing w:after="0"/>
              <w:rPr>
                <w:sz w:val="1"/>
                <w:szCs w:val="1"/>
                <w:color w:val="auto"/>
              </w:rPr>
            </w:pPr>
          </w:p>
        </w:tc>
      </w:tr>
      <w:tr>
        <w:trPr>
          <w:trHeight w:val="16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Net income</w:t>
            </w:r>
          </w:p>
        </w:tc>
        <w:tc>
          <w:tcPr>
            <w:tcW w:w="1020" w:type="dxa"/>
            <w:vAlign w:val="bottom"/>
            <w:vMerge w:val="restart"/>
          </w:tcPr>
          <w:p>
            <w:pPr>
              <w:spacing w:after="0"/>
              <w:rPr>
                <w:sz w:val="20"/>
                <w:szCs w:val="20"/>
                <w:color w:val="auto"/>
              </w:rPr>
            </w:pPr>
            <w:r>
              <w:rPr>
                <w:rFonts w:ascii="Arial" w:cs="Arial" w:eastAsia="Arial" w:hAnsi="Arial"/>
                <w:sz w:val="13"/>
                <w:szCs w:val="13"/>
                <w:b w:val="1"/>
                <w:bCs w:val="1"/>
                <w:color w:val="00497F"/>
              </w:rPr>
              <w:t>$</w:t>
            </w:r>
          </w:p>
        </w:tc>
        <w:tc>
          <w:tcPr>
            <w:tcW w:w="660" w:type="dxa"/>
            <w:vAlign w:val="bottom"/>
            <w:tcBorders>
              <w:right w:val="single" w:sz="8" w:color="auto"/>
            </w:tcBorders>
            <w:vMerge w:val="restart"/>
          </w:tcPr>
          <w:p>
            <w:pPr>
              <w:jc w:val="right"/>
              <w:ind w:right="54"/>
              <w:spacing w:after="0"/>
              <w:rPr>
                <w:sz w:val="20"/>
                <w:szCs w:val="20"/>
                <w:color w:val="auto"/>
              </w:rPr>
            </w:pPr>
            <w:r>
              <w:rPr>
                <w:rFonts w:ascii="Arial" w:cs="Arial" w:eastAsia="Arial" w:hAnsi="Arial"/>
                <w:sz w:val="13"/>
                <w:szCs w:val="13"/>
                <w:b w:val="1"/>
                <w:bCs w:val="1"/>
                <w:color w:val="00497F"/>
              </w:rPr>
              <w:t>512</w:t>
            </w:r>
          </w:p>
        </w:tc>
        <w:tc>
          <w:tcPr>
            <w:tcW w:w="1040" w:type="dxa"/>
            <w:vAlign w:val="bottom"/>
            <w:vMerge w:val="restart"/>
          </w:tcPr>
          <w:p>
            <w:pPr>
              <w:jc w:val="right"/>
              <w:ind w:right="894"/>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54"/>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3"/>
                <w:szCs w:val="13"/>
                <w:color w:val="auto"/>
              </w:rPr>
            </w:pPr>
          </w:p>
        </w:tc>
        <w:tc>
          <w:tcPr>
            <w:tcW w:w="200" w:type="dxa"/>
            <w:vAlign w:val="bottom"/>
            <w:vMerge w:val="restart"/>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157</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44.2 %</w:t>
            </w:r>
          </w:p>
        </w:tc>
        <w:tc>
          <w:tcPr>
            <w:tcW w:w="0" w:type="dxa"/>
            <w:vAlign w:val="bottom"/>
          </w:tcPr>
          <w:p>
            <w:pPr>
              <w:spacing w:after="0"/>
              <w:rPr>
                <w:sz w:val="1"/>
                <w:szCs w:val="1"/>
                <w:color w:val="auto"/>
              </w:rPr>
            </w:pPr>
          </w:p>
        </w:tc>
      </w:tr>
      <w:tr>
        <w:trPr>
          <w:trHeight w:val="154"/>
        </w:trPr>
        <w:tc>
          <w:tcPr>
            <w:tcW w:w="5640" w:type="dxa"/>
            <w:vAlign w:val="bottom"/>
            <w:tcBorders>
              <w:right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right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Basic earnings per common share</w:t>
            </w:r>
          </w:p>
        </w:tc>
        <w:tc>
          <w:tcPr>
            <w:tcW w:w="1020" w:type="dxa"/>
            <w:vAlign w:val="bottom"/>
          </w:tcPr>
          <w:p>
            <w:pPr>
              <w:spacing w:after="0"/>
              <w:rPr>
                <w:sz w:val="20"/>
                <w:szCs w:val="20"/>
                <w:color w:val="auto"/>
              </w:rPr>
            </w:pPr>
            <w:r>
              <w:rPr>
                <w:rFonts w:ascii="Arial" w:cs="Arial" w:eastAsia="Arial" w:hAnsi="Arial"/>
                <w:sz w:val="13"/>
                <w:szCs w:val="13"/>
                <w:b w:val="1"/>
                <w:bCs w:val="1"/>
                <w:color w:val="00497F"/>
              </w:rPr>
              <w:t>$</w:t>
            </w: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3.87</w:t>
            </w:r>
          </w:p>
        </w:tc>
        <w:tc>
          <w:tcPr>
            <w:tcW w:w="1040" w:type="dxa"/>
            <w:vAlign w:val="bottom"/>
          </w:tcPr>
          <w:p>
            <w:pPr>
              <w:jc w:val="right"/>
              <w:ind w:right="89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1.27</w:t>
            </w:r>
          </w:p>
        </w:tc>
        <w:tc>
          <w:tcPr>
            <w:tcW w:w="1220" w:type="dxa"/>
            <w:vAlign w:val="bottom"/>
          </w:tcPr>
          <w:p>
            <w:pPr>
              <w:jc w:val="right"/>
              <w:spacing w:after="0"/>
              <w:rPr>
                <w:sz w:val="20"/>
                <w:szCs w:val="20"/>
                <w:color w:val="auto"/>
              </w:rPr>
            </w:pPr>
            <w:r>
              <w:rPr>
                <w:rFonts w:ascii="Arial" w:cs="Arial" w:eastAsia="Arial" w:hAnsi="Arial"/>
                <w:sz w:val="13"/>
                <w:szCs w:val="13"/>
                <w:color w:val="auto"/>
              </w:rPr>
              <w:t>48.8 %</w:t>
            </w:r>
          </w:p>
        </w:tc>
        <w:tc>
          <w:tcPr>
            <w:tcW w:w="0" w:type="dxa"/>
            <w:vAlign w:val="bottom"/>
          </w:tcPr>
          <w:p>
            <w:pPr>
              <w:spacing w:after="0"/>
              <w:rPr>
                <w:sz w:val="1"/>
                <w:szCs w:val="1"/>
                <w:color w:val="auto"/>
              </w:rPr>
            </w:pP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Diluted earnings per common share</w:t>
            </w:r>
          </w:p>
        </w:tc>
        <w:tc>
          <w:tcPr>
            <w:tcW w:w="1020" w:type="dxa"/>
            <w:vAlign w:val="bottom"/>
          </w:tcPr>
          <w:p>
            <w:pPr>
              <w:spacing w:after="0"/>
              <w:rPr>
                <w:sz w:val="20"/>
                <w:szCs w:val="20"/>
                <w:color w:val="auto"/>
              </w:rPr>
            </w:pPr>
            <w:r>
              <w:rPr>
                <w:rFonts w:ascii="Arial" w:cs="Arial" w:eastAsia="Arial" w:hAnsi="Arial"/>
                <w:sz w:val="13"/>
                <w:szCs w:val="13"/>
                <w:b w:val="1"/>
                <w:bCs w:val="1"/>
                <w:color w:val="00497F"/>
              </w:rPr>
              <w:t>$</w:t>
            </w: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3.84</w:t>
            </w:r>
          </w:p>
        </w:tc>
        <w:tc>
          <w:tcPr>
            <w:tcW w:w="1040" w:type="dxa"/>
            <w:vAlign w:val="bottom"/>
          </w:tcPr>
          <w:p>
            <w:pPr>
              <w:jc w:val="right"/>
              <w:ind w:right="89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1.26</w:t>
            </w:r>
          </w:p>
        </w:tc>
        <w:tc>
          <w:tcPr>
            <w:tcW w:w="1220" w:type="dxa"/>
            <w:vAlign w:val="bottom"/>
          </w:tcPr>
          <w:p>
            <w:pPr>
              <w:jc w:val="right"/>
              <w:spacing w:after="0"/>
              <w:rPr>
                <w:sz w:val="20"/>
                <w:szCs w:val="20"/>
                <w:color w:val="auto"/>
              </w:rPr>
            </w:pPr>
            <w:r>
              <w:rPr>
                <w:rFonts w:ascii="Arial" w:cs="Arial" w:eastAsia="Arial" w:hAnsi="Arial"/>
                <w:sz w:val="13"/>
                <w:szCs w:val="13"/>
                <w:color w:val="auto"/>
              </w:rPr>
              <w:t>48.8 %</w:t>
            </w:r>
          </w:p>
        </w:tc>
        <w:tc>
          <w:tcPr>
            <w:tcW w:w="0" w:type="dxa"/>
            <w:vAlign w:val="bottom"/>
          </w:tcPr>
          <w:p>
            <w:pPr>
              <w:spacing w:after="0"/>
              <w:rPr>
                <w:sz w:val="1"/>
                <w:szCs w:val="1"/>
                <w:color w:val="auto"/>
              </w:rPr>
            </w:pPr>
          </w:p>
        </w:tc>
      </w:tr>
      <w:tr>
        <w:trPr>
          <w:trHeight w:val="324"/>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Shares used in computing basic earnings per common share (000’s)</w:t>
            </w:r>
          </w:p>
        </w:tc>
        <w:tc>
          <w:tcPr>
            <w:tcW w:w="1020" w:type="dxa"/>
            <w:vAlign w:val="bottom"/>
          </w:tcPr>
          <w:p>
            <w:pPr>
              <w:spacing w:after="0"/>
              <w:rPr>
                <w:sz w:val="24"/>
                <w:szCs w:val="24"/>
                <w:color w:val="auto"/>
              </w:rPr>
            </w:pPr>
          </w:p>
        </w:tc>
        <w:tc>
          <w:tcPr>
            <w:tcW w:w="6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132,453</w:t>
            </w:r>
          </w:p>
        </w:tc>
        <w:tc>
          <w:tcPr>
            <w:tcW w:w="1040" w:type="dxa"/>
            <w:vAlign w:val="bottom"/>
          </w:tcPr>
          <w:p>
            <w:pPr>
              <w:spacing w:after="0"/>
              <w:rPr>
                <w:sz w:val="24"/>
                <w:szCs w:val="24"/>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136,570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Shares used in computing diluted earnings per common share (000’s)</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3"/>
                <w:szCs w:val="13"/>
                <w:b w:val="1"/>
                <w:bCs w:val="1"/>
                <w:color w:val="00497F"/>
              </w:rPr>
              <w:t>133,342</w:t>
            </w:r>
          </w:p>
        </w:tc>
        <w:tc>
          <w:tcPr>
            <w:tcW w:w="1040" w:type="dxa"/>
            <w:vAlign w:val="bottom"/>
          </w:tcPr>
          <w:p>
            <w:pPr>
              <w:spacing w:after="0"/>
              <w:rPr>
                <w:sz w:val="15"/>
                <w:szCs w:val="15"/>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137,529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56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S-3</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438" w:right="19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Humana Inc.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Income</w:t>
      </w:r>
    </w:p>
    <w:p>
      <w:pPr>
        <w:spacing w:after="0"/>
        <w:rPr>
          <w:sz w:val="20"/>
          <w:szCs w:val="20"/>
          <w:color w:val="auto"/>
        </w:rPr>
      </w:pPr>
      <w:r>
        <w:rPr>
          <w:rFonts w:ascii="Arial" w:cs="Arial" w:eastAsia="Arial" w:hAnsi="Arial"/>
          <w:sz w:val="13"/>
          <w:szCs w:val="13"/>
          <w:i w:val="1"/>
          <w:iCs w:val="1"/>
          <w:color w:val="auto"/>
        </w:rPr>
        <w:t>Dollars in millions, except per common share results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640" w:type="dxa"/>
            <w:vAlign w:val="bottom"/>
            <w:tcBorders>
              <w:right w:val="single" w:sz="8" w:color="auto"/>
            </w:tcBorders>
          </w:tcPr>
          <w:p>
            <w:pPr>
              <w:spacing w:after="0"/>
              <w:rPr>
                <w:sz w:val="15"/>
                <w:szCs w:val="15"/>
                <w:color w:val="auto"/>
              </w:rPr>
            </w:pPr>
          </w:p>
        </w:tc>
        <w:tc>
          <w:tcPr>
            <w:tcW w:w="2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For the year ended December 31,</w:t>
            </w:r>
          </w:p>
        </w:tc>
        <w:tc>
          <w:tcPr>
            <w:tcW w:w="640" w:type="dxa"/>
            <w:vAlign w:val="bottom"/>
            <w:tcBorders>
              <w:top w:val="single" w:sz="8" w:color="auto"/>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2"/>
        </w:trPr>
        <w:tc>
          <w:tcPr>
            <w:tcW w:w="5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3"/>
                <w:szCs w:val="13"/>
                <w:color w:val="auto"/>
              </w:rPr>
              <w:t>Dollar</w:t>
            </w:r>
          </w:p>
        </w:tc>
        <w:tc>
          <w:tcPr>
            <w:tcW w:w="1220" w:type="dxa"/>
            <w:vAlign w:val="bottom"/>
          </w:tcPr>
          <w:p>
            <w:pPr>
              <w:jc w:val="right"/>
              <w:ind w:right="194"/>
              <w:spacing w:after="0"/>
              <w:rPr>
                <w:sz w:val="20"/>
                <w:szCs w:val="20"/>
                <w:color w:val="auto"/>
              </w:rPr>
            </w:pPr>
            <w:r>
              <w:rPr>
                <w:rFonts w:ascii="Arial" w:cs="Arial" w:eastAsia="Arial" w:hAnsi="Arial"/>
                <w:sz w:val="13"/>
                <w:szCs w:val="13"/>
                <w:color w:val="auto"/>
              </w:rPr>
              <w:t>Percentage</w:t>
            </w:r>
          </w:p>
        </w:tc>
      </w:tr>
      <w:tr>
        <w:trPr>
          <w:trHeight w:val="166"/>
        </w:trPr>
        <w:tc>
          <w:tcPr>
            <w:tcW w:w="5640" w:type="dxa"/>
            <w:vAlign w:val="bottom"/>
            <w:tcBorders>
              <w:right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00497F"/>
              </w:rPr>
              <w:t>2019</w:t>
            </w:r>
          </w:p>
        </w:tc>
        <w:tc>
          <w:tcPr>
            <w:tcW w:w="68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color w:val="auto"/>
              </w:rPr>
              <w:t>2018</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Change</w:t>
            </w: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Change</w:t>
            </w:r>
          </w:p>
        </w:tc>
      </w:tr>
      <w:tr>
        <w:trPr>
          <w:trHeight w:val="16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Revenues:</w:t>
            </w:r>
          </w:p>
        </w:tc>
        <w:tc>
          <w:tcPr>
            <w:tcW w:w="102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9"/>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Premiums</w:t>
            </w:r>
          </w:p>
        </w:tc>
        <w:tc>
          <w:tcPr>
            <w:tcW w:w="1020" w:type="dxa"/>
            <w:vAlign w:val="bottom"/>
          </w:tcPr>
          <w:p>
            <w:pPr>
              <w:spacing w:after="0"/>
              <w:rPr>
                <w:sz w:val="20"/>
                <w:szCs w:val="20"/>
                <w:color w:val="auto"/>
              </w:rPr>
            </w:pPr>
            <w:r>
              <w:rPr>
                <w:rFonts w:ascii="Arial" w:cs="Arial" w:eastAsia="Arial" w:hAnsi="Arial"/>
                <w:sz w:val="13"/>
                <w:szCs w:val="13"/>
                <w:b w:val="1"/>
                <w:bCs w:val="1"/>
                <w:color w:val="00497F"/>
              </w:rPr>
              <w:t>$</w:t>
            </w: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62,948</w:t>
            </w:r>
          </w:p>
        </w:tc>
        <w:tc>
          <w:tcPr>
            <w:tcW w:w="1040" w:type="dxa"/>
            <w:vAlign w:val="bottom"/>
          </w:tcPr>
          <w:p>
            <w:pPr>
              <w:jc w:val="right"/>
              <w:ind w:right="92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54,941</w:t>
            </w:r>
          </w:p>
        </w:tc>
        <w:tc>
          <w:tcPr>
            <w:tcW w:w="100" w:type="dxa"/>
            <w:vAlign w:val="bottom"/>
          </w:tcPr>
          <w:p>
            <w:pPr>
              <w:spacing w:after="0"/>
              <w:rPr>
                <w:sz w:val="16"/>
                <w:szCs w:val="16"/>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8,007</w:t>
            </w:r>
          </w:p>
        </w:tc>
        <w:tc>
          <w:tcPr>
            <w:tcW w:w="1220" w:type="dxa"/>
            <w:vAlign w:val="bottom"/>
          </w:tcPr>
          <w:p>
            <w:pPr>
              <w:jc w:val="right"/>
              <w:spacing w:after="0"/>
              <w:rPr>
                <w:sz w:val="20"/>
                <w:szCs w:val="20"/>
                <w:color w:val="auto"/>
              </w:rPr>
            </w:pPr>
            <w:r>
              <w:rPr>
                <w:rFonts w:ascii="Arial" w:cs="Arial" w:eastAsia="Arial" w:hAnsi="Arial"/>
                <w:sz w:val="13"/>
                <w:szCs w:val="13"/>
                <w:color w:val="auto"/>
              </w:rPr>
              <w:t>14.6 %</w:t>
            </w:r>
          </w:p>
        </w:tc>
      </w:tr>
      <w:tr>
        <w:trPr>
          <w:trHeight w:val="180"/>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Services</w:t>
            </w:r>
          </w:p>
        </w:tc>
        <w:tc>
          <w:tcPr>
            <w:tcW w:w="102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1,439</w:t>
            </w:r>
          </w:p>
        </w:tc>
        <w:tc>
          <w:tcPr>
            <w:tcW w:w="1040" w:type="dxa"/>
            <w:vAlign w:val="bottom"/>
          </w:tcPr>
          <w:p>
            <w:pPr>
              <w:spacing w:after="0"/>
              <w:rPr>
                <w:sz w:val="15"/>
                <w:szCs w:val="15"/>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1,457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w:t>
            </w:r>
          </w:p>
        </w:tc>
        <w:tc>
          <w:tcPr>
            <w:tcW w:w="1220" w:type="dxa"/>
            <w:vAlign w:val="bottom"/>
          </w:tcPr>
          <w:p>
            <w:pPr>
              <w:jc w:val="right"/>
              <w:spacing w:after="0"/>
              <w:rPr>
                <w:sz w:val="20"/>
                <w:szCs w:val="20"/>
                <w:color w:val="auto"/>
              </w:rPr>
            </w:pPr>
            <w:r>
              <w:rPr>
                <w:rFonts w:ascii="Arial" w:cs="Arial" w:eastAsia="Arial" w:hAnsi="Arial"/>
                <w:sz w:val="13"/>
                <w:szCs w:val="13"/>
                <w:color w:val="auto"/>
              </w:rPr>
              <w:t>-1.2 %</w:t>
            </w:r>
          </w:p>
        </w:tc>
      </w:tr>
      <w:tr>
        <w:trPr>
          <w:trHeight w:val="180"/>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Investment income</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501</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220" w:type="dxa"/>
            <w:vAlign w:val="bottom"/>
          </w:tcPr>
          <w:p>
            <w:pPr>
              <w:jc w:val="right"/>
              <w:spacing w:after="0"/>
              <w:rPr>
                <w:sz w:val="20"/>
                <w:szCs w:val="20"/>
                <w:color w:val="auto"/>
              </w:rPr>
            </w:pPr>
            <w:r>
              <w:rPr>
                <w:rFonts w:ascii="Arial" w:cs="Arial" w:eastAsia="Arial" w:hAnsi="Arial"/>
                <w:sz w:val="13"/>
                <w:szCs w:val="13"/>
                <w:color w:val="auto"/>
              </w:rPr>
              <w:t>-2.5 %</w:t>
            </w:r>
          </w:p>
        </w:tc>
      </w:tr>
      <w:tr>
        <w:trPr>
          <w:trHeight w:val="170"/>
        </w:trPr>
        <w:tc>
          <w:tcPr>
            <w:tcW w:w="5640" w:type="dxa"/>
            <w:vAlign w:val="bottom"/>
            <w:tcBorders>
              <w:right w:val="single" w:sz="8" w:color="auto"/>
            </w:tcBorders>
          </w:tcPr>
          <w:p>
            <w:pPr>
              <w:ind w:left="440"/>
              <w:spacing w:after="0"/>
              <w:rPr>
                <w:sz w:val="20"/>
                <w:szCs w:val="20"/>
                <w:color w:val="auto"/>
              </w:rPr>
            </w:pPr>
            <w:r>
              <w:rPr>
                <w:rFonts w:ascii="Arial" w:cs="Arial" w:eastAsia="Arial" w:hAnsi="Arial"/>
                <w:sz w:val="13"/>
                <w:szCs w:val="13"/>
                <w:b w:val="1"/>
                <w:bCs w:val="1"/>
                <w:color w:val="auto"/>
              </w:rPr>
              <w:t>Total revenues</w:t>
            </w: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64,888</w:t>
            </w:r>
          </w:p>
        </w:tc>
        <w:tc>
          <w:tcPr>
            <w:tcW w:w="10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56,912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7,976</w:t>
            </w:r>
          </w:p>
        </w:tc>
        <w:tc>
          <w:tcPr>
            <w:tcW w:w="1220" w:type="dxa"/>
            <w:vAlign w:val="bottom"/>
          </w:tcPr>
          <w:p>
            <w:pPr>
              <w:jc w:val="right"/>
              <w:spacing w:after="0"/>
              <w:rPr>
                <w:sz w:val="20"/>
                <w:szCs w:val="20"/>
                <w:color w:val="auto"/>
              </w:rPr>
            </w:pPr>
            <w:r>
              <w:rPr>
                <w:rFonts w:ascii="Arial" w:cs="Arial" w:eastAsia="Arial" w:hAnsi="Arial"/>
                <w:sz w:val="13"/>
                <w:szCs w:val="13"/>
                <w:color w:val="auto"/>
              </w:rPr>
              <w:t>14.0 %</w:t>
            </w:r>
          </w:p>
        </w:tc>
      </w:tr>
      <w:tr>
        <w:trPr>
          <w:trHeight w:val="16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Operating expenses:</w:t>
            </w:r>
          </w:p>
        </w:tc>
        <w:tc>
          <w:tcPr>
            <w:tcW w:w="102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9"/>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Benefits</w:t>
            </w:r>
          </w:p>
        </w:tc>
        <w:tc>
          <w:tcPr>
            <w:tcW w:w="1020" w:type="dxa"/>
            <w:vAlign w:val="bottom"/>
          </w:tcPr>
          <w:p>
            <w:pPr>
              <w:spacing w:after="0"/>
              <w:rPr>
                <w:sz w:val="16"/>
                <w:szCs w:val="16"/>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53,857</w:t>
            </w:r>
          </w:p>
        </w:tc>
        <w:tc>
          <w:tcPr>
            <w:tcW w:w="1040" w:type="dxa"/>
            <w:vAlign w:val="bottom"/>
          </w:tcPr>
          <w:p>
            <w:pPr>
              <w:spacing w:after="0"/>
              <w:rPr>
                <w:sz w:val="16"/>
                <w:szCs w:val="16"/>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45,882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7,975</w:t>
            </w:r>
          </w:p>
        </w:tc>
        <w:tc>
          <w:tcPr>
            <w:tcW w:w="1220" w:type="dxa"/>
            <w:vAlign w:val="bottom"/>
          </w:tcPr>
          <w:p>
            <w:pPr>
              <w:jc w:val="right"/>
              <w:spacing w:after="0"/>
              <w:rPr>
                <w:sz w:val="20"/>
                <w:szCs w:val="20"/>
                <w:color w:val="auto"/>
              </w:rPr>
            </w:pPr>
            <w:r>
              <w:rPr>
                <w:rFonts w:ascii="Arial" w:cs="Arial" w:eastAsia="Arial" w:hAnsi="Arial"/>
                <w:sz w:val="13"/>
                <w:szCs w:val="13"/>
                <w:color w:val="auto"/>
              </w:rPr>
              <w:t>17.4 %</w:t>
            </w:r>
          </w:p>
        </w:tc>
      </w:tr>
      <w:tr>
        <w:trPr>
          <w:trHeight w:val="180"/>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Operating costs</w:t>
            </w:r>
          </w:p>
        </w:tc>
        <w:tc>
          <w:tcPr>
            <w:tcW w:w="102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7,381</w:t>
            </w:r>
          </w:p>
        </w:tc>
        <w:tc>
          <w:tcPr>
            <w:tcW w:w="1040" w:type="dxa"/>
            <w:vAlign w:val="bottom"/>
          </w:tcPr>
          <w:p>
            <w:pPr>
              <w:spacing w:after="0"/>
              <w:rPr>
                <w:sz w:val="15"/>
                <w:szCs w:val="15"/>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7,525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w:t>
            </w:r>
          </w:p>
        </w:tc>
        <w:tc>
          <w:tcPr>
            <w:tcW w:w="122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180"/>
        </w:trPr>
        <w:tc>
          <w:tcPr>
            <w:tcW w:w="56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Depreciation and amortization</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458</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53</w:t>
            </w:r>
          </w:p>
        </w:tc>
        <w:tc>
          <w:tcPr>
            <w:tcW w:w="1220" w:type="dxa"/>
            <w:vAlign w:val="bottom"/>
          </w:tcPr>
          <w:p>
            <w:pPr>
              <w:jc w:val="right"/>
              <w:spacing w:after="0"/>
              <w:rPr>
                <w:sz w:val="20"/>
                <w:szCs w:val="20"/>
                <w:color w:val="auto"/>
              </w:rPr>
            </w:pPr>
            <w:r>
              <w:rPr>
                <w:rFonts w:ascii="Arial" w:cs="Arial" w:eastAsia="Arial" w:hAnsi="Arial"/>
                <w:sz w:val="13"/>
                <w:szCs w:val="13"/>
                <w:color w:val="auto"/>
              </w:rPr>
              <w:t>13.1 %</w:t>
            </w:r>
          </w:p>
        </w:tc>
      </w:tr>
      <w:tr>
        <w:trPr>
          <w:trHeight w:val="170"/>
        </w:trPr>
        <w:tc>
          <w:tcPr>
            <w:tcW w:w="5640" w:type="dxa"/>
            <w:vAlign w:val="bottom"/>
            <w:tcBorders>
              <w:right w:val="single" w:sz="8" w:color="auto"/>
            </w:tcBorders>
          </w:tcPr>
          <w:p>
            <w:pPr>
              <w:ind w:left="440"/>
              <w:spacing w:after="0"/>
              <w:rPr>
                <w:sz w:val="20"/>
                <w:szCs w:val="20"/>
                <w:color w:val="auto"/>
              </w:rPr>
            </w:pPr>
            <w:r>
              <w:rPr>
                <w:rFonts w:ascii="Arial" w:cs="Arial" w:eastAsia="Arial" w:hAnsi="Arial"/>
                <w:sz w:val="13"/>
                <w:szCs w:val="13"/>
                <w:b w:val="1"/>
                <w:bCs w:val="1"/>
                <w:color w:val="auto"/>
              </w:rPr>
              <w:t>Total operating expenses</w:t>
            </w: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61,696</w:t>
            </w:r>
          </w:p>
        </w:tc>
        <w:tc>
          <w:tcPr>
            <w:tcW w:w="10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53,812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7,884</w:t>
            </w:r>
          </w:p>
        </w:tc>
        <w:tc>
          <w:tcPr>
            <w:tcW w:w="1220" w:type="dxa"/>
            <w:vAlign w:val="bottom"/>
          </w:tcPr>
          <w:p>
            <w:pPr>
              <w:jc w:val="right"/>
              <w:spacing w:after="0"/>
              <w:rPr>
                <w:sz w:val="20"/>
                <w:szCs w:val="20"/>
                <w:color w:val="auto"/>
              </w:rPr>
            </w:pPr>
            <w:r>
              <w:rPr>
                <w:rFonts w:ascii="Arial" w:cs="Arial" w:eastAsia="Arial" w:hAnsi="Arial"/>
                <w:sz w:val="13"/>
                <w:szCs w:val="13"/>
                <w:color w:val="auto"/>
              </w:rPr>
              <w:t>14.7 %</w:t>
            </w:r>
          </w:p>
        </w:tc>
      </w:tr>
      <w:tr>
        <w:trPr>
          <w:trHeight w:val="169"/>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Income from operations</w:t>
            </w:r>
          </w:p>
        </w:tc>
        <w:tc>
          <w:tcPr>
            <w:tcW w:w="1020" w:type="dxa"/>
            <w:vAlign w:val="bottom"/>
          </w:tcPr>
          <w:p>
            <w:pPr>
              <w:spacing w:after="0"/>
              <w:rPr>
                <w:sz w:val="14"/>
                <w:szCs w:val="14"/>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3,192</w:t>
            </w:r>
          </w:p>
        </w:tc>
        <w:tc>
          <w:tcPr>
            <w:tcW w:w="1040" w:type="dxa"/>
            <w:vAlign w:val="bottom"/>
          </w:tcPr>
          <w:p>
            <w:pPr>
              <w:spacing w:after="0"/>
              <w:rPr>
                <w:sz w:val="14"/>
                <w:szCs w:val="14"/>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3,100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92</w:t>
            </w:r>
          </w:p>
        </w:tc>
        <w:tc>
          <w:tcPr>
            <w:tcW w:w="1220" w:type="dxa"/>
            <w:vAlign w:val="bottom"/>
          </w:tcPr>
          <w:p>
            <w:pPr>
              <w:jc w:val="right"/>
              <w:spacing w:after="0"/>
              <w:rPr>
                <w:sz w:val="20"/>
                <w:szCs w:val="20"/>
                <w:color w:val="auto"/>
              </w:rPr>
            </w:pPr>
            <w:r>
              <w:rPr>
                <w:rFonts w:ascii="Arial" w:cs="Arial" w:eastAsia="Arial" w:hAnsi="Arial"/>
                <w:sz w:val="13"/>
                <w:szCs w:val="13"/>
                <w:color w:val="auto"/>
              </w:rPr>
              <w:t>3.0 %</w:t>
            </w: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Loss on sale of business</w:t>
            </w:r>
          </w:p>
        </w:tc>
        <w:tc>
          <w:tcPr>
            <w:tcW w:w="102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w:t>
            </w:r>
          </w:p>
        </w:tc>
        <w:tc>
          <w:tcPr>
            <w:tcW w:w="1040" w:type="dxa"/>
            <w:vAlign w:val="bottom"/>
          </w:tcPr>
          <w:p>
            <w:pPr>
              <w:spacing w:after="0"/>
              <w:rPr>
                <w:sz w:val="15"/>
                <w:szCs w:val="15"/>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786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786</w:t>
            </w:r>
          </w:p>
        </w:tc>
        <w:tc>
          <w:tcPr>
            <w:tcW w:w="1220" w:type="dxa"/>
            <w:vAlign w:val="bottom"/>
          </w:tcPr>
          <w:p>
            <w:pPr>
              <w:jc w:val="right"/>
              <w:spacing w:after="0"/>
              <w:rPr>
                <w:sz w:val="20"/>
                <w:szCs w:val="20"/>
                <w:color w:val="auto"/>
              </w:rPr>
            </w:pPr>
            <w:r>
              <w:rPr>
                <w:rFonts w:ascii="Arial" w:cs="Arial" w:eastAsia="Arial" w:hAnsi="Arial"/>
                <w:sz w:val="13"/>
                <w:szCs w:val="13"/>
                <w:color w:val="auto"/>
              </w:rPr>
              <w:t>100.0 %</w:t>
            </w: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Interest expense</w:t>
            </w:r>
          </w:p>
        </w:tc>
        <w:tc>
          <w:tcPr>
            <w:tcW w:w="102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242</w:t>
            </w:r>
          </w:p>
        </w:tc>
        <w:tc>
          <w:tcPr>
            <w:tcW w:w="1040" w:type="dxa"/>
            <w:vAlign w:val="bottom"/>
          </w:tcPr>
          <w:p>
            <w:pPr>
              <w:spacing w:after="0"/>
              <w:rPr>
                <w:sz w:val="15"/>
                <w:szCs w:val="15"/>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24</w:t>
            </w:r>
          </w:p>
        </w:tc>
        <w:tc>
          <w:tcPr>
            <w:tcW w:w="1220" w:type="dxa"/>
            <w:vAlign w:val="bottom"/>
          </w:tcPr>
          <w:p>
            <w:pPr>
              <w:jc w:val="right"/>
              <w:spacing w:after="0"/>
              <w:rPr>
                <w:sz w:val="20"/>
                <w:szCs w:val="20"/>
                <w:color w:val="auto"/>
              </w:rPr>
            </w:pPr>
            <w:r>
              <w:rPr>
                <w:rFonts w:ascii="Arial" w:cs="Arial" w:eastAsia="Arial" w:hAnsi="Arial"/>
                <w:sz w:val="13"/>
                <w:szCs w:val="13"/>
                <w:color w:val="auto"/>
              </w:rPr>
              <w:t>11.0 %</w:t>
            </w: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Other (income) expense, net (A)</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3"/>
                <w:szCs w:val="13"/>
                <w:b w:val="1"/>
                <w:bCs w:val="1"/>
                <w:color w:val="00497F"/>
              </w:rPr>
              <w:t>(506)</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539</w:t>
            </w:r>
          </w:p>
        </w:tc>
        <w:tc>
          <w:tcPr>
            <w:tcW w:w="1220" w:type="dxa"/>
            <w:vAlign w:val="bottom"/>
          </w:tcPr>
          <w:p>
            <w:pPr>
              <w:jc w:val="right"/>
              <w:spacing w:after="0"/>
              <w:rPr>
                <w:sz w:val="20"/>
                <w:szCs w:val="20"/>
                <w:color w:val="auto"/>
              </w:rPr>
            </w:pPr>
            <w:r>
              <w:rPr>
                <w:rFonts w:ascii="Arial" w:cs="Arial" w:eastAsia="Arial" w:hAnsi="Arial"/>
                <w:sz w:val="13"/>
                <w:szCs w:val="13"/>
                <w:color w:val="auto"/>
              </w:rPr>
              <w:t>1,633.3 %</w:t>
            </w:r>
          </w:p>
        </w:tc>
      </w:tr>
      <w:tr>
        <w:trPr>
          <w:trHeight w:val="17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Income before income taxes and equity in net earnings</w:t>
            </w:r>
          </w:p>
        </w:tc>
        <w:tc>
          <w:tcPr>
            <w:tcW w:w="1020" w:type="dxa"/>
            <w:vAlign w:val="bottom"/>
          </w:tcPr>
          <w:p>
            <w:pPr>
              <w:spacing w:after="0"/>
              <w:rPr>
                <w:sz w:val="14"/>
                <w:szCs w:val="14"/>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3,456</w:t>
            </w:r>
          </w:p>
        </w:tc>
        <w:tc>
          <w:tcPr>
            <w:tcW w:w="1040" w:type="dxa"/>
            <w:vAlign w:val="bottom"/>
          </w:tcPr>
          <w:p>
            <w:pPr>
              <w:spacing w:after="0"/>
              <w:rPr>
                <w:sz w:val="14"/>
                <w:szCs w:val="14"/>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2,063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1,393</w:t>
            </w:r>
          </w:p>
        </w:tc>
        <w:tc>
          <w:tcPr>
            <w:tcW w:w="1220" w:type="dxa"/>
            <w:vAlign w:val="bottom"/>
          </w:tcPr>
          <w:p>
            <w:pPr>
              <w:jc w:val="right"/>
              <w:spacing w:after="0"/>
              <w:rPr>
                <w:sz w:val="20"/>
                <w:szCs w:val="20"/>
                <w:color w:val="auto"/>
              </w:rPr>
            </w:pPr>
            <w:r>
              <w:rPr>
                <w:rFonts w:ascii="Arial" w:cs="Arial" w:eastAsia="Arial" w:hAnsi="Arial"/>
                <w:sz w:val="13"/>
                <w:szCs w:val="13"/>
                <w:color w:val="auto"/>
              </w:rPr>
              <w:t>67.5 %</w:t>
            </w: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Provision for income taxes</w:t>
            </w:r>
          </w:p>
        </w:tc>
        <w:tc>
          <w:tcPr>
            <w:tcW w:w="102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763</w:t>
            </w:r>
          </w:p>
        </w:tc>
        <w:tc>
          <w:tcPr>
            <w:tcW w:w="1040" w:type="dxa"/>
            <w:vAlign w:val="bottom"/>
          </w:tcPr>
          <w:p>
            <w:pPr>
              <w:spacing w:after="0"/>
              <w:rPr>
                <w:sz w:val="15"/>
                <w:szCs w:val="15"/>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372</w:t>
            </w:r>
          </w:p>
        </w:tc>
        <w:tc>
          <w:tcPr>
            <w:tcW w:w="1220" w:type="dxa"/>
            <w:vAlign w:val="bottom"/>
          </w:tcPr>
          <w:p>
            <w:pPr>
              <w:jc w:val="right"/>
              <w:spacing w:after="0"/>
              <w:rPr>
                <w:sz w:val="20"/>
                <w:szCs w:val="20"/>
                <w:color w:val="auto"/>
              </w:rPr>
            </w:pPr>
            <w:r>
              <w:rPr>
                <w:rFonts w:ascii="Arial" w:cs="Arial" w:eastAsia="Arial" w:hAnsi="Arial"/>
                <w:sz w:val="13"/>
                <w:szCs w:val="13"/>
                <w:color w:val="auto"/>
              </w:rPr>
              <w:t>95.1 %</w:t>
            </w:r>
          </w:p>
        </w:tc>
      </w:tr>
      <w:tr>
        <w:trPr>
          <w:trHeight w:val="184"/>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Equity in net earnings of Kindred at Home (B)</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14</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w:t>
            </w:r>
          </w:p>
        </w:tc>
        <w:tc>
          <w:tcPr>
            <w:tcW w:w="1220" w:type="dxa"/>
            <w:vAlign w:val="bottom"/>
          </w:tcPr>
          <w:p>
            <w:pPr>
              <w:jc w:val="right"/>
              <w:spacing w:after="0"/>
              <w:rPr>
                <w:sz w:val="20"/>
                <w:szCs w:val="20"/>
                <w:color w:val="auto"/>
              </w:rPr>
            </w:pPr>
            <w:r>
              <w:rPr>
                <w:rFonts w:ascii="Arial" w:cs="Arial" w:eastAsia="Arial" w:hAnsi="Arial"/>
                <w:sz w:val="13"/>
                <w:szCs w:val="13"/>
                <w:color w:val="auto"/>
              </w:rPr>
              <w:t>27.3 %</w:t>
            </w: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Net income</w:t>
            </w:r>
          </w:p>
        </w:tc>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00497F"/>
              </w:rPr>
              <w:t>$</w:t>
            </w:r>
          </w:p>
        </w:tc>
        <w:tc>
          <w:tcPr>
            <w:tcW w:w="68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2,707</w:t>
            </w:r>
          </w:p>
        </w:tc>
        <w:tc>
          <w:tcPr>
            <w:tcW w:w="1040" w:type="dxa"/>
            <w:vAlign w:val="bottom"/>
            <w:tcBorders>
              <w:bottom w:val="single" w:sz="8" w:color="auto"/>
            </w:tcBorders>
          </w:tcPr>
          <w:p>
            <w:pPr>
              <w:jc w:val="right"/>
              <w:ind w:right="927"/>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1,683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1,024</w:t>
            </w:r>
          </w:p>
        </w:tc>
        <w:tc>
          <w:tcPr>
            <w:tcW w:w="1220" w:type="dxa"/>
            <w:vAlign w:val="bottom"/>
          </w:tcPr>
          <w:p>
            <w:pPr>
              <w:jc w:val="right"/>
              <w:spacing w:after="0"/>
              <w:rPr>
                <w:sz w:val="20"/>
                <w:szCs w:val="20"/>
                <w:color w:val="auto"/>
              </w:rPr>
            </w:pPr>
            <w:r>
              <w:rPr>
                <w:rFonts w:ascii="Arial" w:cs="Arial" w:eastAsia="Arial" w:hAnsi="Arial"/>
                <w:sz w:val="13"/>
                <w:szCs w:val="13"/>
                <w:color w:val="auto"/>
              </w:rPr>
              <w:t>60.8 %</w:t>
            </w:r>
          </w:p>
        </w:tc>
      </w:tr>
      <w:tr>
        <w:trPr>
          <w:trHeight w:val="299"/>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Basic earnings per common share</w:t>
            </w:r>
          </w:p>
        </w:tc>
        <w:tc>
          <w:tcPr>
            <w:tcW w:w="1020" w:type="dxa"/>
            <w:vAlign w:val="bottom"/>
          </w:tcPr>
          <w:p>
            <w:pPr>
              <w:spacing w:after="0"/>
              <w:rPr>
                <w:sz w:val="20"/>
                <w:szCs w:val="20"/>
                <w:color w:val="auto"/>
              </w:rPr>
            </w:pPr>
            <w:r>
              <w:rPr>
                <w:rFonts w:ascii="Arial" w:cs="Arial" w:eastAsia="Arial" w:hAnsi="Arial"/>
                <w:sz w:val="13"/>
                <w:szCs w:val="13"/>
                <w:b w:val="1"/>
                <w:bCs w:val="1"/>
                <w:color w:val="00497F"/>
              </w:rPr>
              <w:t>$</w:t>
            </w: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20.20</w:t>
            </w:r>
          </w:p>
        </w:tc>
        <w:tc>
          <w:tcPr>
            <w:tcW w:w="1040" w:type="dxa"/>
            <w:vAlign w:val="bottom"/>
          </w:tcPr>
          <w:p>
            <w:pPr>
              <w:jc w:val="right"/>
              <w:ind w:right="92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12.24</w:t>
            </w:r>
          </w:p>
        </w:tc>
        <w:tc>
          <w:tcPr>
            <w:tcW w:w="100" w:type="dxa"/>
            <w:vAlign w:val="bottom"/>
          </w:tcPr>
          <w:p>
            <w:pPr>
              <w:spacing w:after="0"/>
              <w:rPr>
                <w:sz w:val="24"/>
                <w:szCs w:val="2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7.96</w:t>
            </w:r>
          </w:p>
        </w:tc>
        <w:tc>
          <w:tcPr>
            <w:tcW w:w="1220" w:type="dxa"/>
            <w:vAlign w:val="bottom"/>
          </w:tcPr>
          <w:p>
            <w:pPr>
              <w:jc w:val="right"/>
              <w:spacing w:after="0"/>
              <w:rPr>
                <w:sz w:val="20"/>
                <w:szCs w:val="20"/>
                <w:color w:val="auto"/>
              </w:rPr>
            </w:pPr>
            <w:r>
              <w:rPr>
                <w:rFonts w:ascii="Arial" w:cs="Arial" w:eastAsia="Arial" w:hAnsi="Arial"/>
                <w:sz w:val="13"/>
                <w:szCs w:val="13"/>
                <w:color w:val="auto"/>
              </w:rPr>
              <w:t>65.0 %</w:t>
            </w:r>
          </w:p>
        </w:tc>
      </w:tr>
      <w:tr>
        <w:trPr>
          <w:trHeight w:val="180"/>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Diluted earnings per common share</w:t>
            </w:r>
          </w:p>
        </w:tc>
        <w:tc>
          <w:tcPr>
            <w:tcW w:w="1020" w:type="dxa"/>
            <w:vAlign w:val="bottom"/>
          </w:tcPr>
          <w:p>
            <w:pPr>
              <w:spacing w:after="0"/>
              <w:rPr>
                <w:sz w:val="20"/>
                <w:szCs w:val="20"/>
                <w:color w:val="auto"/>
              </w:rPr>
            </w:pPr>
            <w:r>
              <w:rPr>
                <w:rFonts w:ascii="Arial" w:cs="Arial" w:eastAsia="Arial" w:hAnsi="Arial"/>
                <w:sz w:val="13"/>
                <w:szCs w:val="13"/>
                <w:b w:val="1"/>
                <w:bCs w:val="1"/>
                <w:color w:val="00497F"/>
              </w:rPr>
              <w:t>$</w:t>
            </w: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20.10</w:t>
            </w:r>
          </w:p>
        </w:tc>
        <w:tc>
          <w:tcPr>
            <w:tcW w:w="1040" w:type="dxa"/>
            <w:vAlign w:val="bottom"/>
          </w:tcPr>
          <w:p>
            <w:pPr>
              <w:jc w:val="right"/>
              <w:ind w:right="92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12.16</w:t>
            </w:r>
          </w:p>
        </w:tc>
        <w:tc>
          <w:tcPr>
            <w:tcW w:w="10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7.94</w:t>
            </w:r>
          </w:p>
        </w:tc>
        <w:tc>
          <w:tcPr>
            <w:tcW w:w="1220" w:type="dxa"/>
            <w:vAlign w:val="bottom"/>
          </w:tcPr>
          <w:p>
            <w:pPr>
              <w:jc w:val="right"/>
              <w:spacing w:after="0"/>
              <w:rPr>
                <w:sz w:val="20"/>
                <w:szCs w:val="20"/>
                <w:color w:val="auto"/>
              </w:rPr>
            </w:pPr>
            <w:r>
              <w:rPr>
                <w:rFonts w:ascii="Arial" w:cs="Arial" w:eastAsia="Arial" w:hAnsi="Arial"/>
                <w:sz w:val="13"/>
                <w:szCs w:val="13"/>
                <w:color w:val="auto"/>
              </w:rPr>
              <w:t>65.3 %</w:t>
            </w:r>
          </w:p>
        </w:tc>
      </w:tr>
      <w:tr>
        <w:trPr>
          <w:trHeight w:val="324"/>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Shares used in computing basic earnings per common share (000’s)</w:t>
            </w:r>
          </w:p>
        </w:tc>
        <w:tc>
          <w:tcPr>
            <w:tcW w:w="1020" w:type="dxa"/>
            <w:vAlign w:val="bottom"/>
          </w:tcPr>
          <w:p>
            <w:pPr>
              <w:spacing w:after="0"/>
              <w:rPr>
                <w:sz w:val="24"/>
                <w:szCs w:val="24"/>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134,055</w:t>
            </w:r>
          </w:p>
        </w:tc>
        <w:tc>
          <w:tcPr>
            <w:tcW w:w="104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137,486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4"/>
        </w:trPr>
        <w:tc>
          <w:tcPr>
            <w:tcW w:w="5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Shares used in computing diluted earnings per common share (000’s)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b w:val="1"/>
                <w:bCs w:val="1"/>
                <w:color w:val="00497F"/>
              </w:rPr>
              <w:t>134,727</w:t>
            </w:r>
          </w:p>
        </w:tc>
        <w:tc>
          <w:tcPr>
            <w:tcW w:w="1040" w:type="dxa"/>
            <w:vAlign w:val="bottom"/>
          </w:tcPr>
          <w:p>
            <w:pPr>
              <w:spacing w:after="0"/>
              <w:rPr>
                <w:sz w:val="15"/>
                <w:szCs w:val="15"/>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138,403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45"/>
        </w:trPr>
        <w:tc>
          <w:tcPr>
            <w:tcW w:w="56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S-4</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80"/>
          </w:cols>
          <w:pgMar w:left="220" w:top="438" w:right="19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Humana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Dollars in millions, except share amounts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right"/>
              <w:ind w:right="172"/>
              <w:spacing w:after="0"/>
              <w:rPr>
                <w:sz w:val="20"/>
                <w:szCs w:val="20"/>
                <w:color w:val="auto"/>
              </w:rPr>
            </w:pPr>
            <w:r>
              <w:rPr>
                <w:rFonts w:ascii="Arial" w:cs="Arial" w:eastAsia="Arial" w:hAnsi="Arial"/>
                <w:sz w:val="10"/>
                <w:szCs w:val="10"/>
                <w:b w:val="1"/>
                <w:bCs w:val="1"/>
                <w:color w:val="00497F"/>
              </w:rPr>
              <w:t>December 31,</w:t>
            </w:r>
          </w:p>
        </w:tc>
        <w:tc>
          <w:tcPr>
            <w:tcW w:w="12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0"/>
                <w:szCs w:val="10"/>
                <w:color w:val="auto"/>
              </w:rPr>
              <w:t>December 31,</w:t>
            </w:r>
          </w:p>
        </w:tc>
        <w:tc>
          <w:tcPr>
            <w:tcW w:w="120" w:type="dxa"/>
            <w:vAlign w:val="bottom"/>
            <w:tcBorders>
              <w:right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right w:val="single" w:sz="8" w:color="auto"/>
            </w:tcBorders>
            <w:gridSpan w:val="2"/>
          </w:tcPr>
          <w:p>
            <w:pPr>
              <w:jc w:val="right"/>
              <w:ind w:right="512"/>
              <w:spacing w:after="0"/>
              <w:rPr>
                <w:sz w:val="20"/>
                <w:szCs w:val="20"/>
                <w:color w:val="auto"/>
              </w:rPr>
            </w:pPr>
            <w:r>
              <w:rPr>
                <w:rFonts w:ascii="Arial" w:cs="Arial" w:eastAsia="Arial" w:hAnsi="Arial"/>
                <w:sz w:val="10"/>
                <w:szCs w:val="10"/>
                <w:color w:val="auto"/>
              </w:rPr>
              <w:t>Year-to-Date Change</w:t>
            </w:r>
          </w:p>
        </w:tc>
        <w:tc>
          <w:tcPr>
            <w:tcW w:w="0" w:type="dxa"/>
            <w:vAlign w:val="bottom"/>
          </w:tcPr>
          <w:p>
            <w:pPr>
              <w:spacing w:after="0"/>
              <w:rPr>
                <w:sz w:val="1"/>
                <w:szCs w:val="1"/>
                <w:color w:val="auto"/>
              </w:rPr>
            </w:pPr>
          </w:p>
        </w:tc>
      </w:tr>
      <w:tr>
        <w:trPr>
          <w:trHeight w:val="160"/>
        </w:trPr>
        <w:tc>
          <w:tcPr>
            <w:tcW w:w="59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0"/>
                <w:szCs w:val="10"/>
                <w:b w:val="1"/>
                <w:bCs w:val="1"/>
                <w:color w:val="00497F"/>
              </w:rPr>
              <w:t>2019</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2018</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Dollar</w:t>
            </w: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Percent</w:t>
            </w:r>
          </w:p>
        </w:tc>
        <w:tc>
          <w:tcPr>
            <w:tcW w:w="0" w:type="dxa"/>
            <w:vAlign w:val="bottom"/>
          </w:tcPr>
          <w:p>
            <w:pPr>
              <w:spacing w:after="0"/>
              <w:rPr>
                <w:sz w:val="1"/>
                <w:szCs w:val="1"/>
                <w:color w:val="auto"/>
              </w:rPr>
            </w:pPr>
          </w:p>
        </w:tc>
      </w:tr>
      <w:tr>
        <w:trPr>
          <w:trHeight w:val="124"/>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b w:val="1"/>
                <w:bCs w:val="1"/>
                <w:color w:val="auto"/>
              </w:rPr>
              <w:t>Assets</w:t>
            </w: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Current assets:</w:t>
            </w: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Cash and cash equivalents</w:t>
            </w: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00497F"/>
                <w:w w:val="70"/>
              </w:rPr>
              <w:t>$</w:t>
            </w: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4,054</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2,343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Investment securities</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10,972</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10,026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Receivables, net</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1,056</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1,015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Other current assets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3,806</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3,564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960" w:type="dxa"/>
            <w:vAlign w:val="bottom"/>
            <w:tcBorders>
              <w:right w:val="single" w:sz="8" w:color="auto"/>
            </w:tcBorders>
            <w:gridSpan w:val="2"/>
          </w:tcPr>
          <w:p>
            <w:pPr>
              <w:ind w:left="440"/>
              <w:spacing w:after="0"/>
              <w:rPr>
                <w:sz w:val="20"/>
                <w:szCs w:val="20"/>
                <w:color w:val="auto"/>
              </w:rPr>
            </w:pPr>
            <w:r>
              <w:rPr>
                <w:rFonts w:ascii="Arial" w:cs="Arial" w:eastAsia="Arial" w:hAnsi="Arial"/>
                <w:sz w:val="10"/>
                <w:szCs w:val="10"/>
                <w:color w:val="auto"/>
              </w:rPr>
              <w:t>Total current assets</w:t>
            </w:r>
          </w:p>
        </w:tc>
        <w:tc>
          <w:tcPr>
            <w:tcW w:w="100" w:type="dxa"/>
            <w:vAlign w:val="bottom"/>
          </w:tcPr>
          <w:p>
            <w:pPr>
              <w:spacing w:after="0"/>
              <w:rPr>
                <w:sz w:val="13"/>
                <w:szCs w:val="13"/>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19,888</w:t>
            </w:r>
          </w:p>
        </w:tc>
        <w:tc>
          <w:tcPr>
            <w:tcW w:w="120" w:type="dxa"/>
            <w:vAlign w:val="bottom"/>
          </w:tcPr>
          <w:p>
            <w:pPr>
              <w:spacing w:after="0"/>
              <w:rPr>
                <w:sz w:val="13"/>
                <w:szCs w:val="13"/>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16,948</w:t>
            </w:r>
          </w:p>
        </w:tc>
        <w:tc>
          <w:tcPr>
            <w:tcW w:w="3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2,940</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17.3%</w:t>
            </w: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Property and equipment, net</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1,955</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1,735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Long-term investment securities</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406</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411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Goodwill</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3,928</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3,897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Equity method investment in Kindred at Home</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1,063</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1,047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Other long-term assets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1,834</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1,375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b w:val="1"/>
                <w:bCs w:val="1"/>
                <w:color w:val="00497F"/>
                <w:w w:val="70"/>
              </w:rPr>
              <w:t>$</w:t>
            </w:r>
          </w:p>
        </w:tc>
        <w:tc>
          <w:tcPr>
            <w:tcW w:w="9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29,074</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25,413</w:t>
            </w:r>
          </w:p>
        </w:tc>
        <w:tc>
          <w:tcPr>
            <w:tcW w:w="3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3,661</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14.4%</w:t>
            </w:r>
          </w:p>
        </w:tc>
        <w:tc>
          <w:tcPr>
            <w:tcW w:w="0" w:type="dxa"/>
            <w:vAlign w:val="bottom"/>
          </w:tcPr>
          <w:p>
            <w:pPr>
              <w:spacing w:after="0"/>
              <w:rPr>
                <w:sz w:val="1"/>
                <w:szCs w:val="1"/>
                <w:color w:val="auto"/>
              </w:rPr>
            </w:pPr>
          </w:p>
        </w:tc>
      </w:tr>
      <w:tr>
        <w:trPr>
          <w:trHeight w:val="118"/>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b w:val="1"/>
                <w:bCs w:val="1"/>
                <w:color w:val="auto"/>
              </w:rPr>
              <w:t>Liabilities and Stockholders’ Equity</w:t>
            </w: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Current liabilities:</w:t>
            </w:r>
          </w:p>
        </w:tc>
        <w:tc>
          <w:tcPr>
            <w:tcW w:w="1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Benefits payable</w:t>
            </w: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00497F"/>
                <w:w w:val="70"/>
              </w:rPr>
              <w:t>$</w:t>
            </w: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6,004</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4,862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Trade accounts payable and accrued expenses</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3,754</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3,067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Book overdraft</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225</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Unearned revenues</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247</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283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Short-term debt</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699</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1,694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960" w:type="dxa"/>
            <w:vAlign w:val="bottom"/>
            <w:tcBorders>
              <w:right w:val="single" w:sz="8" w:color="auto"/>
            </w:tcBorders>
            <w:gridSpan w:val="2"/>
          </w:tcPr>
          <w:p>
            <w:pPr>
              <w:ind w:left="440"/>
              <w:spacing w:after="0"/>
              <w:rPr>
                <w:sz w:val="20"/>
                <w:szCs w:val="20"/>
                <w:color w:val="auto"/>
              </w:rPr>
            </w:pPr>
            <w:r>
              <w:rPr>
                <w:rFonts w:ascii="Arial" w:cs="Arial" w:eastAsia="Arial" w:hAnsi="Arial"/>
                <w:sz w:val="10"/>
                <w:szCs w:val="10"/>
                <w:color w:val="auto"/>
              </w:rPr>
              <w:t>Total current liabilities</w:t>
            </w:r>
          </w:p>
        </w:tc>
        <w:tc>
          <w:tcPr>
            <w:tcW w:w="100" w:type="dxa"/>
            <w:vAlign w:val="bottom"/>
          </w:tcPr>
          <w:p>
            <w:pPr>
              <w:spacing w:after="0"/>
              <w:rPr>
                <w:sz w:val="13"/>
                <w:szCs w:val="13"/>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10,929</w:t>
            </w:r>
          </w:p>
        </w:tc>
        <w:tc>
          <w:tcPr>
            <w:tcW w:w="120" w:type="dxa"/>
            <w:vAlign w:val="bottom"/>
          </w:tcPr>
          <w:p>
            <w:pPr>
              <w:spacing w:after="0"/>
              <w:rPr>
                <w:sz w:val="13"/>
                <w:szCs w:val="13"/>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10,077</w:t>
            </w:r>
          </w:p>
        </w:tc>
        <w:tc>
          <w:tcPr>
            <w:tcW w:w="3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852</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8.5%</w:t>
            </w: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Long-term debt</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4,967</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4,375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Future policy benefits payable</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206</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219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Other long-term liabilities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935</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581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60" w:type="dxa"/>
            <w:vAlign w:val="bottom"/>
            <w:tcBorders>
              <w:right w:val="single" w:sz="8" w:color="auto"/>
            </w:tcBorders>
            <w:gridSpan w:val="2"/>
          </w:tcPr>
          <w:p>
            <w:pPr>
              <w:ind w:left="440"/>
              <w:spacing w:after="0"/>
              <w:rPr>
                <w:sz w:val="20"/>
                <w:szCs w:val="20"/>
                <w:color w:val="auto"/>
              </w:rPr>
            </w:pPr>
            <w:r>
              <w:rPr>
                <w:rFonts w:ascii="Arial" w:cs="Arial" w:eastAsia="Arial" w:hAnsi="Arial"/>
                <w:sz w:val="10"/>
                <w:szCs w:val="10"/>
                <w:b w:val="1"/>
                <w:bCs w:val="1"/>
                <w:color w:val="auto"/>
              </w:rPr>
              <w:t>Total liabilities</w:t>
            </w:r>
          </w:p>
        </w:tc>
        <w:tc>
          <w:tcPr>
            <w:tcW w:w="100" w:type="dxa"/>
            <w:vAlign w:val="bottom"/>
          </w:tcPr>
          <w:p>
            <w:pPr>
              <w:spacing w:after="0"/>
              <w:rPr>
                <w:sz w:val="10"/>
                <w:szCs w:val="10"/>
                <w:color w:val="auto"/>
              </w:rPr>
            </w:pPr>
          </w:p>
        </w:tc>
        <w:tc>
          <w:tcPr>
            <w:tcW w:w="90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0"/>
                <w:szCs w:val="10"/>
                <w:b w:val="1"/>
                <w:bCs w:val="1"/>
                <w:color w:val="00497F"/>
              </w:rPr>
              <w:t>17,037</w:t>
            </w:r>
          </w:p>
        </w:tc>
        <w:tc>
          <w:tcPr>
            <w:tcW w:w="12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15,252</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vMerge w:val="restart"/>
          </w:tcPr>
          <w:p>
            <w:pPr>
              <w:jc w:val="right"/>
              <w:ind w:right="172"/>
              <w:spacing w:after="0"/>
              <w:rPr>
                <w:sz w:val="20"/>
                <w:szCs w:val="20"/>
                <w:color w:val="auto"/>
              </w:rPr>
            </w:pPr>
            <w:r>
              <w:rPr>
                <w:rFonts w:ascii="Arial" w:cs="Arial" w:eastAsia="Arial" w:hAnsi="Arial"/>
                <w:sz w:val="10"/>
                <w:szCs w:val="10"/>
                <w:color w:val="auto"/>
              </w:rPr>
              <w:t>1,785</w:t>
            </w:r>
          </w:p>
        </w:tc>
        <w:tc>
          <w:tcPr>
            <w:tcW w:w="920" w:type="dxa"/>
            <w:vAlign w:val="bottom"/>
            <w:vMerge w:val="restart"/>
          </w:tcPr>
          <w:p>
            <w:pPr>
              <w:jc w:val="right"/>
              <w:ind w:right="12"/>
              <w:spacing w:after="0"/>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36"/>
        </w:trPr>
        <w:tc>
          <w:tcPr>
            <w:tcW w:w="592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32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Commitments and contingencies</w:t>
            </w: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Stockholders’ equity:</w:t>
            </w: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Preferred stock, $1 par; 10,000,000 shares authorized, none issued</w:t>
            </w:r>
          </w:p>
        </w:tc>
        <w:tc>
          <w:tcPr>
            <w:tcW w:w="100" w:type="dxa"/>
            <w:vAlign w:val="bottom"/>
          </w:tcPr>
          <w:p>
            <w:pPr>
              <w:spacing w:after="0"/>
              <w:rPr>
                <w:sz w:val="18"/>
                <w:szCs w:val="18"/>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w:t>
            </w:r>
          </w:p>
        </w:tc>
        <w:tc>
          <w:tcPr>
            <w:tcW w:w="12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Common stock, $0.16 2/3 par; 300,000,000 shares authorized; 198,629,992 issued at December 31, 2019</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33</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Capital in excess of par value</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2,820</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2,535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Retained earnings</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17,483</w:t>
            </w:r>
          </w:p>
        </w:tc>
        <w:tc>
          <w:tcPr>
            <w:tcW w:w="1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15,072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Accumulated other comprehensive income (loss)</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156</w:t>
            </w:r>
          </w:p>
        </w:tc>
        <w:tc>
          <w:tcPr>
            <w:tcW w:w="12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0"/>
                <w:szCs w:val="10"/>
                <w:color w:val="auto"/>
              </w:rPr>
              <w:t>(159)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0"/>
                <w:szCs w:val="10"/>
                <w:color w:val="auto"/>
              </w:rPr>
              <w:t>Treasury stock, at cost, 66,524,771 shares at December 31, 2019</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(8,455)</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(7,320)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60" w:type="dxa"/>
            <w:vAlign w:val="bottom"/>
            <w:tcBorders>
              <w:right w:val="single" w:sz="8" w:color="auto"/>
            </w:tcBorders>
            <w:gridSpan w:val="2"/>
          </w:tcPr>
          <w:p>
            <w:pPr>
              <w:ind w:left="440"/>
              <w:spacing w:after="0"/>
              <w:rPr>
                <w:sz w:val="20"/>
                <w:szCs w:val="20"/>
                <w:color w:val="auto"/>
              </w:rPr>
            </w:pPr>
            <w:r>
              <w:rPr>
                <w:rFonts w:ascii="Arial" w:cs="Arial" w:eastAsia="Arial" w:hAnsi="Arial"/>
                <w:sz w:val="10"/>
                <w:szCs w:val="10"/>
                <w:b w:val="1"/>
                <w:bCs w:val="1"/>
                <w:color w:val="auto"/>
              </w:rPr>
              <w:t>Total stockholders’ equity</w:t>
            </w:r>
          </w:p>
        </w:tc>
        <w:tc>
          <w:tcPr>
            <w:tcW w:w="100" w:type="dxa"/>
            <w:vAlign w:val="bottom"/>
          </w:tcPr>
          <w:p>
            <w:pPr>
              <w:spacing w:after="0"/>
              <w:rPr>
                <w:sz w:val="10"/>
                <w:szCs w:val="10"/>
                <w:color w:val="auto"/>
              </w:rPr>
            </w:pPr>
          </w:p>
        </w:tc>
        <w:tc>
          <w:tcPr>
            <w:tcW w:w="90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0"/>
                <w:szCs w:val="10"/>
                <w:b w:val="1"/>
                <w:bCs w:val="1"/>
                <w:color w:val="00497F"/>
              </w:rPr>
              <w:t>12,037</w:t>
            </w:r>
          </w:p>
        </w:tc>
        <w:tc>
          <w:tcPr>
            <w:tcW w:w="12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10,161</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vMerge w:val="restart"/>
          </w:tcPr>
          <w:p>
            <w:pPr>
              <w:jc w:val="right"/>
              <w:ind w:right="172"/>
              <w:spacing w:after="0"/>
              <w:rPr>
                <w:sz w:val="20"/>
                <w:szCs w:val="20"/>
                <w:color w:val="auto"/>
              </w:rPr>
            </w:pPr>
            <w:r>
              <w:rPr>
                <w:rFonts w:ascii="Arial" w:cs="Arial" w:eastAsia="Arial" w:hAnsi="Arial"/>
                <w:sz w:val="10"/>
                <w:szCs w:val="10"/>
                <w:color w:val="auto"/>
              </w:rPr>
              <w:t>1,876</w:t>
            </w:r>
          </w:p>
        </w:tc>
        <w:tc>
          <w:tcPr>
            <w:tcW w:w="920" w:type="dxa"/>
            <w:vAlign w:val="bottom"/>
            <w:vMerge w:val="restart"/>
          </w:tcPr>
          <w:p>
            <w:pPr>
              <w:jc w:val="right"/>
              <w:ind w:right="12"/>
              <w:spacing w:after="0"/>
              <w:rPr>
                <w:sz w:val="20"/>
                <w:szCs w:val="20"/>
                <w:color w:val="auto"/>
              </w:rPr>
            </w:pPr>
            <w:r>
              <w:rPr>
                <w:rFonts w:ascii="Arial" w:cs="Arial" w:eastAsia="Arial" w:hAnsi="Arial"/>
                <w:sz w:val="10"/>
                <w:szCs w:val="10"/>
                <w:color w:val="auto"/>
              </w:rPr>
              <w:t>18.5%</w:t>
            </w:r>
          </w:p>
        </w:tc>
        <w:tc>
          <w:tcPr>
            <w:tcW w:w="0" w:type="dxa"/>
            <w:vAlign w:val="bottom"/>
          </w:tcPr>
          <w:p>
            <w:pPr>
              <w:spacing w:after="0"/>
              <w:rPr>
                <w:sz w:val="1"/>
                <w:szCs w:val="1"/>
                <w:color w:val="auto"/>
              </w:rPr>
            </w:pPr>
          </w:p>
        </w:tc>
      </w:tr>
      <w:tr>
        <w:trPr>
          <w:trHeight w:val="40"/>
        </w:trPr>
        <w:tc>
          <w:tcPr>
            <w:tcW w:w="592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32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0"/>
                <w:szCs w:val="10"/>
                <w:b w:val="1"/>
                <w:bCs w:val="1"/>
                <w:color w:val="auto"/>
              </w:rPr>
              <w:t>Total liabilities and stockholders’ equity</w:t>
            </w:r>
          </w:p>
        </w:tc>
        <w:tc>
          <w:tcPr>
            <w:tcW w:w="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b w:val="1"/>
                <w:bCs w:val="1"/>
                <w:color w:val="00497F"/>
                <w:w w:val="70"/>
              </w:rPr>
              <w:t>$</w:t>
            </w:r>
          </w:p>
        </w:tc>
        <w:tc>
          <w:tcPr>
            <w:tcW w:w="9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29,074</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25,413</w:t>
            </w:r>
          </w:p>
        </w:tc>
        <w:tc>
          <w:tcPr>
            <w:tcW w:w="3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3,661</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14.4%</w:t>
            </w:r>
          </w:p>
        </w:tc>
        <w:tc>
          <w:tcPr>
            <w:tcW w:w="0" w:type="dxa"/>
            <w:vAlign w:val="bottom"/>
          </w:tcPr>
          <w:p>
            <w:pPr>
              <w:spacing w:after="0"/>
              <w:rPr>
                <w:sz w:val="1"/>
                <w:szCs w:val="1"/>
                <w:color w:val="auto"/>
              </w:rPr>
            </w:pPr>
          </w:p>
        </w:tc>
      </w:tr>
      <w:tr>
        <w:trPr>
          <w:trHeight w:val="154"/>
        </w:trPr>
        <w:tc>
          <w:tcPr>
            <w:tcW w:w="5960" w:type="dxa"/>
            <w:vAlign w:val="bottom"/>
            <w:gridSpan w:val="2"/>
          </w:tcPr>
          <w:p>
            <w:pPr>
              <w:spacing w:after="0"/>
              <w:rPr>
                <w:sz w:val="20"/>
                <w:szCs w:val="20"/>
                <w:color w:val="auto"/>
              </w:rPr>
            </w:pPr>
            <w:r>
              <w:rPr>
                <w:rFonts w:ascii="Arial" w:cs="Arial" w:eastAsia="Arial" w:hAnsi="Arial"/>
                <w:sz w:val="10"/>
                <w:szCs w:val="10"/>
                <w:color w:val="auto"/>
              </w:rPr>
              <w:t>Debt-to-total capitalization ratio</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32.0%</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37.4%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S-5</w:t>
      </w:r>
    </w:p>
    <w:p>
      <w:pPr>
        <w:sectPr>
          <w:pgSz w:w="11900" w:h="16838" w:orient="portrait"/>
          <w:cols w:equalWidth="0" w:num="1">
            <w:col w:w="10239"/>
          </w:cols>
          <w:pgMar w:left="220" w:top="434"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Humana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millions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0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440" w:type="dxa"/>
            <w:vAlign w:val="bottom"/>
            <w:tcBorders>
              <w:top w:val="single" w:sz="8" w:color="auto"/>
              <w:bottom w:val="single" w:sz="8" w:color="auto"/>
              <w:right w:val="single" w:sz="8" w:color="auto"/>
            </w:tcBorders>
            <w:gridSpan w:val="4"/>
          </w:tcPr>
          <w:p>
            <w:pPr>
              <w:jc w:val="right"/>
              <w:ind w:right="232"/>
              <w:spacing w:after="0"/>
              <w:rPr>
                <w:sz w:val="20"/>
                <w:szCs w:val="20"/>
                <w:color w:val="auto"/>
              </w:rPr>
            </w:pPr>
            <w:r>
              <w:rPr>
                <w:rFonts w:ascii="Arial" w:cs="Arial" w:eastAsia="Arial" w:hAnsi="Arial"/>
                <w:sz w:val="10"/>
                <w:szCs w:val="10"/>
                <w:b w:val="1"/>
                <w:bCs w:val="1"/>
                <w:color w:val="auto"/>
              </w:rPr>
              <w:t>For the three months ended December 31,</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5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72"/>
              <w:spacing w:after="0"/>
              <w:rPr>
                <w:sz w:val="20"/>
                <w:szCs w:val="20"/>
                <w:color w:val="auto"/>
              </w:rPr>
            </w:pPr>
            <w:r>
              <w:rPr>
                <w:rFonts w:ascii="Arial" w:cs="Arial" w:eastAsia="Arial" w:hAnsi="Arial"/>
                <w:sz w:val="10"/>
                <w:szCs w:val="10"/>
                <w:color w:val="auto"/>
              </w:rPr>
              <w:t>Dollar</w:t>
            </w:r>
          </w:p>
        </w:tc>
        <w:tc>
          <w:tcPr>
            <w:tcW w:w="860" w:type="dxa"/>
            <w:vAlign w:val="bottom"/>
          </w:tcPr>
          <w:p>
            <w:pPr>
              <w:jc w:val="right"/>
              <w:ind w:right="172"/>
              <w:spacing w:after="0"/>
              <w:rPr>
                <w:sz w:val="20"/>
                <w:szCs w:val="20"/>
                <w:color w:val="auto"/>
              </w:rPr>
            </w:pPr>
            <w:r>
              <w:rPr>
                <w:rFonts w:ascii="Arial" w:cs="Arial" w:eastAsia="Arial" w:hAnsi="Arial"/>
                <w:sz w:val="10"/>
                <w:szCs w:val="10"/>
                <w:color w:val="auto"/>
              </w:rPr>
              <w:t>Percentage</w:t>
            </w:r>
          </w:p>
        </w:tc>
      </w:tr>
      <w:tr>
        <w:trPr>
          <w:trHeight w:val="156"/>
        </w:trPr>
        <w:tc>
          <w:tcPr>
            <w:tcW w:w="50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2019</w:t>
            </w:r>
          </w:p>
        </w:tc>
        <w:tc>
          <w:tcPr>
            <w:tcW w:w="4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2018</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Change</w:t>
            </w: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Change</w:t>
            </w:r>
          </w:p>
        </w:tc>
      </w:tr>
      <w:tr>
        <w:trPr>
          <w:trHeight w:val="124"/>
        </w:trPr>
        <w:tc>
          <w:tcPr>
            <w:tcW w:w="5080" w:type="dxa"/>
            <w:vAlign w:val="bottom"/>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6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25"/>
        </w:trPr>
        <w:tc>
          <w:tcPr>
            <w:tcW w:w="5080" w:type="dxa"/>
            <w:vAlign w:val="bottom"/>
          </w:tcPr>
          <w:p>
            <w:pPr>
              <w:ind w:left="220"/>
              <w:spacing w:after="0"/>
              <w:rPr>
                <w:sz w:val="20"/>
                <w:szCs w:val="20"/>
                <w:color w:val="auto"/>
              </w:rPr>
            </w:pPr>
            <w:r>
              <w:rPr>
                <w:rFonts w:ascii="Arial" w:cs="Arial" w:eastAsia="Arial" w:hAnsi="Arial"/>
                <w:sz w:val="10"/>
                <w:szCs w:val="10"/>
                <w:color w:val="auto"/>
              </w:rPr>
              <w:t>Net income</w:t>
            </w:r>
          </w:p>
        </w:tc>
        <w:tc>
          <w:tcPr>
            <w:tcW w:w="660" w:type="dxa"/>
            <w:vAlign w:val="bottom"/>
            <w:tcBorders>
              <w:right w:val="single" w:sz="8" w:color="auto"/>
            </w:tcBorders>
          </w:tcPr>
          <w:p>
            <w:pPr>
              <w:spacing w:after="0"/>
              <w:rPr>
                <w:sz w:val="19"/>
                <w:szCs w:val="19"/>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b w:val="1"/>
                <w:bCs w:val="1"/>
                <w:color w:val="00497F"/>
                <w:w w:val="71"/>
              </w:rPr>
              <w:t>$</w:t>
            </w: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512</w:t>
            </w: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355</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Adjustments to reconcile net income to net cash provided by (used in) operating activities: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Depreciation</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123</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114</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Amortization</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17</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Net realized capital gains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(39)</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Equity in net losses (earnings) of Kindred at Home</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2</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(2)</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Stock-based compensation</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44</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32</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Provision for deferred income taxes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183</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29</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4"/>
        </w:trPr>
        <w:tc>
          <w:tcPr>
            <w:tcW w:w="5080" w:type="dxa"/>
            <w:vAlign w:val="bottom"/>
          </w:tcPr>
          <w:p>
            <w:pPr>
              <w:ind w:left="440"/>
              <w:spacing w:after="0"/>
              <w:rPr>
                <w:sz w:val="20"/>
                <w:szCs w:val="20"/>
                <w:color w:val="auto"/>
              </w:rPr>
            </w:pPr>
            <w:r>
              <w:rPr>
                <w:rFonts w:ascii="Arial" w:cs="Arial" w:eastAsia="Arial" w:hAnsi="Arial"/>
                <w:sz w:val="10"/>
                <w:szCs w:val="10"/>
                <w:color w:val="auto"/>
              </w:rPr>
              <w:t>Changes in operating assets and liabilities, net of effect of businesses acquired and dispositions:</w:t>
            </w:r>
          </w:p>
        </w:tc>
        <w:tc>
          <w:tcPr>
            <w:tcW w:w="6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5080" w:type="dxa"/>
            <w:vAlign w:val="bottom"/>
          </w:tcPr>
          <w:p>
            <w:pPr>
              <w:ind w:left="720"/>
              <w:spacing w:after="0"/>
              <w:rPr>
                <w:sz w:val="20"/>
                <w:szCs w:val="20"/>
                <w:color w:val="auto"/>
              </w:rPr>
            </w:pPr>
            <w:r>
              <w:rPr>
                <w:rFonts w:ascii="Arial" w:cs="Arial" w:eastAsia="Arial" w:hAnsi="Arial"/>
                <w:sz w:val="10"/>
                <w:szCs w:val="10"/>
                <w:color w:val="auto"/>
              </w:rPr>
              <w:t>Receivables</w:t>
            </w:r>
          </w:p>
        </w:tc>
        <w:tc>
          <w:tcPr>
            <w:tcW w:w="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(211)</w:t>
            </w:r>
          </w:p>
        </w:tc>
        <w:tc>
          <w:tcPr>
            <w:tcW w:w="760" w:type="dxa"/>
            <w:vAlign w:val="bottom"/>
          </w:tcPr>
          <w:p>
            <w:pPr>
              <w:spacing w:after="0"/>
              <w:rPr>
                <w:sz w:val="18"/>
                <w:szCs w:val="18"/>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47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0"/>
        </w:trPr>
        <w:tc>
          <w:tcPr>
            <w:tcW w:w="5080" w:type="dxa"/>
            <w:vAlign w:val="bottom"/>
          </w:tcPr>
          <w:p>
            <w:pPr>
              <w:ind w:left="720"/>
              <w:spacing w:after="0"/>
              <w:rPr>
                <w:sz w:val="20"/>
                <w:szCs w:val="20"/>
                <w:color w:val="auto"/>
              </w:rPr>
            </w:pPr>
            <w:r>
              <w:rPr>
                <w:rFonts w:ascii="Arial" w:cs="Arial" w:eastAsia="Arial" w:hAnsi="Arial"/>
                <w:sz w:val="10"/>
                <w:szCs w:val="10"/>
                <w:color w:val="auto"/>
              </w:rPr>
              <w:t>Other assets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(216)</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455</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720"/>
              <w:spacing w:after="0"/>
              <w:rPr>
                <w:sz w:val="20"/>
                <w:szCs w:val="20"/>
                <w:color w:val="auto"/>
              </w:rPr>
            </w:pPr>
            <w:r>
              <w:rPr>
                <w:rFonts w:ascii="Arial" w:cs="Arial" w:eastAsia="Arial" w:hAnsi="Arial"/>
                <w:sz w:val="10"/>
                <w:szCs w:val="10"/>
                <w:color w:val="auto"/>
              </w:rPr>
              <w:t>Benefits payable</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(216)</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(158)</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720"/>
              <w:spacing w:after="0"/>
              <w:rPr>
                <w:sz w:val="20"/>
                <w:szCs w:val="20"/>
                <w:color w:val="auto"/>
              </w:rPr>
            </w:pPr>
            <w:r>
              <w:rPr>
                <w:rFonts w:ascii="Arial" w:cs="Arial" w:eastAsia="Arial" w:hAnsi="Arial"/>
                <w:sz w:val="10"/>
                <w:szCs w:val="10"/>
                <w:color w:val="auto"/>
              </w:rPr>
              <w:t>Other liabilities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303</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(1,224)</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720"/>
              <w:spacing w:after="0"/>
              <w:rPr>
                <w:sz w:val="20"/>
                <w:szCs w:val="20"/>
                <w:color w:val="auto"/>
              </w:rPr>
            </w:pPr>
            <w:r>
              <w:rPr>
                <w:rFonts w:ascii="Arial" w:cs="Arial" w:eastAsia="Arial" w:hAnsi="Arial"/>
                <w:sz w:val="10"/>
                <w:szCs w:val="10"/>
                <w:color w:val="auto"/>
              </w:rPr>
              <w:t>Unearned revenues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(27)</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(11)</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5080" w:type="dxa"/>
            <w:vAlign w:val="bottom"/>
          </w:tcPr>
          <w:p>
            <w:pPr>
              <w:ind w:left="440"/>
              <w:spacing w:after="0"/>
              <w:rPr>
                <w:sz w:val="20"/>
                <w:szCs w:val="20"/>
                <w:color w:val="auto"/>
              </w:rPr>
            </w:pPr>
            <w:r>
              <w:rPr>
                <w:rFonts w:ascii="Arial" w:cs="Arial" w:eastAsia="Arial" w:hAnsi="Arial"/>
                <w:sz w:val="10"/>
                <w:szCs w:val="10"/>
                <w:color w:val="auto"/>
              </w:rPr>
              <w:t>Other, net</w:t>
            </w:r>
          </w:p>
        </w:tc>
        <w:tc>
          <w:tcPr>
            <w:tcW w:w="66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37</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56"/>
        </w:trPr>
        <w:tc>
          <w:tcPr>
            <w:tcW w:w="5080" w:type="dxa"/>
            <w:vAlign w:val="bottom"/>
          </w:tcPr>
          <w:p>
            <w:pPr>
              <w:spacing w:after="0"/>
              <w:rPr>
                <w:sz w:val="20"/>
                <w:szCs w:val="20"/>
                <w:color w:val="auto"/>
              </w:rPr>
            </w:pPr>
            <w:r>
              <w:rPr>
                <w:rFonts w:ascii="Arial" w:cs="Arial" w:eastAsia="Arial" w:hAnsi="Arial"/>
                <w:sz w:val="10"/>
                <w:szCs w:val="10"/>
                <w:b w:val="1"/>
                <w:bCs w:val="1"/>
                <w:color w:val="auto"/>
              </w:rPr>
              <w:t>Net cash provided by (used in) operating activities</w:t>
            </w:r>
          </w:p>
        </w:tc>
        <w:tc>
          <w:tcPr>
            <w:tcW w:w="66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512</w:t>
            </w: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(333)</w:t>
            </w:r>
          </w:p>
        </w:tc>
        <w:tc>
          <w:tcPr>
            <w:tcW w:w="1160" w:type="dxa"/>
            <w:vAlign w:val="bottom"/>
            <w:gridSpan w:val="2"/>
          </w:tcPr>
          <w:p>
            <w:pPr>
              <w:jc w:val="right"/>
              <w:ind w:right="132"/>
              <w:spacing w:after="0"/>
              <w:rPr>
                <w:sz w:val="20"/>
                <w:szCs w:val="20"/>
                <w:color w:val="auto"/>
              </w:rPr>
            </w:pPr>
            <w:r>
              <w:rPr>
                <w:rFonts w:ascii="Arial" w:cs="Arial" w:eastAsia="Arial" w:hAnsi="Arial"/>
                <w:sz w:val="10"/>
                <w:szCs w:val="10"/>
                <w:color w:val="auto"/>
              </w:rPr>
              <w:t>$845</w:t>
            </w:r>
          </w:p>
        </w:tc>
        <w:tc>
          <w:tcPr>
            <w:tcW w:w="860" w:type="dxa"/>
            <w:vAlign w:val="bottom"/>
          </w:tcPr>
          <w:p>
            <w:pPr>
              <w:jc w:val="right"/>
              <w:spacing w:after="0"/>
              <w:rPr>
                <w:sz w:val="20"/>
                <w:szCs w:val="20"/>
                <w:color w:val="auto"/>
              </w:rPr>
            </w:pPr>
            <w:r>
              <w:rPr>
                <w:rFonts w:ascii="Arial" w:cs="Arial" w:eastAsia="Arial" w:hAnsi="Arial"/>
                <w:sz w:val="10"/>
                <w:szCs w:val="10"/>
                <w:color w:val="auto"/>
              </w:rPr>
              <w:t>253.8 %</w:t>
            </w:r>
          </w:p>
        </w:tc>
      </w:tr>
      <w:tr>
        <w:trPr>
          <w:trHeight w:val="124"/>
        </w:trPr>
        <w:tc>
          <w:tcPr>
            <w:tcW w:w="508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6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25"/>
        </w:trPr>
        <w:tc>
          <w:tcPr>
            <w:tcW w:w="5080" w:type="dxa"/>
            <w:vAlign w:val="bottom"/>
          </w:tcPr>
          <w:p>
            <w:pPr>
              <w:ind w:left="220"/>
              <w:spacing w:after="0"/>
              <w:rPr>
                <w:sz w:val="20"/>
                <w:szCs w:val="20"/>
                <w:color w:val="auto"/>
              </w:rPr>
            </w:pPr>
            <w:r>
              <w:rPr>
                <w:rFonts w:ascii="Arial" w:cs="Arial" w:eastAsia="Arial" w:hAnsi="Arial"/>
                <w:sz w:val="10"/>
                <w:szCs w:val="10"/>
                <w:color w:val="auto"/>
              </w:rPr>
              <w:t>Purchases of property and equipment, net</w:t>
            </w:r>
          </w:p>
        </w:tc>
        <w:tc>
          <w:tcPr>
            <w:tcW w:w="6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(230)</w:t>
            </w:r>
          </w:p>
        </w:tc>
        <w:tc>
          <w:tcPr>
            <w:tcW w:w="760" w:type="dxa"/>
            <w:vAlign w:val="bottom"/>
          </w:tcPr>
          <w:p>
            <w:pPr>
              <w:spacing w:after="0"/>
              <w:rPr>
                <w:sz w:val="19"/>
                <w:szCs w:val="19"/>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(176)</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Purchases of investment securities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(2,231)</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(1,308)</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Maturities of investment securities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452</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157</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5080" w:type="dxa"/>
            <w:vAlign w:val="bottom"/>
          </w:tcPr>
          <w:p>
            <w:pPr>
              <w:ind w:left="220"/>
              <w:spacing w:after="0"/>
              <w:rPr>
                <w:sz w:val="20"/>
                <w:szCs w:val="20"/>
                <w:color w:val="auto"/>
              </w:rPr>
            </w:pPr>
            <w:r>
              <w:rPr>
                <w:rFonts w:ascii="Arial" w:cs="Arial" w:eastAsia="Arial" w:hAnsi="Arial"/>
                <w:sz w:val="10"/>
                <w:szCs w:val="10"/>
                <w:color w:val="auto"/>
              </w:rPr>
              <w:t>Proceeds from sales of investment securities</w:t>
            </w:r>
          </w:p>
        </w:tc>
        <w:tc>
          <w:tcPr>
            <w:tcW w:w="66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1,208</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880</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56"/>
        </w:trPr>
        <w:tc>
          <w:tcPr>
            <w:tcW w:w="5080" w:type="dxa"/>
            <w:vAlign w:val="bottom"/>
          </w:tcPr>
          <w:p>
            <w:pPr>
              <w:spacing w:after="0"/>
              <w:rPr>
                <w:sz w:val="20"/>
                <w:szCs w:val="20"/>
                <w:color w:val="auto"/>
              </w:rPr>
            </w:pPr>
            <w:r>
              <w:rPr>
                <w:rFonts w:ascii="Arial" w:cs="Arial" w:eastAsia="Arial" w:hAnsi="Arial"/>
                <w:sz w:val="10"/>
                <w:szCs w:val="10"/>
                <w:b w:val="1"/>
                <w:bCs w:val="1"/>
                <w:color w:val="auto"/>
              </w:rPr>
              <w:t>Net cash used in investing activities</w:t>
            </w:r>
          </w:p>
        </w:tc>
        <w:tc>
          <w:tcPr>
            <w:tcW w:w="66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(801)</w:t>
            </w: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(447)</w:t>
            </w:r>
          </w:p>
        </w:tc>
        <w:tc>
          <w:tcPr>
            <w:tcW w:w="1160" w:type="dxa"/>
            <w:vAlign w:val="bottom"/>
            <w:gridSpan w:val="2"/>
          </w:tcPr>
          <w:p>
            <w:pPr>
              <w:jc w:val="right"/>
              <w:ind w:right="92"/>
              <w:spacing w:after="0"/>
              <w:rPr>
                <w:sz w:val="20"/>
                <w:szCs w:val="20"/>
                <w:color w:val="auto"/>
              </w:rPr>
            </w:pPr>
            <w:r>
              <w:rPr>
                <w:rFonts w:ascii="Arial" w:cs="Arial" w:eastAsia="Arial" w:hAnsi="Arial"/>
                <w:sz w:val="10"/>
                <w:szCs w:val="10"/>
                <w:color w:val="auto"/>
              </w:rPr>
              <w:t>($354)</w:t>
            </w:r>
          </w:p>
        </w:tc>
        <w:tc>
          <w:tcPr>
            <w:tcW w:w="860" w:type="dxa"/>
            <w:vAlign w:val="bottom"/>
          </w:tcPr>
          <w:p>
            <w:pPr>
              <w:jc w:val="right"/>
              <w:spacing w:after="0"/>
              <w:rPr>
                <w:sz w:val="20"/>
                <w:szCs w:val="20"/>
                <w:color w:val="auto"/>
              </w:rPr>
            </w:pPr>
            <w:r>
              <w:rPr>
                <w:rFonts w:ascii="Arial" w:cs="Arial" w:eastAsia="Arial" w:hAnsi="Arial"/>
                <w:sz w:val="10"/>
                <w:szCs w:val="10"/>
                <w:color w:val="auto"/>
              </w:rPr>
              <w:t>-79.2 %</w:t>
            </w:r>
          </w:p>
        </w:tc>
      </w:tr>
      <w:tr>
        <w:trPr>
          <w:trHeight w:val="124"/>
        </w:trPr>
        <w:tc>
          <w:tcPr>
            <w:tcW w:w="508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6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25"/>
        </w:trPr>
        <w:tc>
          <w:tcPr>
            <w:tcW w:w="5080" w:type="dxa"/>
            <w:vAlign w:val="bottom"/>
          </w:tcPr>
          <w:p>
            <w:pPr>
              <w:ind w:left="220"/>
              <w:spacing w:after="0"/>
              <w:rPr>
                <w:sz w:val="20"/>
                <w:szCs w:val="20"/>
                <w:color w:val="auto"/>
              </w:rPr>
            </w:pPr>
            <w:r>
              <w:rPr>
                <w:rFonts w:ascii="Arial" w:cs="Arial" w:eastAsia="Arial" w:hAnsi="Arial"/>
                <w:sz w:val="10"/>
                <w:szCs w:val="10"/>
                <w:color w:val="auto"/>
              </w:rPr>
              <w:t>Withdrawals from contract deposits, net</w:t>
            </w:r>
          </w:p>
        </w:tc>
        <w:tc>
          <w:tcPr>
            <w:tcW w:w="6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(634)</w:t>
            </w:r>
          </w:p>
        </w:tc>
        <w:tc>
          <w:tcPr>
            <w:tcW w:w="760" w:type="dxa"/>
            <w:vAlign w:val="bottom"/>
          </w:tcPr>
          <w:p>
            <w:pPr>
              <w:spacing w:after="0"/>
              <w:rPr>
                <w:sz w:val="19"/>
                <w:szCs w:val="19"/>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(1,018)</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(Repayment) proceeds from issuance of commercial paper, net</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245</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Repayment of senior notes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(400)</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Proceeds from issuance of term loan</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w:t>
            </w:r>
          </w:p>
        </w:tc>
        <w:tc>
          <w:tcPr>
            <w:tcW w:w="76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1,000</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Repayment of term loan</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(350)</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Change in book overdraft</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(48)</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(28)</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Common stock repurchases</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(60)</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(796)</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Dividends paid</w:t>
            </w:r>
          </w:p>
        </w:tc>
        <w:tc>
          <w:tcPr>
            <w:tcW w:w="6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(75)</w:t>
            </w:r>
          </w:p>
        </w:tc>
        <w:tc>
          <w:tcPr>
            <w:tcW w:w="7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(70)</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5080" w:type="dxa"/>
            <w:vAlign w:val="bottom"/>
          </w:tcPr>
          <w:p>
            <w:pPr>
              <w:ind w:left="220"/>
              <w:spacing w:after="0"/>
              <w:rPr>
                <w:sz w:val="20"/>
                <w:szCs w:val="20"/>
                <w:color w:val="auto"/>
              </w:rPr>
            </w:pPr>
            <w:r>
              <w:rPr>
                <w:rFonts w:ascii="Arial" w:cs="Arial" w:eastAsia="Arial" w:hAnsi="Arial"/>
                <w:sz w:val="10"/>
                <w:szCs w:val="10"/>
                <w:color w:val="auto"/>
              </w:rPr>
              <w:t>Proceeds from stock option exercises and other</w:t>
            </w:r>
          </w:p>
        </w:tc>
        <w:tc>
          <w:tcPr>
            <w:tcW w:w="66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35</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0"/>
        </w:trPr>
        <w:tc>
          <w:tcPr>
            <w:tcW w:w="5080" w:type="dxa"/>
            <w:vAlign w:val="bottom"/>
          </w:tcPr>
          <w:p>
            <w:pPr>
              <w:spacing w:after="0"/>
              <w:rPr>
                <w:sz w:val="20"/>
                <w:szCs w:val="20"/>
                <w:color w:val="auto"/>
              </w:rPr>
            </w:pPr>
            <w:r>
              <w:rPr>
                <w:rFonts w:ascii="Arial" w:cs="Arial" w:eastAsia="Arial" w:hAnsi="Arial"/>
                <w:sz w:val="10"/>
                <w:szCs w:val="10"/>
                <w:b w:val="1"/>
                <w:bCs w:val="1"/>
                <w:color w:val="auto"/>
              </w:rPr>
              <w:t>Net cash used in financing activities</w:t>
            </w:r>
          </w:p>
        </w:tc>
        <w:tc>
          <w:tcPr>
            <w:tcW w:w="66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(1,184)</w:t>
            </w: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(1,019)</w:t>
            </w:r>
          </w:p>
        </w:tc>
        <w:tc>
          <w:tcPr>
            <w:tcW w:w="1160" w:type="dxa"/>
            <w:vAlign w:val="bottom"/>
            <w:gridSpan w:val="2"/>
          </w:tcPr>
          <w:p>
            <w:pPr>
              <w:jc w:val="right"/>
              <w:ind w:right="92"/>
              <w:spacing w:after="0"/>
              <w:rPr>
                <w:sz w:val="20"/>
                <w:szCs w:val="20"/>
                <w:color w:val="auto"/>
              </w:rPr>
            </w:pPr>
            <w:r>
              <w:rPr>
                <w:rFonts w:ascii="Arial" w:cs="Arial" w:eastAsia="Arial" w:hAnsi="Arial"/>
                <w:sz w:val="10"/>
                <w:szCs w:val="10"/>
                <w:color w:val="auto"/>
              </w:rPr>
              <w:t>($165)</w:t>
            </w:r>
          </w:p>
        </w:tc>
        <w:tc>
          <w:tcPr>
            <w:tcW w:w="860" w:type="dxa"/>
            <w:vAlign w:val="bottom"/>
          </w:tcPr>
          <w:p>
            <w:pPr>
              <w:jc w:val="right"/>
              <w:spacing w:after="0"/>
              <w:rPr>
                <w:sz w:val="20"/>
                <w:szCs w:val="20"/>
                <w:color w:val="auto"/>
              </w:rPr>
            </w:pPr>
            <w:r>
              <w:rPr>
                <w:rFonts w:ascii="Arial" w:cs="Arial" w:eastAsia="Arial" w:hAnsi="Arial"/>
                <w:sz w:val="10"/>
                <w:szCs w:val="10"/>
                <w:color w:val="auto"/>
              </w:rPr>
              <w:t>-16.2 %</w:t>
            </w:r>
          </w:p>
        </w:tc>
      </w:tr>
      <w:tr>
        <w:trPr>
          <w:trHeight w:val="156"/>
        </w:trPr>
        <w:tc>
          <w:tcPr>
            <w:tcW w:w="5080" w:type="dxa"/>
            <w:vAlign w:val="bottom"/>
          </w:tcPr>
          <w:p>
            <w:pPr>
              <w:spacing w:after="0"/>
              <w:rPr>
                <w:sz w:val="20"/>
                <w:szCs w:val="20"/>
                <w:color w:val="auto"/>
              </w:rPr>
            </w:pPr>
            <w:r>
              <w:rPr>
                <w:rFonts w:ascii="Arial" w:cs="Arial" w:eastAsia="Arial" w:hAnsi="Arial"/>
                <w:sz w:val="10"/>
                <w:szCs w:val="10"/>
                <w:color w:val="auto"/>
              </w:rPr>
              <w:t>Decrease in cash and cash equivalents</w:t>
            </w:r>
          </w:p>
        </w:tc>
        <w:tc>
          <w:tcPr>
            <w:tcW w:w="6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(1,473)</w:t>
            </w:r>
          </w:p>
        </w:tc>
        <w:tc>
          <w:tcPr>
            <w:tcW w:w="760" w:type="dxa"/>
            <w:vAlign w:val="bottom"/>
          </w:tcPr>
          <w:p>
            <w:pPr>
              <w:spacing w:after="0"/>
              <w:rPr>
                <w:sz w:val="13"/>
                <w:szCs w:val="13"/>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(1,799)</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4"/>
        </w:trPr>
        <w:tc>
          <w:tcPr>
            <w:tcW w:w="5080" w:type="dxa"/>
            <w:vAlign w:val="bottom"/>
          </w:tcPr>
          <w:p>
            <w:pPr>
              <w:spacing w:after="0"/>
              <w:rPr>
                <w:sz w:val="20"/>
                <w:szCs w:val="20"/>
                <w:color w:val="auto"/>
              </w:rPr>
            </w:pPr>
            <w:r>
              <w:rPr>
                <w:rFonts w:ascii="Arial" w:cs="Arial" w:eastAsia="Arial" w:hAnsi="Arial"/>
                <w:sz w:val="10"/>
                <w:szCs w:val="10"/>
                <w:color w:val="auto"/>
              </w:rPr>
              <w:t>Cash and cash equivalents at beginning of period</w:t>
            </w:r>
          </w:p>
        </w:tc>
        <w:tc>
          <w:tcPr>
            <w:tcW w:w="66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5,527</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4,142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0"/>
                <w:szCs w:val="10"/>
                <w:b w:val="1"/>
                <w:bCs w:val="1"/>
                <w:color w:val="auto"/>
              </w:rPr>
              <w:t>Cash and cash equivalents at end of period</w:t>
            </w:r>
          </w:p>
        </w:tc>
        <w:tc>
          <w:tcPr>
            <w:tcW w:w="660" w:type="dxa"/>
            <w:vAlign w:val="bottom"/>
            <w:tcBorders>
              <w:right w:val="single" w:sz="8" w:color="auto"/>
            </w:tcBorders>
          </w:tcPr>
          <w:p>
            <w:pPr>
              <w:spacing w:after="0"/>
              <w:rPr>
                <w:sz w:val="14"/>
                <w:szCs w:val="14"/>
                <w:color w:val="auto"/>
              </w:rPr>
            </w:pPr>
          </w:p>
        </w:tc>
        <w:tc>
          <w:tcPr>
            <w:tcW w:w="76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b w:val="1"/>
                <w:bCs w:val="1"/>
                <w:color w:val="00497F"/>
                <w:w w:val="71"/>
              </w:rPr>
              <w:t>$</w:t>
            </w: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4,054</w:t>
            </w:r>
          </w:p>
        </w:tc>
        <w:tc>
          <w:tcPr>
            <w:tcW w:w="76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2,343</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9"/>
        </w:trPr>
        <w:tc>
          <w:tcPr>
            <w:tcW w:w="5080" w:type="dxa"/>
            <w:vAlign w:val="bottom"/>
          </w:tcPr>
          <w:p>
            <w:pPr>
              <w:spacing w:after="0"/>
              <w:rPr>
                <w:sz w:val="24"/>
                <w:szCs w:val="24"/>
                <w:color w:val="auto"/>
              </w:rPr>
            </w:pPr>
          </w:p>
        </w:tc>
        <w:tc>
          <w:tcPr>
            <w:tcW w:w="1420" w:type="dxa"/>
            <w:vAlign w:val="bottom"/>
            <w:gridSpan w:val="2"/>
          </w:tcPr>
          <w:p>
            <w:pPr>
              <w:jc w:val="right"/>
              <w:ind w:right="652"/>
              <w:spacing w:after="0"/>
              <w:rPr>
                <w:sz w:val="20"/>
                <w:szCs w:val="20"/>
                <w:color w:val="auto"/>
              </w:rPr>
            </w:pPr>
            <w:r>
              <w:rPr>
                <w:rFonts w:ascii="Arial" w:cs="Arial" w:eastAsia="Arial" w:hAnsi="Arial"/>
                <w:sz w:val="13"/>
                <w:szCs w:val="13"/>
                <w:color w:val="auto"/>
              </w:rPr>
              <w:t>S-6</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434"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Humana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millions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020" w:type="dxa"/>
            <w:vAlign w:val="bottom"/>
            <w:tcBorders>
              <w:top w:val="single" w:sz="8" w:color="auto"/>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For the year ended December 31,</w:t>
            </w:r>
          </w:p>
        </w:tc>
        <w:tc>
          <w:tcPr>
            <w:tcW w:w="420" w:type="dxa"/>
            <w:vAlign w:val="bottom"/>
            <w:tcBorders>
              <w:top w:val="single" w:sz="8" w:color="auto"/>
              <w:bottom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92"/>
              <w:spacing w:after="0"/>
              <w:rPr>
                <w:sz w:val="20"/>
                <w:szCs w:val="20"/>
                <w:color w:val="auto"/>
              </w:rPr>
            </w:pPr>
            <w:r>
              <w:rPr>
                <w:rFonts w:ascii="Arial" w:cs="Arial" w:eastAsia="Arial" w:hAnsi="Arial"/>
                <w:sz w:val="10"/>
                <w:szCs w:val="10"/>
                <w:color w:val="auto"/>
              </w:rPr>
              <w:t>Dollar</w:t>
            </w:r>
          </w:p>
        </w:tc>
        <w:tc>
          <w:tcPr>
            <w:tcW w:w="820" w:type="dxa"/>
            <w:vAlign w:val="bottom"/>
          </w:tcPr>
          <w:p>
            <w:pPr>
              <w:jc w:val="right"/>
              <w:ind w:right="252"/>
              <w:spacing w:after="0"/>
              <w:rPr>
                <w:sz w:val="20"/>
                <w:szCs w:val="20"/>
                <w:color w:val="auto"/>
              </w:rPr>
            </w:pPr>
            <w:r>
              <w:rPr>
                <w:rFonts w:ascii="Arial" w:cs="Arial" w:eastAsia="Arial" w:hAnsi="Arial"/>
                <w:sz w:val="10"/>
                <w:szCs w:val="10"/>
                <w:color w:val="auto"/>
              </w:rPr>
              <w:t>Percent</w:t>
            </w:r>
          </w:p>
        </w:tc>
      </w:tr>
      <w:tr>
        <w:trPr>
          <w:trHeight w:val="156"/>
        </w:trPr>
        <w:tc>
          <w:tcPr>
            <w:tcW w:w="5080" w:type="dxa"/>
            <w:vAlign w:val="bottom"/>
          </w:tcPr>
          <w:p>
            <w:pPr>
              <w:spacing w:after="0"/>
              <w:rPr>
                <w:sz w:val="13"/>
                <w:szCs w:val="13"/>
                <w:color w:val="auto"/>
              </w:rPr>
            </w:pPr>
          </w:p>
        </w:tc>
        <w:tc>
          <w:tcPr>
            <w:tcW w:w="660" w:type="dxa"/>
            <w:vAlign w:val="bottom"/>
            <w:tcBorders>
              <w:right w:val="single" w:sz="8" w:color="auto"/>
            </w:tcBorders>
            <w:gridSpan w:val="2"/>
          </w:tcPr>
          <w:p>
            <w:pPr>
              <w:spacing w:after="0"/>
              <w:rPr>
                <w:sz w:val="13"/>
                <w:szCs w:val="13"/>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00497F"/>
              </w:rPr>
              <w:t>2019</w:t>
            </w:r>
          </w:p>
        </w:tc>
        <w:tc>
          <w:tcPr>
            <w:tcW w:w="4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2018</w:t>
            </w: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Change</w:t>
            </w: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Change</w:t>
            </w:r>
          </w:p>
        </w:tc>
      </w:tr>
      <w:tr>
        <w:trPr>
          <w:trHeight w:val="124"/>
        </w:trPr>
        <w:tc>
          <w:tcPr>
            <w:tcW w:w="5080" w:type="dxa"/>
            <w:vAlign w:val="bottom"/>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6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25"/>
        </w:trPr>
        <w:tc>
          <w:tcPr>
            <w:tcW w:w="5080" w:type="dxa"/>
            <w:vAlign w:val="bottom"/>
          </w:tcPr>
          <w:p>
            <w:pPr>
              <w:ind w:left="220"/>
              <w:spacing w:after="0"/>
              <w:rPr>
                <w:sz w:val="20"/>
                <w:szCs w:val="20"/>
                <w:color w:val="auto"/>
              </w:rPr>
            </w:pPr>
            <w:r>
              <w:rPr>
                <w:rFonts w:ascii="Arial" w:cs="Arial" w:eastAsia="Arial" w:hAnsi="Arial"/>
                <w:sz w:val="10"/>
                <w:szCs w:val="10"/>
                <w:color w:val="auto"/>
              </w:rPr>
              <w:t>Net income</w:t>
            </w:r>
          </w:p>
        </w:tc>
        <w:tc>
          <w:tcPr>
            <w:tcW w:w="660" w:type="dxa"/>
            <w:vAlign w:val="bottom"/>
            <w:tcBorders>
              <w:right w:val="single" w:sz="8" w:color="auto"/>
            </w:tcBorders>
            <w:gridSpan w:val="2"/>
          </w:tcPr>
          <w:p>
            <w:pPr>
              <w:spacing w:after="0"/>
              <w:rPr>
                <w:sz w:val="19"/>
                <w:szCs w:val="19"/>
                <w:color w:val="auto"/>
              </w:rPr>
            </w:pPr>
          </w:p>
        </w:tc>
        <w:tc>
          <w:tcPr>
            <w:tcW w:w="760" w:type="dxa"/>
            <w:vAlign w:val="bottom"/>
          </w:tcPr>
          <w:p>
            <w:pPr>
              <w:jc w:val="right"/>
              <w:ind w:right="684"/>
              <w:spacing w:after="0"/>
              <w:rPr>
                <w:sz w:val="20"/>
                <w:szCs w:val="20"/>
                <w:color w:val="auto"/>
              </w:rPr>
            </w:pPr>
            <w:r>
              <w:rPr>
                <w:rFonts w:ascii="Arial" w:cs="Arial" w:eastAsia="Arial" w:hAnsi="Arial"/>
                <w:sz w:val="5"/>
                <w:szCs w:val="5"/>
                <w:b w:val="1"/>
                <w:bCs w:val="1"/>
                <w:color w:val="00497F"/>
                <w:w w:val="70"/>
              </w:rPr>
              <w:t>$</w:t>
            </w: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2,707</w:t>
            </w: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1,683</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44"/>
        </w:trPr>
        <w:tc>
          <w:tcPr>
            <w:tcW w:w="5080" w:type="dxa"/>
            <w:vAlign w:val="bottom"/>
          </w:tcPr>
          <w:p>
            <w:pPr>
              <w:ind w:left="220"/>
              <w:spacing w:after="0"/>
              <w:rPr>
                <w:sz w:val="20"/>
                <w:szCs w:val="20"/>
                <w:color w:val="auto"/>
              </w:rPr>
            </w:pPr>
            <w:r>
              <w:rPr>
                <w:rFonts w:ascii="Arial" w:cs="Arial" w:eastAsia="Arial" w:hAnsi="Arial"/>
                <w:sz w:val="10"/>
                <w:szCs w:val="10"/>
                <w:color w:val="auto"/>
              </w:rPr>
              <w:t>Adjustments to reconcile net income to net cash provided by operating activities:</w:t>
            </w:r>
          </w:p>
        </w:tc>
        <w:tc>
          <w:tcPr>
            <w:tcW w:w="6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0"/>
                <w:szCs w:val="10"/>
                <w:color w:val="auto"/>
              </w:rPr>
              <w:t>Loss on sale of business</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00497F"/>
              </w:rPr>
              <w:t>—</w:t>
            </w:r>
          </w:p>
        </w:tc>
        <w:tc>
          <w:tcPr>
            <w:tcW w:w="800" w:type="dxa"/>
            <w:vAlign w:val="bottom"/>
          </w:tcPr>
          <w:p>
            <w:pPr>
              <w:spacing w:after="0"/>
              <w:rPr>
                <w:sz w:val="18"/>
                <w:szCs w:val="18"/>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786</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Depreciation</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505</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444</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Amortization</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70</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90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Net realized capital gains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(62)</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(90)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Equity in net earnings of Kindred at Home</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(14)</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(11)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440"/>
              <w:spacing w:after="0"/>
              <w:rPr>
                <w:sz w:val="20"/>
                <w:szCs w:val="20"/>
                <w:color w:val="auto"/>
              </w:rPr>
            </w:pPr>
            <w:r>
              <w:rPr>
                <w:rFonts w:ascii="Arial" w:cs="Arial" w:eastAsia="Arial" w:hAnsi="Arial"/>
                <w:sz w:val="10"/>
                <w:szCs w:val="10"/>
                <w:color w:val="auto"/>
              </w:rPr>
              <w:t>Stock-based compensation</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163</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137</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Provision for deferred income taxes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162</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194</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5080" w:type="dxa"/>
            <w:vAlign w:val="bottom"/>
          </w:tcPr>
          <w:p>
            <w:pPr>
              <w:ind w:left="440"/>
              <w:spacing w:after="0"/>
              <w:rPr>
                <w:sz w:val="20"/>
                <w:szCs w:val="20"/>
                <w:color w:val="auto"/>
              </w:rPr>
            </w:pPr>
            <w:r>
              <w:rPr>
                <w:rFonts w:ascii="Arial" w:cs="Arial" w:eastAsia="Arial" w:hAnsi="Arial"/>
                <w:sz w:val="10"/>
                <w:szCs w:val="10"/>
                <w:color w:val="auto"/>
              </w:rPr>
              <w:t>Changes in operating assets and liabilities, net of effect of businesses acquired and dispositions:</w:t>
            </w:r>
          </w:p>
        </w:tc>
        <w:tc>
          <w:tcPr>
            <w:tcW w:w="6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5080" w:type="dxa"/>
            <w:vAlign w:val="bottom"/>
          </w:tcPr>
          <w:p>
            <w:pPr>
              <w:ind w:left="720"/>
              <w:spacing w:after="0"/>
              <w:rPr>
                <w:sz w:val="20"/>
                <w:szCs w:val="20"/>
                <w:color w:val="auto"/>
              </w:rPr>
            </w:pPr>
            <w:r>
              <w:rPr>
                <w:rFonts w:ascii="Arial" w:cs="Arial" w:eastAsia="Arial" w:hAnsi="Arial"/>
                <w:sz w:val="10"/>
                <w:szCs w:val="10"/>
                <w:color w:val="auto"/>
              </w:rPr>
              <w:t>Receivables</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(32)</w:t>
            </w:r>
          </w:p>
        </w:tc>
        <w:tc>
          <w:tcPr>
            <w:tcW w:w="80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(164)</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0"/>
        </w:trPr>
        <w:tc>
          <w:tcPr>
            <w:tcW w:w="5080" w:type="dxa"/>
            <w:vAlign w:val="bottom"/>
          </w:tcPr>
          <w:p>
            <w:pPr>
              <w:ind w:left="720"/>
              <w:spacing w:after="0"/>
              <w:rPr>
                <w:sz w:val="20"/>
                <w:szCs w:val="20"/>
                <w:color w:val="auto"/>
              </w:rPr>
            </w:pPr>
            <w:r>
              <w:rPr>
                <w:rFonts w:ascii="Arial" w:cs="Arial" w:eastAsia="Arial" w:hAnsi="Arial"/>
                <w:sz w:val="10"/>
                <w:szCs w:val="10"/>
                <w:color w:val="auto"/>
              </w:rPr>
              <w:t>Other assets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118</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(484)</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720"/>
              <w:spacing w:after="0"/>
              <w:rPr>
                <w:sz w:val="20"/>
                <w:szCs w:val="20"/>
                <w:color w:val="auto"/>
              </w:rPr>
            </w:pPr>
            <w:r>
              <w:rPr>
                <w:rFonts w:ascii="Arial" w:cs="Arial" w:eastAsia="Arial" w:hAnsi="Arial"/>
                <w:sz w:val="10"/>
                <w:szCs w:val="10"/>
                <w:color w:val="auto"/>
              </w:rPr>
              <w:t>Benefits payable</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1,142</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252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720"/>
              <w:spacing w:after="0"/>
              <w:rPr>
                <w:sz w:val="20"/>
                <w:szCs w:val="20"/>
                <w:color w:val="auto"/>
              </w:rPr>
            </w:pPr>
            <w:r>
              <w:rPr>
                <w:rFonts w:ascii="Arial" w:cs="Arial" w:eastAsia="Arial" w:hAnsi="Arial"/>
                <w:sz w:val="10"/>
                <w:szCs w:val="10"/>
                <w:color w:val="auto"/>
              </w:rPr>
              <w:t>Other liabilities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471</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(676)</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720"/>
              <w:spacing w:after="0"/>
              <w:rPr>
                <w:sz w:val="20"/>
                <w:szCs w:val="20"/>
                <w:color w:val="auto"/>
              </w:rPr>
            </w:pPr>
            <w:r>
              <w:rPr>
                <w:rFonts w:ascii="Arial" w:cs="Arial" w:eastAsia="Arial" w:hAnsi="Arial"/>
                <w:sz w:val="10"/>
                <w:szCs w:val="10"/>
                <w:color w:val="auto"/>
              </w:rPr>
              <w:t>Unearned revenues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(36)</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(95)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5080" w:type="dxa"/>
            <w:vAlign w:val="bottom"/>
          </w:tcPr>
          <w:p>
            <w:pPr>
              <w:ind w:left="440"/>
              <w:spacing w:after="0"/>
              <w:rPr>
                <w:sz w:val="20"/>
                <w:szCs w:val="20"/>
                <w:color w:val="auto"/>
              </w:rPr>
            </w:pPr>
            <w:r>
              <w:rPr>
                <w:rFonts w:ascii="Arial" w:cs="Arial" w:eastAsia="Arial" w:hAnsi="Arial"/>
                <w:sz w:val="10"/>
                <w:szCs w:val="10"/>
                <w:color w:val="auto"/>
              </w:rPr>
              <w:t>Other, net</w:t>
            </w:r>
          </w:p>
        </w:tc>
        <w:tc>
          <w:tcPr>
            <w:tcW w:w="6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90</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107</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56"/>
        </w:trPr>
        <w:tc>
          <w:tcPr>
            <w:tcW w:w="5080" w:type="dxa"/>
            <w:vAlign w:val="bottom"/>
          </w:tcPr>
          <w:p>
            <w:pPr>
              <w:spacing w:after="0"/>
              <w:rPr>
                <w:sz w:val="20"/>
                <w:szCs w:val="20"/>
                <w:color w:val="auto"/>
              </w:rPr>
            </w:pPr>
            <w:r>
              <w:rPr>
                <w:rFonts w:ascii="Arial" w:cs="Arial" w:eastAsia="Arial" w:hAnsi="Arial"/>
                <w:sz w:val="10"/>
                <w:szCs w:val="10"/>
                <w:b w:val="1"/>
                <w:bCs w:val="1"/>
                <w:color w:val="auto"/>
              </w:rPr>
              <w:t>Net cash provided by operating activities</w:t>
            </w:r>
          </w:p>
        </w:tc>
        <w:tc>
          <w:tcPr>
            <w:tcW w:w="6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5,284</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2,173</w:t>
            </w:r>
          </w:p>
        </w:tc>
        <w:tc>
          <w:tcPr>
            <w:tcW w:w="1200" w:type="dxa"/>
            <w:vAlign w:val="bottom"/>
            <w:gridSpan w:val="2"/>
          </w:tcPr>
          <w:p>
            <w:pPr>
              <w:jc w:val="right"/>
              <w:ind w:right="152"/>
              <w:spacing w:after="0"/>
              <w:rPr>
                <w:sz w:val="20"/>
                <w:szCs w:val="20"/>
                <w:color w:val="auto"/>
              </w:rPr>
            </w:pPr>
            <w:r>
              <w:rPr>
                <w:rFonts w:ascii="Arial" w:cs="Arial" w:eastAsia="Arial" w:hAnsi="Arial"/>
                <w:sz w:val="10"/>
                <w:szCs w:val="10"/>
                <w:color w:val="auto"/>
              </w:rPr>
              <w:t>$3,111</w:t>
            </w:r>
          </w:p>
        </w:tc>
        <w:tc>
          <w:tcPr>
            <w:tcW w:w="820" w:type="dxa"/>
            <w:vAlign w:val="bottom"/>
          </w:tcPr>
          <w:p>
            <w:pPr>
              <w:jc w:val="right"/>
              <w:spacing w:after="0"/>
              <w:rPr>
                <w:sz w:val="20"/>
                <w:szCs w:val="20"/>
                <w:color w:val="auto"/>
              </w:rPr>
            </w:pPr>
            <w:r>
              <w:rPr>
                <w:rFonts w:ascii="Arial" w:cs="Arial" w:eastAsia="Arial" w:hAnsi="Arial"/>
                <w:sz w:val="10"/>
                <w:szCs w:val="10"/>
                <w:color w:val="auto"/>
              </w:rPr>
              <w:t>143.2%</w:t>
            </w:r>
          </w:p>
        </w:tc>
      </w:tr>
      <w:tr>
        <w:trPr>
          <w:trHeight w:val="124"/>
        </w:trPr>
        <w:tc>
          <w:tcPr>
            <w:tcW w:w="508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6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25"/>
        </w:trPr>
        <w:tc>
          <w:tcPr>
            <w:tcW w:w="5080" w:type="dxa"/>
            <w:vAlign w:val="bottom"/>
          </w:tcPr>
          <w:p>
            <w:pPr>
              <w:ind w:left="220"/>
              <w:spacing w:after="0"/>
              <w:rPr>
                <w:sz w:val="20"/>
                <w:szCs w:val="20"/>
                <w:color w:val="auto"/>
              </w:rPr>
            </w:pPr>
            <w:r>
              <w:rPr>
                <w:rFonts w:ascii="Arial" w:cs="Arial" w:eastAsia="Arial" w:hAnsi="Arial"/>
                <w:sz w:val="10"/>
                <w:szCs w:val="10"/>
                <w:color w:val="auto"/>
              </w:rPr>
              <w:t>Acquisitions, net of cash acquired</w:t>
            </w:r>
          </w:p>
        </w:tc>
        <w:tc>
          <w:tcPr>
            <w:tcW w:w="6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w:t>
            </w:r>
          </w:p>
        </w:tc>
        <w:tc>
          <w:tcPr>
            <w:tcW w:w="800" w:type="dxa"/>
            <w:vAlign w:val="bottom"/>
          </w:tcPr>
          <w:p>
            <w:pPr>
              <w:spacing w:after="0"/>
              <w:rPr>
                <w:sz w:val="19"/>
                <w:szCs w:val="19"/>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(354)</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Purchases of property and equipment, net</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(736)</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(612)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Cash transferred in sale of business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(805)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Purchases of investment securities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(6,361)</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(4,687)</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Maturities of investment securities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1,733</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972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Proceeds from sales of investment securities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4,086</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3,494</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5080" w:type="dxa"/>
            <w:vAlign w:val="bottom"/>
          </w:tcPr>
          <w:p>
            <w:pPr>
              <w:ind w:left="220"/>
              <w:spacing w:after="0"/>
              <w:rPr>
                <w:sz w:val="20"/>
                <w:szCs w:val="20"/>
                <w:color w:val="auto"/>
              </w:rPr>
            </w:pPr>
            <w:r>
              <w:rPr>
                <w:rFonts w:ascii="Arial" w:cs="Arial" w:eastAsia="Arial" w:hAnsi="Arial"/>
                <w:sz w:val="10"/>
                <w:szCs w:val="10"/>
                <w:color w:val="auto"/>
              </w:rPr>
              <w:t>Purchase of equity method investment in Kindred at Home</w:t>
            </w:r>
          </w:p>
        </w:tc>
        <w:tc>
          <w:tcPr>
            <w:tcW w:w="6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(1,095)</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56"/>
        </w:trPr>
        <w:tc>
          <w:tcPr>
            <w:tcW w:w="5080" w:type="dxa"/>
            <w:vAlign w:val="bottom"/>
          </w:tcPr>
          <w:p>
            <w:pPr>
              <w:spacing w:after="0"/>
              <w:rPr>
                <w:sz w:val="20"/>
                <w:szCs w:val="20"/>
                <w:color w:val="auto"/>
              </w:rPr>
            </w:pPr>
            <w:r>
              <w:rPr>
                <w:rFonts w:ascii="Arial" w:cs="Arial" w:eastAsia="Arial" w:hAnsi="Arial"/>
                <w:sz w:val="10"/>
                <w:szCs w:val="10"/>
                <w:b w:val="1"/>
                <w:bCs w:val="1"/>
                <w:color w:val="auto"/>
              </w:rPr>
              <w:t>Net cash used in investing activities</w:t>
            </w:r>
          </w:p>
        </w:tc>
        <w:tc>
          <w:tcPr>
            <w:tcW w:w="6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(1,278)</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(3,087)</w:t>
            </w:r>
          </w:p>
        </w:tc>
        <w:tc>
          <w:tcPr>
            <w:tcW w:w="1200" w:type="dxa"/>
            <w:vAlign w:val="bottom"/>
            <w:gridSpan w:val="2"/>
          </w:tcPr>
          <w:p>
            <w:pPr>
              <w:jc w:val="right"/>
              <w:ind w:right="152"/>
              <w:spacing w:after="0"/>
              <w:rPr>
                <w:sz w:val="20"/>
                <w:szCs w:val="20"/>
                <w:color w:val="auto"/>
              </w:rPr>
            </w:pPr>
            <w:r>
              <w:rPr>
                <w:rFonts w:ascii="Arial" w:cs="Arial" w:eastAsia="Arial" w:hAnsi="Arial"/>
                <w:sz w:val="10"/>
                <w:szCs w:val="10"/>
                <w:color w:val="auto"/>
              </w:rPr>
              <w:t>$1,809</w:t>
            </w:r>
          </w:p>
        </w:tc>
        <w:tc>
          <w:tcPr>
            <w:tcW w:w="820" w:type="dxa"/>
            <w:vAlign w:val="bottom"/>
          </w:tcPr>
          <w:p>
            <w:pPr>
              <w:jc w:val="right"/>
              <w:spacing w:after="0"/>
              <w:rPr>
                <w:sz w:val="20"/>
                <w:szCs w:val="20"/>
                <w:color w:val="auto"/>
              </w:rPr>
            </w:pPr>
            <w:r>
              <w:rPr>
                <w:rFonts w:ascii="Arial" w:cs="Arial" w:eastAsia="Arial" w:hAnsi="Arial"/>
                <w:sz w:val="10"/>
                <w:szCs w:val="10"/>
                <w:color w:val="auto"/>
              </w:rPr>
              <w:t>58.6%</w:t>
            </w:r>
          </w:p>
        </w:tc>
      </w:tr>
      <w:tr>
        <w:trPr>
          <w:trHeight w:val="124"/>
        </w:trPr>
        <w:tc>
          <w:tcPr>
            <w:tcW w:w="508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6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25"/>
        </w:trPr>
        <w:tc>
          <w:tcPr>
            <w:tcW w:w="5080" w:type="dxa"/>
            <w:vAlign w:val="bottom"/>
          </w:tcPr>
          <w:p>
            <w:pPr>
              <w:ind w:left="220"/>
              <w:spacing w:after="0"/>
              <w:rPr>
                <w:sz w:val="20"/>
                <w:szCs w:val="20"/>
                <w:color w:val="auto"/>
              </w:rPr>
            </w:pPr>
            <w:r>
              <w:rPr>
                <w:rFonts w:ascii="Arial" w:cs="Arial" w:eastAsia="Arial" w:hAnsi="Arial"/>
                <w:sz w:val="10"/>
                <w:szCs w:val="10"/>
                <w:color w:val="auto"/>
              </w:rPr>
              <w:t>Withdrawals from contract deposits, net</w:t>
            </w:r>
          </w:p>
        </w:tc>
        <w:tc>
          <w:tcPr>
            <w:tcW w:w="6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(623)</w:t>
            </w:r>
          </w:p>
        </w:tc>
        <w:tc>
          <w:tcPr>
            <w:tcW w:w="800" w:type="dxa"/>
            <w:vAlign w:val="bottom"/>
          </w:tcPr>
          <w:p>
            <w:pPr>
              <w:spacing w:after="0"/>
              <w:rPr>
                <w:sz w:val="19"/>
                <w:szCs w:val="19"/>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(640)</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(Repayment) proceeds from the issuance of commercial paper, net</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(360)</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485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Proceeds from issuance of senior notes, net</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987</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Repayment of senior notes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(400)</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Proceeds from issuance of term loan</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1,000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Repayment of term loan</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(650)</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(350)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Change in book overdraft</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54</w:t>
            </w:r>
          </w:p>
        </w:tc>
        <w:tc>
          <w:tcPr>
            <w:tcW w:w="8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30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Common stock repurchases</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(1,070)</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(1,090)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80" w:type="dxa"/>
            <w:vAlign w:val="bottom"/>
          </w:tcPr>
          <w:p>
            <w:pPr>
              <w:ind w:left="220"/>
              <w:spacing w:after="0"/>
              <w:rPr>
                <w:sz w:val="20"/>
                <w:szCs w:val="20"/>
                <w:color w:val="auto"/>
              </w:rPr>
            </w:pPr>
            <w:r>
              <w:rPr>
                <w:rFonts w:ascii="Arial" w:cs="Arial" w:eastAsia="Arial" w:hAnsi="Arial"/>
                <w:sz w:val="10"/>
                <w:szCs w:val="10"/>
                <w:color w:val="auto"/>
              </w:rPr>
              <w:t>Dividends paid</w:t>
            </w:r>
          </w:p>
        </w:tc>
        <w:tc>
          <w:tcPr>
            <w:tcW w:w="6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(291)</w:t>
            </w:r>
          </w:p>
        </w:tc>
        <w:tc>
          <w:tcPr>
            <w:tcW w:w="8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(265)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5080" w:type="dxa"/>
            <w:vAlign w:val="bottom"/>
          </w:tcPr>
          <w:p>
            <w:pPr>
              <w:ind w:left="220"/>
              <w:spacing w:after="0"/>
              <w:rPr>
                <w:sz w:val="20"/>
                <w:szCs w:val="20"/>
                <w:color w:val="auto"/>
              </w:rPr>
            </w:pPr>
            <w:r>
              <w:rPr>
                <w:rFonts w:ascii="Arial" w:cs="Arial" w:eastAsia="Arial" w:hAnsi="Arial"/>
                <w:sz w:val="10"/>
                <w:szCs w:val="10"/>
                <w:color w:val="auto"/>
              </w:rPr>
              <w:t>Proceeds from stock option exercises and other</w:t>
            </w:r>
          </w:p>
        </w:tc>
        <w:tc>
          <w:tcPr>
            <w:tcW w:w="6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58</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45</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60"/>
        </w:trPr>
        <w:tc>
          <w:tcPr>
            <w:tcW w:w="5080" w:type="dxa"/>
            <w:vAlign w:val="bottom"/>
          </w:tcPr>
          <w:p>
            <w:pPr>
              <w:spacing w:after="0"/>
              <w:rPr>
                <w:sz w:val="20"/>
                <w:szCs w:val="20"/>
                <w:color w:val="auto"/>
              </w:rPr>
            </w:pPr>
            <w:r>
              <w:rPr>
                <w:rFonts w:ascii="Arial" w:cs="Arial" w:eastAsia="Arial" w:hAnsi="Arial"/>
                <w:sz w:val="10"/>
                <w:szCs w:val="10"/>
                <w:b w:val="1"/>
                <w:bCs w:val="1"/>
                <w:color w:val="auto"/>
              </w:rPr>
              <w:t>Net cash used in financing activities</w:t>
            </w:r>
          </w:p>
        </w:tc>
        <w:tc>
          <w:tcPr>
            <w:tcW w:w="6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(2,295)</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(785)</w:t>
            </w:r>
          </w:p>
        </w:tc>
        <w:tc>
          <w:tcPr>
            <w:tcW w:w="1200" w:type="dxa"/>
            <w:vAlign w:val="bottom"/>
            <w:gridSpan w:val="2"/>
          </w:tcPr>
          <w:p>
            <w:pPr>
              <w:jc w:val="right"/>
              <w:ind w:right="132"/>
              <w:spacing w:after="0"/>
              <w:rPr>
                <w:sz w:val="20"/>
                <w:szCs w:val="20"/>
                <w:color w:val="auto"/>
              </w:rPr>
            </w:pPr>
            <w:r>
              <w:rPr>
                <w:rFonts w:ascii="Arial" w:cs="Arial" w:eastAsia="Arial" w:hAnsi="Arial"/>
                <w:sz w:val="10"/>
                <w:szCs w:val="10"/>
                <w:color w:val="auto"/>
              </w:rPr>
              <w:t>($1,510)</w:t>
            </w:r>
          </w:p>
        </w:tc>
        <w:tc>
          <w:tcPr>
            <w:tcW w:w="820" w:type="dxa"/>
            <w:vAlign w:val="bottom"/>
          </w:tcPr>
          <w:p>
            <w:pPr>
              <w:jc w:val="right"/>
              <w:spacing w:after="0"/>
              <w:rPr>
                <w:sz w:val="20"/>
                <w:szCs w:val="20"/>
                <w:color w:val="auto"/>
              </w:rPr>
            </w:pPr>
            <w:r>
              <w:rPr>
                <w:rFonts w:ascii="Arial" w:cs="Arial" w:eastAsia="Arial" w:hAnsi="Arial"/>
                <w:sz w:val="10"/>
                <w:szCs w:val="10"/>
                <w:color w:val="auto"/>
              </w:rPr>
              <w:t>192.4%</w:t>
            </w:r>
          </w:p>
        </w:tc>
      </w:tr>
      <w:tr>
        <w:trPr>
          <w:trHeight w:val="156"/>
        </w:trPr>
        <w:tc>
          <w:tcPr>
            <w:tcW w:w="5080" w:type="dxa"/>
            <w:vAlign w:val="bottom"/>
          </w:tcPr>
          <w:p>
            <w:pPr>
              <w:spacing w:after="0"/>
              <w:rPr>
                <w:sz w:val="20"/>
                <w:szCs w:val="20"/>
                <w:color w:val="auto"/>
              </w:rPr>
            </w:pPr>
            <w:r>
              <w:rPr>
                <w:rFonts w:ascii="Arial" w:cs="Arial" w:eastAsia="Arial" w:hAnsi="Arial"/>
                <w:sz w:val="10"/>
                <w:szCs w:val="10"/>
                <w:color w:val="auto"/>
              </w:rPr>
              <w:t>Increase (decrease) in cash and cash equivalents</w:t>
            </w:r>
          </w:p>
        </w:tc>
        <w:tc>
          <w:tcPr>
            <w:tcW w:w="6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1,711</w:t>
            </w:r>
          </w:p>
        </w:tc>
        <w:tc>
          <w:tcPr>
            <w:tcW w:w="80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(1,699)</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4"/>
        </w:trPr>
        <w:tc>
          <w:tcPr>
            <w:tcW w:w="5080" w:type="dxa"/>
            <w:vAlign w:val="bottom"/>
          </w:tcPr>
          <w:p>
            <w:pPr>
              <w:spacing w:after="0"/>
              <w:rPr>
                <w:sz w:val="20"/>
                <w:szCs w:val="20"/>
                <w:color w:val="auto"/>
              </w:rPr>
            </w:pPr>
            <w:r>
              <w:rPr>
                <w:rFonts w:ascii="Arial" w:cs="Arial" w:eastAsia="Arial" w:hAnsi="Arial"/>
                <w:sz w:val="10"/>
                <w:szCs w:val="10"/>
                <w:color w:val="auto"/>
              </w:rPr>
              <w:t>Cash and cash equivalents at beginning of period</w:t>
            </w:r>
          </w:p>
        </w:tc>
        <w:tc>
          <w:tcPr>
            <w:tcW w:w="6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2,343</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4,042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0"/>
                <w:szCs w:val="10"/>
                <w:b w:val="1"/>
                <w:bCs w:val="1"/>
                <w:color w:val="auto"/>
              </w:rPr>
              <w:t>Cash and cash equivalents at end of period</w:t>
            </w:r>
          </w:p>
        </w:tc>
        <w:tc>
          <w:tcPr>
            <w:tcW w:w="620" w:type="dxa"/>
            <w:vAlign w:val="bottom"/>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jc w:val="right"/>
              <w:ind w:right="684"/>
              <w:spacing w:after="0"/>
              <w:rPr>
                <w:sz w:val="20"/>
                <w:szCs w:val="20"/>
                <w:color w:val="auto"/>
              </w:rPr>
            </w:pPr>
            <w:r>
              <w:rPr>
                <w:rFonts w:ascii="Arial" w:cs="Arial" w:eastAsia="Arial" w:hAnsi="Arial"/>
                <w:sz w:val="5"/>
                <w:szCs w:val="5"/>
                <w:b w:val="1"/>
                <w:bCs w:val="1"/>
                <w:color w:val="00497F"/>
                <w:w w:val="70"/>
              </w:rPr>
              <w:t>$</w:t>
            </w:r>
          </w:p>
        </w:tc>
        <w:tc>
          <w:tcPr>
            <w:tcW w:w="4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4,054</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2,343</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99"/>
        </w:trPr>
        <w:tc>
          <w:tcPr>
            <w:tcW w:w="5080" w:type="dxa"/>
            <w:vAlign w:val="bottom"/>
          </w:tcPr>
          <w:p>
            <w:pPr>
              <w:spacing w:after="0"/>
              <w:rPr>
                <w:sz w:val="24"/>
                <w:szCs w:val="24"/>
                <w:color w:val="auto"/>
              </w:rPr>
            </w:pPr>
          </w:p>
        </w:tc>
        <w:tc>
          <w:tcPr>
            <w:tcW w:w="1420" w:type="dxa"/>
            <w:vAlign w:val="bottom"/>
            <w:gridSpan w:val="3"/>
          </w:tcPr>
          <w:p>
            <w:pPr>
              <w:jc w:val="right"/>
              <w:ind w:right="664"/>
              <w:spacing w:after="0"/>
              <w:rPr>
                <w:sz w:val="20"/>
                <w:szCs w:val="20"/>
                <w:color w:val="auto"/>
              </w:rPr>
            </w:pPr>
            <w:r>
              <w:rPr>
                <w:rFonts w:ascii="Arial" w:cs="Arial" w:eastAsia="Arial" w:hAnsi="Arial"/>
                <w:sz w:val="13"/>
                <w:szCs w:val="13"/>
                <w:color w:val="auto"/>
              </w:rPr>
              <w:t>S-7</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434" w:right="1440"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three months ended December 31, 2019 (C)</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Group and</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Healthcare</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Eliminations/</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Retail</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Specialty</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Services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Corporate</w:t>
            </w:r>
          </w:p>
        </w:tc>
        <w:tc>
          <w:tcPr>
            <w:tcW w:w="140" w:type="dxa"/>
            <w:vAlign w:val="bottom"/>
          </w:tcPr>
          <w:p>
            <w:pPr>
              <w:spacing w:after="0"/>
              <w:rPr>
                <w:sz w:val="12"/>
                <w:szCs w:val="12"/>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3720" w:type="dxa"/>
            <w:vAlign w:val="bottom"/>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60"/>
              <w:spacing w:after="0"/>
              <w:rPr>
                <w:sz w:val="20"/>
                <w:szCs w:val="20"/>
                <w:color w:val="auto"/>
              </w:rPr>
            </w:pPr>
            <w:r>
              <w:rPr>
                <w:rFonts w:ascii="Arial" w:cs="Arial" w:eastAsia="Arial" w:hAnsi="Arial"/>
                <w:sz w:val="10"/>
                <w:szCs w:val="10"/>
                <w:color w:val="auto"/>
              </w:rPr>
              <w:t>Individual Medicare Advantage</w:t>
            </w:r>
          </w:p>
        </w:tc>
        <w:tc>
          <w:tcPr>
            <w:tcW w:w="2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10,874</w:t>
            </w:r>
          </w:p>
        </w:tc>
        <w:tc>
          <w:tcPr>
            <w:tcW w:w="80" w:type="dxa"/>
            <w:vAlign w:val="bottom"/>
          </w:tcPr>
          <w:p>
            <w:pPr>
              <w:spacing w:after="0"/>
              <w:rPr>
                <w:sz w:val="16"/>
                <w:szCs w:val="16"/>
                <w:color w:val="auto"/>
              </w:rPr>
            </w:pPr>
          </w:p>
        </w:tc>
        <w:tc>
          <w:tcPr>
            <w:tcW w:w="16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10,874</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160"/>
              <w:spacing w:after="0"/>
              <w:rPr>
                <w:sz w:val="20"/>
                <w:szCs w:val="20"/>
                <w:color w:val="auto"/>
              </w:rPr>
            </w:pPr>
            <w:r>
              <w:rPr>
                <w:rFonts w:ascii="Arial" w:cs="Arial" w:eastAsia="Arial" w:hAnsi="Arial"/>
                <w:sz w:val="10"/>
                <w:szCs w:val="10"/>
                <w:color w:val="auto"/>
              </w:rPr>
              <w:t>Group Medicare Advantage</w:t>
            </w:r>
          </w:p>
        </w:tc>
        <w:tc>
          <w:tcPr>
            <w:tcW w:w="2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1,608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1,608</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160"/>
              <w:spacing w:after="0"/>
              <w:rPr>
                <w:sz w:val="20"/>
                <w:szCs w:val="20"/>
                <w:color w:val="auto"/>
              </w:rPr>
            </w:pPr>
            <w:r>
              <w:rPr>
                <w:rFonts w:ascii="Arial" w:cs="Arial" w:eastAsia="Arial" w:hAnsi="Arial"/>
                <w:sz w:val="10"/>
                <w:szCs w:val="10"/>
                <w:color w:val="auto"/>
              </w:rPr>
              <w:t>Medicare stand-alone PDP</w:t>
            </w:r>
          </w:p>
        </w:tc>
        <w:tc>
          <w:tcPr>
            <w:tcW w:w="2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757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757</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ind w:left="220"/>
              <w:spacing w:after="0"/>
              <w:rPr>
                <w:sz w:val="20"/>
                <w:szCs w:val="20"/>
                <w:color w:val="auto"/>
              </w:rPr>
            </w:pPr>
            <w:r>
              <w:rPr>
                <w:rFonts w:ascii="Arial" w:cs="Arial" w:eastAsia="Arial" w:hAnsi="Arial"/>
                <w:sz w:val="10"/>
                <w:szCs w:val="10"/>
                <w:b w:val="1"/>
                <w:bCs w:val="1"/>
                <w:color w:val="auto"/>
              </w:rPr>
              <w:t>Total Medicare</w:t>
            </w:r>
          </w:p>
        </w:tc>
        <w:tc>
          <w:tcPr>
            <w:tcW w:w="22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13,239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13,239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ind w:left="160"/>
              <w:spacing w:after="0"/>
              <w:rPr>
                <w:sz w:val="20"/>
                <w:szCs w:val="20"/>
                <w:color w:val="auto"/>
              </w:rPr>
            </w:pPr>
            <w:r>
              <w:rPr>
                <w:rFonts w:ascii="Arial" w:cs="Arial" w:eastAsia="Arial" w:hAnsi="Arial"/>
                <w:sz w:val="10"/>
                <w:szCs w:val="10"/>
                <w:color w:val="auto"/>
              </w:rPr>
              <w:t>Fully-insured</w:t>
            </w:r>
          </w:p>
        </w:tc>
        <w:tc>
          <w:tcPr>
            <w:tcW w:w="22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154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1,250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1,404</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160"/>
              <w:spacing w:after="0"/>
              <w:rPr>
                <w:sz w:val="20"/>
                <w:szCs w:val="20"/>
                <w:color w:val="auto"/>
              </w:rPr>
            </w:pPr>
            <w:r>
              <w:rPr>
                <w:rFonts w:ascii="Arial" w:cs="Arial" w:eastAsia="Arial" w:hAnsi="Arial"/>
                <w:sz w:val="10"/>
                <w:szCs w:val="10"/>
                <w:color w:val="auto"/>
              </w:rPr>
              <w:t>Specialty</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411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411</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160"/>
              <w:spacing w:after="0"/>
              <w:rPr>
                <w:sz w:val="20"/>
                <w:szCs w:val="20"/>
                <w:color w:val="auto"/>
              </w:rPr>
            </w:pPr>
            <w:r>
              <w:rPr>
                <w:rFonts w:ascii="Arial" w:cs="Arial" w:eastAsia="Arial" w:hAnsi="Arial"/>
                <w:sz w:val="10"/>
                <w:szCs w:val="10"/>
                <w:color w:val="auto"/>
              </w:rPr>
              <w:t>Medicaid and other (D)</w:t>
            </w:r>
          </w:p>
        </w:tc>
        <w:tc>
          <w:tcPr>
            <w:tcW w:w="2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755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755</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ind w:left="220"/>
              <w:spacing w:after="0"/>
              <w:rPr>
                <w:sz w:val="20"/>
                <w:szCs w:val="20"/>
                <w:color w:val="auto"/>
              </w:rPr>
            </w:pPr>
            <w:r>
              <w:rPr>
                <w:rFonts w:ascii="Arial" w:cs="Arial" w:eastAsia="Arial" w:hAnsi="Arial"/>
                <w:sz w:val="10"/>
                <w:szCs w:val="10"/>
                <w:b w:val="1"/>
                <w:bCs w:val="1"/>
                <w:color w:val="auto"/>
              </w:rPr>
              <w:t>Total premiums</w:t>
            </w:r>
          </w:p>
        </w:tc>
        <w:tc>
          <w:tcPr>
            <w:tcW w:w="22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14,148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1,661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15,809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ind w:left="80"/>
              <w:spacing w:after="0"/>
              <w:rPr>
                <w:sz w:val="20"/>
                <w:szCs w:val="20"/>
                <w:color w:val="auto"/>
              </w:rPr>
            </w:pPr>
            <w:r>
              <w:rPr>
                <w:rFonts w:ascii="Arial" w:cs="Arial" w:eastAsia="Arial" w:hAnsi="Arial"/>
                <w:sz w:val="10"/>
                <w:szCs w:val="10"/>
                <w:b w:val="1"/>
                <w:bCs w:val="1"/>
                <w:color w:val="auto"/>
              </w:rPr>
              <w:t>Services revenue:</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60"/>
              <w:spacing w:after="0"/>
              <w:rPr>
                <w:sz w:val="20"/>
                <w:szCs w:val="20"/>
                <w:color w:val="auto"/>
              </w:rPr>
            </w:pPr>
            <w:r>
              <w:rPr>
                <w:rFonts w:ascii="Arial" w:cs="Arial" w:eastAsia="Arial" w:hAnsi="Arial"/>
                <w:sz w:val="10"/>
                <w:szCs w:val="10"/>
                <w:color w:val="auto"/>
              </w:rPr>
              <w:t>Provider</w:t>
            </w:r>
          </w:p>
        </w:tc>
        <w:tc>
          <w:tcPr>
            <w:tcW w:w="22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160"/>
              <w:spacing w:after="0"/>
              <w:rPr>
                <w:sz w:val="20"/>
                <w:szCs w:val="20"/>
                <w:color w:val="auto"/>
              </w:rPr>
            </w:pPr>
            <w:r>
              <w:rPr>
                <w:rFonts w:ascii="Arial" w:cs="Arial" w:eastAsia="Arial" w:hAnsi="Arial"/>
                <w:sz w:val="10"/>
                <w:szCs w:val="10"/>
                <w:color w:val="auto"/>
              </w:rPr>
              <w:t>ASO and other (E)</w:t>
            </w:r>
          </w:p>
        </w:tc>
        <w:tc>
          <w:tcPr>
            <w:tcW w:w="2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203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206</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160"/>
              <w:spacing w:after="0"/>
              <w:rPr>
                <w:sz w:val="20"/>
                <w:szCs w:val="20"/>
                <w:color w:val="auto"/>
              </w:rPr>
            </w:pPr>
            <w:r>
              <w:rPr>
                <w:rFonts w:ascii="Arial" w:cs="Arial" w:eastAsia="Arial" w:hAnsi="Arial"/>
                <w:sz w:val="10"/>
                <w:szCs w:val="10"/>
                <w:color w:val="auto"/>
              </w:rPr>
              <w:t>Pharmacy</w:t>
            </w:r>
          </w:p>
        </w:tc>
        <w:tc>
          <w:tcPr>
            <w:tcW w:w="2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ind w:left="220"/>
              <w:spacing w:after="0"/>
              <w:rPr>
                <w:sz w:val="20"/>
                <w:szCs w:val="20"/>
                <w:color w:val="auto"/>
              </w:rPr>
            </w:pPr>
            <w:r>
              <w:rPr>
                <w:rFonts w:ascii="Arial" w:cs="Arial" w:eastAsia="Arial" w:hAnsi="Arial"/>
                <w:sz w:val="10"/>
                <w:szCs w:val="10"/>
                <w:b w:val="1"/>
                <w:bCs w:val="1"/>
                <w:color w:val="auto"/>
              </w:rPr>
              <w:t>Total services revenue</w:t>
            </w:r>
          </w:p>
        </w:tc>
        <w:tc>
          <w:tcPr>
            <w:tcW w:w="22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203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336</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20"/>
                <w:szCs w:val="20"/>
                <w:color w:val="auto"/>
              </w:rPr>
            </w:pPr>
            <w:r>
              <w:rPr>
                <w:rFonts w:ascii="Arial" w:cs="Arial" w:eastAsia="Arial" w:hAnsi="Arial"/>
                <w:sz w:val="10"/>
                <w:szCs w:val="10"/>
                <w:b w:val="1"/>
                <w:bCs w:val="1"/>
                <w:color w:val="auto"/>
              </w:rPr>
              <w:t>Total revenues—external customers</w:t>
            </w:r>
          </w:p>
        </w:tc>
        <w:tc>
          <w:tcPr>
            <w:tcW w:w="22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14,151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1,864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16,145</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20"/>
                <w:szCs w:val="20"/>
                <w:color w:val="auto"/>
              </w:rPr>
            </w:pPr>
            <w:r>
              <w:rPr>
                <w:rFonts w:ascii="Arial" w:cs="Arial" w:eastAsia="Arial" w:hAnsi="Arial"/>
                <w:sz w:val="10"/>
                <w:szCs w:val="10"/>
                <w:b w:val="1"/>
                <w:bCs w:val="1"/>
                <w:color w:val="auto"/>
              </w:rPr>
              <w:t>Intersegment revenues</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60"/>
              <w:spacing w:after="0"/>
              <w:rPr>
                <w:sz w:val="20"/>
                <w:szCs w:val="20"/>
                <w:color w:val="auto"/>
              </w:rPr>
            </w:pPr>
            <w:r>
              <w:rPr>
                <w:rFonts w:ascii="Arial" w:cs="Arial" w:eastAsia="Arial" w:hAnsi="Arial"/>
                <w:sz w:val="10"/>
                <w:szCs w:val="10"/>
                <w:color w:val="auto"/>
              </w:rPr>
              <w:t>Services</w:t>
            </w:r>
          </w:p>
        </w:tc>
        <w:tc>
          <w:tcPr>
            <w:tcW w:w="22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4,799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(4,804)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160"/>
              <w:spacing w:after="0"/>
              <w:rPr>
                <w:sz w:val="20"/>
                <w:szCs w:val="20"/>
                <w:color w:val="auto"/>
              </w:rPr>
            </w:pPr>
            <w:r>
              <w:rPr>
                <w:rFonts w:ascii="Arial" w:cs="Arial" w:eastAsia="Arial" w:hAnsi="Arial"/>
                <w:sz w:val="10"/>
                <w:szCs w:val="10"/>
                <w:color w:val="auto"/>
              </w:rPr>
              <w:t>Products</w:t>
            </w:r>
          </w:p>
        </w:tc>
        <w:tc>
          <w:tcPr>
            <w:tcW w:w="2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1,766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(1,766)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20"/>
                <w:szCs w:val="20"/>
                <w:color w:val="auto"/>
              </w:rPr>
            </w:pPr>
            <w:r>
              <w:rPr>
                <w:rFonts w:ascii="Arial" w:cs="Arial" w:eastAsia="Arial" w:hAnsi="Arial"/>
                <w:sz w:val="10"/>
                <w:szCs w:val="10"/>
                <w:b w:val="1"/>
                <w:bCs w:val="1"/>
                <w:color w:val="auto"/>
              </w:rPr>
              <w:t>Total intersegment revenues</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6,565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(6,570)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20"/>
                <w:szCs w:val="20"/>
                <w:color w:val="auto"/>
              </w:rPr>
            </w:pPr>
            <w:r>
              <w:rPr>
                <w:rFonts w:ascii="Arial" w:cs="Arial" w:eastAsia="Arial" w:hAnsi="Arial"/>
                <w:sz w:val="10"/>
                <w:szCs w:val="10"/>
                <w:color w:val="auto"/>
              </w:rPr>
              <w:t>Investment income</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56</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87</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ind w:left="220"/>
              <w:spacing w:after="0"/>
              <w:rPr>
                <w:sz w:val="20"/>
                <w:szCs w:val="20"/>
                <w:color w:val="auto"/>
              </w:rPr>
            </w:pPr>
            <w:r>
              <w:rPr>
                <w:rFonts w:ascii="Arial" w:cs="Arial" w:eastAsia="Arial" w:hAnsi="Arial"/>
                <w:sz w:val="10"/>
                <w:szCs w:val="10"/>
                <w:b w:val="1"/>
                <w:bCs w:val="1"/>
                <w:color w:val="auto"/>
              </w:rPr>
              <w:t>Total revenues</w:t>
            </w:r>
          </w:p>
        </w:tc>
        <w:tc>
          <w:tcPr>
            <w:tcW w:w="22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14,207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1,875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6,696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(6,483)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16,295</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20"/>
                <w:szCs w:val="20"/>
                <w:color w:val="auto"/>
              </w:rPr>
            </w:pPr>
            <w:r>
              <w:rPr>
                <w:rFonts w:ascii="Arial" w:cs="Arial" w:eastAsia="Arial" w:hAnsi="Arial"/>
                <w:sz w:val="10"/>
                <w:szCs w:val="10"/>
                <w:b w:val="1"/>
                <w:bCs w:val="1"/>
                <w:color w:val="auto"/>
              </w:rPr>
              <w:t>Operating expenses:</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80"/>
              <w:spacing w:after="0"/>
              <w:rPr>
                <w:sz w:val="20"/>
                <w:szCs w:val="20"/>
                <w:color w:val="auto"/>
              </w:rPr>
            </w:pPr>
            <w:r>
              <w:rPr>
                <w:rFonts w:ascii="Arial" w:cs="Arial" w:eastAsia="Arial" w:hAnsi="Arial"/>
                <w:sz w:val="10"/>
                <w:szCs w:val="10"/>
                <w:color w:val="auto"/>
              </w:rPr>
              <w:t>Benefits</w:t>
            </w:r>
          </w:p>
        </w:tc>
        <w:tc>
          <w:tcPr>
            <w:tcW w:w="220" w:type="dxa"/>
            <w:vAlign w:val="bottom"/>
          </w:tcPr>
          <w:p>
            <w:pPr>
              <w:spacing w:after="0"/>
              <w:rPr>
                <w:sz w:val="16"/>
                <w:szCs w:val="16"/>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12,206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1,581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13,689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1,642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419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6,481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(6,413)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2,129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ind w:left="160"/>
              <w:spacing w:after="0"/>
              <w:rPr>
                <w:sz w:val="20"/>
                <w:szCs w:val="20"/>
                <w:color w:val="auto"/>
              </w:rPr>
            </w:pPr>
            <w:r>
              <w:rPr>
                <w:rFonts w:ascii="Arial" w:cs="Arial" w:eastAsia="Arial" w:hAnsi="Arial"/>
                <w:sz w:val="10"/>
                <w:szCs w:val="10"/>
                <w:b w:val="1"/>
                <w:bCs w:val="1"/>
                <w:color w:val="auto"/>
              </w:rPr>
              <w:t>Total operating expenses</w:t>
            </w:r>
          </w:p>
        </w:tc>
        <w:tc>
          <w:tcPr>
            <w:tcW w:w="22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13,932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2,021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6,516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(6,536)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15,933</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20"/>
                <w:szCs w:val="20"/>
                <w:color w:val="auto"/>
              </w:rPr>
            </w:pPr>
            <w:r>
              <w:rPr>
                <w:rFonts w:ascii="Arial" w:cs="Arial" w:eastAsia="Arial" w:hAnsi="Arial"/>
                <w:sz w:val="10"/>
                <w:szCs w:val="10"/>
                <w:b w:val="1"/>
                <w:bCs w:val="1"/>
                <w:color w:val="auto"/>
              </w:rPr>
              <w:t>Income (loss) from operations</w:t>
            </w:r>
          </w:p>
        </w:tc>
        <w:tc>
          <w:tcPr>
            <w:tcW w:w="22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275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(146)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180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53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362</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0"/>
                <w:szCs w:val="10"/>
                <w:color w:val="auto"/>
              </w:rPr>
              <w:t>Interest expense</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58</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0"/>
                <w:szCs w:val="10"/>
                <w:color w:val="auto"/>
              </w:rPr>
              <w:t>Other income, net (A)</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(289)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(289)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20"/>
                <w:szCs w:val="20"/>
                <w:color w:val="auto"/>
              </w:rPr>
            </w:pPr>
            <w:r>
              <w:rPr>
                <w:rFonts w:ascii="Arial" w:cs="Arial" w:eastAsia="Arial" w:hAnsi="Arial"/>
                <w:sz w:val="10"/>
                <w:szCs w:val="10"/>
                <w:b w:val="1"/>
                <w:bCs w:val="1"/>
                <w:color w:val="auto"/>
              </w:rPr>
              <w:t>Income (loss) before income taxes and equity in net losses</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275</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(146)</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180</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284</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593</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20" w:type="dxa"/>
            <w:vAlign w:val="bottom"/>
          </w:tcPr>
          <w:p>
            <w:pPr>
              <w:ind w:left="220"/>
              <w:spacing w:after="0"/>
              <w:rPr>
                <w:sz w:val="20"/>
                <w:szCs w:val="20"/>
                <w:color w:val="auto"/>
              </w:rPr>
            </w:pPr>
            <w:r>
              <w:rPr>
                <w:rFonts w:ascii="Arial" w:cs="Arial" w:eastAsia="Arial" w:hAnsi="Arial"/>
                <w:sz w:val="10"/>
                <w:szCs w:val="10"/>
                <w:color w:val="auto"/>
              </w:rPr>
              <w:t>Equity in net losses of Kindred at Home (B)</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Arial" w:cs="Arial" w:eastAsia="Arial" w:hAnsi="Arial"/>
                <w:sz w:val="10"/>
                <w:szCs w:val="10"/>
                <w:b w:val="1"/>
                <w:bCs w:val="1"/>
                <w:color w:val="auto"/>
              </w:rPr>
              <w:t>Segment earnings (loss)</w:t>
            </w: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275</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(146)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178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284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591</w:t>
            </w:r>
          </w:p>
        </w:tc>
        <w:tc>
          <w:tcPr>
            <w:tcW w:w="0" w:type="dxa"/>
            <w:vAlign w:val="bottom"/>
          </w:tcPr>
          <w:p>
            <w:pPr>
              <w:spacing w:after="0"/>
              <w:rPr>
                <w:sz w:val="1"/>
                <w:szCs w:val="1"/>
                <w:color w:val="auto"/>
              </w:rPr>
            </w:pPr>
          </w:p>
        </w:tc>
      </w:tr>
      <w:tr>
        <w:trPr>
          <w:trHeight w:val="172"/>
        </w:trPr>
        <w:tc>
          <w:tcPr>
            <w:tcW w:w="3720" w:type="dxa"/>
            <w:vAlign w:val="bottom"/>
          </w:tcPr>
          <w:p>
            <w:pPr>
              <w:spacing w:after="0"/>
              <w:rPr>
                <w:sz w:val="20"/>
                <w:szCs w:val="20"/>
                <w:color w:val="auto"/>
              </w:rPr>
            </w:pPr>
            <w:r>
              <w:rPr>
                <w:rFonts w:ascii="Arial" w:cs="Arial" w:eastAsia="Arial" w:hAnsi="Arial"/>
                <w:sz w:val="10"/>
                <w:szCs w:val="10"/>
                <w:b w:val="1"/>
                <w:bCs w:val="1"/>
                <w:color w:val="auto"/>
              </w:rPr>
              <w:t>Benefit ratio</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86.3%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86.6%</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22.4%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96.8%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13.2%</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S-8</w:t>
      </w:r>
    </w:p>
    <w:p>
      <w:pPr>
        <w:sectPr>
          <w:pgSz w:w="11900" w:h="16838" w:orient="portrait"/>
          <w:cols w:equalWidth="0" w:num="1">
            <w:col w:w="10239"/>
          </w:cols>
          <w:pgMar w:left="220" w:top="438" w:right="1440"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three months ended December 31, 2018</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Group and</w:t>
            </w:r>
          </w:p>
        </w:tc>
        <w:tc>
          <w:tcPr>
            <w:tcW w:w="16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Healthcare</w:t>
            </w:r>
          </w:p>
        </w:tc>
        <w:tc>
          <w:tcPr>
            <w:tcW w:w="1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7"/>
              </w:rPr>
              <w:t>Individual</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Eliminations/</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ind w:left="160"/>
              <w:spacing w:after="0"/>
              <w:rPr>
                <w:sz w:val="20"/>
                <w:szCs w:val="20"/>
                <w:color w:val="auto"/>
              </w:rPr>
            </w:pPr>
            <w:r>
              <w:rPr>
                <w:rFonts w:ascii="Arial" w:cs="Arial" w:eastAsia="Arial" w:hAnsi="Arial"/>
                <w:sz w:val="10"/>
                <w:szCs w:val="10"/>
                <w:b w:val="1"/>
                <w:bCs w:val="1"/>
                <w:color w:val="auto"/>
              </w:rPr>
              <w:t>Retail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Specialty</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Services</w:t>
            </w:r>
          </w:p>
        </w:tc>
        <w:tc>
          <w:tcPr>
            <w:tcW w:w="14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Commercial</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Corporate</w:t>
            </w:r>
          </w:p>
        </w:tc>
        <w:tc>
          <w:tcPr>
            <w:tcW w:w="160" w:type="dxa"/>
            <w:vAlign w:val="bottom"/>
          </w:tcPr>
          <w:p>
            <w:pPr>
              <w:spacing w:after="0"/>
              <w:rPr>
                <w:sz w:val="12"/>
                <w:szCs w:val="12"/>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20"/>
              <w:spacing w:after="0"/>
              <w:rPr>
                <w:sz w:val="20"/>
                <w:szCs w:val="20"/>
                <w:color w:val="auto"/>
              </w:rPr>
            </w:pPr>
            <w:r>
              <w:rPr>
                <w:rFonts w:ascii="Arial" w:cs="Arial" w:eastAsia="Arial" w:hAnsi="Arial"/>
                <w:sz w:val="10"/>
                <w:szCs w:val="10"/>
                <w:color w:val="auto"/>
              </w:rPr>
              <w:t>Individual Medicare Advantage</w:t>
            </w:r>
          </w:p>
        </w:tc>
        <w:tc>
          <w:tcPr>
            <w:tcW w:w="2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8,866</w:t>
            </w:r>
          </w:p>
        </w:tc>
        <w:tc>
          <w:tcPr>
            <w:tcW w:w="120" w:type="dxa"/>
            <w:vAlign w:val="bottom"/>
          </w:tcPr>
          <w:p>
            <w:pPr>
              <w:spacing w:after="0"/>
              <w:rPr>
                <w:sz w:val="16"/>
                <w:szCs w:val="16"/>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8,866</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Group Medicare Advantage</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1,528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1,528</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Medicare stand-alone PDP</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881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881</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300"/>
              <w:spacing w:after="0"/>
              <w:rPr>
                <w:sz w:val="20"/>
                <w:szCs w:val="20"/>
                <w:color w:val="auto"/>
              </w:rPr>
            </w:pPr>
            <w:r>
              <w:rPr>
                <w:rFonts w:ascii="Arial" w:cs="Arial" w:eastAsia="Arial" w:hAnsi="Arial"/>
                <w:sz w:val="10"/>
                <w:szCs w:val="10"/>
                <w:b w:val="1"/>
                <w:bCs w:val="1"/>
                <w:color w:val="auto"/>
              </w:rPr>
              <w:t>Total Medicare</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11,275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11,275</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220"/>
              <w:spacing w:after="0"/>
              <w:rPr>
                <w:sz w:val="20"/>
                <w:szCs w:val="20"/>
                <w:color w:val="auto"/>
              </w:rPr>
            </w:pPr>
            <w:r>
              <w:rPr>
                <w:rFonts w:ascii="Arial" w:cs="Arial" w:eastAsia="Arial" w:hAnsi="Arial"/>
                <w:sz w:val="10"/>
                <w:szCs w:val="10"/>
                <w:color w:val="auto"/>
              </w:rPr>
              <w:t>Fully-insured</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131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1,361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1,494</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Specialty</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345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345</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Medicaid and other (D)</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591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591</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300"/>
              <w:spacing w:after="0"/>
              <w:rPr>
                <w:sz w:val="20"/>
                <w:szCs w:val="20"/>
                <w:color w:val="auto"/>
              </w:rPr>
            </w:pPr>
            <w:r>
              <w:rPr>
                <w:rFonts w:ascii="Arial" w:cs="Arial" w:eastAsia="Arial" w:hAnsi="Arial"/>
                <w:sz w:val="10"/>
                <w:szCs w:val="10"/>
                <w:b w:val="1"/>
                <w:bCs w:val="1"/>
                <w:color w:val="auto"/>
              </w:rPr>
              <w:t>Total premiums</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11,997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1,706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13,705</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80"/>
              <w:spacing w:after="0"/>
              <w:rPr>
                <w:sz w:val="20"/>
                <w:szCs w:val="20"/>
                <w:color w:val="auto"/>
              </w:rPr>
            </w:pPr>
            <w:r>
              <w:rPr>
                <w:rFonts w:ascii="Arial" w:cs="Arial" w:eastAsia="Arial" w:hAnsi="Arial"/>
                <w:sz w:val="10"/>
                <w:szCs w:val="10"/>
                <w:b w:val="1"/>
                <w:bCs w:val="1"/>
                <w:color w:val="auto"/>
              </w:rPr>
              <w:t>Services revenue:</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20"/>
              <w:spacing w:after="0"/>
              <w:rPr>
                <w:sz w:val="20"/>
                <w:szCs w:val="20"/>
                <w:color w:val="auto"/>
              </w:rPr>
            </w:pPr>
            <w:r>
              <w:rPr>
                <w:rFonts w:ascii="Arial" w:cs="Arial" w:eastAsia="Arial" w:hAnsi="Arial"/>
                <w:sz w:val="10"/>
                <w:szCs w:val="10"/>
                <w:color w:val="auto"/>
              </w:rPr>
              <w:t>Provider</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114</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ASO and other (E)</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193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198</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Pharmacy</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300"/>
              <w:spacing w:after="0"/>
              <w:rPr>
                <w:sz w:val="20"/>
                <w:szCs w:val="20"/>
                <w:color w:val="auto"/>
              </w:rPr>
            </w:pPr>
            <w:r>
              <w:rPr>
                <w:rFonts w:ascii="Arial" w:cs="Arial" w:eastAsia="Arial" w:hAnsi="Arial"/>
                <w:sz w:val="10"/>
                <w:szCs w:val="10"/>
                <w:b w:val="1"/>
                <w:bCs w:val="1"/>
                <w:color w:val="auto"/>
              </w:rPr>
              <w:t>Total services revenue</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193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169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367</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Total revenues—external customers</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12,002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1,899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169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14,072</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Intersegment revenues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80"/>
              <w:spacing w:after="0"/>
              <w:rPr>
                <w:sz w:val="20"/>
                <w:szCs w:val="20"/>
                <w:color w:val="auto"/>
              </w:rPr>
            </w:pPr>
            <w:r>
              <w:rPr>
                <w:rFonts w:ascii="Arial" w:cs="Arial" w:eastAsia="Arial" w:hAnsi="Arial"/>
                <w:sz w:val="10"/>
                <w:szCs w:val="10"/>
                <w:color w:val="auto"/>
              </w:rPr>
              <w:t>Services</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(4,419)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80"/>
              <w:spacing w:after="0"/>
              <w:rPr>
                <w:sz w:val="20"/>
                <w:szCs w:val="20"/>
                <w:color w:val="auto"/>
              </w:rPr>
            </w:pPr>
            <w:r>
              <w:rPr>
                <w:rFonts w:ascii="Arial" w:cs="Arial" w:eastAsia="Arial" w:hAnsi="Arial"/>
                <w:sz w:val="10"/>
                <w:szCs w:val="10"/>
                <w:color w:val="auto"/>
              </w:rPr>
              <w:t>Products</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1,608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(1,608)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Total intersegment revenues</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(6,027)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color w:val="auto"/>
              </w:rPr>
              <w:t>Investment income</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34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57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96</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220"/>
              <w:spacing w:after="0"/>
              <w:rPr>
                <w:sz w:val="20"/>
                <w:szCs w:val="20"/>
                <w:color w:val="auto"/>
              </w:rPr>
            </w:pPr>
            <w:r>
              <w:rPr>
                <w:rFonts w:ascii="Arial" w:cs="Arial" w:eastAsia="Arial" w:hAnsi="Arial"/>
                <w:sz w:val="10"/>
                <w:szCs w:val="10"/>
                <w:b w:val="1"/>
                <w:bCs w:val="1"/>
                <w:color w:val="auto"/>
              </w:rPr>
              <w:t>Total revenues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12,036</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1,909</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6,191</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0"/>
                <w:szCs w:val="10"/>
                <w:color w:val="auto"/>
              </w:rPr>
              <w:t>(5,970)</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14,168</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Operating expenses:</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80"/>
              <w:spacing w:after="0"/>
              <w:rPr>
                <w:sz w:val="20"/>
                <w:szCs w:val="20"/>
                <w:color w:val="auto"/>
              </w:rPr>
            </w:pPr>
            <w:r>
              <w:rPr>
                <w:rFonts w:ascii="Arial" w:cs="Arial" w:eastAsia="Arial" w:hAnsi="Arial"/>
                <w:sz w:val="10"/>
                <w:szCs w:val="10"/>
                <w:color w:val="auto"/>
              </w:rPr>
              <w:t>Benefits</w:t>
            </w:r>
          </w:p>
        </w:tc>
        <w:tc>
          <w:tcPr>
            <w:tcW w:w="240" w:type="dxa"/>
            <w:vAlign w:val="bottom"/>
          </w:tcPr>
          <w:p>
            <w:pPr>
              <w:spacing w:after="0"/>
              <w:rPr>
                <w:sz w:val="16"/>
                <w:szCs w:val="16"/>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10,083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1,443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11,433</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1,543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455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5,995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(5,879)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2,115</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71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103</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160"/>
              <w:spacing w:after="0"/>
              <w:rPr>
                <w:sz w:val="20"/>
                <w:szCs w:val="20"/>
                <w:color w:val="auto"/>
              </w:rPr>
            </w:pPr>
            <w:r>
              <w:rPr>
                <w:rFonts w:ascii="Arial" w:cs="Arial" w:eastAsia="Arial" w:hAnsi="Arial"/>
                <w:sz w:val="10"/>
                <w:szCs w:val="10"/>
                <w:b w:val="1"/>
                <w:bCs w:val="1"/>
                <w:color w:val="auto"/>
              </w:rPr>
              <w:t>Total operating expenses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11,697</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1,920</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6,033</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4</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0"/>
                <w:szCs w:val="10"/>
                <w:color w:val="auto"/>
              </w:rPr>
              <w:t>(6,003)</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13,651</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Income (loss) from operations</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339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517</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spacing w:after="0"/>
              <w:rPr>
                <w:sz w:val="20"/>
                <w:szCs w:val="20"/>
                <w:color w:val="auto"/>
              </w:rPr>
            </w:pPr>
            <w:r>
              <w:rPr>
                <w:rFonts w:ascii="Arial" w:cs="Arial" w:eastAsia="Arial" w:hAnsi="Arial"/>
                <w:sz w:val="10"/>
                <w:szCs w:val="10"/>
                <w:color w:val="auto"/>
              </w:rPr>
              <w:t>Interest expense</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spacing w:after="0"/>
              <w:rPr>
                <w:sz w:val="20"/>
                <w:szCs w:val="20"/>
                <w:color w:val="auto"/>
              </w:rPr>
            </w:pPr>
            <w:r>
              <w:rPr>
                <w:rFonts w:ascii="Arial" w:cs="Arial" w:eastAsia="Arial" w:hAnsi="Arial"/>
                <w:sz w:val="10"/>
                <w:szCs w:val="10"/>
                <w:color w:val="auto"/>
              </w:rPr>
              <w:t>Other expense, net (A)</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Income (loss) before income taxes and equity in net earnings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339</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158</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436</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Equity in net earnings of Kindred at Home (B)</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0"/>
                <w:szCs w:val="10"/>
                <w:b w:val="1"/>
                <w:bCs w:val="1"/>
                <w:color w:val="auto"/>
              </w:rPr>
              <w:t>Segment earnings (loss)</w:t>
            </w:r>
          </w:p>
        </w:tc>
        <w:tc>
          <w:tcPr>
            <w:tcW w:w="2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339</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160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438</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20"/>
                <w:szCs w:val="20"/>
                <w:color w:val="auto"/>
              </w:rPr>
            </w:pPr>
            <w:r>
              <w:rPr>
                <w:rFonts w:ascii="Arial" w:cs="Arial" w:eastAsia="Arial" w:hAnsi="Arial"/>
                <w:sz w:val="10"/>
                <w:szCs w:val="10"/>
                <w:b w:val="1"/>
                <w:bCs w:val="1"/>
                <w:color w:val="auto"/>
              </w:rPr>
              <w:t>Benefit ratio</w:t>
            </w: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84.0%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84.6%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83.4%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23.9%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96.8%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S-9</w:t>
      </w:r>
    </w:p>
    <w:p>
      <w:pPr>
        <w:sectPr>
          <w:pgSz w:w="11900" w:h="16838" w:orient="portrait"/>
          <w:cols w:equalWidth="0" w:num="1">
            <w:col w:w="10400"/>
          </w:cols>
          <w:pgMar w:left="220" w:top="438" w:right="127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year ended December 31, 2019 (C)</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Group and</w:t>
            </w:r>
          </w:p>
        </w:tc>
        <w:tc>
          <w:tcPr>
            <w:tcW w:w="14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Healthcare</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Eliminations/</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0"/>
                <w:szCs w:val="10"/>
                <w:b w:val="1"/>
                <w:bCs w:val="1"/>
                <w:color w:val="auto"/>
              </w:rPr>
              <w:t>Retail</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Specialty</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Services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Corporate</w:t>
            </w:r>
          </w:p>
        </w:tc>
        <w:tc>
          <w:tcPr>
            <w:tcW w:w="140" w:type="dxa"/>
            <w:vAlign w:val="bottom"/>
          </w:tcPr>
          <w:p>
            <w:pPr>
              <w:spacing w:after="0"/>
              <w:rPr>
                <w:sz w:val="12"/>
                <w:szCs w:val="12"/>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20"/>
              <w:spacing w:after="0"/>
              <w:rPr>
                <w:sz w:val="20"/>
                <w:szCs w:val="20"/>
                <w:color w:val="auto"/>
              </w:rPr>
            </w:pPr>
            <w:r>
              <w:rPr>
                <w:rFonts w:ascii="Arial" w:cs="Arial" w:eastAsia="Arial" w:hAnsi="Arial"/>
                <w:sz w:val="10"/>
                <w:szCs w:val="10"/>
                <w:color w:val="auto"/>
              </w:rPr>
              <w:t>Individual Medicare Advantage</w:t>
            </w: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43,128</w:t>
            </w:r>
          </w:p>
        </w:tc>
        <w:tc>
          <w:tcPr>
            <w:tcW w:w="100" w:type="dxa"/>
            <w:vAlign w:val="bottom"/>
          </w:tcPr>
          <w:p>
            <w:pPr>
              <w:spacing w:after="0"/>
              <w:rPr>
                <w:sz w:val="16"/>
                <w:szCs w:val="16"/>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43,128</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220"/>
              <w:spacing w:after="0"/>
              <w:rPr>
                <w:sz w:val="20"/>
                <w:szCs w:val="20"/>
                <w:color w:val="auto"/>
              </w:rPr>
            </w:pPr>
            <w:r>
              <w:rPr>
                <w:rFonts w:ascii="Arial" w:cs="Arial" w:eastAsia="Arial" w:hAnsi="Arial"/>
                <w:sz w:val="10"/>
                <w:szCs w:val="10"/>
                <w:color w:val="auto"/>
              </w:rPr>
              <w:t>Group Medicare Advantage</w:t>
            </w:r>
          </w:p>
        </w:tc>
        <w:tc>
          <w:tcPr>
            <w:tcW w:w="2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6,475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6,475</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220"/>
              <w:spacing w:after="0"/>
              <w:rPr>
                <w:sz w:val="20"/>
                <w:szCs w:val="20"/>
                <w:color w:val="auto"/>
              </w:rPr>
            </w:pPr>
            <w:r>
              <w:rPr>
                <w:rFonts w:ascii="Arial" w:cs="Arial" w:eastAsia="Arial" w:hAnsi="Arial"/>
                <w:sz w:val="10"/>
                <w:szCs w:val="10"/>
                <w:color w:val="auto"/>
              </w:rPr>
              <w:t>Medicare stand-alone PDP</w:t>
            </w:r>
          </w:p>
        </w:tc>
        <w:tc>
          <w:tcPr>
            <w:tcW w:w="2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3,165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3,165</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300"/>
              <w:spacing w:after="0"/>
              <w:rPr>
                <w:sz w:val="20"/>
                <w:szCs w:val="20"/>
                <w:color w:val="auto"/>
              </w:rPr>
            </w:pPr>
            <w:r>
              <w:rPr>
                <w:rFonts w:ascii="Arial" w:cs="Arial" w:eastAsia="Arial" w:hAnsi="Arial"/>
                <w:sz w:val="10"/>
                <w:szCs w:val="10"/>
                <w:b w:val="1"/>
                <w:bCs w:val="1"/>
                <w:color w:val="auto"/>
              </w:rPr>
              <w:t>Total Medicare</w:t>
            </w:r>
          </w:p>
        </w:tc>
        <w:tc>
          <w:tcPr>
            <w:tcW w:w="22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52,768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52,768</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220"/>
              <w:spacing w:after="0"/>
              <w:rPr>
                <w:sz w:val="20"/>
                <w:szCs w:val="20"/>
                <w:color w:val="auto"/>
              </w:rPr>
            </w:pPr>
            <w:r>
              <w:rPr>
                <w:rFonts w:ascii="Arial" w:cs="Arial" w:eastAsia="Arial" w:hAnsi="Arial"/>
                <w:sz w:val="10"/>
                <w:szCs w:val="10"/>
                <w:color w:val="auto"/>
              </w:rPr>
              <w:t>Fully-insured</w:t>
            </w:r>
          </w:p>
        </w:tc>
        <w:tc>
          <w:tcPr>
            <w:tcW w:w="22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588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5,123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5,711</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220"/>
              <w:spacing w:after="0"/>
              <w:rPr>
                <w:sz w:val="20"/>
                <w:szCs w:val="20"/>
                <w:color w:val="auto"/>
              </w:rPr>
            </w:pPr>
            <w:r>
              <w:rPr>
                <w:rFonts w:ascii="Arial" w:cs="Arial" w:eastAsia="Arial" w:hAnsi="Arial"/>
                <w:sz w:val="10"/>
                <w:szCs w:val="10"/>
                <w:color w:val="auto"/>
              </w:rPr>
              <w:t>Specialty</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1,571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1,571</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220"/>
              <w:spacing w:after="0"/>
              <w:rPr>
                <w:sz w:val="20"/>
                <w:szCs w:val="20"/>
                <w:color w:val="auto"/>
              </w:rPr>
            </w:pPr>
            <w:r>
              <w:rPr>
                <w:rFonts w:ascii="Arial" w:cs="Arial" w:eastAsia="Arial" w:hAnsi="Arial"/>
                <w:sz w:val="10"/>
                <w:szCs w:val="10"/>
                <w:color w:val="auto"/>
              </w:rPr>
              <w:t>Medicaid and other (D)</w:t>
            </w:r>
          </w:p>
        </w:tc>
        <w:tc>
          <w:tcPr>
            <w:tcW w:w="2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2,898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2,898</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300"/>
              <w:spacing w:after="0"/>
              <w:rPr>
                <w:sz w:val="20"/>
                <w:szCs w:val="20"/>
                <w:color w:val="auto"/>
              </w:rPr>
            </w:pPr>
            <w:r>
              <w:rPr>
                <w:rFonts w:ascii="Arial" w:cs="Arial" w:eastAsia="Arial" w:hAnsi="Arial"/>
                <w:sz w:val="10"/>
                <w:szCs w:val="10"/>
                <w:b w:val="1"/>
                <w:bCs w:val="1"/>
                <w:color w:val="auto"/>
              </w:rPr>
              <w:t>Total premiums</w:t>
            </w:r>
          </w:p>
        </w:tc>
        <w:tc>
          <w:tcPr>
            <w:tcW w:w="22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56,254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6,694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62,948</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80"/>
              <w:spacing w:after="0"/>
              <w:rPr>
                <w:sz w:val="20"/>
                <w:szCs w:val="20"/>
                <w:color w:val="auto"/>
              </w:rPr>
            </w:pPr>
            <w:r>
              <w:rPr>
                <w:rFonts w:ascii="Arial" w:cs="Arial" w:eastAsia="Arial" w:hAnsi="Arial"/>
                <w:sz w:val="10"/>
                <w:szCs w:val="10"/>
                <w:b w:val="1"/>
                <w:bCs w:val="1"/>
                <w:color w:val="auto"/>
              </w:rPr>
              <w:t>Services revenue:</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20"/>
              <w:spacing w:after="0"/>
              <w:rPr>
                <w:sz w:val="20"/>
                <w:szCs w:val="20"/>
                <w:color w:val="auto"/>
              </w:rPr>
            </w:pPr>
            <w:r>
              <w:rPr>
                <w:rFonts w:ascii="Arial" w:cs="Arial" w:eastAsia="Arial" w:hAnsi="Arial"/>
                <w:sz w:val="10"/>
                <w:szCs w:val="10"/>
                <w:color w:val="auto"/>
              </w:rPr>
              <w:t>Provider</w:t>
            </w:r>
          </w:p>
        </w:tc>
        <w:tc>
          <w:tcPr>
            <w:tcW w:w="22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446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446</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220"/>
              <w:spacing w:after="0"/>
              <w:rPr>
                <w:sz w:val="20"/>
                <w:szCs w:val="20"/>
                <w:color w:val="auto"/>
              </w:rPr>
            </w:pPr>
            <w:r>
              <w:rPr>
                <w:rFonts w:ascii="Arial" w:cs="Arial" w:eastAsia="Arial" w:hAnsi="Arial"/>
                <w:sz w:val="10"/>
                <w:szCs w:val="10"/>
                <w:color w:val="auto"/>
              </w:rPr>
              <w:t>ASO and other (E)</w:t>
            </w:r>
          </w:p>
        </w:tc>
        <w:tc>
          <w:tcPr>
            <w:tcW w:w="2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807</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220"/>
              <w:spacing w:after="0"/>
              <w:rPr>
                <w:sz w:val="20"/>
                <w:szCs w:val="20"/>
                <w:color w:val="auto"/>
              </w:rPr>
            </w:pPr>
            <w:r>
              <w:rPr>
                <w:rFonts w:ascii="Arial" w:cs="Arial" w:eastAsia="Arial" w:hAnsi="Arial"/>
                <w:sz w:val="10"/>
                <w:szCs w:val="10"/>
                <w:color w:val="auto"/>
              </w:rPr>
              <w:t>Pharmacy</w:t>
            </w:r>
          </w:p>
        </w:tc>
        <w:tc>
          <w:tcPr>
            <w:tcW w:w="2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186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186</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300"/>
              <w:spacing w:after="0"/>
              <w:rPr>
                <w:sz w:val="20"/>
                <w:szCs w:val="20"/>
                <w:color w:val="auto"/>
              </w:rPr>
            </w:pPr>
            <w:r>
              <w:rPr>
                <w:rFonts w:ascii="Arial" w:cs="Arial" w:eastAsia="Arial" w:hAnsi="Arial"/>
                <w:sz w:val="10"/>
                <w:szCs w:val="10"/>
                <w:b w:val="1"/>
                <w:bCs w:val="1"/>
                <w:color w:val="auto"/>
              </w:rPr>
              <w:t>Total services revenue</w:t>
            </w:r>
          </w:p>
        </w:tc>
        <w:tc>
          <w:tcPr>
            <w:tcW w:w="22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632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1,439</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b w:val="1"/>
                <w:bCs w:val="1"/>
                <w:color w:val="auto"/>
              </w:rPr>
              <w:t>Total revenues—external customers</w:t>
            </w:r>
          </w:p>
        </w:tc>
        <w:tc>
          <w:tcPr>
            <w:tcW w:w="22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56,271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7,484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632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64,387</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b w:val="1"/>
                <w:bCs w:val="1"/>
                <w:color w:val="auto"/>
              </w:rPr>
              <w:t>Intersegment revenues</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80"/>
              <w:spacing w:after="0"/>
              <w:rPr>
                <w:sz w:val="20"/>
                <w:szCs w:val="20"/>
                <w:color w:val="auto"/>
              </w:rPr>
            </w:pPr>
            <w:r>
              <w:rPr>
                <w:rFonts w:ascii="Arial" w:cs="Arial" w:eastAsia="Arial" w:hAnsi="Arial"/>
                <w:sz w:val="10"/>
                <w:szCs w:val="10"/>
                <w:color w:val="auto"/>
              </w:rPr>
              <w:t>Services</w:t>
            </w:r>
          </w:p>
        </w:tc>
        <w:tc>
          <w:tcPr>
            <w:tcW w:w="22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18,255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(18,273)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80"/>
              <w:spacing w:after="0"/>
              <w:rPr>
                <w:sz w:val="20"/>
                <w:szCs w:val="20"/>
                <w:color w:val="auto"/>
              </w:rPr>
            </w:pPr>
            <w:r>
              <w:rPr>
                <w:rFonts w:ascii="Arial" w:cs="Arial" w:eastAsia="Arial" w:hAnsi="Arial"/>
                <w:sz w:val="10"/>
                <w:szCs w:val="10"/>
                <w:color w:val="auto"/>
              </w:rPr>
              <w:t>Products</w:t>
            </w:r>
          </w:p>
        </w:tc>
        <w:tc>
          <w:tcPr>
            <w:tcW w:w="2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6,894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(6,894)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b w:val="1"/>
                <w:bCs w:val="1"/>
                <w:color w:val="auto"/>
              </w:rPr>
              <w:t>Total intersegment revenues</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25,149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(25,167)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color w:val="auto"/>
              </w:rPr>
              <w:t>Investment income</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195</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2</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281</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501</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220"/>
              <w:spacing w:after="0"/>
              <w:rPr>
                <w:sz w:val="20"/>
                <w:szCs w:val="20"/>
                <w:color w:val="auto"/>
              </w:rPr>
            </w:pPr>
            <w:r>
              <w:rPr>
                <w:rFonts w:ascii="Arial" w:cs="Arial" w:eastAsia="Arial" w:hAnsi="Arial"/>
                <w:sz w:val="10"/>
                <w:szCs w:val="10"/>
                <w:b w:val="1"/>
                <w:bCs w:val="1"/>
                <w:color w:val="auto"/>
              </w:rPr>
              <w:t>Total revenues</w:t>
            </w:r>
          </w:p>
        </w:tc>
        <w:tc>
          <w:tcPr>
            <w:tcW w:w="22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56,466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7,525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25,783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(24,886)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64,888</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b w:val="1"/>
                <w:bCs w:val="1"/>
                <w:color w:val="auto"/>
              </w:rPr>
              <w:t>Operating expenses:</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80"/>
              <w:spacing w:after="0"/>
              <w:rPr>
                <w:sz w:val="20"/>
                <w:szCs w:val="20"/>
                <w:color w:val="auto"/>
              </w:rPr>
            </w:pPr>
            <w:r>
              <w:rPr>
                <w:rFonts w:ascii="Arial" w:cs="Arial" w:eastAsia="Arial" w:hAnsi="Arial"/>
                <w:sz w:val="10"/>
                <w:szCs w:val="10"/>
                <w:color w:val="auto"/>
              </w:rPr>
              <w:t>Benefits</w:t>
            </w:r>
          </w:p>
        </w:tc>
        <w:tc>
          <w:tcPr>
            <w:tcW w:w="220" w:type="dxa"/>
            <w:vAlign w:val="bottom"/>
          </w:tcPr>
          <w:p>
            <w:pPr>
              <w:spacing w:after="0"/>
              <w:rPr>
                <w:sz w:val="16"/>
                <w:szCs w:val="16"/>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48,602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5,758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(503)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53,857</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5,306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1,651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24,852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(24,428)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7,381</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323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156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(109)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458</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160"/>
              <w:spacing w:after="0"/>
              <w:rPr>
                <w:sz w:val="20"/>
                <w:szCs w:val="20"/>
                <w:color w:val="auto"/>
              </w:rPr>
            </w:pPr>
            <w:r>
              <w:rPr>
                <w:rFonts w:ascii="Arial" w:cs="Arial" w:eastAsia="Arial" w:hAnsi="Arial"/>
                <w:sz w:val="10"/>
                <w:szCs w:val="10"/>
                <w:b w:val="1"/>
                <w:bCs w:val="1"/>
                <w:color w:val="auto"/>
              </w:rPr>
              <w:t>Total operating expenses</w:t>
            </w:r>
          </w:p>
        </w:tc>
        <w:tc>
          <w:tcPr>
            <w:tcW w:w="22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54,231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7,497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25,008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(25,040)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61,696</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b w:val="1"/>
                <w:bCs w:val="1"/>
                <w:color w:val="auto"/>
              </w:rPr>
              <w:t>Income from operations</w:t>
            </w:r>
          </w:p>
        </w:tc>
        <w:tc>
          <w:tcPr>
            <w:tcW w:w="22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2,235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775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0"/>
                <w:szCs w:val="10"/>
                <w:color w:val="auto"/>
              </w:rPr>
              <w:t>154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3,192</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0"/>
                <w:szCs w:val="10"/>
                <w:color w:val="auto"/>
              </w:rPr>
              <w:t>Interest expense</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0"/>
                <w:szCs w:val="10"/>
                <w:color w:val="auto"/>
              </w:rPr>
              <w:t>242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242</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0"/>
                <w:szCs w:val="10"/>
                <w:color w:val="auto"/>
              </w:rPr>
              <w:t>Other income, net (A)</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(506)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(506)</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b w:val="1"/>
                <w:bCs w:val="1"/>
                <w:color w:val="auto"/>
              </w:rPr>
              <w:t>Income before income taxes and equity in net earnings</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2,235</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775</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418</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3,456</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220"/>
              <w:spacing w:after="0"/>
              <w:rPr>
                <w:sz w:val="20"/>
                <w:szCs w:val="20"/>
                <w:color w:val="auto"/>
              </w:rPr>
            </w:pPr>
            <w:r>
              <w:rPr>
                <w:rFonts w:ascii="Arial" w:cs="Arial" w:eastAsia="Arial" w:hAnsi="Arial"/>
                <w:sz w:val="10"/>
                <w:szCs w:val="10"/>
                <w:color w:val="auto"/>
              </w:rPr>
              <w:t>Equity in net earnings of Kindred at Home (B)</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700" w:type="dxa"/>
            <w:vAlign w:val="bottom"/>
          </w:tcPr>
          <w:p>
            <w:pPr>
              <w:spacing w:after="0"/>
              <w:rPr>
                <w:sz w:val="20"/>
                <w:szCs w:val="20"/>
                <w:color w:val="auto"/>
              </w:rPr>
            </w:pPr>
            <w:r>
              <w:rPr>
                <w:rFonts w:ascii="Arial" w:cs="Arial" w:eastAsia="Arial" w:hAnsi="Arial"/>
                <w:sz w:val="10"/>
                <w:szCs w:val="10"/>
                <w:b w:val="1"/>
                <w:bCs w:val="1"/>
                <w:color w:val="auto"/>
              </w:rPr>
              <w:t>Segment earnings</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2,235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789</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418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3,470</w:t>
            </w:r>
          </w:p>
        </w:tc>
        <w:tc>
          <w:tcPr>
            <w:tcW w:w="0" w:type="dxa"/>
            <w:vAlign w:val="bottom"/>
          </w:tcPr>
          <w:p>
            <w:pPr>
              <w:spacing w:after="0"/>
              <w:rPr>
                <w:sz w:val="1"/>
                <w:szCs w:val="1"/>
                <w:color w:val="auto"/>
              </w:rPr>
            </w:pPr>
          </w:p>
        </w:tc>
      </w:tr>
      <w:tr>
        <w:trPr>
          <w:trHeight w:val="118"/>
        </w:trPr>
        <w:tc>
          <w:tcPr>
            <w:tcW w:w="3700" w:type="dxa"/>
            <w:vAlign w:val="bottom"/>
          </w:tcPr>
          <w:p>
            <w:pPr>
              <w:spacing w:after="0"/>
              <w:rPr>
                <w:sz w:val="20"/>
                <w:szCs w:val="20"/>
                <w:color w:val="auto"/>
              </w:rPr>
            </w:pPr>
            <w:r>
              <w:rPr>
                <w:rFonts w:ascii="Arial" w:cs="Arial" w:eastAsia="Arial" w:hAnsi="Arial"/>
                <w:sz w:val="10"/>
                <w:szCs w:val="10"/>
                <w:b w:val="1"/>
                <w:bCs w:val="1"/>
                <w:color w:val="auto"/>
              </w:rPr>
              <w:t>Benefit ratio</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86.4%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86.0%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85.6%</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22.0%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96.4%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S-10</w:t>
      </w:r>
    </w:p>
    <w:p>
      <w:pPr>
        <w:sectPr>
          <w:pgSz w:w="11900" w:h="16838" w:orient="portrait"/>
          <w:cols w:equalWidth="0" w:num="1">
            <w:col w:w="10239"/>
          </w:cols>
          <w:pgMar w:left="220" w:top="438" w:right="1440"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year ended December 31, 2018</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Group and</w:t>
            </w:r>
          </w:p>
        </w:tc>
        <w:tc>
          <w:tcPr>
            <w:tcW w:w="16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Healthcare</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Individual</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Eliminations/</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ind w:left="160"/>
              <w:spacing w:after="0"/>
              <w:rPr>
                <w:sz w:val="20"/>
                <w:szCs w:val="20"/>
                <w:color w:val="auto"/>
              </w:rPr>
            </w:pPr>
            <w:r>
              <w:rPr>
                <w:rFonts w:ascii="Arial" w:cs="Arial" w:eastAsia="Arial" w:hAnsi="Arial"/>
                <w:sz w:val="10"/>
                <w:szCs w:val="10"/>
                <w:b w:val="1"/>
                <w:bCs w:val="1"/>
                <w:color w:val="auto"/>
              </w:rPr>
              <w:t>Retail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Specialty</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Services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Commercial</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Businesses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Corporate</w:t>
            </w:r>
          </w:p>
        </w:tc>
        <w:tc>
          <w:tcPr>
            <w:tcW w:w="140" w:type="dxa"/>
            <w:vAlign w:val="bottom"/>
          </w:tcPr>
          <w:p>
            <w:pPr>
              <w:spacing w:after="0"/>
              <w:rPr>
                <w:sz w:val="12"/>
                <w:szCs w:val="12"/>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20"/>
              <w:spacing w:after="0"/>
              <w:rPr>
                <w:sz w:val="20"/>
                <w:szCs w:val="20"/>
                <w:color w:val="auto"/>
              </w:rPr>
            </w:pPr>
            <w:r>
              <w:rPr>
                <w:rFonts w:ascii="Arial" w:cs="Arial" w:eastAsia="Arial" w:hAnsi="Arial"/>
                <w:sz w:val="10"/>
                <w:szCs w:val="10"/>
                <w:color w:val="auto"/>
              </w:rPr>
              <w:t>Individual Medicare Advantage</w:t>
            </w:r>
          </w:p>
        </w:tc>
        <w:tc>
          <w:tcPr>
            <w:tcW w:w="2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35,656</w:t>
            </w:r>
          </w:p>
        </w:tc>
        <w:tc>
          <w:tcPr>
            <w:tcW w:w="120" w:type="dxa"/>
            <w:vAlign w:val="bottom"/>
          </w:tcPr>
          <w:p>
            <w:pPr>
              <w:spacing w:after="0"/>
              <w:rPr>
                <w:sz w:val="16"/>
                <w:szCs w:val="16"/>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35,656</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Group Medicare Advantage</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6,103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6,103</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Medicare stand-alone PDP</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3,584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3,584</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300"/>
              <w:spacing w:after="0"/>
              <w:rPr>
                <w:sz w:val="20"/>
                <w:szCs w:val="20"/>
                <w:color w:val="auto"/>
              </w:rPr>
            </w:pPr>
            <w:r>
              <w:rPr>
                <w:rFonts w:ascii="Arial" w:cs="Arial" w:eastAsia="Arial" w:hAnsi="Arial"/>
                <w:sz w:val="10"/>
                <w:szCs w:val="10"/>
                <w:b w:val="1"/>
                <w:bCs w:val="1"/>
                <w:color w:val="auto"/>
              </w:rPr>
              <w:t>Total Medicare</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45,343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45,343</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220"/>
              <w:spacing w:after="0"/>
              <w:rPr>
                <w:sz w:val="20"/>
                <w:szCs w:val="20"/>
                <w:color w:val="auto"/>
              </w:rPr>
            </w:pPr>
            <w:r>
              <w:rPr>
                <w:rFonts w:ascii="Arial" w:cs="Arial" w:eastAsia="Arial" w:hAnsi="Arial"/>
                <w:sz w:val="10"/>
                <w:szCs w:val="10"/>
                <w:color w:val="auto"/>
              </w:rPr>
              <w:t>Fully-insured</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510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5,444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5,962</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Specialty</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1,359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1,359</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Medicaid and other (D)</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2,255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2,277</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300"/>
              <w:spacing w:after="0"/>
              <w:rPr>
                <w:sz w:val="20"/>
                <w:szCs w:val="20"/>
                <w:color w:val="auto"/>
              </w:rPr>
            </w:pPr>
            <w:r>
              <w:rPr>
                <w:rFonts w:ascii="Arial" w:cs="Arial" w:eastAsia="Arial" w:hAnsi="Arial"/>
                <w:sz w:val="10"/>
                <w:szCs w:val="10"/>
                <w:b w:val="1"/>
                <w:bCs w:val="1"/>
                <w:color w:val="auto"/>
              </w:rPr>
              <w:t>Total premiums</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48,108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6,803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54,941</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80"/>
              <w:spacing w:after="0"/>
              <w:rPr>
                <w:sz w:val="20"/>
                <w:szCs w:val="20"/>
                <w:color w:val="auto"/>
              </w:rPr>
            </w:pPr>
            <w:r>
              <w:rPr>
                <w:rFonts w:ascii="Arial" w:cs="Arial" w:eastAsia="Arial" w:hAnsi="Arial"/>
                <w:sz w:val="10"/>
                <w:szCs w:val="10"/>
                <w:b w:val="1"/>
                <w:bCs w:val="1"/>
                <w:color w:val="auto"/>
              </w:rPr>
              <w:t>Services revenue:</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20"/>
              <w:spacing w:after="0"/>
              <w:rPr>
                <w:sz w:val="20"/>
                <w:szCs w:val="20"/>
                <w:color w:val="auto"/>
              </w:rPr>
            </w:pPr>
            <w:r>
              <w:rPr>
                <w:rFonts w:ascii="Arial" w:cs="Arial" w:eastAsia="Arial" w:hAnsi="Arial"/>
                <w:sz w:val="10"/>
                <w:szCs w:val="10"/>
                <w:color w:val="auto"/>
              </w:rPr>
              <w:t>Provider</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404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404</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ASO and other (E)</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835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850</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220"/>
              <w:spacing w:after="0"/>
              <w:rPr>
                <w:sz w:val="20"/>
                <w:szCs w:val="20"/>
                <w:color w:val="auto"/>
              </w:rPr>
            </w:pPr>
            <w:r>
              <w:rPr>
                <w:rFonts w:ascii="Arial" w:cs="Arial" w:eastAsia="Arial" w:hAnsi="Arial"/>
                <w:sz w:val="10"/>
                <w:szCs w:val="10"/>
                <w:color w:val="auto"/>
              </w:rPr>
              <w:t>Pharmacy</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203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203</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300"/>
              <w:spacing w:after="0"/>
              <w:rPr>
                <w:sz w:val="20"/>
                <w:szCs w:val="20"/>
                <w:color w:val="auto"/>
              </w:rPr>
            </w:pPr>
            <w:r>
              <w:rPr>
                <w:rFonts w:ascii="Arial" w:cs="Arial" w:eastAsia="Arial" w:hAnsi="Arial"/>
                <w:sz w:val="10"/>
                <w:szCs w:val="10"/>
                <w:b w:val="1"/>
                <w:bCs w:val="1"/>
                <w:color w:val="auto"/>
              </w:rPr>
              <w:t>Total services revenue</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835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607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1,457</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Total revenues—external customers</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48,119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7,638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607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26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56,398</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Intersegment revenues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80"/>
              <w:spacing w:after="0"/>
              <w:rPr>
                <w:sz w:val="20"/>
                <w:szCs w:val="20"/>
                <w:color w:val="auto"/>
              </w:rPr>
            </w:pPr>
            <w:r>
              <w:rPr>
                <w:rFonts w:ascii="Arial" w:cs="Arial" w:eastAsia="Arial" w:hAnsi="Arial"/>
                <w:sz w:val="10"/>
                <w:szCs w:val="10"/>
                <w:color w:val="auto"/>
              </w:rPr>
              <w:t>Services</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16,840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(16,858)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80"/>
              <w:spacing w:after="0"/>
              <w:rPr>
                <w:sz w:val="20"/>
                <w:szCs w:val="20"/>
                <w:color w:val="auto"/>
              </w:rPr>
            </w:pPr>
            <w:r>
              <w:rPr>
                <w:rFonts w:ascii="Arial" w:cs="Arial" w:eastAsia="Arial" w:hAnsi="Arial"/>
                <w:sz w:val="10"/>
                <w:szCs w:val="10"/>
                <w:color w:val="auto"/>
              </w:rPr>
              <w:t>Products</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6,330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(6,330)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Total intersegment revenues</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23,170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(23,188)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color w:val="auto"/>
              </w:rPr>
              <w:t>Investment income</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136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23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34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110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211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514</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220"/>
              <w:spacing w:after="0"/>
              <w:rPr>
                <w:sz w:val="20"/>
                <w:szCs w:val="20"/>
                <w:color w:val="auto"/>
              </w:rPr>
            </w:pPr>
            <w:r>
              <w:rPr>
                <w:rFonts w:ascii="Arial" w:cs="Arial" w:eastAsia="Arial" w:hAnsi="Arial"/>
                <w:sz w:val="10"/>
                <w:szCs w:val="10"/>
                <w:b w:val="1"/>
                <w:bCs w:val="1"/>
                <w:color w:val="auto"/>
              </w:rPr>
              <w:t>Total revenues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48,255</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0"/>
                <w:szCs w:val="10"/>
                <w:color w:val="auto"/>
              </w:rPr>
              <w:t>7,679</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0"/>
                <w:szCs w:val="10"/>
                <w:color w:val="auto"/>
              </w:rPr>
              <w:t>23,811</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0"/>
                <w:szCs w:val="10"/>
                <w:color w:val="auto"/>
              </w:rPr>
              <w:t>136</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(22,977)</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56,912</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Operating expenses:</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80"/>
              <w:spacing w:after="0"/>
              <w:rPr>
                <w:sz w:val="20"/>
                <w:szCs w:val="20"/>
                <w:color w:val="auto"/>
              </w:rPr>
            </w:pPr>
            <w:r>
              <w:rPr>
                <w:rFonts w:ascii="Arial" w:cs="Arial" w:eastAsia="Arial" w:hAnsi="Arial"/>
                <w:sz w:val="10"/>
                <w:szCs w:val="10"/>
                <w:color w:val="auto"/>
              </w:rPr>
              <w:t>Benefits</w:t>
            </w:r>
          </w:p>
        </w:tc>
        <w:tc>
          <w:tcPr>
            <w:tcW w:w="240" w:type="dxa"/>
            <w:vAlign w:val="bottom"/>
          </w:tcPr>
          <w:p>
            <w:pPr>
              <w:spacing w:after="0"/>
              <w:rPr>
                <w:sz w:val="16"/>
                <w:szCs w:val="16"/>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40,925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5,420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6"/>
                <w:szCs w:val="16"/>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(470)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45,882</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5,327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1,810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22,905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(22,527)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7,525</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270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88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163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0"/>
                <w:szCs w:val="10"/>
                <w:color w:val="auto"/>
              </w:rPr>
              <w:t>(116)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405</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160"/>
              <w:spacing w:after="0"/>
              <w:rPr>
                <w:sz w:val="20"/>
                <w:szCs w:val="20"/>
                <w:color w:val="auto"/>
              </w:rPr>
            </w:pPr>
            <w:r>
              <w:rPr>
                <w:rFonts w:ascii="Arial" w:cs="Arial" w:eastAsia="Arial" w:hAnsi="Arial"/>
                <w:sz w:val="10"/>
                <w:szCs w:val="10"/>
                <w:b w:val="1"/>
                <w:bCs w:val="1"/>
                <w:color w:val="auto"/>
              </w:rPr>
              <w:t>Total operating expenses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46,522</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0"/>
                <w:szCs w:val="10"/>
                <w:color w:val="auto"/>
              </w:rPr>
              <w:t>7,318</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0"/>
                <w:szCs w:val="10"/>
                <w:color w:val="auto"/>
              </w:rPr>
              <w:t>23,068</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0"/>
                <w:szCs w:val="10"/>
                <w:color w:val="auto"/>
              </w:rPr>
              <w:t>83</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(23,113)</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53,812</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Income from operations</w:t>
            </w:r>
          </w:p>
        </w:tc>
        <w:tc>
          <w:tcPr>
            <w:tcW w:w="240" w:type="dxa"/>
            <w:vAlign w:val="bottom"/>
          </w:tcPr>
          <w:p>
            <w:pPr>
              <w:spacing w:after="0"/>
              <w:rPr>
                <w:sz w:val="10"/>
                <w:szCs w:val="10"/>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0"/>
                <w:szCs w:val="10"/>
                <w:color w:val="auto"/>
              </w:rPr>
              <w:t>1,733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361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743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0"/>
                <w:szCs w:val="10"/>
                <w:color w:val="auto"/>
              </w:rPr>
              <w:t>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0"/>
                <w:szCs w:val="10"/>
                <w:color w:val="auto"/>
              </w:rPr>
              <w:t>53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136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3,100</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0"/>
                <w:szCs w:val="10"/>
                <w:color w:val="auto"/>
              </w:rPr>
              <w:t>Loss on sale of business</w:t>
            </w: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786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786</w:t>
            </w:r>
          </w:p>
        </w:tc>
        <w:tc>
          <w:tcPr>
            <w:tcW w:w="0" w:type="dxa"/>
            <w:vAlign w:val="bottom"/>
          </w:tcPr>
          <w:p>
            <w:pPr>
              <w:spacing w:after="0"/>
              <w:rPr>
                <w:sz w:val="1"/>
                <w:szCs w:val="1"/>
                <w:color w:val="auto"/>
              </w:rPr>
            </w:pPr>
          </w:p>
        </w:tc>
      </w:tr>
      <w:tr>
        <w:trPr>
          <w:trHeight w:val="144"/>
        </w:trPr>
        <w:tc>
          <w:tcPr>
            <w:tcW w:w="3520" w:type="dxa"/>
            <w:vAlign w:val="bottom"/>
          </w:tcPr>
          <w:p>
            <w:pPr>
              <w:spacing w:after="0"/>
              <w:rPr>
                <w:sz w:val="20"/>
                <w:szCs w:val="20"/>
                <w:color w:val="auto"/>
              </w:rPr>
            </w:pPr>
            <w:r>
              <w:rPr>
                <w:rFonts w:ascii="Arial" w:cs="Arial" w:eastAsia="Arial" w:hAnsi="Arial"/>
                <w:sz w:val="10"/>
                <w:szCs w:val="10"/>
                <w:color w:val="auto"/>
              </w:rPr>
              <w:t>Interest expense</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218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218</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20" w:type="dxa"/>
            <w:vAlign w:val="bottom"/>
          </w:tcPr>
          <w:p>
            <w:pPr>
              <w:spacing w:after="0"/>
              <w:rPr>
                <w:sz w:val="20"/>
                <w:szCs w:val="20"/>
                <w:color w:val="auto"/>
              </w:rPr>
            </w:pPr>
            <w:r>
              <w:rPr>
                <w:rFonts w:ascii="Arial" w:cs="Arial" w:eastAsia="Arial" w:hAnsi="Arial"/>
                <w:sz w:val="10"/>
                <w:szCs w:val="10"/>
                <w:color w:val="auto"/>
              </w:rPr>
              <w:t>Other expense, net (A)</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20"/>
                <w:szCs w:val="20"/>
                <w:color w:val="auto"/>
              </w:rPr>
            </w:pPr>
            <w:r>
              <w:rPr>
                <w:rFonts w:ascii="Arial" w:cs="Arial" w:eastAsia="Arial" w:hAnsi="Arial"/>
                <w:sz w:val="10"/>
                <w:szCs w:val="10"/>
                <w:b w:val="1"/>
                <w:bCs w:val="1"/>
                <w:color w:val="auto"/>
              </w:rPr>
              <w:t>Income (loss) before income taxes and equity in net earnings</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1,733</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0"/>
                <w:szCs w:val="10"/>
                <w:color w:val="auto"/>
              </w:rPr>
              <w:t>361</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0"/>
                <w:szCs w:val="10"/>
                <w:color w:val="auto"/>
              </w:rPr>
              <w:t>743</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0"/>
                <w:szCs w:val="10"/>
                <w:color w:val="auto"/>
              </w:rPr>
              <w:t>74</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0"/>
                <w:szCs w:val="10"/>
                <w:color w:val="auto"/>
              </w:rPr>
              <w:t>53</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(901)</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2,063</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220"/>
              <w:spacing w:after="0"/>
              <w:rPr>
                <w:sz w:val="20"/>
                <w:szCs w:val="20"/>
                <w:color w:val="auto"/>
              </w:rPr>
            </w:pPr>
            <w:r>
              <w:rPr>
                <w:rFonts w:ascii="Arial" w:cs="Arial" w:eastAsia="Arial" w:hAnsi="Arial"/>
                <w:sz w:val="10"/>
                <w:szCs w:val="10"/>
                <w:color w:val="auto"/>
              </w:rPr>
              <w:t>Equity in net earnings of Kindred at Home (B)</w:t>
            </w:r>
          </w:p>
        </w:tc>
        <w:tc>
          <w:tcPr>
            <w:tcW w:w="24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0"/>
                <w:szCs w:val="10"/>
                <w:b w:val="1"/>
                <w:bCs w:val="1"/>
                <w:color w:val="auto"/>
              </w:rPr>
              <w:t>Segment earnings (loss)</w:t>
            </w:r>
          </w:p>
        </w:tc>
        <w:tc>
          <w:tcPr>
            <w:tcW w:w="2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1,733</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361</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754</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74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53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(901)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2,074</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20"/>
                <w:szCs w:val="20"/>
                <w:color w:val="auto"/>
              </w:rPr>
            </w:pPr>
            <w:r>
              <w:rPr>
                <w:rFonts w:ascii="Arial" w:cs="Arial" w:eastAsia="Arial" w:hAnsi="Arial"/>
                <w:sz w:val="10"/>
                <w:szCs w:val="10"/>
                <w:b w:val="1"/>
                <w:bCs w:val="1"/>
                <w:color w:val="auto"/>
              </w:rPr>
              <w:t>Benefit ratio</w:t>
            </w: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85.1%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79.7%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83.5%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23.6%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96.3%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13.3%</w:t>
            </w:r>
          </w:p>
        </w:tc>
        <w:tc>
          <w:tcPr>
            <w:tcW w:w="0" w:type="dxa"/>
            <w:vAlign w:val="bottom"/>
          </w:tcPr>
          <w:p>
            <w:pPr>
              <w:spacing w:after="0"/>
              <w:rPr>
                <w:sz w:val="1"/>
                <w:szCs w:val="1"/>
                <w:color w:val="auto"/>
              </w:rPr>
            </w:pPr>
          </w:p>
        </w:tc>
      </w:tr>
      <w:tr>
        <w:trPr>
          <w:trHeight w:val="36"/>
        </w:trPr>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S-11</w:t>
      </w:r>
    </w:p>
    <w:p>
      <w:pPr>
        <w:sectPr>
          <w:pgSz w:w="11900" w:h="16838" w:orient="portrait"/>
          <w:cols w:equalWidth="0" w:num="1">
            <w:col w:w="11460"/>
          </w:cols>
          <w:pgMar w:left="220" w:top="438" w:right="21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Ending Membership Detail</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thousands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600" w:type="dxa"/>
            <w:vAlign w:val="bottom"/>
            <w:tcBorders>
              <w:right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980" w:type="dxa"/>
            <w:vAlign w:val="bottom"/>
            <w:tcBorders>
              <w:top w:val="single" w:sz="8" w:color="auto"/>
              <w:bottom w:val="single" w:sz="8" w:color="auto"/>
              <w:right w:val="single" w:sz="8" w:color="auto"/>
            </w:tcBorders>
            <w:gridSpan w:val="2"/>
          </w:tcPr>
          <w:p>
            <w:pPr>
              <w:jc w:val="right"/>
              <w:ind w:right="412"/>
              <w:spacing w:after="0"/>
              <w:rPr>
                <w:sz w:val="20"/>
                <w:szCs w:val="20"/>
                <w:color w:val="auto"/>
              </w:rPr>
            </w:pPr>
            <w:r>
              <w:rPr>
                <w:rFonts w:ascii="Arial" w:cs="Arial" w:eastAsia="Arial" w:hAnsi="Arial"/>
                <w:sz w:val="10"/>
                <w:szCs w:val="10"/>
                <w:b w:val="1"/>
                <w:bCs w:val="1"/>
                <w:color w:val="auto"/>
              </w:rPr>
              <w:t>Year-over-Year Change</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540" w:type="dxa"/>
            <w:vAlign w:val="bottom"/>
            <w:tcBorders>
              <w:top w:val="single" w:sz="8" w:color="auto"/>
              <w:bottom w:val="single" w:sz="8" w:color="auto"/>
              <w:right w:val="single" w:sz="8" w:color="auto"/>
            </w:tcBorders>
            <w:gridSpan w:val="2"/>
          </w:tcPr>
          <w:p>
            <w:pPr>
              <w:jc w:val="right"/>
              <w:ind w:right="292"/>
              <w:spacing w:after="0"/>
              <w:rPr>
                <w:sz w:val="20"/>
                <w:szCs w:val="20"/>
                <w:color w:val="auto"/>
              </w:rPr>
            </w:pPr>
            <w:r>
              <w:rPr>
                <w:rFonts w:ascii="Arial" w:cs="Arial" w:eastAsia="Arial" w:hAnsi="Arial"/>
                <w:sz w:val="10"/>
                <w:szCs w:val="10"/>
                <w:b w:val="1"/>
                <w:bCs w:val="1"/>
                <w:color w:val="auto"/>
              </w:rPr>
              <w:t>Sequential Change</w:t>
            </w:r>
          </w:p>
        </w:tc>
        <w:tc>
          <w:tcPr>
            <w:tcW w:w="0" w:type="dxa"/>
            <w:vAlign w:val="bottom"/>
          </w:tcPr>
          <w:p>
            <w:pPr>
              <w:spacing w:after="0"/>
              <w:rPr>
                <w:sz w:val="1"/>
                <w:szCs w:val="1"/>
                <w:color w:val="auto"/>
              </w:rPr>
            </w:pPr>
          </w:p>
        </w:tc>
      </w:tr>
      <w:tr>
        <w:trPr>
          <w:trHeight w:val="156"/>
        </w:trPr>
        <w:tc>
          <w:tcPr>
            <w:tcW w:w="26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gridSpan w:val="2"/>
          </w:tcPr>
          <w:p>
            <w:pPr>
              <w:ind w:left="160"/>
              <w:spacing w:after="0"/>
              <w:rPr>
                <w:sz w:val="20"/>
                <w:szCs w:val="20"/>
                <w:color w:val="auto"/>
              </w:rPr>
            </w:pPr>
            <w:r>
              <w:rPr>
                <w:rFonts w:ascii="Arial" w:cs="Arial" w:eastAsia="Arial" w:hAnsi="Arial"/>
                <w:sz w:val="10"/>
                <w:szCs w:val="10"/>
                <w:b w:val="1"/>
                <w:bCs w:val="1"/>
                <w:color w:val="00497F"/>
              </w:rPr>
              <w:t>December 31, 2019</w:t>
            </w:r>
          </w:p>
        </w:tc>
        <w:tc>
          <w:tcPr>
            <w:tcW w:w="11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00497F"/>
                <w:w w:val="95"/>
              </w:rPr>
              <w:t>Average 4Q19</w:t>
            </w:r>
          </w:p>
        </w:tc>
        <w:tc>
          <w:tcPr>
            <w:tcW w:w="1220" w:type="dxa"/>
            <w:vAlign w:val="bottom"/>
            <w:gridSpan w:val="2"/>
          </w:tcPr>
          <w:p>
            <w:pPr>
              <w:ind w:left="140"/>
              <w:spacing w:after="0"/>
              <w:rPr>
                <w:sz w:val="20"/>
                <w:szCs w:val="20"/>
                <w:color w:val="auto"/>
              </w:rPr>
            </w:pPr>
            <w:r>
              <w:rPr>
                <w:rFonts w:ascii="Arial" w:cs="Arial" w:eastAsia="Arial" w:hAnsi="Arial"/>
                <w:sz w:val="10"/>
                <w:szCs w:val="10"/>
                <w:color w:val="auto"/>
              </w:rPr>
              <w:t>December 31, 2018</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5"/>
              </w:rPr>
              <w:t>Amount</w:t>
            </w:r>
          </w:p>
        </w:tc>
        <w:tc>
          <w:tcPr>
            <w:tcW w:w="1000" w:type="dxa"/>
            <w:vAlign w:val="bottom"/>
            <w:gridSpan w:val="2"/>
          </w:tcPr>
          <w:p>
            <w:pPr>
              <w:ind w:left="260"/>
              <w:spacing w:after="0"/>
              <w:rPr>
                <w:sz w:val="20"/>
                <w:szCs w:val="20"/>
                <w:color w:val="auto"/>
              </w:rPr>
            </w:pPr>
            <w:r>
              <w:rPr>
                <w:rFonts w:ascii="Arial" w:cs="Arial" w:eastAsia="Arial" w:hAnsi="Arial"/>
                <w:sz w:val="10"/>
                <w:szCs w:val="10"/>
                <w:b w:val="1"/>
                <w:bCs w:val="1"/>
                <w:color w:val="auto"/>
              </w:rPr>
              <w:t>Percent</w:t>
            </w:r>
          </w:p>
        </w:tc>
        <w:tc>
          <w:tcPr>
            <w:tcW w:w="1100" w:type="dxa"/>
            <w:vAlign w:val="bottom"/>
            <w:gridSpan w:val="2"/>
          </w:tcPr>
          <w:p>
            <w:pPr>
              <w:ind w:left="40"/>
              <w:spacing w:after="0"/>
              <w:rPr>
                <w:sz w:val="20"/>
                <w:szCs w:val="20"/>
                <w:color w:val="auto"/>
              </w:rPr>
            </w:pPr>
            <w:r>
              <w:rPr>
                <w:rFonts w:ascii="Arial" w:cs="Arial" w:eastAsia="Arial" w:hAnsi="Arial"/>
                <w:sz w:val="10"/>
                <w:szCs w:val="10"/>
                <w:b w:val="1"/>
                <w:bCs w:val="1"/>
                <w:color w:val="auto"/>
              </w:rPr>
              <w:t>September 30, 2019</w:t>
            </w:r>
          </w:p>
        </w:tc>
        <w:tc>
          <w:tcPr>
            <w:tcW w:w="740" w:type="dxa"/>
            <w:vAlign w:val="bottom"/>
          </w:tcPr>
          <w:p>
            <w:pPr>
              <w:jc w:val="right"/>
              <w:ind w:right="152"/>
              <w:spacing w:after="0"/>
              <w:rPr>
                <w:sz w:val="20"/>
                <w:szCs w:val="20"/>
                <w:color w:val="auto"/>
              </w:rPr>
            </w:pPr>
            <w:r>
              <w:rPr>
                <w:rFonts w:ascii="Arial" w:cs="Arial" w:eastAsia="Arial" w:hAnsi="Arial"/>
                <w:sz w:val="10"/>
                <w:szCs w:val="10"/>
                <w:b w:val="1"/>
                <w:bCs w:val="1"/>
                <w:color w:val="auto"/>
              </w:rPr>
              <w:t>Amount</w:t>
            </w:r>
          </w:p>
        </w:tc>
        <w:tc>
          <w:tcPr>
            <w:tcW w:w="800" w:type="dxa"/>
            <w:vAlign w:val="bottom"/>
          </w:tcPr>
          <w:p>
            <w:pPr>
              <w:jc w:val="right"/>
              <w:ind w:right="172"/>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24"/>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Medical Membership:</w:t>
            </w: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Retail</w:t>
            </w:r>
          </w:p>
        </w:tc>
        <w:tc>
          <w:tcPr>
            <w:tcW w:w="1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Individual Medicare Advantage</w:t>
            </w: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3,587.2</w:t>
            </w:r>
          </w:p>
        </w:tc>
        <w:tc>
          <w:tcPr>
            <w:tcW w:w="1060" w:type="dxa"/>
            <w:vAlign w:val="bottom"/>
          </w:tcPr>
          <w:p>
            <w:pPr>
              <w:jc w:val="right"/>
              <w:ind w:right="52"/>
              <w:spacing w:after="0"/>
              <w:rPr>
                <w:sz w:val="20"/>
                <w:szCs w:val="20"/>
                <w:color w:val="auto"/>
              </w:rPr>
            </w:pPr>
            <w:r>
              <w:rPr>
                <w:rFonts w:ascii="Arial" w:cs="Arial" w:eastAsia="Arial" w:hAnsi="Arial"/>
                <w:sz w:val="10"/>
                <w:szCs w:val="10"/>
                <w:b w:val="1"/>
                <w:bCs w:val="1"/>
                <w:color w:val="00497F"/>
              </w:rPr>
              <w:t>3,579.9</w:t>
            </w:r>
          </w:p>
        </w:tc>
        <w:tc>
          <w:tcPr>
            <w:tcW w:w="10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3,064.0</w:t>
            </w:r>
          </w:p>
        </w:tc>
        <w:tc>
          <w:tcPr>
            <w:tcW w:w="12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523.2</w:t>
            </w:r>
          </w:p>
        </w:tc>
        <w:tc>
          <w:tcPr>
            <w:tcW w:w="900" w:type="dxa"/>
            <w:vAlign w:val="bottom"/>
          </w:tcPr>
          <w:p>
            <w:pPr>
              <w:jc w:val="right"/>
              <w:spacing w:after="0"/>
              <w:rPr>
                <w:sz w:val="20"/>
                <w:szCs w:val="20"/>
                <w:color w:val="auto"/>
              </w:rPr>
            </w:pPr>
            <w:r>
              <w:rPr>
                <w:rFonts w:ascii="Arial" w:cs="Arial" w:eastAsia="Arial" w:hAnsi="Arial"/>
                <w:sz w:val="10"/>
                <w:szCs w:val="10"/>
                <w:color w:val="auto"/>
              </w:rPr>
              <w:t>17.1 %</w:t>
            </w:r>
          </w:p>
        </w:tc>
        <w:tc>
          <w:tcPr>
            <w:tcW w:w="1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3,552.5</w:t>
            </w:r>
          </w:p>
        </w:tc>
        <w:tc>
          <w:tcPr>
            <w:tcW w:w="12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34.7</w:t>
            </w:r>
          </w:p>
        </w:tc>
        <w:tc>
          <w:tcPr>
            <w:tcW w:w="800" w:type="dxa"/>
            <w:vAlign w:val="bottom"/>
          </w:tcPr>
          <w:p>
            <w:pPr>
              <w:jc w:val="right"/>
              <w:spacing w:after="0"/>
              <w:rPr>
                <w:sz w:val="20"/>
                <w:szCs w:val="20"/>
                <w:color w:val="auto"/>
              </w:rPr>
            </w:pPr>
            <w:r>
              <w:rPr>
                <w:rFonts w:ascii="Arial" w:cs="Arial" w:eastAsia="Arial" w:hAnsi="Arial"/>
                <w:sz w:val="10"/>
                <w:szCs w:val="10"/>
                <w:color w:val="auto"/>
              </w:rPr>
              <w:t>1.0 %</w:t>
            </w: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Group Medicare Advantage</w:t>
            </w: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525.3</w:t>
            </w:r>
          </w:p>
        </w:tc>
        <w:tc>
          <w:tcPr>
            <w:tcW w:w="1060" w:type="dxa"/>
            <w:vAlign w:val="bottom"/>
          </w:tcPr>
          <w:p>
            <w:pPr>
              <w:jc w:val="right"/>
              <w:ind w:right="52"/>
              <w:spacing w:after="0"/>
              <w:rPr>
                <w:sz w:val="20"/>
                <w:szCs w:val="20"/>
                <w:color w:val="auto"/>
              </w:rPr>
            </w:pPr>
            <w:r>
              <w:rPr>
                <w:rFonts w:ascii="Arial" w:cs="Arial" w:eastAsia="Arial" w:hAnsi="Arial"/>
                <w:sz w:val="10"/>
                <w:szCs w:val="10"/>
                <w:b w:val="1"/>
                <w:bCs w:val="1"/>
                <w:color w:val="00497F"/>
              </w:rPr>
              <w:t>525.1</w:t>
            </w:r>
          </w:p>
        </w:tc>
        <w:tc>
          <w:tcPr>
            <w:tcW w:w="10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497.8</w:t>
            </w:r>
          </w:p>
        </w:tc>
        <w:tc>
          <w:tcPr>
            <w:tcW w:w="120" w:type="dxa"/>
            <w:vAlign w:val="bottom"/>
          </w:tcPr>
          <w:p>
            <w:pPr>
              <w:spacing w:after="0"/>
              <w:rPr>
                <w:sz w:val="15"/>
                <w:szCs w:val="15"/>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27.5</w:t>
            </w:r>
          </w:p>
        </w:tc>
        <w:tc>
          <w:tcPr>
            <w:tcW w:w="900" w:type="dxa"/>
            <w:vAlign w:val="bottom"/>
          </w:tcPr>
          <w:p>
            <w:pPr>
              <w:jc w:val="right"/>
              <w:spacing w:after="0"/>
              <w:rPr>
                <w:sz w:val="20"/>
                <w:szCs w:val="20"/>
                <w:color w:val="auto"/>
              </w:rPr>
            </w:pPr>
            <w:r>
              <w:rPr>
                <w:rFonts w:ascii="Arial" w:cs="Arial" w:eastAsia="Arial" w:hAnsi="Arial"/>
                <w:sz w:val="10"/>
                <w:szCs w:val="10"/>
                <w:color w:val="auto"/>
              </w:rPr>
              <w:t>5.5 %</w:t>
            </w:r>
          </w:p>
        </w:tc>
        <w:tc>
          <w:tcPr>
            <w:tcW w:w="1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523.9</w:t>
            </w:r>
          </w:p>
        </w:tc>
        <w:tc>
          <w:tcPr>
            <w:tcW w:w="12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1.4</w:t>
            </w:r>
          </w:p>
        </w:tc>
        <w:tc>
          <w:tcPr>
            <w:tcW w:w="800" w:type="dxa"/>
            <w:vAlign w:val="bottom"/>
          </w:tcPr>
          <w:p>
            <w:pPr>
              <w:jc w:val="right"/>
              <w:spacing w:after="0"/>
              <w:rPr>
                <w:sz w:val="20"/>
                <w:szCs w:val="20"/>
                <w:color w:val="auto"/>
              </w:rPr>
            </w:pPr>
            <w:r>
              <w:rPr>
                <w:rFonts w:ascii="Arial" w:cs="Arial" w:eastAsia="Arial" w:hAnsi="Arial"/>
                <w:sz w:val="10"/>
                <w:szCs w:val="10"/>
                <w:color w:val="auto"/>
              </w:rPr>
              <w:t>0.3 %</w:t>
            </w: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Medicare stand-alone PDP</w:t>
            </w:r>
          </w:p>
        </w:tc>
        <w:tc>
          <w:tcPr>
            <w:tcW w:w="12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4,365.2</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4,369.0</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5,004.3</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(639.1)</w:t>
            </w:r>
          </w:p>
        </w:tc>
        <w:tc>
          <w:tcPr>
            <w:tcW w:w="900" w:type="dxa"/>
            <w:vAlign w:val="bottom"/>
          </w:tcPr>
          <w:p>
            <w:pPr>
              <w:jc w:val="right"/>
              <w:spacing w:after="0"/>
              <w:rPr>
                <w:sz w:val="20"/>
                <w:szCs w:val="20"/>
                <w:color w:val="auto"/>
              </w:rPr>
            </w:pPr>
            <w:r>
              <w:rPr>
                <w:rFonts w:ascii="Arial" w:cs="Arial" w:eastAsia="Arial" w:hAnsi="Arial"/>
                <w:sz w:val="10"/>
                <w:szCs w:val="10"/>
                <w:color w:val="auto"/>
              </w:rPr>
              <w:t>-12.8 %</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4,379.8</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(14.6)</w:t>
            </w:r>
          </w:p>
        </w:tc>
        <w:tc>
          <w:tcPr>
            <w:tcW w:w="800" w:type="dxa"/>
            <w:vAlign w:val="bottom"/>
          </w:tcPr>
          <w:p>
            <w:pPr>
              <w:jc w:val="right"/>
              <w:spacing w:after="0"/>
              <w:rPr>
                <w:sz w:val="20"/>
                <w:szCs w:val="20"/>
                <w:color w:val="auto"/>
              </w:rPr>
            </w:pPr>
            <w:r>
              <w:rPr>
                <w:rFonts w:ascii="Arial" w:cs="Arial" w:eastAsia="Arial" w:hAnsi="Arial"/>
                <w:sz w:val="10"/>
                <w:szCs w:val="10"/>
                <w:color w:val="auto"/>
              </w:rPr>
              <w:t>-0.3 %</w:t>
            </w:r>
          </w:p>
        </w:tc>
        <w:tc>
          <w:tcPr>
            <w:tcW w:w="0" w:type="dxa"/>
            <w:vAlign w:val="bottom"/>
          </w:tcPr>
          <w:p>
            <w:pPr>
              <w:spacing w:after="0"/>
              <w:rPr>
                <w:sz w:val="1"/>
                <w:szCs w:val="1"/>
                <w:color w:val="auto"/>
              </w:rPr>
            </w:pPr>
          </w:p>
        </w:tc>
      </w:tr>
      <w:tr>
        <w:trPr>
          <w:trHeight w:val="124"/>
        </w:trPr>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Total Medicare</w:t>
            </w:r>
          </w:p>
        </w:tc>
        <w:tc>
          <w:tcPr>
            <w:tcW w:w="12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0"/>
                <w:szCs w:val="10"/>
                <w:b w:val="1"/>
                <w:bCs w:val="1"/>
                <w:color w:val="00497F"/>
              </w:rPr>
              <w:t>8,477.7</w:t>
            </w:r>
          </w:p>
        </w:tc>
        <w:tc>
          <w:tcPr>
            <w:tcW w:w="106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00497F"/>
              </w:rPr>
              <w:t>8,474.0</w:t>
            </w:r>
          </w:p>
        </w:tc>
        <w:tc>
          <w:tcPr>
            <w:tcW w:w="100" w:type="dxa"/>
            <w:vAlign w:val="bottom"/>
          </w:tcPr>
          <w:p>
            <w:pPr>
              <w:spacing w:after="0"/>
              <w:rPr>
                <w:sz w:val="10"/>
                <w:szCs w:val="10"/>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0"/>
                <w:szCs w:val="10"/>
                <w:color w:val="auto"/>
              </w:rPr>
              <w:t>8,566.1</w:t>
            </w:r>
          </w:p>
        </w:tc>
        <w:tc>
          <w:tcPr>
            <w:tcW w:w="120" w:type="dxa"/>
            <w:vAlign w:val="bottom"/>
          </w:tcPr>
          <w:p>
            <w:pPr>
              <w:spacing w:after="0"/>
              <w:rPr>
                <w:sz w:val="10"/>
                <w:szCs w:val="10"/>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0"/>
                <w:szCs w:val="10"/>
                <w:color w:val="auto"/>
              </w:rPr>
              <w:t>(88.4)</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-1.0 %</w:t>
            </w:r>
          </w:p>
        </w:tc>
        <w:tc>
          <w:tcPr>
            <w:tcW w:w="100" w:type="dxa"/>
            <w:vAlign w:val="bottom"/>
          </w:tcPr>
          <w:p>
            <w:pPr>
              <w:spacing w:after="0"/>
              <w:rPr>
                <w:sz w:val="10"/>
                <w:szCs w:val="10"/>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0"/>
                <w:szCs w:val="10"/>
                <w:color w:val="auto"/>
              </w:rPr>
              <w:t>8,456.2</w:t>
            </w:r>
          </w:p>
        </w:tc>
        <w:tc>
          <w:tcPr>
            <w:tcW w:w="120" w:type="dxa"/>
            <w:vAlign w:val="bottom"/>
          </w:tcPr>
          <w:p>
            <w:pPr>
              <w:spacing w:after="0"/>
              <w:rPr>
                <w:sz w:val="10"/>
                <w:szCs w:val="10"/>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0"/>
                <w:szCs w:val="10"/>
                <w:color w:val="auto"/>
              </w:rPr>
              <w:t>21.5</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0.3 %</w:t>
            </w:r>
          </w:p>
        </w:tc>
        <w:tc>
          <w:tcPr>
            <w:tcW w:w="0" w:type="dxa"/>
            <w:vAlign w:val="bottom"/>
          </w:tcPr>
          <w:p>
            <w:pPr>
              <w:spacing w:after="0"/>
              <w:rPr>
                <w:sz w:val="1"/>
                <w:szCs w:val="1"/>
                <w:color w:val="auto"/>
              </w:rPr>
            </w:pPr>
          </w:p>
        </w:tc>
      </w:tr>
      <w:tr>
        <w:trPr>
          <w:trHeight w:val="45"/>
        </w:trPr>
        <w:tc>
          <w:tcPr>
            <w:tcW w:w="2600" w:type="dxa"/>
            <w:vAlign w:val="bottom"/>
            <w:tcBorders>
              <w:right w:val="single" w:sz="8" w:color="auto"/>
            </w:tcBorders>
          </w:tcPr>
          <w:p>
            <w:pPr>
              <w:spacing w:after="0"/>
              <w:rPr>
                <w:sz w:val="3"/>
                <w:szCs w:val="3"/>
                <w:color w:val="auto"/>
              </w:rPr>
            </w:pPr>
          </w:p>
        </w:tc>
        <w:tc>
          <w:tcPr>
            <w:tcW w:w="1220" w:type="dxa"/>
            <w:vAlign w:val="bottom"/>
            <w:tcBorders>
              <w:bottom w:val="single" w:sz="8" w:color="auto"/>
              <w:right w:val="single" w:sz="8" w:color="auto"/>
            </w:tcBorders>
            <w:gridSpan w:val="2"/>
            <w:vMerge w:val="continue"/>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State-based contracts (F)</w:t>
            </w:r>
          </w:p>
        </w:tc>
        <w:tc>
          <w:tcPr>
            <w:tcW w:w="12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0"/>
                <w:szCs w:val="10"/>
                <w:b w:val="1"/>
                <w:bCs w:val="1"/>
                <w:color w:val="00497F"/>
              </w:rPr>
              <w:t>469.0</w:t>
            </w:r>
          </w:p>
        </w:tc>
        <w:tc>
          <w:tcPr>
            <w:tcW w:w="106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00497F"/>
              </w:rPr>
              <w:t>468.8</w:t>
            </w:r>
          </w:p>
        </w:tc>
        <w:tc>
          <w:tcPr>
            <w:tcW w:w="100" w:type="dxa"/>
            <w:vAlign w:val="bottom"/>
          </w:tcPr>
          <w:p>
            <w:pPr>
              <w:spacing w:after="0"/>
              <w:rPr>
                <w:sz w:val="10"/>
                <w:szCs w:val="10"/>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0"/>
                <w:szCs w:val="10"/>
                <w:color w:val="auto"/>
              </w:rPr>
              <w:t>341.1</w:t>
            </w:r>
          </w:p>
        </w:tc>
        <w:tc>
          <w:tcPr>
            <w:tcW w:w="120" w:type="dxa"/>
            <w:vAlign w:val="bottom"/>
          </w:tcPr>
          <w:p>
            <w:pPr>
              <w:spacing w:after="0"/>
              <w:rPr>
                <w:sz w:val="10"/>
                <w:szCs w:val="10"/>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0"/>
                <w:szCs w:val="10"/>
                <w:color w:val="auto"/>
              </w:rPr>
              <w:t>127.9</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37.5 %</w:t>
            </w:r>
          </w:p>
        </w:tc>
        <w:tc>
          <w:tcPr>
            <w:tcW w:w="100" w:type="dxa"/>
            <w:vAlign w:val="bottom"/>
          </w:tcPr>
          <w:p>
            <w:pPr>
              <w:spacing w:after="0"/>
              <w:rPr>
                <w:sz w:val="10"/>
                <w:szCs w:val="10"/>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0"/>
                <w:szCs w:val="10"/>
                <w:color w:val="auto"/>
              </w:rPr>
              <w:t>469.0</w:t>
            </w:r>
          </w:p>
        </w:tc>
        <w:tc>
          <w:tcPr>
            <w:tcW w:w="120" w:type="dxa"/>
            <w:vAlign w:val="bottom"/>
          </w:tcPr>
          <w:p>
            <w:pPr>
              <w:spacing w:after="0"/>
              <w:rPr>
                <w:sz w:val="10"/>
                <w:szCs w:val="10"/>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45"/>
        </w:trPr>
        <w:tc>
          <w:tcPr>
            <w:tcW w:w="26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gridSpan w:val="2"/>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Medicare Supplement</w:t>
            </w:r>
          </w:p>
        </w:tc>
        <w:tc>
          <w:tcPr>
            <w:tcW w:w="12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298.4</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294.1</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254.3</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44.1</w:t>
            </w:r>
          </w:p>
        </w:tc>
        <w:tc>
          <w:tcPr>
            <w:tcW w:w="900" w:type="dxa"/>
            <w:vAlign w:val="bottom"/>
          </w:tcPr>
          <w:p>
            <w:pPr>
              <w:jc w:val="right"/>
              <w:spacing w:after="0"/>
              <w:rPr>
                <w:sz w:val="20"/>
                <w:szCs w:val="20"/>
                <w:color w:val="auto"/>
              </w:rPr>
            </w:pPr>
            <w:r>
              <w:rPr>
                <w:rFonts w:ascii="Arial" w:cs="Arial" w:eastAsia="Arial" w:hAnsi="Arial"/>
                <w:sz w:val="10"/>
                <w:szCs w:val="10"/>
                <w:color w:val="auto"/>
              </w:rPr>
              <w:t>17.3 %</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286.6</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11.8</w:t>
            </w:r>
          </w:p>
        </w:tc>
        <w:tc>
          <w:tcPr>
            <w:tcW w:w="800" w:type="dxa"/>
            <w:vAlign w:val="bottom"/>
          </w:tcPr>
          <w:p>
            <w:pPr>
              <w:jc w:val="right"/>
              <w:spacing w:after="0"/>
              <w:rPr>
                <w:sz w:val="20"/>
                <w:szCs w:val="20"/>
                <w:color w:val="auto"/>
              </w:rPr>
            </w:pPr>
            <w:r>
              <w:rPr>
                <w:rFonts w:ascii="Arial" w:cs="Arial" w:eastAsia="Arial" w:hAnsi="Arial"/>
                <w:sz w:val="10"/>
                <w:szCs w:val="10"/>
                <w:color w:val="auto"/>
              </w:rPr>
              <w:t>4.1 %</w:t>
            </w:r>
          </w:p>
        </w:tc>
        <w:tc>
          <w:tcPr>
            <w:tcW w:w="0" w:type="dxa"/>
            <w:vAlign w:val="bottom"/>
          </w:tcPr>
          <w:p>
            <w:pPr>
              <w:spacing w:after="0"/>
              <w:rPr>
                <w:sz w:val="1"/>
                <w:szCs w:val="1"/>
                <w:color w:val="auto"/>
              </w:rPr>
            </w:pPr>
          </w:p>
        </w:tc>
      </w:tr>
      <w:tr>
        <w:trPr>
          <w:trHeight w:val="124"/>
        </w:trPr>
        <w:tc>
          <w:tcPr>
            <w:tcW w:w="2600" w:type="dxa"/>
            <w:vAlign w:val="bottom"/>
            <w:tcBorders>
              <w:right w:val="single" w:sz="8" w:color="auto"/>
            </w:tcBorders>
          </w:tcPr>
          <w:p>
            <w:pPr>
              <w:ind w:left="360"/>
              <w:spacing w:after="0"/>
              <w:rPr>
                <w:sz w:val="20"/>
                <w:szCs w:val="20"/>
                <w:color w:val="auto"/>
              </w:rPr>
            </w:pPr>
            <w:r>
              <w:rPr>
                <w:rFonts w:ascii="Arial" w:cs="Arial" w:eastAsia="Arial" w:hAnsi="Arial"/>
                <w:sz w:val="10"/>
                <w:szCs w:val="10"/>
                <w:b w:val="1"/>
                <w:bCs w:val="1"/>
                <w:color w:val="auto"/>
              </w:rPr>
              <w:t>Total Retail</w:t>
            </w:r>
          </w:p>
        </w:tc>
        <w:tc>
          <w:tcPr>
            <w:tcW w:w="12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0"/>
                <w:szCs w:val="10"/>
                <w:b w:val="1"/>
                <w:bCs w:val="1"/>
                <w:color w:val="00497F"/>
              </w:rPr>
              <w:t>9,245.1</w:t>
            </w:r>
          </w:p>
        </w:tc>
        <w:tc>
          <w:tcPr>
            <w:tcW w:w="106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00497F"/>
              </w:rPr>
              <w:t>9,236.9</w:t>
            </w:r>
          </w:p>
        </w:tc>
        <w:tc>
          <w:tcPr>
            <w:tcW w:w="100" w:type="dxa"/>
            <w:vAlign w:val="bottom"/>
          </w:tcPr>
          <w:p>
            <w:pPr>
              <w:spacing w:after="0"/>
              <w:rPr>
                <w:sz w:val="10"/>
                <w:szCs w:val="10"/>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0"/>
                <w:szCs w:val="10"/>
                <w:color w:val="auto"/>
              </w:rPr>
              <w:t>9,161.5</w:t>
            </w:r>
          </w:p>
        </w:tc>
        <w:tc>
          <w:tcPr>
            <w:tcW w:w="120" w:type="dxa"/>
            <w:vAlign w:val="bottom"/>
          </w:tcPr>
          <w:p>
            <w:pPr>
              <w:spacing w:after="0"/>
              <w:rPr>
                <w:sz w:val="10"/>
                <w:szCs w:val="10"/>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0"/>
                <w:szCs w:val="10"/>
                <w:color w:val="auto"/>
              </w:rPr>
              <w:t>83.6</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0.9 %</w:t>
            </w:r>
          </w:p>
        </w:tc>
        <w:tc>
          <w:tcPr>
            <w:tcW w:w="100" w:type="dxa"/>
            <w:vAlign w:val="bottom"/>
          </w:tcPr>
          <w:p>
            <w:pPr>
              <w:spacing w:after="0"/>
              <w:rPr>
                <w:sz w:val="10"/>
                <w:szCs w:val="10"/>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0"/>
                <w:szCs w:val="10"/>
                <w:color w:val="auto"/>
              </w:rPr>
              <w:t>9,211.8</w:t>
            </w:r>
          </w:p>
        </w:tc>
        <w:tc>
          <w:tcPr>
            <w:tcW w:w="120" w:type="dxa"/>
            <w:vAlign w:val="bottom"/>
          </w:tcPr>
          <w:p>
            <w:pPr>
              <w:spacing w:after="0"/>
              <w:rPr>
                <w:sz w:val="10"/>
                <w:szCs w:val="10"/>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0"/>
                <w:szCs w:val="10"/>
                <w:color w:val="auto"/>
              </w:rPr>
              <w:t>33.3</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0.4 %</w:t>
            </w:r>
          </w:p>
        </w:tc>
        <w:tc>
          <w:tcPr>
            <w:tcW w:w="0" w:type="dxa"/>
            <w:vAlign w:val="bottom"/>
          </w:tcPr>
          <w:p>
            <w:pPr>
              <w:spacing w:after="0"/>
              <w:rPr>
                <w:sz w:val="1"/>
                <w:szCs w:val="1"/>
                <w:color w:val="auto"/>
              </w:rPr>
            </w:pPr>
          </w:p>
        </w:tc>
      </w:tr>
      <w:tr>
        <w:trPr>
          <w:trHeight w:val="45"/>
        </w:trPr>
        <w:tc>
          <w:tcPr>
            <w:tcW w:w="2600" w:type="dxa"/>
            <w:vAlign w:val="bottom"/>
            <w:tcBorders>
              <w:right w:val="single" w:sz="8" w:color="auto"/>
            </w:tcBorders>
          </w:tcPr>
          <w:p>
            <w:pPr>
              <w:spacing w:after="0"/>
              <w:rPr>
                <w:sz w:val="3"/>
                <w:szCs w:val="3"/>
                <w:color w:val="auto"/>
              </w:rPr>
            </w:pPr>
          </w:p>
        </w:tc>
        <w:tc>
          <w:tcPr>
            <w:tcW w:w="1220" w:type="dxa"/>
            <w:vAlign w:val="bottom"/>
            <w:tcBorders>
              <w:bottom w:val="single" w:sz="8" w:color="auto"/>
              <w:right w:val="single" w:sz="8" w:color="auto"/>
            </w:tcBorders>
            <w:gridSpan w:val="2"/>
            <w:vMerge w:val="continue"/>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Group and Specialty</w:t>
            </w:r>
          </w:p>
        </w:tc>
        <w:tc>
          <w:tcPr>
            <w:tcW w:w="1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Fully-insured commercial medical</w:t>
            </w: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908.6</w:t>
            </w:r>
          </w:p>
        </w:tc>
        <w:tc>
          <w:tcPr>
            <w:tcW w:w="1060" w:type="dxa"/>
            <w:vAlign w:val="bottom"/>
          </w:tcPr>
          <w:p>
            <w:pPr>
              <w:jc w:val="right"/>
              <w:ind w:right="52"/>
              <w:spacing w:after="0"/>
              <w:rPr>
                <w:sz w:val="20"/>
                <w:szCs w:val="20"/>
                <w:color w:val="auto"/>
              </w:rPr>
            </w:pPr>
            <w:r>
              <w:rPr>
                <w:rFonts w:ascii="Arial" w:cs="Arial" w:eastAsia="Arial" w:hAnsi="Arial"/>
                <w:sz w:val="10"/>
                <w:szCs w:val="10"/>
                <w:b w:val="1"/>
                <w:bCs w:val="1"/>
                <w:color w:val="00497F"/>
              </w:rPr>
              <w:t>918.1</w:t>
            </w:r>
          </w:p>
        </w:tc>
        <w:tc>
          <w:tcPr>
            <w:tcW w:w="10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1,004.7</w:t>
            </w:r>
          </w:p>
        </w:tc>
        <w:tc>
          <w:tcPr>
            <w:tcW w:w="1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(96.1)</w:t>
            </w:r>
          </w:p>
        </w:tc>
        <w:tc>
          <w:tcPr>
            <w:tcW w:w="900" w:type="dxa"/>
            <w:vAlign w:val="bottom"/>
          </w:tcPr>
          <w:p>
            <w:pPr>
              <w:jc w:val="right"/>
              <w:spacing w:after="0"/>
              <w:rPr>
                <w:sz w:val="20"/>
                <w:szCs w:val="20"/>
                <w:color w:val="auto"/>
              </w:rPr>
            </w:pPr>
            <w:r>
              <w:rPr>
                <w:rFonts w:ascii="Arial" w:cs="Arial" w:eastAsia="Arial" w:hAnsi="Arial"/>
                <w:sz w:val="10"/>
                <w:szCs w:val="10"/>
                <w:color w:val="auto"/>
              </w:rPr>
              <w:t>-9.6 %</w:t>
            </w:r>
          </w:p>
        </w:tc>
        <w:tc>
          <w:tcPr>
            <w:tcW w:w="1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927.4</w:t>
            </w:r>
          </w:p>
        </w:tc>
        <w:tc>
          <w:tcPr>
            <w:tcW w:w="12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0"/>
                <w:szCs w:val="10"/>
                <w:color w:val="auto"/>
              </w:rPr>
              <w:t>(18.8)</w:t>
            </w:r>
          </w:p>
        </w:tc>
        <w:tc>
          <w:tcPr>
            <w:tcW w:w="800" w:type="dxa"/>
            <w:vAlign w:val="bottom"/>
          </w:tcPr>
          <w:p>
            <w:pPr>
              <w:jc w:val="right"/>
              <w:spacing w:after="0"/>
              <w:rPr>
                <w:sz w:val="20"/>
                <w:szCs w:val="20"/>
                <w:color w:val="auto"/>
              </w:rPr>
            </w:pPr>
            <w:r>
              <w:rPr>
                <w:rFonts w:ascii="Arial" w:cs="Arial" w:eastAsia="Arial" w:hAnsi="Arial"/>
                <w:sz w:val="10"/>
                <w:szCs w:val="10"/>
                <w:color w:val="auto"/>
              </w:rPr>
              <w:t>-2.0 %</w:t>
            </w: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ASO commercial</w:t>
            </w: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529.2</w:t>
            </w:r>
          </w:p>
        </w:tc>
        <w:tc>
          <w:tcPr>
            <w:tcW w:w="1060" w:type="dxa"/>
            <w:vAlign w:val="bottom"/>
          </w:tcPr>
          <w:p>
            <w:pPr>
              <w:jc w:val="right"/>
              <w:ind w:right="52"/>
              <w:spacing w:after="0"/>
              <w:rPr>
                <w:sz w:val="20"/>
                <w:szCs w:val="20"/>
                <w:color w:val="auto"/>
              </w:rPr>
            </w:pPr>
            <w:r>
              <w:rPr>
                <w:rFonts w:ascii="Arial" w:cs="Arial" w:eastAsia="Arial" w:hAnsi="Arial"/>
                <w:sz w:val="10"/>
                <w:szCs w:val="10"/>
                <w:b w:val="1"/>
                <w:bCs w:val="1"/>
                <w:color w:val="00497F"/>
              </w:rPr>
              <w:t>524.8</w:t>
            </w:r>
          </w:p>
        </w:tc>
        <w:tc>
          <w:tcPr>
            <w:tcW w:w="10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481.9</w:t>
            </w:r>
          </w:p>
        </w:tc>
        <w:tc>
          <w:tcPr>
            <w:tcW w:w="120" w:type="dxa"/>
            <w:vAlign w:val="bottom"/>
          </w:tcPr>
          <w:p>
            <w:pPr>
              <w:spacing w:after="0"/>
              <w:rPr>
                <w:sz w:val="15"/>
                <w:szCs w:val="15"/>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47.3</w:t>
            </w:r>
          </w:p>
        </w:tc>
        <w:tc>
          <w:tcPr>
            <w:tcW w:w="900" w:type="dxa"/>
            <w:vAlign w:val="bottom"/>
          </w:tcPr>
          <w:p>
            <w:pPr>
              <w:jc w:val="right"/>
              <w:spacing w:after="0"/>
              <w:rPr>
                <w:sz w:val="20"/>
                <w:szCs w:val="20"/>
                <w:color w:val="auto"/>
              </w:rPr>
            </w:pPr>
            <w:r>
              <w:rPr>
                <w:rFonts w:ascii="Arial" w:cs="Arial" w:eastAsia="Arial" w:hAnsi="Arial"/>
                <w:sz w:val="10"/>
                <w:szCs w:val="10"/>
                <w:color w:val="auto"/>
              </w:rPr>
              <w:t>9.8 %</w:t>
            </w:r>
          </w:p>
        </w:tc>
        <w:tc>
          <w:tcPr>
            <w:tcW w:w="1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516.8</w:t>
            </w:r>
          </w:p>
        </w:tc>
        <w:tc>
          <w:tcPr>
            <w:tcW w:w="12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12.4</w:t>
            </w:r>
          </w:p>
        </w:tc>
        <w:tc>
          <w:tcPr>
            <w:tcW w:w="800" w:type="dxa"/>
            <w:vAlign w:val="bottom"/>
          </w:tcPr>
          <w:p>
            <w:pPr>
              <w:jc w:val="right"/>
              <w:spacing w:after="0"/>
              <w:rPr>
                <w:sz w:val="20"/>
                <w:szCs w:val="20"/>
                <w:color w:val="auto"/>
              </w:rPr>
            </w:pPr>
            <w:r>
              <w:rPr>
                <w:rFonts w:ascii="Arial" w:cs="Arial" w:eastAsia="Arial" w:hAnsi="Arial"/>
                <w:sz w:val="10"/>
                <w:szCs w:val="10"/>
                <w:color w:val="auto"/>
              </w:rPr>
              <w:t>2.4 %</w:t>
            </w: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Military services</w:t>
            </w:r>
          </w:p>
        </w:tc>
        <w:tc>
          <w:tcPr>
            <w:tcW w:w="12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5,984.3</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5,991.8</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5,928.6</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55.7</w:t>
            </w:r>
          </w:p>
        </w:tc>
        <w:tc>
          <w:tcPr>
            <w:tcW w:w="900" w:type="dxa"/>
            <w:vAlign w:val="bottom"/>
          </w:tcPr>
          <w:p>
            <w:pPr>
              <w:jc w:val="right"/>
              <w:spacing w:after="0"/>
              <w:rPr>
                <w:sz w:val="20"/>
                <w:szCs w:val="20"/>
                <w:color w:val="auto"/>
              </w:rPr>
            </w:pPr>
            <w:r>
              <w:rPr>
                <w:rFonts w:ascii="Arial" w:cs="Arial" w:eastAsia="Arial" w:hAnsi="Arial"/>
                <w:sz w:val="10"/>
                <w:szCs w:val="10"/>
                <w:color w:val="auto"/>
              </w:rPr>
              <w:t>0.9 %</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5,998.7</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(14.4)</w:t>
            </w:r>
          </w:p>
        </w:tc>
        <w:tc>
          <w:tcPr>
            <w:tcW w:w="800" w:type="dxa"/>
            <w:vAlign w:val="bottom"/>
          </w:tcPr>
          <w:p>
            <w:pPr>
              <w:jc w:val="right"/>
              <w:spacing w:after="0"/>
              <w:rPr>
                <w:sz w:val="20"/>
                <w:szCs w:val="20"/>
                <w:color w:val="auto"/>
              </w:rPr>
            </w:pPr>
            <w:r>
              <w:rPr>
                <w:rFonts w:ascii="Arial" w:cs="Arial" w:eastAsia="Arial" w:hAnsi="Arial"/>
                <w:sz w:val="10"/>
                <w:szCs w:val="10"/>
                <w:color w:val="auto"/>
              </w:rPr>
              <w:t>-0.2 %</w:t>
            </w:r>
          </w:p>
        </w:tc>
        <w:tc>
          <w:tcPr>
            <w:tcW w:w="0" w:type="dxa"/>
            <w:vAlign w:val="bottom"/>
          </w:tcPr>
          <w:p>
            <w:pPr>
              <w:spacing w:after="0"/>
              <w:rPr>
                <w:sz w:val="1"/>
                <w:szCs w:val="1"/>
                <w:color w:val="auto"/>
              </w:rPr>
            </w:pPr>
          </w:p>
        </w:tc>
      </w:tr>
      <w:tr>
        <w:trPr>
          <w:trHeight w:val="124"/>
        </w:trPr>
        <w:tc>
          <w:tcPr>
            <w:tcW w:w="2600" w:type="dxa"/>
            <w:vAlign w:val="bottom"/>
            <w:tcBorders>
              <w:right w:val="single" w:sz="8" w:color="auto"/>
            </w:tcBorders>
          </w:tcPr>
          <w:p>
            <w:pPr>
              <w:ind w:left="360"/>
              <w:spacing w:after="0"/>
              <w:rPr>
                <w:sz w:val="20"/>
                <w:szCs w:val="20"/>
                <w:color w:val="auto"/>
              </w:rPr>
            </w:pPr>
            <w:r>
              <w:rPr>
                <w:rFonts w:ascii="Arial" w:cs="Arial" w:eastAsia="Arial" w:hAnsi="Arial"/>
                <w:sz w:val="10"/>
                <w:szCs w:val="10"/>
                <w:b w:val="1"/>
                <w:bCs w:val="1"/>
                <w:color w:val="auto"/>
              </w:rPr>
              <w:t>Total Group and Specialty</w:t>
            </w:r>
          </w:p>
        </w:tc>
        <w:tc>
          <w:tcPr>
            <w:tcW w:w="12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0"/>
                <w:szCs w:val="10"/>
                <w:b w:val="1"/>
                <w:bCs w:val="1"/>
                <w:color w:val="00497F"/>
              </w:rPr>
              <w:t>7,422.1</w:t>
            </w:r>
          </w:p>
        </w:tc>
        <w:tc>
          <w:tcPr>
            <w:tcW w:w="106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00497F"/>
              </w:rPr>
              <w:t>7,434.7</w:t>
            </w:r>
          </w:p>
        </w:tc>
        <w:tc>
          <w:tcPr>
            <w:tcW w:w="100" w:type="dxa"/>
            <w:vAlign w:val="bottom"/>
          </w:tcPr>
          <w:p>
            <w:pPr>
              <w:spacing w:after="0"/>
              <w:rPr>
                <w:sz w:val="10"/>
                <w:szCs w:val="10"/>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0"/>
                <w:szCs w:val="10"/>
                <w:color w:val="auto"/>
              </w:rPr>
              <w:t>7,415.2</w:t>
            </w:r>
          </w:p>
        </w:tc>
        <w:tc>
          <w:tcPr>
            <w:tcW w:w="120" w:type="dxa"/>
            <w:vAlign w:val="bottom"/>
          </w:tcPr>
          <w:p>
            <w:pPr>
              <w:spacing w:after="0"/>
              <w:rPr>
                <w:sz w:val="10"/>
                <w:szCs w:val="10"/>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0"/>
                <w:szCs w:val="10"/>
                <w:color w:val="auto"/>
              </w:rPr>
              <w:t>6.9</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0.1 %</w:t>
            </w:r>
          </w:p>
        </w:tc>
        <w:tc>
          <w:tcPr>
            <w:tcW w:w="100" w:type="dxa"/>
            <w:vAlign w:val="bottom"/>
          </w:tcPr>
          <w:p>
            <w:pPr>
              <w:spacing w:after="0"/>
              <w:rPr>
                <w:sz w:val="10"/>
                <w:szCs w:val="10"/>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0"/>
                <w:szCs w:val="10"/>
                <w:color w:val="auto"/>
              </w:rPr>
              <w:t>7,442.9</w:t>
            </w:r>
          </w:p>
        </w:tc>
        <w:tc>
          <w:tcPr>
            <w:tcW w:w="120" w:type="dxa"/>
            <w:vAlign w:val="bottom"/>
          </w:tcPr>
          <w:p>
            <w:pPr>
              <w:spacing w:after="0"/>
              <w:rPr>
                <w:sz w:val="10"/>
                <w:szCs w:val="10"/>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0"/>
                <w:szCs w:val="10"/>
                <w:color w:val="auto"/>
              </w:rPr>
              <w:t>(20.8)</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-0.3 %</w:t>
            </w:r>
          </w:p>
        </w:tc>
        <w:tc>
          <w:tcPr>
            <w:tcW w:w="0" w:type="dxa"/>
            <w:vAlign w:val="bottom"/>
          </w:tcPr>
          <w:p>
            <w:pPr>
              <w:spacing w:after="0"/>
              <w:rPr>
                <w:sz w:val="1"/>
                <w:szCs w:val="1"/>
                <w:color w:val="auto"/>
              </w:rPr>
            </w:pPr>
          </w:p>
        </w:tc>
      </w:tr>
      <w:tr>
        <w:trPr>
          <w:trHeight w:val="49"/>
        </w:trPr>
        <w:tc>
          <w:tcPr>
            <w:tcW w:w="2600" w:type="dxa"/>
            <w:vAlign w:val="bottom"/>
            <w:tcBorders>
              <w:right w:val="single" w:sz="8" w:color="auto"/>
            </w:tcBorders>
          </w:tcPr>
          <w:p>
            <w:pPr>
              <w:spacing w:after="0"/>
              <w:rPr>
                <w:sz w:val="4"/>
                <w:szCs w:val="4"/>
                <w:color w:val="auto"/>
              </w:rPr>
            </w:pPr>
          </w:p>
        </w:tc>
        <w:tc>
          <w:tcPr>
            <w:tcW w:w="1220" w:type="dxa"/>
            <w:vAlign w:val="bottom"/>
            <w:tcBorders>
              <w:bottom w:val="single" w:sz="8" w:color="auto"/>
              <w:right w:val="single" w:sz="8" w:color="auto"/>
            </w:tcBorders>
            <w:gridSpan w:val="2"/>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Total Medical Membership</w:t>
            </w:r>
          </w:p>
        </w:tc>
        <w:tc>
          <w:tcPr>
            <w:tcW w:w="12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16,667.2</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16,671.6</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16,576.7</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90.5</w:t>
            </w:r>
          </w:p>
        </w:tc>
        <w:tc>
          <w:tcPr>
            <w:tcW w:w="900" w:type="dxa"/>
            <w:vAlign w:val="bottom"/>
          </w:tcPr>
          <w:p>
            <w:pPr>
              <w:jc w:val="right"/>
              <w:spacing w:after="0"/>
              <w:rPr>
                <w:sz w:val="20"/>
                <w:szCs w:val="20"/>
                <w:color w:val="auto"/>
              </w:rPr>
            </w:pPr>
            <w:r>
              <w:rPr>
                <w:rFonts w:ascii="Arial" w:cs="Arial" w:eastAsia="Arial" w:hAnsi="Arial"/>
                <w:sz w:val="10"/>
                <w:szCs w:val="10"/>
                <w:color w:val="auto"/>
              </w:rPr>
              <w:t>0.5 %</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16,654.7</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12.5</w:t>
            </w:r>
          </w:p>
        </w:tc>
        <w:tc>
          <w:tcPr>
            <w:tcW w:w="800" w:type="dxa"/>
            <w:vAlign w:val="bottom"/>
          </w:tcPr>
          <w:p>
            <w:pPr>
              <w:jc w:val="right"/>
              <w:spacing w:after="0"/>
              <w:rPr>
                <w:sz w:val="20"/>
                <w:szCs w:val="20"/>
                <w:color w:val="auto"/>
              </w:rPr>
            </w:pPr>
            <w:r>
              <w:rPr>
                <w:rFonts w:ascii="Arial" w:cs="Arial" w:eastAsia="Arial" w:hAnsi="Arial"/>
                <w:sz w:val="10"/>
                <w:szCs w:val="10"/>
                <w:color w:val="auto"/>
              </w:rPr>
              <w:t>0.1 %</w:t>
            </w:r>
          </w:p>
        </w:tc>
        <w:tc>
          <w:tcPr>
            <w:tcW w:w="0" w:type="dxa"/>
            <w:vAlign w:val="bottom"/>
          </w:tcPr>
          <w:p>
            <w:pPr>
              <w:spacing w:after="0"/>
              <w:rPr>
                <w:sz w:val="1"/>
                <w:szCs w:val="1"/>
                <w:color w:val="auto"/>
              </w:rPr>
            </w:pPr>
          </w:p>
        </w:tc>
      </w:tr>
      <w:tr>
        <w:trPr>
          <w:trHeight w:val="225"/>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w w:val="96"/>
              </w:rPr>
              <w:t>Specialty Membership (included in Group and Specialty</w:t>
            </w:r>
          </w:p>
        </w:tc>
        <w:tc>
          <w:tcPr>
            <w:tcW w:w="1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segment):</w:t>
            </w:r>
          </w:p>
        </w:tc>
        <w:tc>
          <w:tcPr>
            <w:tcW w:w="1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Dental—fully-insured</w:t>
            </w: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2,646.4</w:t>
            </w:r>
          </w:p>
        </w:tc>
        <w:tc>
          <w:tcPr>
            <w:tcW w:w="1060" w:type="dxa"/>
            <w:vAlign w:val="bottom"/>
          </w:tcPr>
          <w:p>
            <w:pPr>
              <w:jc w:val="right"/>
              <w:ind w:right="52"/>
              <w:spacing w:after="0"/>
              <w:rPr>
                <w:sz w:val="20"/>
                <w:szCs w:val="20"/>
                <w:color w:val="auto"/>
              </w:rPr>
            </w:pPr>
            <w:r>
              <w:rPr>
                <w:rFonts w:ascii="Arial" w:cs="Arial" w:eastAsia="Arial" w:hAnsi="Arial"/>
                <w:sz w:val="10"/>
                <w:szCs w:val="10"/>
                <w:b w:val="1"/>
                <w:bCs w:val="1"/>
                <w:color w:val="00497F"/>
              </w:rPr>
              <w:t>2,648.1</w:t>
            </w:r>
          </w:p>
        </w:tc>
        <w:tc>
          <w:tcPr>
            <w:tcW w:w="10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2,834.8</w:t>
            </w:r>
          </w:p>
        </w:tc>
        <w:tc>
          <w:tcPr>
            <w:tcW w:w="120" w:type="dxa"/>
            <w:vAlign w:val="bottom"/>
          </w:tcPr>
          <w:p>
            <w:pPr>
              <w:spacing w:after="0"/>
              <w:rPr>
                <w:sz w:val="15"/>
                <w:szCs w:val="15"/>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(188.4)</w:t>
            </w:r>
          </w:p>
        </w:tc>
        <w:tc>
          <w:tcPr>
            <w:tcW w:w="900" w:type="dxa"/>
            <w:vAlign w:val="bottom"/>
          </w:tcPr>
          <w:p>
            <w:pPr>
              <w:jc w:val="right"/>
              <w:spacing w:after="0"/>
              <w:rPr>
                <w:sz w:val="20"/>
                <w:szCs w:val="20"/>
                <w:color w:val="auto"/>
              </w:rPr>
            </w:pPr>
            <w:r>
              <w:rPr>
                <w:rFonts w:ascii="Arial" w:cs="Arial" w:eastAsia="Arial" w:hAnsi="Arial"/>
                <w:sz w:val="10"/>
                <w:szCs w:val="10"/>
                <w:color w:val="auto"/>
              </w:rPr>
              <w:t>-6.6 %</w:t>
            </w:r>
          </w:p>
        </w:tc>
        <w:tc>
          <w:tcPr>
            <w:tcW w:w="1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2,642.9</w:t>
            </w:r>
          </w:p>
        </w:tc>
        <w:tc>
          <w:tcPr>
            <w:tcW w:w="12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3.5</w:t>
            </w:r>
          </w:p>
        </w:tc>
        <w:tc>
          <w:tcPr>
            <w:tcW w:w="800" w:type="dxa"/>
            <w:vAlign w:val="bottom"/>
          </w:tcPr>
          <w:p>
            <w:pPr>
              <w:jc w:val="right"/>
              <w:spacing w:after="0"/>
              <w:rPr>
                <w:sz w:val="20"/>
                <w:szCs w:val="20"/>
                <w:color w:val="auto"/>
              </w:rPr>
            </w:pPr>
            <w:r>
              <w:rPr>
                <w:rFonts w:ascii="Arial" w:cs="Arial" w:eastAsia="Arial" w:hAnsi="Arial"/>
                <w:sz w:val="10"/>
                <w:szCs w:val="10"/>
                <w:color w:val="auto"/>
              </w:rPr>
              <w:t>0.1 %</w:t>
            </w: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Dental—ASO</w:t>
            </w: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278.9</w:t>
            </w:r>
          </w:p>
        </w:tc>
        <w:tc>
          <w:tcPr>
            <w:tcW w:w="1060" w:type="dxa"/>
            <w:vAlign w:val="bottom"/>
          </w:tcPr>
          <w:p>
            <w:pPr>
              <w:jc w:val="right"/>
              <w:ind w:right="52"/>
              <w:spacing w:after="0"/>
              <w:rPr>
                <w:sz w:val="20"/>
                <w:szCs w:val="20"/>
                <w:color w:val="auto"/>
              </w:rPr>
            </w:pPr>
            <w:r>
              <w:rPr>
                <w:rFonts w:ascii="Arial" w:cs="Arial" w:eastAsia="Arial" w:hAnsi="Arial"/>
                <w:sz w:val="10"/>
                <w:szCs w:val="10"/>
                <w:b w:val="1"/>
                <w:bCs w:val="1"/>
                <w:color w:val="00497F"/>
              </w:rPr>
              <w:t>278.0</w:t>
            </w:r>
          </w:p>
        </w:tc>
        <w:tc>
          <w:tcPr>
            <w:tcW w:w="10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637.0</w:t>
            </w:r>
          </w:p>
        </w:tc>
        <w:tc>
          <w:tcPr>
            <w:tcW w:w="120" w:type="dxa"/>
            <w:vAlign w:val="bottom"/>
          </w:tcPr>
          <w:p>
            <w:pPr>
              <w:spacing w:after="0"/>
              <w:rPr>
                <w:sz w:val="15"/>
                <w:szCs w:val="15"/>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(358.1)</w:t>
            </w:r>
          </w:p>
        </w:tc>
        <w:tc>
          <w:tcPr>
            <w:tcW w:w="900" w:type="dxa"/>
            <w:vAlign w:val="bottom"/>
          </w:tcPr>
          <w:p>
            <w:pPr>
              <w:jc w:val="right"/>
              <w:spacing w:after="0"/>
              <w:rPr>
                <w:sz w:val="20"/>
                <w:szCs w:val="20"/>
                <w:color w:val="auto"/>
              </w:rPr>
            </w:pPr>
            <w:r>
              <w:rPr>
                <w:rFonts w:ascii="Arial" w:cs="Arial" w:eastAsia="Arial" w:hAnsi="Arial"/>
                <w:sz w:val="10"/>
                <w:szCs w:val="10"/>
                <w:color w:val="auto"/>
              </w:rPr>
              <w:t>-56.2 %</w:t>
            </w:r>
          </w:p>
        </w:tc>
        <w:tc>
          <w:tcPr>
            <w:tcW w:w="1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276.8</w:t>
            </w:r>
          </w:p>
        </w:tc>
        <w:tc>
          <w:tcPr>
            <w:tcW w:w="12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2.1</w:t>
            </w:r>
          </w:p>
        </w:tc>
        <w:tc>
          <w:tcPr>
            <w:tcW w:w="800" w:type="dxa"/>
            <w:vAlign w:val="bottom"/>
          </w:tcPr>
          <w:p>
            <w:pPr>
              <w:jc w:val="right"/>
              <w:spacing w:after="0"/>
              <w:rPr>
                <w:sz w:val="20"/>
                <w:szCs w:val="20"/>
                <w:color w:val="auto"/>
              </w:rPr>
            </w:pPr>
            <w:r>
              <w:rPr>
                <w:rFonts w:ascii="Arial" w:cs="Arial" w:eastAsia="Arial" w:hAnsi="Arial"/>
                <w:sz w:val="10"/>
                <w:szCs w:val="10"/>
                <w:color w:val="auto"/>
              </w:rPr>
              <w:t>0.8 %</w:t>
            </w: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Vision</w:t>
            </w: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2,082.5</w:t>
            </w:r>
          </w:p>
        </w:tc>
        <w:tc>
          <w:tcPr>
            <w:tcW w:w="1060" w:type="dxa"/>
            <w:vAlign w:val="bottom"/>
          </w:tcPr>
          <w:p>
            <w:pPr>
              <w:jc w:val="right"/>
              <w:ind w:right="52"/>
              <w:spacing w:after="0"/>
              <w:rPr>
                <w:sz w:val="20"/>
                <w:szCs w:val="20"/>
                <w:color w:val="auto"/>
              </w:rPr>
            </w:pPr>
            <w:r>
              <w:rPr>
                <w:rFonts w:ascii="Arial" w:cs="Arial" w:eastAsia="Arial" w:hAnsi="Arial"/>
                <w:sz w:val="10"/>
                <w:szCs w:val="10"/>
                <w:b w:val="1"/>
                <w:bCs w:val="1"/>
                <w:color w:val="00497F"/>
              </w:rPr>
              <w:t>2,080.0</w:t>
            </w:r>
          </w:p>
        </w:tc>
        <w:tc>
          <w:tcPr>
            <w:tcW w:w="10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2,102.9</w:t>
            </w:r>
          </w:p>
        </w:tc>
        <w:tc>
          <w:tcPr>
            <w:tcW w:w="120" w:type="dxa"/>
            <w:vAlign w:val="bottom"/>
          </w:tcPr>
          <w:p>
            <w:pPr>
              <w:spacing w:after="0"/>
              <w:rPr>
                <w:sz w:val="15"/>
                <w:szCs w:val="15"/>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(20.4)</w:t>
            </w:r>
          </w:p>
        </w:tc>
        <w:tc>
          <w:tcPr>
            <w:tcW w:w="900" w:type="dxa"/>
            <w:vAlign w:val="bottom"/>
          </w:tcPr>
          <w:p>
            <w:pPr>
              <w:jc w:val="right"/>
              <w:spacing w:after="0"/>
              <w:rPr>
                <w:sz w:val="20"/>
                <w:szCs w:val="20"/>
                <w:color w:val="auto"/>
              </w:rPr>
            </w:pPr>
            <w:r>
              <w:rPr>
                <w:rFonts w:ascii="Arial" w:cs="Arial" w:eastAsia="Arial" w:hAnsi="Arial"/>
                <w:sz w:val="10"/>
                <w:szCs w:val="10"/>
                <w:color w:val="auto"/>
              </w:rPr>
              <w:t>-1.0 %</w:t>
            </w:r>
          </w:p>
        </w:tc>
        <w:tc>
          <w:tcPr>
            <w:tcW w:w="1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2,076.9</w:t>
            </w:r>
          </w:p>
        </w:tc>
        <w:tc>
          <w:tcPr>
            <w:tcW w:w="12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5.6</w:t>
            </w:r>
          </w:p>
        </w:tc>
        <w:tc>
          <w:tcPr>
            <w:tcW w:w="800" w:type="dxa"/>
            <w:vAlign w:val="bottom"/>
          </w:tcPr>
          <w:p>
            <w:pPr>
              <w:jc w:val="right"/>
              <w:spacing w:after="0"/>
              <w:rPr>
                <w:sz w:val="20"/>
                <w:szCs w:val="20"/>
                <w:color w:val="auto"/>
              </w:rPr>
            </w:pPr>
            <w:r>
              <w:rPr>
                <w:rFonts w:ascii="Arial" w:cs="Arial" w:eastAsia="Arial" w:hAnsi="Arial"/>
                <w:sz w:val="10"/>
                <w:szCs w:val="10"/>
                <w:color w:val="auto"/>
              </w:rPr>
              <w:t>0.3 %</w:t>
            </w:r>
          </w:p>
        </w:tc>
        <w:tc>
          <w:tcPr>
            <w:tcW w:w="0" w:type="dxa"/>
            <w:vAlign w:val="bottom"/>
          </w:tcPr>
          <w:p>
            <w:pPr>
              <w:spacing w:after="0"/>
              <w:rPr>
                <w:sz w:val="1"/>
                <w:szCs w:val="1"/>
                <w:color w:val="auto"/>
              </w:rPr>
            </w:pPr>
          </w:p>
        </w:tc>
      </w:tr>
      <w:tr>
        <w:trPr>
          <w:trHeight w:val="184"/>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Other supplemental benefits (G)</w:t>
            </w:r>
          </w:p>
        </w:tc>
        <w:tc>
          <w:tcPr>
            <w:tcW w:w="12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418.1</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416.8</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497.6</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(79.5)</w:t>
            </w:r>
          </w:p>
        </w:tc>
        <w:tc>
          <w:tcPr>
            <w:tcW w:w="900" w:type="dxa"/>
            <w:vAlign w:val="bottom"/>
          </w:tcPr>
          <w:p>
            <w:pPr>
              <w:jc w:val="right"/>
              <w:spacing w:after="0"/>
              <w:rPr>
                <w:sz w:val="20"/>
                <w:szCs w:val="20"/>
                <w:color w:val="auto"/>
              </w:rPr>
            </w:pPr>
            <w:r>
              <w:rPr>
                <w:rFonts w:ascii="Arial" w:cs="Arial" w:eastAsia="Arial" w:hAnsi="Arial"/>
                <w:sz w:val="10"/>
                <w:szCs w:val="10"/>
                <w:color w:val="auto"/>
              </w:rPr>
              <w:t>-16.0 %</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414.8</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3.3</w:t>
            </w:r>
          </w:p>
        </w:tc>
        <w:tc>
          <w:tcPr>
            <w:tcW w:w="800" w:type="dxa"/>
            <w:vAlign w:val="bottom"/>
          </w:tcPr>
          <w:p>
            <w:pPr>
              <w:jc w:val="right"/>
              <w:spacing w:after="0"/>
              <w:rPr>
                <w:sz w:val="20"/>
                <w:szCs w:val="20"/>
                <w:color w:val="auto"/>
              </w:rPr>
            </w:pPr>
            <w:r>
              <w:rPr>
                <w:rFonts w:ascii="Arial" w:cs="Arial" w:eastAsia="Arial" w:hAnsi="Arial"/>
                <w:sz w:val="10"/>
                <w:szCs w:val="10"/>
                <w:color w:val="auto"/>
              </w:rPr>
              <w:t>0.8 %</w:t>
            </w: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Total Specialty Membership</w:t>
            </w:r>
          </w:p>
        </w:tc>
        <w:tc>
          <w:tcPr>
            <w:tcW w:w="12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5,425.9</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00497F"/>
              </w:rPr>
              <w:t>5,422.9</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6,072.3</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(646.4)</w:t>
            </w:r>
          </w:p>
        </w:tc>
        <w:tc>
          <w:tcPr>
            <w:tcW w:w="900" w:type="dxa"/>
            <w:vAlign w:val="bottom"/>
          </w:tcPr>
          <w:p>
            <w:pPr>
              <w:jc w:val="right"/>
              <w:spacing w:after="0"/>
              <w:rPr>
                <w:sz w:val="20"/>
                <w:szCs w:val="20"/>
                <w:color w:val="auto"/>
              </w:rPr>
            </w:pPr>
            <w:r>
              <w:rPr>
                <w:rFonts w:ascii="Arial" w:cs="Arial" w:eastAsia="Arial" w:hAnsi="Arial"/>
                <w:sz w:val="10"/>
                <w:szCs w:val="10"/>
                <w:color w:val="auto"/>
              </w:rPr>
              <w:t>-10.6 %</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5,411.4</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14.5</w:t>
            </w:r>
          </w:p>
        </w:tc>
        <w:tc>
          <w:tcPr>
            <w:tcW w:w="800" w:type="dxa"/>
            <w:vAlign w:val="bottom"/>
          </w:tcPr>
          <w:p>
            <w:pPr>
              <w:jc w:val="right"/>
              <w:spacing w:after="0"/>
              <w:rPr>
                <w:sz w:val="20"/>
                <w:szCs w:val="20"/>
                <w:color w:val="auto"/>
              </w:rPr>
            </w:pPr>
            <w:r>
              <w:rPr>
                <w:rFonts w:ascii="Arial" w:cs="Arial" w:eastAsia="Arial" w:hAnsi="Arial"/>
                <w:sz w:val="10"/>
                <w:szCs w:val="10"/>
                <w:color w:val="auto"/>
              </w:rPr>
              <w:t>0.3 %</w:t>
            </w:r>
          </w:p>
        </w:tc>
        <w:tc>
          <w:tcPr>
            <w:tcW w:w="0" w:type="dxa"/>
            <w:vAlign w:val="bottom"/>
          </w:tcPr>
          <w:p>
            <w:pPr>
              <w:spacing w:after="0"/>
              <w:rPr>
                <w:sz w:val="1"/>
                <w:szCs w:val="1"/>
                <w:color w:val="auto"/>
              </w:rPr>
            </w:pPr>
          </w:p>
        </w:tc>
      </w:tr>
      <w:tr>
        <w:trPr>
          <w:trHeight w:val="108"/>
        </w:trPr>
        <w:tc>
          <w:tcPr>
            <w:tcW w:w="2600" w:type="dxa"/>
            <w:vAlign w:val="bottom"/>
            <w:tcBorders>
              <w:right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6"/>
              </w:rPr>
              <w:t>Member Mix</w:t>
            </w: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0"/>
                <w:szCs w:val="10"/>
                <w:color w:val="auto"/>
                <w:w w:val="98"/>
              </w:rPr>
              <w:t>Member Mix</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600" w:type="dxa"/>
            <w:vAlign w:val="bottom"/>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6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6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December 31, 2019</w:t>
            </w:r>
          </w:p>
        </w:tc>
        <w:tc>
          <w:tcPr>
            <w:tcW w:w="120" w:type="dxa"/>
            <w:vAlign w:val="bottom"/>
          </w:tcPr>
          <w:p>
            <w:pPr>
              <w:spacing w:after="0"/>
              <w:rPr>
                <w:sz w:val="11"/>
                <w:szCs w:val="1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December 31, 2019</w:t>
            </w:r>
          </w:p>
        </w:tc>
        <w:tc>
          <w:tcPr>
            <w:tcW w:w="1220" w:type="dxa"/>
            <w:vAlign w:val="bottom"/>
            <w:gridSpan w:val="2"/>
          </w:tcPr>
          <w:p>
            <w:pPr>
              <w:ind w:left="140"/>
              <w:spacing w:after="0"/>
              <w:rPr>
                <w:sz w:val="20"/>
                <w:szCs w:val="20"/>
                <w:color w:val="auto"/>
              </w:rPr>
            </w:pPr>
            <w:r>
              <w:rPr>
                <w:rFonts w:ascii="Arial" w:cs="Arial" w:eastAsia="Arial" w:hAnsi="Arial"/>
                <w:sz w:val="10"/>
                <w:szCs w:val="10"/>
                <w:color w:val="auto"/>
              </w:rPr>
              <w:t>December 31, 2018</w:t>
            </w:r>
          </w:p>
        </w:tc>
        <w:tc>
          <w:tcPr>
            <w:tcW w:w="1080" w:type="dxa"/>
            <w:vAlign w:val="bottom"/>
          </w:tcPr>
          <w:p>
            <w:pPr>
              <w:jc w:val="center"/>
              <w:spacing w:after="0"/>
              <w:rPr>
                <w:sz w:val="20"/>
                <w:szCs w:val="20"/>
                <w:color w:val="auto"/>
              </w:rPr>
            </w:pPr>
            <w:r>
              <w:rPr>
                <w:rFonts w:ascii="Arial" w:cs="Arial" w:eastAsia="Arial" w:hAnsi="Arial"/>
                <w:sz w:val="10"/>
                <w:szCs w:val="10"/>
                <w:color w:val="auto"/>
                <w:w w:val="95"/>
              </w:rPr>
              <w:t>December 31, 2018</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Individual Medicare Advantage Membership</w:t>
            </w:r>
          </w:p>
        </w:tc>
        <w:tc>
          <w:tcPr>
            <w:tcW w:w="1100" w:type="dxa"/>
            <w:vAlign w:val="bottom"/>
            <w:tcBorders>
              <w:top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HMO</w:t>
            </w:r>
          </w:p>
        </w:tc>
        <w:tc>
          <w:tcPr>
            <w:tcW w:w="11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2,129.9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1,804.4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59%</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PPO</w:t>
            </w:r>
          </w:p>
        </w:tc>
        <w:tc>
          <w:tcPr>
            <w:tcW w:w="11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1,457.3</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1,259.6</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Total Individual Medicare Advantage</w:t>
            </w:r>
          </w:p>
        </w:tc>
        <w:tc>
          <w:tcPr>
            <w:tcW w:w="11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3,587.2</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3,064.0</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Individual Medicare Advantage Membership</w:t>
            </w:r>
          </w:p>
        </w:tc>
        <w:tc>
          <w:tcPr>
            <w:tcW w:w="1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Shared Risk (H)</w:t>
            </w:r>
          </w:p>
        </w:tc>
        <w:tc>
          <w:tcPr>
            <w:tcW w:w="11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1,116.1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942.0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Path to Risk (I)</w:t>
            </w:r>
          </w:p>
        </w:tc>
        <w:tc>
          <w:tcPr>
            <w:tcW w:w="11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1,290.9</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1,097.1</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00" w:type="dxa"/>
            <w:vAlign w:val="bottom"/>
            <w:tcBorders>
              <w:right w:val="single" w:sz="8" w:color="auto"/>
            </w:tcBorders>
          </w:tcPr>
          <w:p>
            <w:pPr>
              <w:ind w:left="360"/>
              <w:spacing w:after="0"/>
              <w:rPr>
                <w:sz w:val="20"/>
                <w:szCs w:val="20"/>
                <w:color w:val="auto"/>
              </w:rPr>
            </w:pPr>
            <w:r>
              <w:rPr>
                <w:rFonts w:ascii="Arial" w:cs="Arial" w:eastAsia="Arial" w:hAnsi="Arial"/>
                <w:sz w:val="10"/>
                <w:szCs w:val="10"/>
                <w:color w:val="auto"/>
              </w:rPr>
              <w:t>Total Value-based</w:t>
            </w:r>
          </w:p>
        </w:tc>
        <w:tc>
          <w:tcPr>
            <w:tcW w:w="110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2,407.0</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67%</w:t>
            </w:r>
          </w:p>
        </w:tc>
        <w:tc>
          <w:tcPr>
            <w:tcW w:w="100" w:type="dxa"/>
            <w:vAlign w:val="bottom"/>
          </w:tcPr>
          <w:p>
            <w:pPr>
              <w:spacing w:after="0"/>
              <w:rPr>
                <w:sz w:val="13"/>
                <w:szCs w:val="13"/>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2,039.1</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67%</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Other</w:t>
            </w:r>
          </w:p>
        </w:tc>
        <w:tc>
          <w:tcPr>
            <w:tcW w:w="11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1,180.2</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1,024.9</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60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Total Individual Medicare Advantage</w:t>
            </w:r>
          </w:p>
        </w:tc>
        <w:tc>
          <w:tcPr>
            <w:tcW w:w="11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3,587.2</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3,064.0</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S-12</w:t>
      </w:r>
    </w:p>
    <w:p>
      <w:pPr>
        <w:sectPr>
          <w:pgSz w:w="11900" w:h="16838" w:orient="portrait"/>
          <w:cols w:equalWidth="0" w:num="1">
            <w:col w:w="10940"/>
          </w:cols>
          <w:pgMar w:left="220" w:top="441" w:right="7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Premiums and Services Revenue Detail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Dollars in millions, except per member per month</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980" w:type="dxa"/>
            <w:vAlign w:val="bottom"/>
            <w:tcBorders>
              <w:right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60" w:type="dxa"/>
            <w:vAlign w:val="bottom"/>
            <w:tcBorders>
              <w:top w:val="single" w:sz="8" w:color="auto"/>
              <w:right w:val="single" w:sz="8" w:color="auto"/>
            </w:tcBorders>
            <w:gridSpan w:val="3"/>
          </w:tcPr>
          <w:p>
            <w:pPr>
              <w:jc w:val="right"/>
              <w:ind w:right="647"/>
              <w:spacing w:after="0"/>
              <w:rPr>
                <w:sz w:val="20"/>
                <w:szCs w:val="20"/>
                <w:color w:val="auto"/>
              </w:rPr>
            </w:pPr>
            <w:r>
              <w:rPr>
                <w:rFonts w:ascii="Arial" w:cs="Arial" w:eastAsia="Arial" w:hAnsi="Arial"/>
                <w:sz w:val="11"/>
                <w:szCs w:val="11"/>
                <w:b w:val="1"/>
                <w:bCs w:val="1"/>
                <w:color w:val="auto"/>
              </w:rPr>
              <w:t>Per Member per Month (L)</w:t>
            </w:r>
          </w:p>
        </w:tc>
      </w:tr>
      <w:tr>
        <w:trPr>
          <w:trHeight w:val="147"/>
        </w:trPr>
        <w:tc>
          <w:tcPr>
            <w:tcW w:w="2980" w:type="dxa"/>
            <w:vAlign w:val="bottom"/>
            <w:tcBorders>
              <w:right w:val="single" w:sz="8" w:color="auto"/>
            </w:tcBorders>
          </w:tcPr>
          <w:p>
            <w:pPr>
              <w:spacing w:after="0"/>
              <w:rPr>
                <w:sz w:val="12"/>
                <w:szCs w:val="12"/>
                <w:color w:val="auto"/>
              </w:rPr>
            </w:pPr>
          </w:p>
        </w:tc>
        <w:tc>
          <w:tcPr>
            <w:tcW w:w="2780" w:type="dxa"/>
            <w:vAlign w:val="bottom"/>
            <w:tcBorders>
              <w:bottom w:val="single" w:sz="8" w:color="auto"/>
              <w:right w:val="single" w:sz="8" w:color="auto"/>
            </w:tcBorders>
            <w:gridSpan w:val="4"/>
          </w:tcPr>
          <w:p>
            <w:pPr>
              <w:jc w:val="right"/>
              <w:ind w:right="386"/>
              <w:spacing w:after="0"/>
              <w:rPr>
                <w:sz w:val="20"/>
                <w:szCs w:val="20"/>
                <w:color w:val="auto"/>
              </w:rPr>
            </w:pPr>
            <w:r>
              <w:rPr>
                <w:rFonts w:ascii="Arial" w:cs="Arial" w:eastAsia="Arial" w:hAnsi="Arial"/>
                <w:sz w:val="10"/>
                <w:szCs w:val="10"/>
                <w:b w:val="1"/>
                <w:bCs w:val="1"/>
                <w:color w:val="auto"/>
              </w:rPr>
              <w:t>For the three months ended December 31,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For the three months ended December 31,</w:t>
            </w:r>
          </w:p>
        </w:tc>
      </w:tr>
      <w:tr>
        <w:trPr>
          <w:trHeight w:val="173"/>
        </w:trPr>
        <w:tc>
          <w:tcPr>
            <w:tcW w:w="29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left="390"/>
              <w:spacing w:after="0"/>
              <w:rPr>
                <w:sz w:val="20"/>
                <w:szCs w:val="20"/>
                <w:color w:val="auto"/>
              </w:rPr>
            </w:pPr>
            <w:r>
              <w:rPr>
                <w:rFonts w:ascii="Arial" w:cs="Arial" w:eastAsia="Arial" w:hAnsi="Arial"/>
                <w:sz w:val="10"/>
                <w:szCs w:val="10"/>
                <w:color w:val="auto"/>
                <w:w w:val="99"/>
              </w:rPr>
              <w:t>Dollar</w:t>
            </w:r>
          </w:p>
        </w:tc>
        <w:tc>
          <w:tcPr>
            <w:tcW w:w="460" w:type="dxa"/>
            <w:vAlign w:val="bottom"/>
          </w:tcPr>
          <w:p>
            <w:pPr>
              <w:spacing w:after="0"/>
              <w:rPr>
                <w:sz w:val="15"/>
                <w:szCs w:val="15"/>
                <w:color w:val="auto"/>
              </w:rPr>
            </w:pPr>
          </w:p>
        </w:tc>
        <w:tc>
          <w:tcPr>
            <w:tcW w:w="980" w:type="dxa"/>
            <w:vAlign w:val="bottom"/>
          </w:tcPr>
          <w:p>
            <w:pPr>
              <w:jc w:val="center"/>
              <w:ind w:left="372"/>
              <w:spacing w:after="0"/>
              <w:rPr>
                <w:sz w:val="20"/>
                <w:szCs w:val="20"/>
                <w:color w:val="auto"/>
              </w:rPr>
            </w:pPr>
            <w:r>
              <w:rPr>
                <w:rFonts w:ascii="Arial" w:cs="Arial" w:eastAsia="Arial" w:hAnsi="Arial"/>
                <w:sz w:val="10"/>
                <w:szCs w:val="10"/>
                <w:color w:val="auto"/>
                <w:w w:val="93"/>
              </w:rPr>
              <w:t>Percentage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56"/>
        </w:trPr>
        <w:tc>
          <w:tcPr>
            <w:tcW w:w="2980" w:type="dxa"/>
            <w:vAlign w:val="bottom"/>
            <w:tcBorders>
              <w:right w:val="single" w:sz="8" w:color="auto"/>
            </w:tcBorders>
          </w:tcPr>
          <w:p>
            <w:pPr>
              <w:spacing w:after="0"/>
              <w:rPr>
                <w:sz w:val="13"/>
                <w:szCs w:val="13"/>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366092"/>
              </w:rPr>
              <w:t>2019</w:t>
            </w:r>
          </w:p>
        </w:tc>
        <w:tc>
          <w:tcPr>
            <w:tcW w:w="5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2018</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ind w:left="390"/>
              <w:spacing w:after="0"/>
              <w:rPr>
                <w:sz w:val="20"/>
                <w:szCs w:val="20"/>
                <w:color w:val="auto"/>
              </w:rPr>
            </w:pPr>
            <w:r>
              <w:rPr>
                <w:rFonts w:ascii="Arial" w:cs="Arial" w:eastAsia="Arial" w:hAnsi="Arial"/>
                <w:sz w:val="10"/>
                <w:szCs w:val="10"/>
                <w:color w:val="auto"/>
                <w:w w:val="96"/>
              </w:rPr>
              <w:t>Change</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372"/>
              <w:spacing w:after="0"/>
              <w:rPr>
                <w:sz w:val="20"/>
                <w:szCs w:val="20"/>
                <w:color w:val="auto"/>
              </w:rPr>
            </w:pPr>
            <w:r>
              <w:rPr>
                <w:rFonts w:ascii="Arial" w:cs="Arial" w:eastAsia="Arial" w:hAnsi="Arial"/>
                <w:sz w:val="10"/>
                <w:szCs w:val="10"/>
                <w:color w:val="auto"/>
                <w:w w:val="91"/>
              </w:rPr>
              <w:t>Change</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366092"/>
              </w:rPr>
              <w:t>2019</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color w:val="auto"/>
              </w:rPr>
              <w:t>2018</w:t>
            </w:r>
          </w:p>
        </w:tc>
      </w:tr>
      <w:tr>
        <w:trPr>
          <w:trHeight w:val="137"/>
        </w:trPr>
        <w:tc>
          <w:tcPr>
            <w:tcW w:w="29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Premiums and Services Revenue</w:t>
            </w:r>
          </w:p>
        </w:tc>
        <w:tc>
          <w:tcPr>
            <w:tcW w:w="8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89"/>
        </w:trPr>
        <w:tc>
          <w:tcPr>
            <w:tcW w:w="298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Retail</w:t>
            </w:r>
          </w:p>
        </w:tc>
        <w:tc>
          <w:tcPr>
            <w:tcW w:w="8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8"/>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Individual Medicare Advantage</w:t>
            </w:r>
          </w:p>
        </w:tc>
        <w:tc>
          <w:tcPr>
            <w:tcW w:w="860" w:type="dxa"/>
            <w:vAlign w:val="bottom"/>
          </w:tcPr>
          <w:p>
            <w:pPr>
              <w:jc w:val="right"/>
              <w:ind w:right="752"/>
              <w:spacing w:after="0"/>
              <w:rPr>
                <w:sz w:val="20"/>
                <w:szCs w:val="20"/>
                <w:color w:val="auto"/>
              </w:rPr>
            </w:pPr>
            <w:r>
              <w:rPr>
                <w:rFonts w:ascii="Arial" w:cs="Arial" w:eastAsia="Arial" w:hAnsi="Arial"/>
                <w:sz w:val="10"/>
                <w:szCs w:val="10"/>
                <w:b w:val="1"/>
                <w:bCs w:val="1"/>
                <w:color w:val="366092"/>
                <w:w w:val="71"/>
              </w:rPr>
              <w:t>$</w:t>
            </w: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10,874</w:t>
            </w:r>
          </w:p>
        </w:tc>
        <w:tc>
          <w:tcPr>
            <w:tcW w:w="860" w:type="dxa"/>
            <w:vAlign w:val="bottom"/>
          </w:tcPr>
          <w:p>
            <w:pPr>
              <w:jc w:val="right"/>
              <w:ind w:right="729"/>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8,866</w:t>
            </w:r>
          </w:p>
        </w:tc>
        <w:tc>
          <w:tcPr>
            <w:tcW w:w="100" w:type="dxa"/>
            <w:vAlign w:val="bottom"/>
          </w:tcPr>
          <w:p>
            <w:pPr>
              <w:spacing w:after="0"/>
              <w:rPr>
                <w:sz w:val="17"/>
                <w:szCs w:val="17"/>
                <w:color w:val="auto"/>
              </w:rPr>
            </w:pPr>
          </w:p>
        </w:tc>
        <w:tc>
          <w:tcPr>
            <w:tcW w:w="900" w:type="dxa"/>
            <w:vAlign w:val="bottom"/>
          </w:tcPr>
          <w:p>
            <w:pPr>
              <w:jc w:val="right"/>
              <w:ind w:right="770"/>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2,008</w:t>
            </w:r>
          </w:p>
        </w:tc>
        <w:tc>
          <w:tcPr>
            <w:tcW w:w="98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 xml:space="preserve">22.6 %   </w:t>
            </w:r>
            <w:r>
              <w:rPr>
                <w:rFonts w:ascii="Arial" w:cs="Arial" w:eastAsia="Arial" w:hAnsi="Arial"/>
                <w:sz w:val="11"/>
                <w:szCs w:val="11"/>
                <w:b w:val="1"/>
                <w:bCs w:val="1"/>
                <w:color w:val="366092"/>
              </w:rPr>
              <w:t>$</w:t>
            </w:r>
          </w:p>
        </w:tc>
        <w:tc>
          <w:tcPr>
            <w:tcW w:w="1140" w:type="dxa"/>
            <w:vAlign w:val="bottom"/>
          </w:tcPr>
          <w:p>
            <w:pPr>
              <w:jc w:val="right"/>
              <w:ind w:right="27"/>
              <w:spacing w:after="0"/>
              <w:rPr>
                <w:sz w:val="20"/>
                <w:szCs w:val="20"/>
                <w:color w:val="auto"/>
              </w:rPr>
            </w:pPr>
            <w:r>
              <w:rPr>
                <w:rFonts w:ascii="Arial" w:cs="Arial" w:eastAsia="Arial" w:hAnsi="Arial"/>
                <w:sz w:val="11"/>
                <w:szCs w:val="11"/>
                <w:b w:val="1"/>
                <w:bCs w:val="1"/>
                <w:color w:val="366092"/>
              </w:rPr>
              <w:t>1,013</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967</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Group Medicare Advantage</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1,608</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1,528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5.2 %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b w:val="1"/>
                <w:bCs w:val="1"/>
                <w:color w:val="366092"/>
              </w:rPr>
              <w:t>1,021</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1,023</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stand-alone PDP</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757</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881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(124)</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-14.1 %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b w:val="1"/>
                <w:bCs w:val="1"/>
                <w:color w:val="366092"/>
              </w:rPr>
              <w:t>58</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59</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State-based contracts (F)</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755</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591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27.7 %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b w:val="1"/>
                <w:bCs w:val="1"/>
                <w:color w:val="366092"/>
              </w:rPr>
              <w:t>537</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598</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Supplement</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154</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17.6 %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b w:val="1"/>
                <w:bCs w:val="1"/>
                <w:color w:val="366092"/>
              </w:rPr>
              <w:t>175</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174</w:t>
            </w:r>
          </w:p>
        </w:tc>
      </w:tr>
      <w:tr>
        <w:trPr>
          <w:trHeight w:val="182"/>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Other services</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3</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-40.0 %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0"/>
        </w:trPr>
        <w:tc>
          <w:tcPr>
            <w:tcW w:w="298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Retail</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14,151</w:t>
            </w: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12,002</w:t>
            </w: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2,149</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17.9 %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0"/>
        </w:trPr>
        <w:tc>
          <w:tcPr>
            <w:tcW w:w="298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Group and Specialty</w:t>
            </w:r>
          </w:p>
        </w:tc>
        <w:tc>
          <w:tcPr>
            <w:tcW w:w="8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7"/>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Fully-insured commercial medical</w:t>
            </w:r>
          </w:p>
        </w:tc>
        <w:tc>
          <w:tcPr>
            <w:tcW w:w="860" w:type="dxa"/>
            <w:vAlign w:val="bottom"/>
          </w:tcPr>
          <w:p>
            <w:pPr>
              <w:spacing w:after="0"/>
              <w:rPr>
                <w:sz w:val="18"/>
                <w:szCs w:val="18"/>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1,250</w:t>
            </w:r>
          </w:p>
        </w:tc>
        <w:tc>
          <w:tcPr>
            <w:tcW w:w="860" w:type="dxa"/>
            <w:vAlign w:val="bottom"/>
          </w:tcPr>
          <w:p>
            <w:pPr>
              <w:spacing w:after="0"/>
              <w:rPr>
                <w:sz w:val="18"/>
                <w:szCs w:val="18"/>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1,361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(111)</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-8.2 %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b w:val="1"/>
                <w:bCs w:val="1"/>
                <w:color w:val="366092"/>
              </w:rPr>
              <w:t>454</w:t>
            </w:r>
          </w:p>
        </w:tc>
        <w:tc>
          <w:tcPr>
            <w:tcW w:w="360" w:type="dxa"/>
            <w:vAlign w:val="bottom"/>
          </w:tcPr>
          <w:p>
            <w:pPr>
              <w:spacing w:after="0"/>
              <w:rPr>
                <w:sz w:val="18"/>
                <w:szCs w:val="18"/>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447</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Specialty (J)</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411</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345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19.1 %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b w:val="1"/>
                <w:bCs w:val="1"/>
                <w:color w:val="366092"/>
              </w:rPr>
              <w:t>27</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21</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Commercial ASO &amp; other services (E)</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88</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29.4 %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Military services (K)</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120</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-7.7 %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0"/>
        </w:trPr>
        <w:tc>
          <w:tcPr>
            <w:tcW w:w="298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Group and Specialty</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1,869</w:t>
            </w: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1,904</w:t>
            </w: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(35)</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0"/>
        </w:trPr>
        <w:tc>
          <w:tcPr>
            <w:tcW w:w="298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Healthcare Services</w:t>
            </w:r>
          </w:p>
        </w:tc>
        <w:tc>
          <w:tcPr>
            <w:tcW w:w="8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7"/>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Pharmacy solutions</w:t>
            </w:r>
          </w:p>
        </w:tc>
        <w:tc>
          <w:tcPr>
            <w:tcW w:w="860" w:type="dxa"/>
            <w:vAlign w:val="bottom"/>
          </w:tcPr>
          <w:p>
            <w:pPr>
              <w:spacing w:after="0"/>
              <w:rPr>
                <w:sz w:val="18"/>
                <w:szCs w:val="18"/>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5,905</w:t>
            </w:r>
          </w:p>
        </w:tc>
        <w:tc>
          <w:tcPr>
            <w:tcW w:w="860" w:type="dxa"/>
            <w:vAlign w:val="bottom"/>
          </w:tcPr>
          <w:p>
            <w:pPr>
              <w:spacing w:after="0"/>
              <w:rPr>
                <w:sz w:val="18"/>
                <w:szCs w:val="18"/>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5,388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517</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9.6 %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Provider services</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594</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608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-2.3 %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Clinical programs</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196</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195</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0.5 %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5"/>
        </w:trPr>
        <w:tc>
          <w:tcPr>
            <w:tcW w:w="298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Healthcare Services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6,695</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6,191</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504</w:t>
            </w: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8.1 %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S-13</w:t>
      </w:r>
    </w:p>
    <w:p>
      <w:pPr>
        <w:sectPr>
          <w:pgSz w:w="11900" w:h="16838" w:orient="portrait"/>
          <w:cols w:equalWidth="0" w:num="1">
            <w:col w:w="11480"/>
          </w:cols>
          <w:pgMar w:left="220" w:top="438" w:right="19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Premiums and Services Revenue Detail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Dollars in millions, except per member per month</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980" w:type="dxa"/>
            <w:vAlign w:val="bottom"/>
            <w:tcBorders>
              <w:right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40" w:type="dxa"/>
            <w:vAlign w:val="bottom"/>
            <w:tcBorders>
              <w:top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20" w:type="dxa"/>
            <w:vAlign w:val="bottom"/>
            <w:tcBorders>
              <w:top w:val="single" w:sz="8" w:color="auto"/>
              <w:right w:val="single" w:sz="8" w:color="auto"/>
            </w:tcBorders>
            <w:gridSpan w:val="3"/>
          </w:tcPr>
          <w:p>
            <w:pPr>
              <w:jc w:val="right"/>
              <w:ind w:right="727"/>
              <w:spacing w:after="0"/>
              <w:rPr>
                <w:sz w:val="20"/>
                <w:szCs w:val="20"/>
                <w:color w:val="auto"/>
              </w:rPr>
            </w:pPr>
            <w:r>
              <w:rPr>
                <w:rFonts w:ascii="Arial" w:cs="Arial" w:eastAsia="Arial" w:hAnsi="Arial"/>
                <w:sz w:val="10"/>
                <w:szCs w:val="10"/>
                <w:b w:val="1"/>
                <w:bCs w:val="1"/>
                <w:color w:val="auto"/>
              </w:rPr>
              <w:t>Per Member per Month (L)</w:t>
            </w:r>
          </w:p>
        </w:tc>
      </w:tr>
      <w:tr>
        <w:trPr>
          <w:trHeight w:val="127"/>
        </w:trPr>
        <w:tc>
          <w:tcPr>
            <w:tcW w:w="2980" w:type="dxa"/>
            <w:vAlign w:val="bottom"/>
            <w:tcBorders>
              <w:right w:val="single" w:sz="8" w:color="auto"/>
            </w:tcBorders>
          </w:tcPr>
          <w:p>
            <w:pPr>
              <w:spacing w:after="0"/>
              <w:rPr>
                <w:sz w:val="11"/>
                <w:szCs w:val="11"/>
                <w:color w:val="auto"/>
              </w:rPr>
            </w:pPr>
          </w:p>
        </w:tc>
        <w:tc>
          <w:tcPr>
            <w:tcW w:w="22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0"/>
                <w:szCs w:val="10"/>
                <w:b w:val="1"/>
                <w:bCs w:val="1"/>
                <w:color w:val="auto"/>
              </w:rPr>
              <w:t>For the year ended December 31,</w:t>
            </w:r>
          </w:p>
        </w:tc>
        <w:tc>
          <w:tcPr>
            <w:tcW w:w="54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20" w:type="dxa"/>
            <w:vAlign w:val="bottom"/>
            <w:tcBorders>
              <w:bottom w:val="single" w:sz="8" w:color="auto"/>
              <w:right w:val="single" w:sz="8" w:color="auto"/>
            </w:tcBorders>
            <w:gridSpan w:val="3"/>
          </w:tcPr>
          <w:p>
            <w:pPr>
              <w:jc w:val="right"/>
              <w:ind w:right="567"/>
              <w:spacing w:after="0"/>
              <w:rPr>
                <w:sz w:val="20"/>
                <w:szCs w:val="20"/>
                <w:color w:val="auto"/>
              </w:rPr>
            </w:pPr>
            <w:r>
              <w:rPr>
                <w:rFonts w:ascii="Arial" w:cs="Arial" w:eastAsia="Arial" w:hAnsi="Arial"/>
                <w:sz w:val="10"/>
                <w:szCs w:val="10"/>
                <w:b w:val="1"/>
                <w:bCs w:val="1"/>
                <w:color w:val="auto"/>
              </w:rPr>
              <w:t>For the year ended December 31,</w:t>
            </w:r>
          </w:p>
        </w:tc>
      </w:tr>
      <w:tr>
        <w:trPr>
          <w:trHeight w:val="173"/>
        </w:trPr>
        <w:tc>
          <w:tcPr>
            <w:tcW w:w="29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left="390"/>
              <w:spacing w:after="0"/>
              <w:rPr>
                <w:sz w:val="20"/>
                <w:szCs w:val="20"/>
                <w:color w:val="auto"/>
              </w:rPr>
            </w:pPr>
            <w:r>
              <w:rPr>
                <w:rFonts w:ascii="Arial" w:cs="Arial" w:eastAsia="Arial" w:hAnsi="Arial"/>
                <w:sz w:val="10"/>
                <w:szCs w:val="10"/>
                <w:color w:val="auto"/>
                <w:w w:val="99"/>
              </w:rPr>
              <w:t>Dollar</w:t>
            </w:r>
          </w:p>
        </w:tc>
        <w:tc>
          <w:tcPr>
            <w:tcW w:w="460" w:type="dxa"/>
            <w:vAlign w:val="bottom"/>
          </w:tcPr>
          <w:p>
            <w:pPr>
              <w:spacing w:after="0"/>
              <w:rPr>
                <w:sz w:val="15"/>
                <w:szCs w:val="15"/>
                <w:color w:val="auto"/>
              </w:rPr>
            </w:pPr>
          </w:p>
        </w:tc>
        <w:tc>
          <w:tcPr>
            <w:tcW w:w="980" w:type="dxa"/>
            <w:vAlign w:val="bottom"/>
          </w:tcPr>
          <w:p>
            <w:pPr>
              <w:jc w:val="center"/>
              <w:ind w:left="372"/>
              <w:spacing w:after="0"/>
              <w:rPr>
                <w:sz w:val="20"/>
                <w:szCs w:val="20"/>
                <w:color w:val="auto"/>
              </w:rPr>
            </w:pPr>
            <w:r>
              <w:rPr>
                <w:rFonts w:ascii="Arial" w:cs="Arial" w:eastAsia="Arial" w:hAnsi="Arial"/>
                <w:sz w:val="10"/>
                <w:szCs w:val="10"/>
                <w:color w:val="auto"/>
                <w:w w:val="93"/>
              </w:rPr>
              <w:t>Percentage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56"/>
        </w:trPr>
        <w:tc>
          <w:tcPr>
            <w:tcW w:w="2980" w:type="dxa"/>
            <w:vAlign w:val="bottom"/>
            <w:tcBorders>
              <w:right w:val="single" w:sz="8" w:color="auto"/>
            </w:tcBorders>
          </w:tcPr>
          <w:p>
            <w:pPr>
              <w:spacing w:after="0"/>
              <w:rPr>
                <w:sz w:val="13"/>
                <w:szCs w:val="13"/>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366092"/>
              </w:rPr>
              <w:t>2019</w:t>
            </w:r>
          </w:p>
        </w:tc>
        <w:tc>
          <w:tcPr>
            <w:tcW w:w="5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2018</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ind w:left="390"/>
              <w:spacing w:after="0"/>
              <w:rPr>
                <w:sz w:val="20"/>
                <w:szCs w:val="20"/>
                <w:color w:val="auto"/>
              </w:rPr>
            </w:pPr>
            <w:r>
              <w:rPr>
                <w:rFonts w:ascii="Arial" w:cs="Arial" w:eastAsia="Arial" w:hAnsi="Arial"/>
                <w:sz w:val="10"/>
                <w:szCs w:val="10"/>
                <w:color w:val="auto"/>
                <w:w w:val="96"/>
              </w:rPr>
              <w:t>Change</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372"/>
              <w:spacing w:after="0"/>
              <w:rPr>
                <w:sz w:val="20"/>
                <w:szCs w:val="20"/>
                <w:color w:val="auto"/>
              </w:rPr>
            </w:pPr>
            <w:r>
              <w:rPr>
                <w:rFonts w:ascii="Arial" w:cs="Arial" w:eastAsia="Arial" w:hAnsi="Arial"/>
                <w:sz w:val="10"/>
                <w:szCs w:val="10"/>
                <w:color w:val="auto"/>
                <w:w w:val="91"/>
              </w:rPr>
              <w:t>Change</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366092"/>
              </w:rPr>
              <w:t>2019</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color w:val="auto"/>
              </w:rPr>
              <w:t>2018</w:t>
            </w:r>
          </w:p>
        </w:tc>
      </w:tr>
      <w:tr>
        <w:trPr>
          <w:trHeight w:val="137"/>
        </w:trPr>
        <w:tc>
          <w:tcPr>
            <w:tcW w:w="29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Premiums and Services Revenue</w:t>
            </w:r>
          </w:p>
        </w:tc>
        <w:tc>
          <w:tcPr>
            <w:tcW w:w="8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89"/>
        </w:trPr>
        <w:tc>
          <w:tcPr>
            <w:tcW w:w="298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Retail</w:t>
            </w:r>
          </w:p>
        </w:tc>
        <w:tc>
          <w:tcPr>
            <w:tcW w:w="8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8"/>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Individual Medicare Advantage</w:t>
            </w:r>
          </w:p>
        </w:tc>
        <w:tc>
          <w:tcPr>
            <w:tcW w:w="860" w:type="dxa"/>
            <w:vAlign w:val="bottom"/>
          </w:tcPr>
          <w:p>
            <w:pPr>
              <w:jc w:val="right"/>
              <w:ind w:right="752"/>
              <w:spacing w:after="0"/>
              <w:rPr>
                <w:sz w:val="20"/>
                <w:szCs w:val="20"/>
                <w:color w:val="auto"/>
              </w:rPr>
            </w:pPr>
            <w:r>
              <w:rPr>
                <w:rFonts w:ascii="Arial" w:cs="Arial" w:eastAsia="Arial" w:hAnsi="Arial"/>
                <w:sz w:val="10"/>
                <w:szCs w:val="10"/>
                <w:b w:val="1"/>
                <w:bCs w:val="1"/>
                <w:color w:val="366092"/>
                <w:w w:val="71"/>
              </w:rPr>
              <w:t>$</w:t>
            </w: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43,128</w:t>
            </w:r>
          </w:p>
        </w:tc>
        <w:tc>
          <w:tcPr>
            <w:tcW w:w="860" w:type="dxa"/>
            <w:vAlign w:val="bottom"/>
          </w:tcPr>
          <w:p>
            <w:pPr>
              <w:jc w:val="right"/>
              <w:ind w:right="729"/>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35,656</w:t>
            </w:r>
          </w:p>
        </w:tc>
        <w:tc>
          <w:tcPr>
            <w:tcW w:w="100" w:type="dxa"/>
            <w:vAlign w:val="bottom"/>
          </w:tcPr>
          <w:p>
            <w:pPr>
              <w:spacing w:after="0"/>
              <w:rPr>
                <w:sz w:val="17"/>
                <w:szCs w:val="17"/>
                <w:color w:val="auto"/>
              </w:rPr>
            </w:pPr>
          </w:p>
        </w:tc>
        <w:tc>
          <w:tcPr>
            <w:tcW w:w="900" w:type="dxa"/>
            <w:vAlign w:val="bottom"/>
          </w:tcPr>
          <w:p>
            <w:pPr>
              <w:jc w:val="right"/>
              <w:ind w:right="770"/>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7,472</w:t>
            </w:r>
          </w:p>
        </w:tc>
        <w:tc>
          <w:tcPr>
            <w:tcW w:w="98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 xml:space="preserve">21.0 %   </w:t>
            </w:r>
            <w:r>
              <w:rPr>
                <w:rFonts w:ascii="Arial" w:cs="Arial" w:eastAsia="Arial" w:hAnsi="Arial"/>
                <w:sz w:val="11"/>
                <w:szCs w:val="11"/>
                <w:b w:val="1"/>
                <w:bCs w:val="1"/>
                <w:color w:val="366092"/>
              </w:rPr>
              <w:t>$</w:t>
            </w:r>
          </w:p>
        </w:tc>
        <w:tc>
          <w:tcPr>
            <w:tcW w:w="1000" w:type="dxa"/>
            <w:vAlign w:val="bottom"/>
          </w:tcPr>
          <w:p>
            <w:pPr>
              <w:jc w:val="right"/>
              <w:ind w:right="28"/>
              <w:spacing w:after="0"/>
              <w:rPr>
                <w:sz w:val="20"/>
                <w:szCs w:val="20"/>
                <w:color w:val="auto"/>
              </w:rPr>
            </w:pPr>
            <w:r>
              <w:rPr>
                <w:rFonts w:ascii="Arial" w:cs="Arial" w:eastAsia="Arial" w:hAnsi="Arial"/>
                <w:sz w:val="11"/>
                <w:szCs w:val="11"/>
                <w:b w:val="1"/>
                <w:bCs w:val="1"/>
                <w:color w:val="366092"/>
              </w:rPr>
              <w:t>1,027</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979</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Group Medicare Advantage</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6,475</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6,103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372</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6.1 %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1"/>
                <w:szCs w:val="11"/>
                <w:b w:val="1"/>
                <w:bCs w:val="1"/>
                <w:color w:val="366092"/>
              </w:rPr>
              <w:t>1,036</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1,027</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stand-alone PDP</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3,165</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3,584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(419)</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-11.7 %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1"/>
                <w:szCs w:val="11"/>
                <w:b w:val="1"/>
                <w:bCs w:val="1"/>
                <w:color w:val="366092"/>
              </w:rPr>
              <w:t>60</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59</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State-based contracts (F)</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2,898</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2,255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643</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28.5 %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1"/>
                <w:szCs w:val="11"/>
                <w:b w:val="1"/>
                <w:bCs w:val="1"/>
                <w:color w:val="366092"/>
              </w:rPr>
              <w:t>525</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569</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Supplement</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588</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510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15.3 %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1"/>
                <w:szCs w:val="11"/>
                <w:b w:val="1"/>
                <w:bCs w:val="1"/>
                <w:color w:val="366092"/>
              </w:rPr>
              <w:t>176</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174</w:t>
            </w:r>
          </w:p>
        </w:tc>
      </w:tr>
      <w:tr>
        <w:trPr>
          <w:trHeight w:val="182"/>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Other services</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17</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54.5 %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0"/>
        </w:trPr>
        <w:tc>
          <w:tcPr>
            <w:tcW w:w="298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Retail</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56,271</w:t>
            </w: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48,119</w:t>
            </w: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8,152</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16.9 %</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0"/>
        </w:trPr>
        <w:tc>
          <w:tcPr>
            <w:tcW w:w="298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Group and Specialty</w:t>
            </w:r>
          </w:p>
        </w:tc>
        <w:tc>
          <w:tcPr>
            <w:tcW w:w="8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7"/>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Fully-insured commercial medical</w:t>
            </w:r>
          </w:p>
        </w:tc>
        <w:tc>
          <w:tcPr>
            <w:tcW w:w="860" w:type="dxa"/>
            <w:vAlign w:val="bottom"/>
          </w:tcPr>
          <w:p>
            <w:pPr>
              <w:spacing w:after="0"/>
              <w:rPr>
                <w:sz w:val="18"/>
                <w:szCs w:val="18"/>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5,123</w:t>
            </w:r>
          </w:p>
        </w:tc>
        <w:tc>
          <w:tcPr>
            <w:tcW w:w="860" w:type="dxa"/>
            <w:vAlign w:val="bottom"/>
          </w:tcPr>
          <w:p>
            <w:pPr>
              <w:spacing w:after="0"/>
              <w:rPr>
                <w:sz w:val="18"/>
                <w:szCs w:val="18"/>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5,444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(321)</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-5.9 %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1"/>
                <w:szCs w:val="11"/>
                <w:b w:val="1"/>
                <w:bCs w:val="1"/>
                <w:color w:val="366092"/>
              </w:rPr>
              <w:t>454</w:t>
            </w:r>
          </w:p>
        </w:tc>
        <w:tc>
          <w:tcPr>
            <w:tcW w:w="360" w:type="dxa"/>
            <w:vAlign w:val="bottom"/>
          </w:tcPr>
          <w:p>
            <w:pPr>
              <w:spacing w:after="0"/>
              <w:rPr>
                <w:sz w:val="18"/>
                <w:szCs w:val="18"/>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433</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Specialty (J)</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1,571</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1,359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15.6 %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1"/>
                <w:szCs w:val="11"/>
                <w:b w:val="1"/>
                <w:bCs w:val="1"/>
                <w:color w:val="366092"/>
              </w:rPr>
              <w:t>25</w:t>
            </w:r>
          </w:p>
        </w:tc>
        <w:tc>
          <w:tcPr>
            <w:tcW w:w="360" w:type="dxa"/>
            <w:vAlign w:val="bottom"/>
          </w:tcPr>
          <w:p>
            <w:pPr>
              <w:spacing w:after="0"/>
              <w:rPr>
                <w:sz w:val="15"/>
                <w:szCs w:val="15"/>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color w:val="auto"/>
              </w:rPr>
              <w:t>20</w:t>
            </w: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Commercial ASO &amp; other services (E)</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326</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295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10.5 %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Military services (K)</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482</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558</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(76)</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-13.6 %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0"/>
        </w:trPr>
        <w:tc>
          <w:tcPr>
            <w:tcW w:w="298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Group and Specialty</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366092"/>
              </w:rPr>
              <w:t>7,502</w:t>
            </w: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7,656</w:t>
            </w: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(154)</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-2.0 %</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0"/>
        </w:trPr>
        <w:tc>
          <w:tcPr>
            <w:tcW w:w="298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Healthcare Services</w:t>
            </w:r>
          </w:p>
        </w:tc>
        <w:tc>
          <w:tcPr>
            <w:tcW w:w="8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7"/>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Pharmacy solutions</w:t>
            </w:r>
          </w:p>
        </w:tc>
        <w:tc>
          <w:tcPr>
            <w:tcW w:w="860" w:type="dxa"/>
            <w:vAlign w:val="bottom"/>
          </w:tcPr>
          <w:p>
            <w:pPr>
              <w:spacing w:after="0"/>
              <w:rPr>
                <w:sz w:val="18"/>
                <w:szCs w:val="18"/>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22,375</w:t>
            </w:r>
          </w:p>
        </w:tc>
        <w:tc>
          <w:tcPr>
            <w:tcW w:w="860" w:type="dxa"/>
            <w:vAlign w:val="bottom"/>
          </w:tcPr>
          <w:p>
            <w:pPr>
              <w:spacing w:after="0"/>
              <w:rPr>
                <w:sz w:val="18"/>
                <w:szCs w:val="18"/>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20,717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1,658</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0"/>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Provider services</w:t>
            </w:r>
          </w:p>
        </w:tc>
        <w:tc>
          <w:tcPr>
            <w:tcW w:w="860" w:type="dxa"/>
            <w:vAlign w:val="bottom"/>
          </w:tcPr>
          <w:p>
            <w:pPr>
              <w:spacing w:after="0"/>
              <w:rPr>
                <w:sz w:val="15"/>
                <w:szCs w:val="15"/>
                <w:color w:val="auto"/>
              </w:rPr>
            </w:pPr>
          </w:p>
        </w:tc>
        <w:tc>
          <w:tcPr>
            <w:tcW w:w="5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2,650</w:t>
            </w:r>
          </w:p>
        </w:tc>
        <w:tc>
          <w:tcPr>
            <w:tcW w:w="86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2,222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428</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19.3 %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298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Clinical programs</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756</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838</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(82)</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-9.8 %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5"/>
        </w:trPr>
        <w:tc>
          <w:tcPr>
            <w:tcW w:w="298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Healthcare Services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25,781</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23,777</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2,004</w:t>
            </w: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8.4 %</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S-14</w:t>
      </w:r>
    </w:p>
    <w:p>
      <w:pPr>
        <w:sectPr>
          <w:pgSz w:w="11900" w:h="16838" w:orient="portrait"/>
          <w:cols w:equalWidth="0" w:num="1">
            <w:col w:w="11480"/>
          </w:cols>
          <w:pgMar w:left="220" w:top="438" w:right="19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Healthcare Services Segment Metrics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320" w:type="dxa"/>
            <w:vAlign w:val="bottom"/>
            <w:tcBorders>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jc w:val="right"/>
              <w:ind w:right="167"/>
              <w:spacing w:after="0"/>
              <w:rPr>
                <w:sz w:val="20"/>
                <w:szCs w:val="20"/>
                <w:color w:val="auto"/>
              </w:rPr>
            </w:pPr>
            <w:r>
              <w:rPr>
                <w:rFonts w:ascii="Arial" w:cs="Arial" w:eastAsia="Arial" w:hAnsi="Arial"/>
                <w:sz w:val="10"/>
                <w:szCs w:val="10"/>
                <w:b w:val="1"/>
                <w:bCs w:val="1"/>
                <w:color w:val="366092"/>
              </w:rPr>
              <w:t>December 31, 2019</w:t>
            </w:r>
          </w:p>
        </w:tc>
        <w:tc>
          <w:tcPr>
            <w:tcW w:w="1340" w:type="dxa"/>
            <w:vAlign w:val="bottom"/>
            <w:gridSpan w:val="2"/>
          </w:tcPr>
          <w:p>
            <w:pPr>
              <w:ind w:left="180"/>
              <w:spacing w:after="0"/>
              <w:rPr>
                <w:sz w:val="20"/>
                <w:szCs w:val="20"/>
                <w:color w:val="auto"/>
              </w:rPr>
            </w:pPr>
            <w:r>
              <w:rPr>
                <w:rFonts w:ascii="Arial" w:cs="Arial" w:eastAsia="Arial" w:hAnsi="Arial"/>
                <w:sz w:val="10"/>
                <w:szCs w:val="10"/>
                <w:color w:val="auto"/>
              </w:rPr>
              <w:t>December 31, 2018</w:t>
            </w:r>
          </w:p>
        </w:tc>
        <w:tc>
          <w:tcPr>
            <w:tcW w:w="1240" w:type="dxa"/>
            <w:vAlign w:val="bottom"/>
          </w:tcPr>
          <w:p>
            <w:pPr>
              <w:jc w:val="right"/>
              <w:ind w:right="347"/>
              <w:spacing w:after="0"/>
              <w:rPr>
                <w:sz w:val="20"/>
                <w:szCs w:val="20"/>
                <w:color w:val="auto"/>
              </w:rPr>
            </w:pPr>
            <w:r>
              <w:rPr>
                <w:rFonts w:ascii="Arial" w:cs="Arial" w:eastAsia="Arial" w:hAnsi="Arial"/>
                <w:sz w:val="10"/>
                <w:szCs w:val="10"/>
                <w:color w:val="auto"/>
              </w:rPr>
              <w:t>Difference</w:t>
            </w:r>
          </w:p>
        </w:tc>
        <w:tc>
          <w:tcPr>
            <w:tcW w:w="84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0"/>
                <w:szCs w:val="10"/>
                <w:color w:val="auto"/>
              </w:rPr>
              <w:t>September 30, 2019</w:t>
            </w:r>
          </w:p>
        </w:tc>
        <w:tc>
          <w:tcPr>
            <w:tcW w:w="1260" w:type="dxa"/>
            <w:vAlign w:val="bottom"/>
          </w:tcPr>
          <w:p>
            <w:pPr>
              <w:jc w:val="right"/>
              <w:ind w:right="347"/>
              <w:spacing w:after="0"/>
              <w:rPr>
                <w:sz w:val="20"/>
                <w:szCs w:val="20"/>
                <w:color w:val="auto"/>
              </w:rPr>
            </w:pPr>
            <w:r>
              <w:rPr>
                <w:rFonts w:ascii="Arial" w:cs="Arial" w:eastAsia="Arial" w:hAnsi="Arial"/>
                <w:sz w:val="10"/>
                <w:szCs w:val="10"/>
                <w:color w:val="auto"/>
              </w:rPr>
              <w:t>Difference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32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Primary Care Providers:</w:t>
            </w:r>
          </w:p>
        </w:tc>
        <w:tc>
          <w:tcPr>
            <w:tcW w:w="1260" w:type="dxa"/>
            <w:vAlign w:val="bottom"/>
            <w:tcBorders>
              <w:top w:val="single" w:sz="8" w:color="auto"/>
              <w:right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Shared Risk (H)</w:t>
            </w:r>
          </w:p>
        </w:tc>
        <w:tc>
          <w:tcPr>
            <w:tcW w:w="1260" w:type="dxa"/>
            <w:vAlign w:val="bottom"/>
            <w:tcBorders>
              <w:right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2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Owned / JV</w:t>
            </w:r>
          </w:p>
        </w:tc>
        <w:tc>
          <w:tcPr>
            <w:tcW w:w="126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b w:val="1"/>
                <w:bCs w:val="1"/>
                <w:color w:val="00497F"/>
              </w:rPr>
              <w:t>1,200</w:t>
            </w:r>
          </w:p>
        </w:tc>
        <w:tc>
          <w:tcPr>
            <w:tcW w:w="1220" w:type="dxa"/>
            <w:vAlign w:val="bottom"/>
          </w:tcPr>
          <w:p>
            <w:pPr>
              <w:jc w:val="right"/>
              <w:ind w:right="47"/>
              <w:spacing w:after="0"/>
              <w:rPr>
                <w:sz w:val="20"/>
                <w:szCs w:val="20"/>
                <w:color w:val="auto"/>
              </w:rPr>
            </w:pPr>
            <w:r>
              <w:rPr>
                <w:rFonts w:ascii="Arial" w:cs="Arial" w:eastAsia="Arial" w:hAnsi="Arial"/>
                <w:sz w:val="11"/>
                <w:szCs w:val="11"/>
                <w:color w:val="auto"/>
              </w:rPr>
              <w:t>1,600</w:t>
            </w:r>
          </w:p>
        </w:tc>
        <w:tc>
          <w:tcPr>
            <w:tcW w:w="12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1"/>
                <w:szCs w:val="11"/>
                <w:color w:val="auto"/>
              </w:rPr>
              <w:t>(400)</w:t>
            </w:r>
          </w:p>
        </w:tc>
        <w:tc>
          <w:tcPr>
            <w:tcW w:w="840" w:type="dxa"/>
            <w:vAlign w:val="bottom"/>
          </w:tcPr>
          <w:p>
            <w:pPr>
              <w:jc w:val="right"/>
              <w:spacing w:after="0"/>
              <w:rPr>
                <w:sz w:val="20"/>
                <w:szCs w:val="20"/>
                <w:color w:val="auto"/>
              </w:rPr>
            </w:pPr>
            <w:r>
              <w:rPr>
                <w:rFonts w:ascii="Arial" w:cs="Arial" w:eastAsia="Arial" w:hAnsi="Arial"/>
                <w:sz w:val="11"/>
                <w:szCs w:val="11"/>
                <w:color w:val="auto"/>
              </w:rPr>
              <w:t>-25.0 %</w:t>
            </w:r>
          </w:p>
        </w:tc>
        <w:tc>
          <w:tcPr>
            <w:tcW w:w="1260" w:type="dxa"/>
            <w:vAlign w:val="bottom"/>
          </w:tcPr>
          <w:p>
            <w:pPr>
              <w:jc w:val="right"/>
              <w:ind w:right="47"/>
              <w:spacing w:after="0"/>
              <w:rPr>
                <w:sz w:val="20"/>
                <w:szCs w:val="20"/>
                <w:color w:val="auto"/>
              </w:rPr>
            </w:pPr>
            <w:r>
              <w:rPr>
                <w:rFonts w:ascii="Arial" w:cs="Arial" w:eastAsia="Arial" w:hAnsi="Arial"/>
                <w:sz w:val="11"/>
                <w:szCs w:val="11"/>
                <w:color w:val="auto"/>
              </w:rPr>
              <w:t>1,100</w:t>
            </w:r>
          </w:p>
        </w:tc>
        <w:tc>
          <w:tcPr>
            <w:tcW w:w="10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1"/>
                <w:szCs w:val="11"/>
                <w:color w:val="auto"/>
              </w:rPr>
              <w:t>100</w:t>
            </w:r>
          </w:p>
        </w:tc>
        <w:tc>
          <w:tcPr>
            <w:tcW w:w="800" w:type="dxa"/>
            <w:vAlign w:val="bottom"/>
          </w:tcPr>
          <w:p>
            <w:pPr>
              <w:jc w:val="right"/>
              <w:spacing w:after="0"/>
              <w:rPr>
                <w:sz w:val="20"/>
                <w:szCs w:val="20"/>
                <w:color w:val="auto"/>
              </w:rPr>
            </w:pPr>
            <w:r>
              <w:rPr>
                <w:rFonts w:ascii="Arial" w:cs="Arial" w:eastAsia="Arial" w:hAnsi="Arial"/>
                <w:sz w:val="11"/>
                <w:szCs w:val="11"/>
                <w:color w:val="auto"/>
              </w:rPr>
              <w:t>9.1 %</w:t>
            </w:r>
          </w:p>
        </w:tc>
        <w:tc>
          <w:tcPr>
            <w:tcW w:w="0" w:type="dxa"/>
            <w:vAlign w:val="bottom"/>
          </w:tcPr>
          <w:p>
            <w:pPr>
              <w:spacing w:after="0"/>
              <w:rPr>
                <w:sz w:val="1"/>
                <w:szCs w:val="1"/>
                <w:color w:val="auto"/>
              </w:rPr>
            </w:pPr>
          </w:p>
        </w:tc>
      </w:tr>
      <w:tr>
        <w:trPr>
          <w:trHeight w:val="180"/>
        </w:trPr>
        <w:tc>
          <w:tcPr>
            <w:tcW w:w="332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Contracted</w:t>
            </w:r>
          </w:p>
        </w:tc>
        <w:tc>
          <w:tcPr>
            <w:tcW w:w="126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b w:val="1"/>
                <w:bCs w:val="1"/>
                <w:color w:val="00497F"/>
              </w:rPr>
              <w:t>18,700</w:t>
            </w:r>
          </w:p>
        </w:tc>
        <w:tc>
          <w:tcPr>
            <w:tcW w:w="1220" w:type="dxa"/>
            <w:vAlign w:val="bottom"/>
          </w:tcPr>
          <w:p>
            <w:pPr>
              <w:jc w:val="right"/>
              <w:ind w:right="47"/>
              <w:spacing w:after="0"/>
              <w:rPr>
                <w:sz w:val="20"/>
                <w:szCs w:val="20"/>
                <w:color w:val="auto"/>
              </w:rPr>
            </w:pPr>
            <w:r>
              <w:rPr>
                <w:rFonts w:ascii="Arial" w:cs="Arial" w:eastAsia="Arial" w:hAnsi="Arial"/>
                <w:sz w:val="11"/>
                <w:szCs w:val="11"/>
                <w:color w:val="auto"/>
              </w:rPr>
              <w:t>15,000</w:t>
            </w:r>
          </w:p>
        </w:tc>
        <w:tc>
          <w:tcPr>
            <w:tcW w:w="120" w:type="dxa"/>
            <w:vAlign w:val="bottom"/>
          </w:tcPr>
          <w:p>
            <w:pPr>
              <w:spacing w:after="0"/>
              <w:rPr>
                <w:sz w:val="15"/>
                <w:szCs w:val="15"/>
                <w:color w:val="auto"/>
              </w:rPr>
            </w:pPr>
          </w:p>
        </w:tc>
        <w:tc>
          <w:tcPr>
            <w:tcW w:w="1240" w:type="dxa"/>
            <w:vAlign w:val="bottom"/>
          </w:tcPr>
          <w:p>
            <w:pPr>
              <w:jc w:val="right"/>
              <w:ind w:right="47"/>
              <w:spacing w:after="0"/>
              <w:rPr>
                <w:sz w:val="20"/>
                <w:szCs w:val="20"/>
                <w:color w:val="auto"/>
              </w:rPr>
            </w:pPr>
            <w:r>
              <w:rPr>
                <w:rFonts w:ascii="Arial" w:cs="Arial" w:eastAsia="Arial" w:hAnsi="Arial"/>
                <w:sz w:val="11"/>
                <w:szCs w:val="11"/>
                <w:color w:val="auto"/>
              </w:rPr>
              <w:t>3,700</w:t>
            </w:r>
          </w:p>
        </w:tc>
        <w:tc>
          <w:tcPr>
            <w:tcW w:w="840" w:type="dxa"/>
            <w:vAlign w:val="bottom"/>
          </w:tcPr>
          <w:p>
            <w:pPr>
              <w:jc w:val="right"/>
              <w:spacing w:after="0"/>
              <w:rPr>
                <w:sz w:val="20"/>
                <w:szCs w:val="20"/>
                <w:color w:val="auto"/>
              </w:rPr>
            </w:pPr>
            <w:r>
              <w:rPr>
                <w:rFonts w:ascii="Arial" w:cs="Arial" w:eastAsia="Arial" w:hAnsi="Arial"/>
                <w:sz w:val="11"/>
                <w:szCs w:val="11"/>
                <w:color w:val="auto"/>
              </w:rPr>
              <w:t>24.7 %</w:t>
            </w:r>
          </w:p>
        </w:tc>
        <w:tc>
          <w:tcPr>
            <w:tcW w:w="1260" w:type="dxa"/>
            <w:vAlign w:val="bottom"/>
          </w:tcPr>
          <w:p>
            <w:pPr>
              <w:jc w:val="right"/>
              <w:ind w:right="47"/>
              <w:spacing w:after="0"/>
              <w:rPr>
                <w:sz w:val="20"/>
                <w:szCs w:val="20"/>
                <w:color w:val="auto"/>
              </w:rPr>
            </w:pPr>
            <w:r>
              <w:rPr>
                <w:rFonts w:ascii="Arial" w:cs="Arial" w:eastAsia="Arial" w:hAnsi="Arial"/>
                <w:sz w:val="11"/>
                <w:szCs w:val="11"/>
                <w:color w:val="auto"/>
              </w:rPr>
              <w:t>18,500</w:t>
            </w:r>
          </w:p>
        </w:tc>
        <w:tc>
          <w:tcPr>
            <w:tcW w:w="100" w:type="dxa"/>
            <w:vAlign w:val="bottom"/>
          </w:tcPr>
          <w:p>
            <w:pPr>
              <w:spacing w:after="0"/>
              <w:rPr>
                <w:sz w:val="15"/>
                <w:szCs w:val="15"/>
                <w:color w:val="auto"/>
              </w:rPr>
            </w:pPr>
          </w:p>
        </w:tc>
        <w:tc>
          <w:tcPr>
            <w:tcW w:w="1260" w:type="dxa"/>
            <w:vAlign w:val="bottom"/>
          </w:tcPr>
          <w:p>
            <w:pPr>
              <w:jc w:val="right"/>
              <w:ind w:right="47"/>
              <w:spacing w:after="0"/>
              <w:rPr>
                <w:sz w:val="20"/>
                <w:szCs w:val="20"/>
                <w:color w:val="auto"/>
              </w:rPr>
            </w:pPr>
            <w:r>
              <w:rPr>
                <w:rFonts w:ascii="Arial" w:cs="Arial" w:eastAsia="Arial" w:hAnsi="Arial"/>
                <w:sz w:val="11"/>
                <w:szCs w:val="11"/>
                <w:color w:val="auto"/>
              </w:rPr>
              <w:t>200</w:t>
            </w:r>
          </w:p>
        </w:tc>
        <w:tc>
          <w:tcPr>
            <w:tcW w:w="800" w:type="dxa"/>
            <w:vAlign w:val="bottom"/>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82"/>
        </w:trPr>
        <w:tc>
          <w:tcPr>
            <w:tcW w:w="33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Path to Risk (I)</w:t>
            </w:r>
          </w:p>
        </w:tc>
        <w:tc>
          <w:tcPr>
            <w:tcW w:w="126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00497F"/>
              </w:rPr>
              <w:t>42,000</w:t>
            </w: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36,800</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5,200</w:t>
            </w:r>
          </w:p>
        </w:tc>
        <w:tc>
          <w:tcPr>
            <w:tcW w:w="840" w:type="dxa"/>
            <w:vAlign w:val="bottom"/>
          </w:tcPr>
          <w:p>
            <w:pPr>
              <w:jc w:val="right"/>
              <w:spacing w:after="0"/>
              <w:rPr>
                <w:sz w:val="20"/>
                <w:szCs w:val="20"/>
                <w:color w:val="auto"/>
              </w:rPr>
            </w:pPr>
            <w:r>
              <w:rPr>
                <w:rFonts w:ascii="Arial" w:cs="Arial" w:eastAsia="Arial" w:hAnsi="Arial"/>
                <w:sz w:val="11"/>
                <w:szCs w:val="11"/>
                <w:color w:val="auto"/>
              </w:rPr>
              <w:t>14.1 %</w:t>
            </w:r>
          </w:p>
        </w:tc>
        <w:tc>
          <w:tcPr>
            <w:tcW w:w="126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40,600</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1,400</w:t>
            </w:r>
          </w:p>
        </w:tc>
        <w:tc>
          <w:tcPr>
            <w:tcW w:w="800" w:type="dxa"/>
            <w:vAlign w:val="bottom"/>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60"/>
        </w:trPr>
        <w:tc>
          <w:tcPr>
            <w:tcW w:w="332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Value-based</w:t>
            </w:r>
          </w:p>
        </w:tc>
        <w:tc>
          <w:tcPr>
            <w:tcW w:w="126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b w:val="1"/>
                <w:bCs w:val="1"/>
                <w:color w:val="00497F"/>
              </w:rPr>
              <w:t>61,900</w:t>
            </w: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53,400</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8,500</w:t>
            </w:r>
          </w:p>
        </w:tc>
        <w:tc>
          <w:tcPr>
            <w:tcW w:w="840" w:type="dxa"/>
            <w:vAlign w:val="bottom"/>
          </w:tcPr>
          <w:p>
            <w:pPr>
              <w:jc w:val="right"/>
              <w:spacing w:after="0"/>
              <w:rPr>
                <w:sz w:val="20"/>
                <w:szCs w:val="20"/>
                <w:color w:val="auto"/>
              </w:rPr>
            </w:pPr>
            <w:r>
              <w:rPr>
                <w:rFonts w:ascii="Arial" w:cs="Arial" w:eastAsia="Arial" w:hAnsi="Arial"/>
                <w:sz w:val="11"/>
                <w:szCs w:val="11"/>
                <w:color w:val="auto"/>
              </w:rPr>
              <w:t>15.9 %</w:t>
            </w:r>
          </w:p>
        </w:tc>
        <w:tc>
          <w:tcPr>
            <w:tcW w:w="126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60,200</w:t>
            </w:r>
          </w:p>
        </w:tc>
        <w:tc>
          <w:tcPr>
            <w:tcW w:w="100" w:type="dxa"/>
            <w:vAlign w:val="bottom"/>
          </w:tcPr>
          <w:p>
            <w:pPr>
              <w:spacing w:after="0"/>
              <w:rPr>
                <w:sz w:val="13"/>
                <w:szCs w:val="13"/>
                <w:color w:val="auto"/>
              </w:rPr>
            </w:pPr>
          </w:p>
        </w:tc>
        <w:tc>
          <w:tcPr>
            <w:tcW w:w="126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1,700</w:t>
            </w:r>
          </w:p>
        </w:tc>
        <w:tc>
          <w:tcPr>
            <w:tcW w:w="800" w:type="dxa"/>
            <w:vAlign w:val="bottom"/>
          </w:tcPr>
          <w:p>
            <w:pPr>
              <w:jc w:val="right"/>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53"/>
        </w:trPr>
        <w:tc>
          <w:tcPr>
            <w:tcW w:w="332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Care Management Statistics:</w:t>
            </w:r>
          </w:p>
        </w:tc>
        <w:tc>
          <w:tcPr>
            <w:tcW w:w="1260" w:type="dxa"/>
            <w:vAlign w:val="bottom"/>
            <w:tcBorders>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Members enrolled in a Humana chronic care management</w:t>
            </w:r>
          </w:p>
        </w:tc>
        <w:tc>
          <w:tcPr>
            <w:tcW w:w="1260" w:type="dxa"/>
            <w:vAlign w:val="bottom"/>
            <w:tcBorders>
              <w:right w:val="single" w:sz="8" w:color="auto"/>
            </w:tcBorders>
            <w:vMerge w:val="restart"/>
          </w:tcPr>
          <w:p>
            <w:pPr>
              <w:jc w:val="right"/>
              <w:ind w:right="87"/>
              <w:spacing w:after="0"/>
              <w:rPr>
                <w:sz w:val="20"/>
                <w:szCs w:val="20"/>
                <w:color w:val="auto"/>
              </w:rPr>
            </w:pPr>
            <w:r>
              <w:rPr>
                <w:rFonts w:ascii="Arial" w:cs="Arial" w:eastAsia="Arial" w:hAnsi="Arial"/>
                <w:sz w:val="11"/>
                <w:szCs w:val="11"/>
                <w:b w:val="1"/>
                <w:bCs w:val="1"/>
                <w:color w:val="00497F"/>
              </w:rPr>
              <w:t>868,800</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program (M)</w:t>
            </w:r>
          </w:p>
        </w:tc>
        <w:tc>
          <w:tcPr>
            <w:tcW w:w="1260" w:type="dxa"/>
            <w:vAlign w:val="bottom"/>
            <w:tcBorders>
              <w:right w:val="single" w:sz="8" w:color="auto"/>
            </w:tcBorders>
            <w:vMerge w:val="continue"/>
          </w:tcPr>
          <w:p>
            <w:pPr>
              <w:spacing w:after="0"/>
              <w:rPr>
                <w:sz w:val="11"/>
                <w:szCs w:val="11"/>
                <w:color w:val="auto"/>
              </w:rPr>
            </w:pPr>
          </w:p>
        </w:tc>
        <w:tc>
          <w:tcPr>
            <w:tcW w:w="1220" w:type="dxa"/>
            <w:vAlign w:val="bottom"/>
          </w:tcPr>
          <w:p>
            <w:pPr>
              <w:jc w:val="right"/>
              <w:ind w:right="47"/>
              <w:spacing w:after="0"/>
              <w:rPr>
                <w:sz w:val="20"/>
                <w:szCs w:val="20"/>
                <w:color w:val="auto"/>
              </w:rPr>
            </w:pPr>
            <w:r>
              <w:rPr>
                <w:rFonts w:ascii="Arial" w:cs="Arial" w:eastAsia="Arial" w:hAnsi="Arial"/>
                <w:sz w:val="11"/>
                <w:szCs w:val="11"/>
                <w:color w:val="auto"/>
              </w:rPr>
              <w:t>716,000</w:t>
            </w:r>
          </w:p>
        </w:tc>
        <w:tc>
          <w:tcPr>
            <w:tcW w:w="120" w:type="dxa"/>
            <w:vAlign w:val="bottom"/>
          </w:tcPr>
          <w:p>
            <w:pPr>
              <w:spacing w:after="0"/>
              <w:rPr>
                <w:sz w:val="11"/>
                <w:szCs w:val="11"/>
                <w:color w:val="auto"/>
              </w:rPr>
            </w:pPr>
          </w:p>
        </w:tc>
        <w:tc>
          <w:tcPr>
            <w:tcW w:w="1240" w:type="dxa"/>
            <w:vAlign w:val="bottom"/>
          </w:tcPr>
          <w:p>
            <w:pPr>
              <w:jc w:val="right"/>
              <w:ind w:right="47"/>
              <w:spacing w:after="0"/>
              <w:rPr>
                <w:sz w:val="20"/>
                <w:szCs w:val="20"/>
                <w:color w:val="auto"/>
              </w:rPr>
            </w:pPr>
            <w:r>
              <w:rPr>
                <w:rFonts w:ascii="Arial" w:cs="Arial" w:eastAsia="Arial" w:hAnsi="Arial"/>
                <w:sz w:val="11"/>
                <w:szCs w:val="11"/>
                <w:color w:val="auto"/>
              </w:rPr>
              <w:t>152,800</w:t>
            </w:r>
          </w:p>
        </w:tc>
        <w:tc>
          <w:tcPr>
            <w:tcW w:w="840" w:type="dxa"/>
            <w:vAlign w:val="bottom"/>
          </w:tcPr>
          <w:p>
            <w:pPr>
              <w:jc w:val="right"/>
              <w:spacing w:after="0"/>
              <w:rPr>
                <w:sz w:val="20"/>
                <w:szCs w:val="20"/>
                <w:color w:val="auto"/>
              </w:rPr>
            </w:pPr>
            <w:r>
              <w:rPr>
                <w:rFonts w:ascii="Arial" w:cs="Arial" w:eastAsia="Arial" w:hAnsi="Arial"/>
                <w:sz w:val="11"/>
                <w:szCs w:val="11"/>
                <w:color w:val="auto"/>
              </w:rPr>
              <w:t>21.3 %</w:t>
            </w:r>
          </w:p>
        </w:tc>
        <w:tc>
          <w:tcPr>
            <w:tcW w:w="1260" w:type="dxa"/>
            <w:vAlign w:val="bottom"/>
          </w:tcPr>
          <w:p>
            <w:pPr>
              <w:jc w:val="right"/>
              <w:ind w:right="47"/>
              <w:spacing w:after="0"/>
              <w:rPr>
                <w:sz w:val="20"/>
                <w:szCs w:val="20"/>
                <w:color w:val="auto"/>
              </w:rPr>
            </w:pPr>
            <w:r>
              <w:rPr>
                <w:rFonts w:ascii="Arial" w:cs="Arial" w:eastAsia="Arial" w:hAnsi="Arial"/>
                <w:sz w:val="11"/>
                <w:szCs w:val="11"/>
                <w:color w:val="auto"/>
              </w:rPr>
              <w:t>882,800</w:t>
            </w:r>
          </w:p>
        </w:tc>
        <w:tc>
          <w:tcPr>
            <w:tcW w:w="100" w:type="dxa"/>
            <w:vAlign w:val="bottom"/>
          </w:tcPr>
          <w:p>
            <w:pPr>
              <w:spacing w:after="0"/>
              <w:rPr>
                <w:sz w:val="11"/>
                <w:szCs w:val="11"/>
                <w:color w:val="auto"/>
              </w:rPr>
            </w:pPr>
          </w:p>
        </w:tc>
        <w:tc>
          <w:tcPr>
            <w:tcW w:w="1260" w:type="dxa"/>
            <w:vAlign w:val="bottom"/>
          </w:tcPr>
          <w:p>
            <w:pPr>
              <w:jc w:val="right"/>
              <w:ind w:right="27"/>
              <w:spacing w:after="0"/>
              <w:rPr>
                <w:sz w:val="20"/>
                <w:szCs w:val="20"/>
                <w:color w:val="auto"/>
              </w:rPr>
            </w:pPr>
            <w:r>
              <w:rPr>
                <w:rFonts w:ascii="Arial" w:cs="Arial" w:eastAsia="Arial" w:hAnsi="Arial"/>
                <w:sz w:val="11"/>
                <w:szCs w:val="11"/>
                <w:color w:val="auto"/>
              </w:rPr>
              <w:t>(14,000)</w:t>
            </w:r>
          </w:p>
        </w:tc>
        <w:tc>
          <w:tcPr>
            <w:tcW w:w="800" w:type="dxa"/>
            <w:vAlign w:val="bottom"/>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58"/>
        </w:trPr>
        <w:tc>
          <w:tcPr>
            <w:tcW w:w="33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Number of high-risk discharges enrolled in a post-discharge</w:t>
            </w:r>
          </w:p>
        </w:tc>
        <w:tc>
          <w:tcPr>
            <w:tcW w:w="1260" w:type="dxa"/>
            <w:vAlign w:val="bottom"/>
            <w:tcBorders>
              <w:right w:val="single" w:sz="8" w:color="auto"/>
            </w:tcBorders>
            <w:vMerge w:val="restart"/>
          </w:tcPr>
          <w:p>
            <w:pPr>
              <w:jc w:val="right"/>
              <w:ind w:right="87"/>
              <w:spacing w:after="0"/>
              <w:rPr>
                <w:sz w:val="20"/>
                <w:szCs w:val="20"/>
                <w:color w:val="auto"/>
              </w:rPr>
            </w:pPr>
            <w:r>
              <w:rPr>
                <w:rFonts w:ascii="Arial" w:cs="Arial" w:eastAsia="Arial" w:hAnsi="Arial"/>
                <w:sz w:val="11"/>
                <w:szCs w:val="11"/>
                <w:b w:val="1"/>
                <w:bCs w:val="1"/>
                <w:color w:val="00497F"/>
              </w:rPr>
              <w:t>61,500</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3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care management program (N)</w:t>
            </w:r>
          </w:p>
        </w:tc>
        <w:tc>
          <w:tcPr>
            <w:tcW w:w="1260" w:type="dxa"/>
            <w:vAlign w:val="bottom"/>
            <w:tcBorders>
              <w:bottom w:val="single" w:sz="8" w:color="auto"/>
              <w:right w:val="single" w:sz="8" w:color="auto"/>
            </w:tcBorders>
            <w:vMerge w:val="continue"/>
          </w:tcPr>
          <w:p>
            <w:pPr>
              <w:spacing w:after="0"/>
              <w:rPr>
                <w:sz w:val="11"/>
                <w:szCs w:val="11"/>
                <w:color w:val="auto"/>
              </w:rPr>
            </w:pPr>
          </w:p>
        </w:tc>
        <w:tc>
          <w:tcPr>
            <w:tcW w:w="1220" w:type="dxa"/>
            <w:vAlign w:val="bottom"/>
          </w:tcPr>
          <w:p>
            <w:pPr>
              <w:jc w:val="right"/>
              <w:ind w:right="47"/>
              <w:spacing w:after="0"/>
              <w:rPr>
                <w:sz w:val="20"/>
                <w:szCs w:val="20"/>
                <w:color w:val="auto"/>
              </w:rPr>
            </w:pPr>
            <w:r>
              <w:rPr>
                <w:rFonts w:ascii="Arial" w:cs="Arial" w:eastAsia="Arial" w:hAnsi="Arial"/>
                <w:sz w:val="11"/>
                <w:szCs w:val="11"/>
                <w:color w:val="auto"/>
              </w:rPr>
              <w:t>64,000</w:t>
            </w:r>
          </w:p>
        </w:tc>
        <w:tc>
          <w:tcPr>
            <w:tcW w:w="120" w:type="dxa"/>
            <w:vAlign w:val="bottom"/>
          </w:tcPr>
          <w:p>
            <w:pPr>
              <w:spacing w:after="0"/>
              <w:rPr>
                <w:sz w:val="11"/>
                <w:szCs w:val="11"/>
                <w:color w:val="auto"/>
              </w:rPr>
            </w:pPr>
          </w:p>
        </w:tc>
        <w:tc>
          <w:tcPr>
            <w:tcW w:w="1240" w:type="dxa"/>
            <w:vAlign w:val="bottom"/>
          </w:tcPr>
          <w:p>
            <w:pPr>
              <w:jc w:val="right"/>
              <w:ind w:right="7"/>
              <w:spacing w:after="0"/>
              <w:rPr>
                <w:sz w:val="20"/>
                <w:szCs w:val="20"/>
                <w:color w:val="auto"/>
              </w:rPr>
            </w:pPr>
            <w:r>
              <w:rPr>
                <w:rFonts w:ascii="Arial" w:cs="Arial" w:eastAsia="Arial" w:hAnsi="Arial"/>
                <w:sz w:val="11"/>
                <w:szCs w:val="11"/>
                <w:color w:val="auto"/>
              </w:rPr>
              <w:t>(2,500)</w:t>
            </w:r>
          </w:p>
        </w:tc>
        <w:tc>
          <w:tcPr>
            <w:tcW w:w="840" w:type="dxa"/>
            <w:vAlign w:val="bottom"/>
          </w:tcPr>
          <w:p>
            <w:pPr>
              <w:jc w:val="right"/>
              <w:spacing w:after="0"/>
              <w:rPr>
                <w:sz w:val="20"/>
                <w:szCs w:val="20"/>
                <w:color w:val="auto"/>
              </w:rPr>
            </w:pPr>
            <w:r>
              <w:rPr>
                <w:rFonts w:ascii="Arial" w:cs="Arial" w:eastAsia="Arial" w:hAnsi="Arial"/>
                <w:sz w:val="11"/>
                <w:szCs w:val="11"/>
                <w:color w:val="auto"/>
              </w:rPr>
              <w:t>-3.9 %</w:t>
            </w:r>
          </w:p>
        </w:tc>
        <w:tc>
          <w:tcPr>
            <w:tcW w:w="1260" w:type="dxa"/>
            <w:vAlign w:val="bottom"/>
          </w:tcPr>
          <w:p>
            <w:pPr>
              <w:jc w:val="right"/>
              <w:ind w:right="47"/>
              <w:spacing w:after="0"/>
              <w:rPr>
                <w:sz w:val="20"/>
                <w:szCs w:val="20"/>
                <w:color w:val="auto"/>
              </w:rPr>
            </w:pPr>
            <w:r>
              <w:rPr>
                <w:rFonts w:ascii="Arial" w:cs="Arial" w:eastAsia="Arial" w:hAnsi="Arial"/>
                <w:sz w:val="11"/>
                <w:szCs w:val="11"/>
                <w:color w:val="auto"/>
              </w:rPr>
              <w:t>68,100</w:t>
            </w:r>
          </w:p>
        </w:tc>
        <w:tc>
          <w:tcPr>
            <w:tcW w:w="100" w:type="dxa"/>
            <w:vAlign w:val="bottom"/>
          </w:tcPr>
          <w:p>
            <w:pPr>
              <w:spacing w:after="0"/>
              <w:rPr>
                <w:sz w:val="11"/>
                <w:szCs w:val="11"/>
                <w:color w:val="auto"/>
              </w:rPr>
            </w:pPr>
          </w:p>
        </w:tc>
        <w:tc>
          <w:tcPr>
            <w:tcW w:w="1260" w:type="dxa"/>
            <w:vAlign w:val="bottom"/>
          </w:tcPr>
          <w:p>
            <w:pPr>
              <w:jc w:val="right"/>
              <w:ind w:right="27"/>
              <w:spacing w:after="0"/>
              <w:rPr>
                <w:sz w:val="20"/>
                <w:szCs w:val="20"/>
                <w:color w:val="auto"/>
              </w:rPr>
            </w:pPr>
            <w:r>
              <w:rPr>
                <w:rFonts w:ascii="Arial" w:cs="Arial" w:eastAsia="Arial" w:hAnsi="Arial"/>
                <w:sz w:val="11"/>
                <w:szCs w:val="11"/>
                <w:color w:val="auto"/>
              </w:rPr>
              <w:t>(6,600)</w:t>
            </w:r>
          </w:p>
        </w:tc>
        <w:tc>
          <w:tcPr>
            <w:tcW w:w="800" w:type="dxa"/>
            <w:vAlign w:val="bottom"/>
          </w:tcPr>
          <w:p>
            <w:pPr>
              <w:jc w:val="right"/>
              <w:spacing w:after="0"/>
              <w:rPr>
                <w:sz w:val="20"/>
                <w:szCs w:val="20"/>
                <w:color w:val="auto"/>
              </w:rPr>
            </w:pPr>
            <w:r>
              <w:rPr>
                <w:rFonts w:ascii="Arial" w:cs="Arial" w:eastAsia="Arial" w:hAnsi="Arial"/>
                <w:sz w:val="11"/>
                <w:szCs w:val="11"/>
                <w:color w:val="auto"/>
              </w:rPr>
              <w:t>-9.7 %</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S-15</w:t>
      </w:r>
    </w:p>
    <w:p>
      <w:pPr>
        <w:sectPr>
          <w:pgSz w:w="11900" w:h="16838" w:orient="portrait"/>
          <w:cols w:equalWidth="0" w:num="1">
            <w:col w:w="11440"/>
          </w:cols>
          <w:pgMar w:left="220" w:top="438"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Healthcare Services Segment Metrics (Continued)</w:t>
      </w:r>
    </w:p>
    <w:p>
      <w:pPr>
        <w:sectPr>
          <w:pgSz w:w="11900" w:h="16838" w:orient="portrait"/>
          <w:cols w:equalWidth="0" w:num="1">
            <w:col w:w="11480"/>
          </w:cols>
          <w:pgMar w:left="220" w:top="438" w:right="19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Script volume in thousands</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Pharmacy:</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Generic Dispense Rate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Retail</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Group and Specialty</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Mail-Order Penetration</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Retail</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Group and Specialty</w:t>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Script volume (O)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2"/>
        </w:trPr>
        <w:tc>
          <w:tcPr>
            <w:tcW w:w="1840" w:type="dxa"/>
            <w:vAlign w:val="bottom"/>
            <w:tcBorders>
              <w:top w:val="single" w:sz="8" w:color="auto"/>
              <w:left w:val="single" w:sz="8" w:color="auto"/>
              <w:right w:val="single" w:sz="8" w:color="auto"/>
            </w:tcBorders>
          </w:tcPr>
          <w:p>
            <w:pPr>
              <w:jc w:val="right"/>
              <w:ind w:right="166"/>
              <w:spacing w:after="0"/>
              <w:rPr>
                <w:sz w:val="20"/>
                <w:szCs w:val="20"/>
                <w:color w:val="auto"/>
              </w:rPr>
            </w:pPr>
            <w:r>
              <w:rPr>
                <w:rFonts w:ascii="Arial" w:cs="Arial" w:eastAsia="Arial" w:hAnsi="Arial"/>
                <w:sz w:val="11"/>
                <w:szCs w:val="11"/>
                <w:b w:val="1"/>
                <w:bCs w:val="1"/>
                <w:color w:val="366092"/>
              </w:rPr>
              <w:t>For the three months ended</w:t>
            </w:r>
          </w:p>
        </w:tc>
        <w:tc>
          <w:tcPr>
            <w:tcW w:w="204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For the three months ended</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Year-over-Year</w:t>
            </w:r>
          </w:p>
        </w:tc>
        <w:tc>
          <w:tcPr>
            <w:tcW w:w="9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For the three months ended</w:t>
            </w:r>
          </w:p>
        </w:tc>
        <w:tc>
          <w:tcPr>
            <w:tcW w:w="960" w:type="dxa"/>
            <w:vAlign w:val="bottom"/>
          </w:tcPr>
          <w:p>
            <w:pPr>
              <w:jc w:val="center"/>
              <w:spacing w:after="0"/>
              <w:rPr>
                <w:sz w:val="20"/>
                <w:szCs w:val="20"/>
                <w:color w:val="auto"/>
              </w:rPr>
            </w:pPr>
            <w:r>
              <w:rPr>
                <w:rFonts w:ascii="Arial" w:cs="Arial" w:eastAsia="Arial" w:hAnsi="Arial"/>
                <w:sz w:val="11"/>
                <w:szCs w:val="11"/>
                <w:color w:val="auto"/>
                <w:w w:val="99"/>
              </w:rPr>
              <w:t>Sequential</w:t>
            </w:r>
          </w:p>
        </w:tc>
        <w:tc>
          <w:tcPr>
            <w:tcW w:w="920" w:type="dxa"/>
            <w:vAlign w:val="bottom"/>
          </w:tcPr>
          <w:p>
            <w:pPr>
              <w:spacing w:after="0"/>
              <w:rPr>
                <w:sz w:val="12"/>
                <w:szCs w:val="12"/>
                <w:color w:val="auto"/>
              </w:rPr>
            </w:pPr>
          </w:p>
        </w:tc>
      </w:tr>
      <w:tr>
        <w:trPr>
          <w:trHeight w:val="148"/>
        </w:trPr>
        <w:tc>
          <w:tcPr>
            <w:tcW w:w="1840" w:type="dxa"/>
            <w:vAlign w:val="bottom"/>
            <w:tcBorders>
              <w:left w:val="single" w:sz="8" w:color="auto"/>
              <w:right w:val="single" w:sz="8" w:color="auto"/>
            </w:tcBorders>
          </w:tcPr>
          <w:p>
            <w:pPr>
              <w:jc w:val="right"/>
              <w:ind w:right="386"/>
              <w:spacing w:after="0"/>
              <w:rPr>
                <w:sz w:val="20"/>
                <w:szCs w:val="20"/>
                <w:color w:val="auto"/>
              </w:rPr>
            </w:pPr>
            <w:r>
              <w:rPr>
                <w:rFonts w:ascii="Arial" w:cs="Arial" w:eastAsia="Arial" w:hAnsi="Arial"/>
                <w:sz w:val="11"/>
                <w:szCs w:val="11"/>
                <w:b w:val="1"/>
                <w:bCs w:val="1"/>
                <w:color w:val="366092"/>
              </w:rPr>
              <w:t>December 31, 2019</w:t>
            </w:r>
          </w:p>
        </w:tc>
        <w:tc>
          <w:tcPr>
            <w:tcW w:w="204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December 31, 2018</w:t>
            </w:r>
          </w:p>
        </w:tc>
        <w:tc>
          <w:tcPr>
            <w:tcW w:w="960" w:type="dxa"/>
            <w:vAlign w:val="bottom"/>
          </w:tcPr>
          <w:p>
            <w:pPr>
              <w:jc w:val="center"/>
              <w:spacing w:after="0"/>
              <w:rPr>
                <w:sz w:val="20"/>
                <w:szCs w:val="20"/>
                <w:color w:val="auto"/>
              </w:rPr>
            </w:pPr>
            <w:r>
              <w:rPr>
                <w:rFonts w:ascii="Arial" w:cs="Arial" w:eastAsia="Arial" w:hAnsi="Arial"/>
                <w:sz w:val="11"/>
                <w:szCs w:val="11"/>
                <w:color w:val="auto"/>
                <w:w w:val="99"/>
              </w:rPr>
              <w:t>Difference</w:t>
            </w:r>
          </w:p>
        </w:tc>
        <w:tc>
          <w:tcPr>
            <w:tcW w:w="900" w:type="dxa"/>
            <w:vAlign w:val="bottom"/>
          </w:tcPr>
          <w:p>
            <w:pPr>
              <w:spacing w:after="0"/>
              <w:rPr>
                <w:sz w:val="12"/>
                <w:szCs w:val="12"/>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1"/>
                <w:szCs w:val="11"/>
                <w:color w:val="auto"/>
                <w:w w:val="98"/>
              </w:rPr>
              <w:t>September 30, 2019</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Difference</w:t>
            </w:r>
          </w:p>
        </w:tc>
        <w:tc>
          <w:tcPr>
            <w:tcW w:w="920" w:type="dxa"/>
            <w:vAlign w:val="bottom"/>
          </w:tcPr>
          <w:p>
            <w:pPr>
              <w:spacing w:after="0"/>
              <w:rPr>
                <w:sz w:val="12"/>
                <w:szCs w:val="12"/>
                <w:color w:val="auto"/>
              </w:rPr>
            </w:pPr>
          </w:p>
        </w:tc>
      </w:tr>
      <w:tr>
        <w:trPr>
          <w:trHeight w:val="523"/>
        </w:trPr>
        <w:tc>
          <w:tcPr>
            <w:tcW w:w="184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91.8%</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91.6%</w:t>
            </w:r>
          </w:p>
        </w:tc>
        <w:tc>
          <w:tcPr>
            <w:tcW w:w="12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0.2 %</w:t>
            </w:r>
          </w:p>
        </w:tc>
        <w:tc>
          <w:tcPr>
            <w:tcW w:w="900" w:type="dxa"/>
            <w:vAlign w:val="bottom"/>
          </w:tcPr>
          <w:p>
            <w:pPr>
              <w:spacing w:after="0"/>
              <w:rPr>
                <w:sz w:val="24"/>
                <w:szCs w:val="24"/>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91.7%</w:t>
            </w:r>
          </w:p>
        </w:tc>
        <w:tc>
          <w:tcPr>
            <w:tcW w:w="10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0.1 %</w:t>
            </w:r>
          </w:p>
        </w:tc>
        <w:tc>
          <w:tcPr>
            <w:tcW w:w="920" w:type="dxa"/>
            <w:vAlign w:val="bottom"/>
          </w:tcPr>
          <w:p>
            <w:pPr>
              <w:spacing w:after="0"/>
              <w:rPr>
                <w:sz w:val="24"/>
                <w:szCs w:val="24"/>
                <w:color w:val="auto"/>
              </w:rPr>
            </w:pPr>
          </w:p>
        </w:tc>
      </w:tr>
      <w:tr>
        <w:trPr>
          <w:trHeight w:val="180"/>
        </w:trPr>
        <w:tc>
          <w:tcPr>
            <w:tcW w:w="1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87.1%</w:t>
            </w:r>
          </w:p>
        </w:tc>
        <w:tc>
          <w:tcPr>
            <w:tcW w:w="1920" w:type="dxa"/>
            <w:vAlign w:val="bottom"/>
          </w:tcPr>
          <w:p>
            <w:pPr>
              <w:jc w:val="right"/>
              <w:spacing w:after="0"/>
              <w:rPr>
                <w:sz w:val="20"/>
                <w:szCs w:val="20"/>
                <w:color w:val="auto"/>
              </w:rPr>
            </w:pPr>
            <w:r>
              <w:rPr>
                <w:rFonts w:ascii="Arial" w:cs="Arial" w:eastAsia="Arial" w:hAnsi="Arial"/>
                <w:sz w:val="11"/>
                <w:szCs w:val="11"/>
                <w:color w:val="auto"/>
              </w:rPr>
              <w:t>86.6%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0.5 %</w:t>
            </w:r>
          </w:p>
        </w:tc>
        <w:tc>
          <w:tcPr>
            <w:tcW w:w="90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1"/>
                <w:szCs w:val="11"/>
                <w:color w:val="auto"/>
              </w:rPr>
              <w:t>87.3%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-0.2 %</w:t>
            </w:r>
          </w:p>
        </w:tc>
        <w:tc>
          <w:tcPr>
            <w:tcW w:w="920" w:type="dxa"/>
            <w:vAlign w:val="bottom"/>
          </w:tcPr>
          <w:p>
            <w:pPr>
              <w:spacing w:after="0"/>
              <w:rPr>
                <w:sz w:val="15"/>
                <w:szCs w:val="15"/>
                <w:color w:val="auto"/>
              </w:rPr>
            </w:pPr>
          </w:p>
        </w:tc>
      </w:tr>
      <w:tr>
        <w:trPr>
          <w:trHeight w:val="360"/>
        </w:trPr>
        <w:tc>
          <w:tcPr>
            <w:tcW w:w="1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29.2%</w:t>
            </w:r>
          </w:p>
        </w:tc>
        <w:tc>
          <w:tcPr>
            <w:tcW w:w="1920" w:type="dxa"/>
            <w:vAlign w:val="bottom"/>
          </w:tcPr>
          <w:p>
            <w:pPr>
              <w:jc w:val="right"/>
              <w:spacing w:after="0"/>
              <w:rPr>
                <w:sz w:val="20"/>
                <w:szCs w:val="20"/>
                <w:color w:val="auto"/>
              </w:rPr>
            </w:pPr>
            <w:r>
              <w:rPr>
                <w:rFonts w:ascii="Arial" w:cs="Arial" w:eastAsia="Arial" w:hAnsi="Arial"/>
                <w:sz w:val="11"/>
                <w:szCs w:val="11"/>
                <w:color w:val="auto"/>
              </w:rPr>
              <w:t>29.0%</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0.2 %</w:t>
            </w:r>
          </w:p>
        </w:tc>
        <w:tc>
          <w:tcPr>
            <w:tcW w:w="9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1"/>
                <w:szCs w:val="11"/>
                <w:color w:val="auto"/>
              </w:rPr>
              <w:t>28.8%</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0.4 %</w:t>
            </w:r>
          </w:p>
        </w:tc>
        <w:tc>
          <w:tcPr>
            <w:tcW w:w="920" w:type="dxa"/>
            <w:vAlign w:val="bottom"/>
          </w:tcPr>
          <w:p>
            <w:pPr>
              <w:spacing w:after="0"/>
              <w:rPr>
                <w:sz w:val="24"/>
                <w:szCs w:val="24"/>
                <w:color w:val="auto"/>
              </w:rPr>
            </w:pPr>
          </w:p>
        </w:tc>
      </w:tr>
      <w:tr>
        <w:trPr>
          <w:trHeight w:val="180"/>
        </w:trPr>
        <w:tc>
          <w:tcPr>
            <w:tcW w:w="1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6.2%</w:t>
            </w:r>
          </w:p>
        </w:tc>
        <w:tc>
          <w:tcPr>
            <w:tcW w:w="1920" w:type="dxa"/>
            <w:vAlign w:val="bottom"/>
          </w:tcPr>
          <w:p>
            <w:pPr>
              <w:jc w:val="right"/>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-0.1 %</w:t>
            </w:r>
          </w:p>
        </w:tc>
        <w:tc>
          <w:tcPr>
            <w:tcW w:w="90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-0.1 %</w:t>
            </w:r>
          </w:p>
        </w:tc>
        <w:tc>
          <w:tcPr>
            <w:tcW w:w="920" w:type="dxa"/>
            <w:vAlign w:val="bottom"/>
          </w:tcPr>
          <w:p>
            <w:pPr>
              <w:spacing w:after="0"/>
              <w:rPr>
                <w:sz w:val="15"/>
                <w:szCs w:val="15"/>
                <w:color w:val="auto"/>
              </w:rPr>
            </w:pPr>
          </w:p>
        </w:tc>
      </w:tr>
      <w:tr>
        <w:trPr>
          <w:trHeight w:val="357"/>
        </w:trPr>
        <w:tc>
          <w:tcPr>
            <w:tcW w:w="1840" w:type="dxa"/>
            <w:vAlign w:val="bottom"/>
            <w:tcBorders>
              <w:left w:val="single" w:sz="8" w:color="auto"/>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5"/>
              </w:rPr>
              <w:t>Percentage</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99"/>
              </w:rPr>
              <w:t>Percentage</w:t>
            </w:r>
          </w:p>
        </w:tc>
      </w:tr>
      <w:tr>
        <w:trPr>
          <w:trHeight w:val="135"/>
        </w:trPr>
        <w:tc>
          <w:tcPr>
            <w:tcW w:w="1840" w:type="dxa"/>
            <w:vAlign w:val="bottom"/>
            <w:tcBorders>
              <w:left w:val="single" w:sz="8" w:color="auto"/>
              <w:right w:val="single" w:sz="8" w:color="auto"/>
            </w:tcBorders>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Difference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Change</w:t>
            </w: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Difference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Change</w:t>
            </w:r>
          </w:p>
        </w:tc>
      </w:tr>
      <w:tr>
        <w:trPr>
          <w:trHeight w:val="162"/>
        </w:trPr>
        <w:tc>
          <w:tcPr>
            <w:tcW w:w="1840" w:type="dxa"/>
            <w:vAlign w:val="bottom"/>
            <w:tcBorders>
              <w:left w:val="single" w:sz="8" w:color="auto"/>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00497F"/>
              </w:rPr>
              <w:t>117,700</w:t>
            </w:r>
          </w:p>
        </w:tc>
        <w:tc>
          <w:tcPr>
            <w:tcW w:w="1920" w:type="dxa"/>
            <w:vAlign w:val="bottom"/>
          </w:tcPr>
          <w:p>
            <w:pPr>
              <w:jc w:val="right"/>
              <w:ind w:right="46"/>
              <w:spacing w:after="0"/>
              <w:rPr>
                <w:sz w:val="20"/>
                <w:szCs w:val="20"/>
                <w:color w:val="auto"/>
              </w:rPr>
            </w:pPr>
            <w:r>
              <w:rPr>
                <w:rFonts w:ascii="Arial" w:cs="Arial" w:eastAsia="Arial" w:hAnsi="Arial"/>
                <w:sz w:val="11"/>
                <w:szCs w:val="11"/>
                <w:color w:val="auto"/>
              </w:rPr>
              <w:t>112,000</w:t>
            </w:r>
          </w:p>
        </w:tc>
        <w:tc>
          <w:tcPr>
            <w:tcW w:w="1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Arial" w:cs="Arial" w:eastAsia="Arial" w:hAnsi="Arial"/>
                <w:sz w:val="11"/>
                <w:szCs w:val="11"/>
                <w:color w:val="auto"/>
              </w:rPr>
              <w:t>5,700</w:t>
            </w:r>
          </w:p>
        </w:tc>
        <w:tc>
          <w:tcPr>
            <w:tcW w:w="900" w:type="dxa"/>
            <w:vAlign w:val="bottom"/>
          </w:tcPr>
          <w:p>
            <w:pPr>
              <w:jc w:val="right"/>
              <w:spacing w:after="0"/>
              <w:rPr>
                <w:sz w:val="20"/>
                <w:szCs w:val="20"/>
                <w:color w:val="auto"/>
              </w:rPr>
            </w:pPr>
            <w:r>
              <w:rPr>
                <w:rFonts w:ascii="Arial" w:cs="Arial" w:eastAsia="Arial" w:hAnsi="Arial"/>
                <w:sz w:val="11"/>
                <w:szCs w:val="11"/>
                <w:color w:val="auto"/>
              </w:rPr>
              <w:t>5.1%</w:t>
            </w:r>
          </w:p>
        </w:tc>
        <w:tc>
          <w:tcPr>
            <w:tcW w:w="1960" w:type="dxa"/>
            <w:vAlign w:val="bottom"/>
          </w:tcPr>
          <w:p>
            <w:pPr>
              <w:jc w:val="right"/>
              <w:ind w:right="66"/>
              <w:spacing w:after="0"/>
              <w:rPr>
                <w:sz w:val="20"/>
                <w:szCs w:val="20"/>
                <w:color w:val="auto"/>
              </w:rPr>
            </w:pPr>
            <w:r>
              <w:rPr>
                <w:rFonts w:ascii="Arial" w:cs="Arial" w:eastAsia="Arial" w:hAnsi="Arial"/>
                <w:sz w:val="11"/>
                <w:szCs w:val="11"/>
                <w:color w:val="auto"/>
              </w:rPr>
              <w:t>115,500</w:t>
            </w:r>
          </w:p>
        </w:tc>
        <w:tc>
          <w:tcPr>
            <w:tcW w:w="1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Arial" w:cs="Arial" w:eastAsia="Arial" w:hAnsi="Arial"/>
                <w:sz w:val="11"/>
                <w:szCs w:val="11"/>
                <w:color w:val="auto"/>
              </w:rPr>
              <w:t>2,200</w:t>
            </w:r>
          </w:p>
        </w:tc>
        <w:tc>
          <w:tcPr>
            <w:tcW w:w="920" w:type="dxa"/>
            <w:vAlign w:val="bottom"/>
          </w:tcPr>
          <w:p>
            <w:pPr>
              <w:jc w:val="right"/>
              <w:spacing w:after="0"/>
              <w:rPr>
                <w:sz w:val="20"/>
                <w:szCs w:val="20"/>
                <w:color w:val="auto"/>
              </w:rPr>
            </w:pPr>
            <w:r>
              <w:rPr>
                <w:rFonts w:ascii="Arial" w:cs="Arial" w:eastAsia="Arial" w:hAnsi="Arial"/>
                <w:sz w:val="11"/>
                <w:szCs w:val="11"/>
                <w:color w:val="auto"/>
              </w:rPr>
              <w:t>1.9%</w:t>
            </w:r>
          </w:p>
        </w:tc>
      </w:tr>
    </w:tbl>
    <w:p>
      <w:pPr>
        <w:spacing w:after="0" w:line="134" w:lineRule="exact"/>
        <w:rPr>
          <w:sz w:val="20"/>
          <w:szCs w:val="20"/>
          <w:color w:val="auto"/>
        </w:rPr>
      </w:pPr>
    </w:p>
    <w:p>
      <w:pPr>
        <w:sectPr>
          <w:pgSz w:w="11900" w:h="16838" w:orient="portrait"/>
          <w:cols w:equalWidth="0" w:num="2">
            <w:col w:w="1440" w:space="360"/>
            <w:col w:w="9680"/>
          </w:cols>
          <w:pgMar w:left="220" w:top="438" w:right="19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S-16</w:t>
      </w:r>
    </w:p>
    <w:p>
      <w:pPr>
        <w:sectPr>
          <w:pgSz w:w="11900" w:h="16838" w:orient="portrait"/>
          <w:cols w:equalWidth="0" w:num="1">
            <w:col w:w="11480"/>
          </w:cols>
          <w:pgMar w:left="220" w:top="438" w:right="1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Healthcare Services Segment Metrics (Continued)</w:t>
      </w:r>
    </w:p>
    <w:p>
      <w:pPr>
        <w:sectPr>
          <w:pgSz w:w="11900" w:h="16838" w:orient="portrait"/>
          <w:cols w:equalWidth="0" w:num="1">
            <w:col w:w="10239"/>
          </w:cols>
          <w:pgMar w:left="220" w:top="438" w:right="1440"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Script volume in thousands</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Pharmacy:</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Generic Dispense Rate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Retail</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Group and Specialty</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Mail-Order Penetration</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Retail</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Group and Specialty</w:t>
      </w:r>
    </w:p>
    <w:p>
      <w:pPr>
        <w:spacing w:after="0" w:line="348"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Script volume (O)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2"/>
        </w:trPr>
        <w:tc>
          <w:tcPr>
            <w:tcW w:w="1860" w:type="dxa"/>
            <w:vAlign w:val="bottom"/>
            <w:tcBorders>
              <w:top w:val="single" w:sz="8" w:color="auto"/>
              <w:left w:val="single" w:sz="8" w:color="auto"/>
              <w:right w:val="single" w:sz="8" w:color="auto"/>
            </w:tcBorders>
          </w:tcPr>
          <w:p>
            <w:pPr>
              <w:jc w:val="right"/>
              <w:ind w:right="386"/>
              <w:spacing w:after="0"/>
              <w:rPr>
                <w:sz w:val="20"/>
                <w:szCs w:val="20"/>
                <w:color w:val="auto"/>
              </w:rPr>
            </w:pPr>
            <w:r>
              <w:rPr>
                <w:rFonts w:ascii="Arial" w:cs="Arial" w:eastAsia="Arial" w:hAnsi="Arial"/>
                <w:sz w:val="11"/>
                <w:szCs w:val="11"/>
                <w:b w:val="1"/>
                <w:bCs w:val="1"/>
                <w:color w:val="366092"/>
              </w:rPr>
              <w:t>For the year ended</w:t>
            </w:r>
          </w:p>
        </w:tc>
        <w:tc>
          <w:tcPr>
            <w:tcW w:w="1820" w:type="dxa"/>
            <w:vAlign w:val="bottom"/>
            <w:gridSpan w:val="2"/>
          </w:tcPr>
          <w:p>
            <w:pPr>
              <w:ind w:left="420"/>
              <w:spacing w:after="0"/>
              <w:rPr>
                <w:sz w:val="20"/>
                <w:szCs w:val="20"/>
                <w:color w:val="auto"/>
              </w:rPr>
            </w:pPr>
            <w:r>
              <w:rPr>
                <w:rFonts w:ascii="Arial" w:cs="Arial" w:eastAsia="Arial" w:hAnsi="Arial"/>
                <w:sz w:val="11"/>
                <w:szCs w:val="11"/>
                <w:color w:val="auto"/>
              </w:rPr>
              <w:t>For the year ended</w:t>
            </w:r>
          </w:p>
        </w:tc>
        <w:tc>
          <w:tcPr>
            <w:tcW w:w="1100" w:type="dxa"/>
            <w:vAlign w:val="bottom"/>
          </w:tcPr>
          <w:p>
            <w:pPr>
              <w:jc w:val="center"/>
              <w:spacing w:after="0"/>
              <w:rPr>
                <w:sz w:val="20"/>
                <w:szCs w:val="20"/>
                <w:color w:val="auto"/>
              </w:rPr>
            </w:pPr>
            <w:r>
              <w:rPr>
                <w:rFonts w:ascii="Arial" w:cs="Arial" w:eastAsia="Arial" w:hAnsi="Arial"/>
                <w:sz w:val="11"/>
                <w:szCs w:val="11"/>
                <w:color w:val="auto"/>
                <w:w w:val="95"/>
              </w:rPr>
              <w:t>Year-over-Year</w:t>
            </w:r>
          </w:p>
        </w:tc>
        <w:tc>
          <w:tcPr>
            <w:tcW w:w="900" w:type="dxa"/>
            <w:vAlign w:val="bottom"/>
          </w:tcPr>
          <w:p>
            <w:pPr>
              <w:spacing w:after="0"/>
              <w:rPr>
                <w:sz w:val="12"/>
                <w:szCs w:val="12"/>
                <w:color w:val="auto"/>
              </w:rPr>
            </w:pPr>
          </w:p>
        </w:tc>
      </w:tr>
      <w:tr>
        <w:trPr>
          <w:trHeight w:val="148"/>
        </w:trPr>
        <w:tc>
          <w:tcPr>
            <w:tcW w:w="1860" w:type="dxa"/>
            <w:vAlign w:val="bottom"/>
            <w:tcBorders>
              <w:left w:val="single" w:sz="8" w:color="auto"/>
              <w:right w:val="single" w:sz="8" w:color="auto"/>
            </w:tcBorders>
          </w:tcPr>
          <w:p>
            <w:pPr>
              <w:jc w:val="right"/>
              <w:ind w:right="386"/>
              <w:spacing w:after="0"/>
              <w:rPr>
                <w:sz w:val="20"/>
                <w:szCs w:val="20"/>
                <w:color w:val="auto"/>
              </w:rPr>
            </w:pPr>
            <w:r>
              <w:rPr>
                <w:rFonts w:ascii="Arial" w:cs="Arial" w:eastAsia="Arial" w:hAnsi="Arial"/>
                <w:sz w:val="11"/>
                <w:szCs w:val="11"/>
                <w:b w:val="1"/>
                <w:bCs w:val="1"/>
                <w:color w:val="366092"/>
              </w:rPr>
              <w:t>December 31, 2019</w:t>
            </w:r>
          </w:p>
        </w:tc>
        <w:tc>
          <w:tcPr>
            <w:tcW w:w="1820" w:type="dxa"/>
            <w:vAlign w:val="bottom"/>
            <w:gridSpan w:val="2"/>
          </w:tcPr>
          <w:p>
            <w:pPr>
              <w:ind w:left="400"/>
              <w:spacing w:after="0"/>
              <w:rPr>
                <w:sz w:val="20"/>
                <w:szCs w:val="20"/>
                <w:color w:val="auto"/>
              </w:rPr>
            </w:pPr>
            <w:r>
              <w:rPr>
                <w:rFonts w:ascii="Arial" w:cs="Arial" w:eastAsia="Arial" w:hAnsi="Arial"/>
                <w:sz w:val="11"/>
                <w:szCs w:val="11"/>
                <w:color w:val="auto"/>
              </w:rPr>
              <w:t>December 31, 2018</w:t>
            </w:r>
          </w:p>
        </w:tc>
        <w:tc>
          <w:tcPr>
            <w:tcW w:w="1100" w:type="dxa"/>
            <w:vAlign w:val="bottom"/>
          </w:tcPr>
          <w:p>
            <w:pPr>
              <w:jc w:val="center"/>
              <w:spacing w:after="0"/>
              <w:rPr>
                <w:sz w:val="20"/>
                <w:szCs w:val="20"/>
                <w:color w:val="auto"/>
              </w:rPr>
            </w:pPr>
            <w:r>
              <w:rPr>
                <w:rFonts w:ascii="Arial" w:cs="Arial" w:eastAsia="Arial" w:hAnsi="Arial"/>
                <w:sz w:val="11"/>
                <w:szCs w:val="11"/>
                <w:color w:val="auto"/>
                <w:w w:val="95"/>
              </w:rPr>
              <w:t>Difference</w:t>
            </w:r>
          </w:p>
        </w:tc>
        <w:tc>
          <w:tcPr>
            <w:tcW w:w="900" w:type="dxa"/>
            <w:vAlign w:val="bottom"/>
          </w:tcPr>
          <w:p>
            <w:pPr>
              <w:spacing w:after="0"/>
              <w:rPr>
                <w:sz w:val="12"/>
                <w:szCs w:val="12"/>
                <w:color w:val="auto"/>
              </w:rPr>
            </w:pPr>
          </w:p>
        </w:tc>
      </w:tr>
      <w:tr>
        <w:trPr>
          <w:trHeight w:val="523"/>
        </w:trPr>
        <w:tc>
          <w:tcPr>
            <w:tcW w:w="186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91.7%</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91.7%</w:t>
            </w:r>
          </w:p>
        </w:tc>
        <w:tc>
          <w:tcPr>
            <w:tcW w:w="8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900" w:type="dxa"/>
            <w:vAlign w:val="bottom"/>
          </w:tcPr>
          <w:p>
            <w:pPr>
              <w:spacing w:after="0"/>
              <w:rPr>
                <w:sz w:val="24"/>
                <w:szCs w:val="24"/>
                <w:color w:val="auto"/>
              </w:rPr>
            </w:pPr>
          </w:p>
        </w:tc>
      </w:tr>
      <w:tr>
        <w:trPr>
          <w:trHeight w:val="180"/>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87.4%</w:t>
            </w:r>
          </w:p>
        </w:tc>
        <w:tc>
          <w:tcPr>
            <w:tcW w:w="1740" w:type="dxa"/>
            <w:vAlign w:val="bottom"/>
          </w:tcPr>
          <w:p>
            <w:pPr>
              <w:jc w:val="right"/>
              <w:spacing w:after="0"/>
              <w:rPr>
                <w:sz w:val="20"/>
                <w:szCs w:val="20"/>
                <w:color w:val="auto"/>
              </w:rPr>
            </w:pPr>
            <w:r>
              <w:rPr>
                <w:rFonts w:ascii="Arial" w:cs="Arial" w:eastAsia="Arial" w:hAnsi="Arial"/>
                <w:sz w:val="11"/>
                <w:szCs w:val="11"/>
                <w:color w:val="auto"/>
              </w:rPr>
              <w:t>87.0%</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0.4 %</w:t>
            </w:r>
          </w:p>
        </w:tc>
        <w:tc>
          <w:tcPr>
            <w:tcW w:w="900" w:type="dxa"/>
            <w:vAlign w:val="bottom"/>
          </w:tcPr>
          <w:p>
            <w:pPr>
              <w:spacing w:after="0"/>
              <w:rPr>
                <w:sz w:val="15"/>
                <w:szCs w:val="15"/>
                <w:color w:val="auto"/>
              </w:rPr>
            </w:pPr>
          </w:p>
        </w:tc>
      </w:tr>
      <w:tr>
        <w:trPr>
          <w:trHeight w:val="360"/>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28.8%</w:t>
            </w:r>
          </w:p>
        </w:tc>
        <w:tc>
          <w:tcPr>
            <w:tcW w:w="1740" w:type="dxa"/>
            <w:vAlign w:val="bottom"/>
          </w:tcPr>
          <w:p>
            <w:pPr>
              <w:jc w:val="right"/>
              <w:spacing w:after="0"/>
              <w:rPr>
                <w:sz w:val="20"/>
                <w:szCs w:val="20"/>
                <w:color w:val="auto"/>
              </w:rPr>
            </w:pPr>
            <w:r>
              <w:rPr>
                <w:rFonts w:ascii="Arial" w:cs="Arial" w:eastAsia="Arial" w:hAnsi="Arial"/>
                <w:sz w:val="11"/>
                <w:szCs w:val="11"/>
                <w:color w:val="auto"/>
              </w:rPr>
              <w:t>29.4%</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-0.6 %</w:t>
            </w:r>
          </w:p>
        </w:tc>
        <w:tc>
          <w:tcPr>
            <w:tcW w:w="900" w:type="dxa"/>
            <w:vAlign w:val="bottom"/>
          </w:tcPr>
          <w:p>
            <w:pPr>
              <w:spacing w:after="0"/>
              <w:rPr>
                <w:sz w:val="24"/>
                <w:szCs w:val="24"/>
                <w:color w:val="auto"/>
              </w:rPr>
            </w:pPr>
          </w:p>
        </w:tc>
      </w:tr>
      <w:tr>
        <w:trPr>
          <w:trHeight w:val="180"/>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6.3%</w:t>
            </w:r>
          </w:p>
        </w:tc>
        <w:tc>
          <w:tcPr>
            <w:tcW w:w="174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-0.1 %</w:t>
            </w:r>
          </w:p>
        </w:tc>
        <w:tc>
          <w:tcPr>
            <w:tcW w:w="900" w:type="dxa"/>
            <w:vAlign w:val="bottom"/>
          </w:tcPr>
          <w:p>
            <w:pPr>
              <w:spacing w:after="0"/>
              <w:rPr>
                <w:sz w:val="15"/>
                <w:szCs w:val="15"/>
                <w:color w:val="auto"/>
              </w:rPr>
            </w:pPr>
          </w:p>
        </w:tc>
      </w:tr>
      <w:tr>
        <w:trPr>
          <w:trHeight w:val="158"/>
        </w:trPr>
        <w:tc>
          <w:tcPr>
            <w:tcW w:w="1860" w:type="dxa"/>
            <w:vAlign w:val="bottom"/>
            <w:tcBorders>
              <w:left w:val="single" w:sz="8" w:color="auto"/>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9"/>
              </w:rPr>
              <w:t>Percentage</w:t>
            </w:r>
          </w:p>
        </w:tc>
      </w:tr>
      <w:tr>
        <w:trPr>
          <w:trHeight w:val="135"/>
        </w:trPr>
        <w:tc>
          <w:tcPr>
            <w:tcW w:w="1860" w:type="dxa"/>
            <w:vAlign w:val="bottom"/>
            <w:tcBorders>
              <w:left w:val="single" w:sz="8" w:color="auto"/>
              <w:right w:val="single" w:sz="8" w:color="auto"/>
            </w:tcBorders>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Difference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Change</w:t>
            </w:r>
          </w:p>
        </w:tc>
      </w:tr>
      <w:tr>
        <w:trPr>
          <w:trHeight w:val="162"/>
        </w:trPr>
        <w:tc>
          <w:tcPr>
            <w:tcW w:w="1860" w:type="dxa"/>
            <w:vAlign w:val="bottom"/>
            <w:tcBorders>
              <w:left w:val="single" w:sz="8" w:color="auto"/>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456,300</w:t>
            </w:r>
          </w:p>
        </w:tc>
        <w:tc>
          <w:tcPr>
            <w:tcW w:w="1740" w:type="dxa"/>
            <w:vAlign w:val="bottom"/>
          </w:tcPr>
          <w:p>
            <w:pPr>
              <w:jc w:val="right"/>
              <w:ind w:right="66"/>
              <w:spacing w:after="0"/>
              <w:rPr>
                <w:sz w:val="20"/>
                <w:szCs w:val="20"/>
                <w:color w:val="auto"/>
              </w:rPr>
            </w:pPr>
            <w:r>
              <w:rPr>
                <w:rFonts w:ascii="Arial" w:cs="Arial" w:eastAsia="Arial" w:hAnsi="Arial"/>
                <w:sz w:val="11"/>
                <w:szCs w:val="11"/>
                <w:color w:val="auto"/>
              </w:rPr>
              <w:t>440,100</w:t>
            </w:r>
          </w:p>
        </w:tc>
        <w:tc>
          <w:tcPr>
            <w:tcW w:w="8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Arial" w:cs="Arial" w:eastAsia="Arial" w:hAnsi="Arial"/>
                <w:sz w:val="11"/>
                <w:szCs w:val="11"/>
                <w:color w:val="auto"/>
              </w:rPr>
              <w:t>16,200</w:t>
            </w:r>
          </w:p>
        </w:tc>
        <w:tc>
          <w:tcPr>
            <w:tcW w:w="900" w:type="dxa"/>
            <w:vAlign w:val="bottom"/>
          </w:tcPr>
          <w:p>
            <w:pPr>
              <w:jc w:val="right"/>
              <w:spacing w:after="0"/>
              <w:rPr>
                <w:sz w:val="20"/>
                <w:szCs w:val="20"/>
                <w:color w:val="auto"/>
              </w:rPr>
            </w:pPr>
            <w:r>
              <w:rPr>
                <w:rFonts w:ascii="Arial" w:cs="Arial" w:eastAsia="Arial" w:hAnsi="Arial"/>
                <w:sz w:val="11"/>
                <w:szCs w:val="11"/>
                <w:color w:val="auto"/>
              </w:rPr>
              <w:t>3.7%</w:t>
            </w:r>
          </w:p>
        </w:tc>
      </w:tr>
    </w:tbl>
    <w:p>
      <w:pPr>
        <w:spacing w:after="0" w:line="134" w:lineRule="exact"/>
        <w:rPr>
          <w:sz w:val="20"/>
          <w:szCs w:val="20"/>
          <w:color w:val="auto"/>
        </w:rPr>
      </w:pPr>
    </w:p>
    <w:p>
      <w:pPr>
        <w:sectPr>
          <w:pgSz w:w="11900" w:h="16838" w:orient="portrait"/>
          <w:cols w:equalWidth="0" w:num="2">
            <w:col w:w="2340" w:space="720"/>
            <w:col w:w="7179"/>
          </w:cols>
          <w:pgMar w:left="220" w:top="438" w:right="1440" w:bottom="1440" w:gutter="0" w:footer="0" w:header="0"/>
          <w:type w:val="continuous"/>
        </w:sectPr>
      </w:pPr>
    </w:p>
    <w:p>
      <w:pPr>
        <w:ind w:left="5600"/>
        <w:spacing w:after="0"/>
        <w:rPr>
          <w:sz w:val="20"/>
          <w:szCs w:val="20"/>
          <w:color w:val="auto"/>
        </w:rPr>
      </w:pPr>
      <w:r>
        <w:rPr>
          <w:rFonts w:ascii="Arial" w:cs="Arial" w:eastAsia="Arial" w:hAnsi="Arial"/>
          <w:sz w:val="12"/>
          <w:szCs w:val="12"/>
          <w:color w:val="auto"/>
        </w:rPr>
        <w:t>S-17</w:t>
      </w:r>
    </w:p>
    <w:p>
      <w:pPr>
        <w:sectPr>
          <w:pgSz w:w="11900" w:h="16838" w:orient="portrait"/>
          <w:cols w:equalWidth="0" w:num="1">
            <w:col w:w="10239"/>
          </w:cols>
          <w:pgMar w:left="220" w:top="438"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Detail of Benefits Payable Balance and Year-to-Date Changes</w:t>
      </w:r>
    </w:p>
    <w:p>
      <w:pPr>
        <w:sectPr>
          <w:pgSz w:w="11900" w:h="16838" w:orient="portrait"/>
          <w:cols w:equalWidth="0" w:num="1">
            <w:col w:w="10239"/>
          </w:cols>
          <w:pgMar w:left="220" w:top="438" w:right="1440"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Dollars in millions</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Year-to-date changes in benefits payable, excluding military services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Balances at January 1</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Less: Reinsurance recoverables (P)</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Beginning balance, net of reinsurance recoverable</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Incurred related to:</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Current year</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Prior years (Q)</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Total incurred</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Paid related to:</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Current year</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Prior years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Total paid</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Reinsurance recoverables (P)</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Ending balance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2"/>
        </w:trPr>
        <w:tc>
          <w:tcPr>
            <w:tcW w:w="1780" w:type="dxa"/>
            <w:vAlign w:val="bottom"/>
            <w:tcBorders>
              <w:top w:val="single" w:sz="8" w:color="auto"/>
              <w:left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For the year ended</w:t>
            </w:r>
          </w:p>
        </w:tc>
        <w:tc>
          <w:tcPr>
            <w:tcW w:w="1760" w:type="dxa"/>
            <w:vAlign w:val="bottom"/>
            <w:tcBorders>
              <w:top w:val="single" w:sz="8" w:color="auto"/>
              <w:right w:val="single" w:sz="8" w:color="auto"/>
            </w:tcBorders>
          </w:tcPr>
          <w:p>
            <w:pPr>
              <w:jc w:val="right"/>
              <w:ind w:right="206"/>
              <w:spacing w:after="0"/>
              <w:rPr>
                <w:sz w:val="20"/>
                <w:szCs w:val="20"/>
                <w:color w:val="auto"/>
              </w:rPr>
            </w:pPr>
            <w:r>
              <w:rPr>
                <w:rFonts w:ascii="Arial" w:cs="Arial" w:eastAsia="Arial" w:hAnsi="Arial"/>
                <w:sz w:val="11"/>
                <w:szCs w:val="11"/>
                <w:color w:val="auto"/>
              </w:rPr>
              <w:t>For the nine months ended</w:t>
            </w:r>
          </w:p>
        </w:tc>
        <w:tc>
          <w:tcPr>
            <w:tcW w:w="1720" w:type="dxa"/>
            <w:vAlign w:val="bottom"/>
            <w:tcBorders>
              <w:top w:val="single" w:sz="8" w:color="auto"/>
              <w:right w:val="single" w:sz="8" w:color="auto"/>
            </w:tcBorders>
          </w:tcPr>
          <w:p>
            <w:pPr>
              <w:jc w:val="right"/>
              <w:ind w:right="366"/>
              <w:spacing w:after="0"/>
              <w:rPr>
                <w:sz w:val="20"/>
                <w:szCs w:val="20"/>
                <w:color w:val="auto"/>
              </w:rPr>
            </w:pPr>
            <w:r>
              <w:rPr>
                <w:rFonts w:ascii="Arial" w:cs="Arial" w:eastAsia="Arial" w:hAnsi="Arial"/>
                <w:sz w:val="11"/>
                <w:szCs w:val="11"/>
                <w:color w:val="auto"/>
              </w:rPr>
              <w:t>For the year ended</w:t>
            </w:r>
          </w:p>
        </w:tc>
      </w:tr>
      <w:tr>
        <w:trPr>
          <w:trHeight w:val="148"/>
        </w:trPr>
        <w:tc>
          <w:tcPr>
            <w:tcW w:w="1780" w:type="dxa"/>
            <w:vAlign w:val="bottom"/>
            <w:tcBorders>
              <w:left w:val="single" w:sz="8" w:color="auto"/>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December 31, 2019</w:t>
            </w:r>
          </w:p>
        </w:tc>
        <w:tc>
          <w:tcPr>
            <w:tcW w:w="176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color w:val="auto"/>
              </w:rPr>
              <w:t>September 30, 2019</w:t>
            </w:r>
          </w:p>
        </w:tc>
        <w:tc>
          <w:tcPr>
            <w:tcW w:w="1720" w:type="dxa"/>
            <w:vAlign w:val="bottom"/>
            <w:tcBorders>
              <w:bottom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December 31, 2018</w:t>
            </w:r>
          </w:p>
        </w:tc>
      </w:tr>
      <w:tr>
        <w:trPr>
          <w:trHeight w:val="343"/>
        </w:trPr>
        <w:tc>
          <w:tcPr>
            <w:tcW w:w="1780" w:type="dxa"/>
            <w:vAlign w:val="bottom"/>
            <w:tcBorders>
              <w:left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$4,862</w:t>
            </w:r>
          </w:p>
        </w:tc>
        <w:tc>
          <w:tcPr>
            <w:tcW w:w="17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$4,862</w:t>
            </w:r>
          </w:p>
        </w:tc>
        <w:tc>
          <w:tcPr>
            <w:tcW w:w="17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$4,668</w:t>
            </w:r>
          </w:p>
        </w:tc>
      </w:tr>
      <w:tr>
        <w:trPr>
          <w:trHeight w:val="169"/>
        </w:trPr>
        <w:tc>
          <w:tcPr>
            <w:tcW w:w="1780" w:type="dxa"/>
            <w:vAlign w:val="bottom"/>
            <w:tcBorders>
              <w:left w:val="single" w:sz="8" w:color="auto"/>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(95)</w:t>
            </w:r>
          </w:p>
        </w:tc>
        <w:tc>
          <w:tcPr>
            <w:tcW w:w="17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(95)</w:t>
            </w:r>
          </w:p>
        </w:tc>
        <w:tc>
          <w:tcPr>
            <w:tcW w:w="17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(70)</w:t>
            </w:r>
          </w:p>
        </w:tc>
      </w:tr>
      <w:tr>
        <w:trPr>
          <w:trHeight w:val="145"/>
        </w:trPr>
        <w:tc>
          <w:tcPr>
            <w:tcW w:w="1780" w:type="dxa"/>
            <w:vAlign w:val="bottom"/>
            <w:tcBorders>
              <w:left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4,767</w:t>
            </w:r>
          </w:p>
        </w:tc>
        <w:tc>
          <w:tcPr>
            <w:tcW w:w="17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4,767</w:t>
            </w:r>
          </w:p>
        </w:tc>
        <w:tc>
          <w:tcPr>
            <w:tcW w:w="17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4,598</w:t>
            </w:r>
          </w:p>
        </w:tc>
      </w:tr>
      <w:tr>
        <w:trPr>
          <w:trHeight w:val="342"/>
        </w:trPr>
        <w:tc>
          <w:tcPr>
            <w:tcW w:w="1780" w:type="dxa"/>
            <w:vAlign w:val="bottom"/>
            <w:tcBorders>
              <w:left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54,193</w:t>
            </w:r>
          </w:p>
        </w:tc>
        <w:tc>
          <w:tcPr>
            <w:tcW w:w="17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40,499</w:t>
            </w:r>
          </w:p>
        </w:tc>
        <w:tc>
          <w:tcPr>
            <w:tcW w:w="17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46,385</w:t>
            </w:r>
          </w:p>
        </w:tc>
      </w:tr>
      <w:tr>
        <w:trPr>
          <w:trHeight w:val="169"/>
        </w:trPr>
        <w:tc>
          <w:tcPr>
            <w:tcW w:w="1780" w:type="dxa"/>
            <w:vAlign w:val="bottom"/>
            <w:tcBorders>
              <w:left w:val="single" w:sz="8" w:color="auto"/>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(336)</w:t>
            </w:r>
          </w:p>
        </w:tc>
        <w:tc>
          <w:tcPr>
            <w:tcW w:w="17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(331)</w:t>
            </w:r>
          </w:p>
        </w:tc>
        <w:tc>
          <w:tcPr>
            <w:tcW w:w="17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(503)</w:t>
            </w:r>
          </w:p>
        </w:tc>
      </w:tr>
      <w:tr>
        <w:trPr>
          <w:trHeight w:val="151"/>
        </w:trPr>
        <w:tc>
          <w:tcPr>
            <w:tcW w:w="1780" w:type="dxa"/>
            <w:vAlign w:val="bottom"/>
            <w:tcBorders>
              <w:left w:val="single" w:sz="8" w:color="auto"/>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53,857</w:t>
            </w:r>
          </w:p>
        </w:tc>
        <w:tc>
          <w:tcPr>
            <w:tcW w:w="176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40,168</w:t>
            </w:r>
          </w:p>
        </w:tc>
        <w:tc>
          <w:tcPr>
            <w:tcW w:w="17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45,882</w:t>
            </w:r>
          </w:p>
        </w:tc>
      </w:tr>
      <w:tr>
        <w:trPr>
          <w:trHeight w:val="325"/>
        </w:trPr>
        <w:tc>
          <w:tcPr>
            <w:tcW w:w="1780" w:type="dxa"/>
            <w:vAlign w:val="bottom"/>
            <w:tcBorders>
              <w:left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(48,421)</w:t>
            </w:r>
          </w:p>
        </w:tc>
        <w:tc>
          <w:tcPr>
            <w:tcW w:w="176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(34,625)</w:t>
            </w:r>
          </w:p>
        </w:tc>
        <w:tc>
          <w:tcPr>
            <w:tcW w:w="17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(41,736)</w:t>
            </w:r>
          </w:p>
        </w:tc>
      </w:tr>
      <w:tr>
        <w:trPr>
          <w:trHeight w:val="169"/>
        </w:trPr>
        <w:tc>
          <w:tcPr>
            <w:tcW w:w="1780" w:type="dxa"/>
            <w:vAlign w:val="bottom"/>
            <w:tcBorders>
              <w:left w:val="single" w:sz="8" w:color="auto"/>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(4,267)</w:t>
            </w:r>
          </w:p>
        </w:tc>
        <w:tc>
          <w:tcPr>
            <w:tcW w:w="17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(4,158)</w:t>
            </w:r>
          </w:p>
        </w:tc>
        <w:tc>
          <w:tcPr>
            <w:tcW w:w="17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(3,977)</w:t>
            </w:r>
          </w:p>
        </w:tc>
      </w:tr>
      <w:tr>
        <w:trPr>
          <w:trHeight w:val="151"/>
        </w:trPr>
        <w:tc>
          <w:tcPr>
            <w:tcW w:w="1780" w:type="dxa"/>
            <w:vAlign w:val="bottom"/>
            <w:tcBorders>
              <w:left w:val="single" w:sz="8" w:color="auto"/>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(52,688)</w:t>
            </w:r>
          </w:p>
        </w:tc>
        <w:tc>
          <w:tcPr>
            <w:tcW w:w="17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(38,783)</w:t>
            </w:r>
          </w:p>
        </w:tc>
        <w:tc>
          <w:tcPr>
            <w:tcW w:w="17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(45,713)</w:t>
            </w:r>
          </w:p>
        </w:tc>
      </w:tr>
      <w:tr>
        <w:trPr>
          <w:trHeight w:val="151"/>
        </w:trPr>
        <w:tc>
          <w:tcPr>
            <w:tcW w:w="1780" w:type="dxa"/>
            <w:vAlign w:val="bottom"/>
            <w:tcBorders>
              <w:left w:val="single" w:sz="8" w:color="auto"/>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68</w:t>
            </w:r>
          </w:p>
        </w:tc>
        <w:tc>
          <w:tcPr>
            <w:tcW w:w="176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68</w:t>
            </w:r>
          </w:p>
        </w:tc>
        <w:tc>
          <w:tcPr>
            <w:tcW w:w="17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95</w:t>
            </w:r>
          </w:p>
        </w:tc>
      </w:tr>
      <w:tr>
        <w:trPr>
          <w:trHeight w:val="194"/>
        </w:trPr>
        <w:tc>
          <w:tcPr>
            <w:tcW w:w="1780" w:type="dxa"/>
            <w:vAlign w:val="bottom"/>
            <w:tcBorders>
              <w:left w:val="single" w:sz="8" w:color="auto"/>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$6,004</w:t>
            </w:r>
          </w:p>
        </w:tc>
        <w:tc>
          <w:tcPr>
            <w:tcW w:w="176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$6,220</w:t>
            </w:r>
          </w:p>
        </w:tc>
        <w:tc>
          <w:tcPr>
            <w:tcW w:w="17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$4,862</w:t>
            </w:r>
          </w:p>
        </w:tc>
      </w:tr>
    </w:tbl>
    <w:p>
      <w:pPr>
        <w:spacing w:after="0" w:line="200" w:lineRule="exact"/>
        <w:rPr>
          <w:sz w:val="20"/>
          <w:szCs w:val="20"/>
          <w:color w:val="auto"/>
        </w:rPr>
      </w:pPr>
    </w:p>
    <w:p>
      <w:pPr>
        <w:sectPr>
          <w:pgSz w:w="11900" w:h="16838" w:orient="portrait"/>
          <w:cols w:equalWidth="0" w:num="2">
            <w:col w:w="3940" w:space="540"/>
            <w:col w:w="5759"/>
          </w:cols>
          <w:pgMar w:left="220" w:top="438" w:right="1440" w:bottom="1440" w:gutter="0" w:footer="0" w:header="0"/>
          <w:type w:val="continuous"/>
        </w:sectPr>
      </w:pPr>
    </w:p>
    <w:p>
      <w:pPr>
        <w:spacing w:after="0" w:line="366"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S-18</w:t>
      </w:r>
    </w:p>
    <w:p>
      <w:pPr>
        <w:sectPr>
          <w:pgSz w:w="11900" w:h="16838" w:orient="portrait"/>
          <w:cols w:equalWidth="0" w:num="1">
            <w:col w:w="10239"/>
          </w:cols>
          <w:pgMar w:left="220" w:top="438"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Benefits Payable Statistics (Continued) (R)</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Days in Claims Payable</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40" w:type="dxa"/>
            <w:vAlign w:val="bottom"/>
          </w:tcPr>
          <w:p>
            <w:pPr>
              <w:jc w:val="center"/>
              <w:ind w:right="164"/>
              <w:spacing w:after="0"/>
              <w:rPr>
                <w:sz w:val="20"/>
                <w:szCs w:val="20"/>
                <w:color w:val="auto"/>
              </w:rPr>
            </w:pPr>
            <w:r>
              <w:rPr>
                <w:rFonts w:ascii="Arial" w:cs="Arial" w:eastAsia="Arial" w:hAnsi="Arial"/>
                <w:sz w:val="12"/>
                <w:szCs w:val="12"/>
                <w:b w:val="1"/>
                <w:bCs w:val="1"/>
                <w:color w:val="auto"/>
                <w:w w:val="98"/>
              </w:rPr>
              <w:t>Days in</w:t>
            </w:r>
          </w:p>
        </w:tc>
        <w:tc>
          <w:tcPr>
            <w:tcW w:w="1320" w:type="dxa"/>
            <w:vAlign w:val="bottom"/>
            <w:gridSpan w:val="2"/>
          </w:tcPr>
          <w:p>
            <w:pPr>
              <w:jc w:val="center"/>
              <w:ind w:right="386"/>
              <w:spacing w:after="0"/>
              <w:rPr>
                <w:sz w:val="20"/>
                <w:szCs w:val="20"/>
                <w:color w:val="auto"/>
              </w:rPr>
            </w:pPr>
            <w:r>
              <w:rPr>
                <w:rFonts w:ascii="Arial" w:cs="Arial" w:eastAsia="Arial" w:hAnsi="Arial"/>
                <w:sz w:val="12"/>
                <w:szCs w:val="12"/>
                <w:b w:val="1"/>
                <w:bCs w:val="1"/>
                <w:color w:val="auto"/>
                <w:w w:val="99"/>
              </w:rPr>
              <w:t>Change</w:t>
            </w: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40" w:type="dxa"/>
            <w:vAlign w:val="bottom"/>
          </w:tcPr>
          <w:p>
            <w:pPr>
              <w:jc w:val="center"/>
              <w:ind w:right="184"/>
              <w:spacing w:after="0" w:line="135" w:lineRule="exact"/>
              <w:rPr>
                <w:sz w:val="20"/>
                <w:szCs w:val="20"/>
                <w:color w:val="auto"/>
              </w:rPr>
            </w:pPr>
            <w:r>
              <w:rPr>
                <w:rFonts w:ascii="Arial" w:cs="Arial" w:eastAsia="Arial" w:hAnsi="Arial"/>
                <w:sz w:val="12"/>
                <w:szCs w:val="12"/>
                <w:b w:val="1"/>
                <w:bCs w:val="1"/>
                <w:color w:val="auto"/>
              </w:rPr>
              <w:t>Claims</w:t>
            </w:r>
          </w:p>
        </w:tc>
        <w:tc>
          <w:tcPr>
            <w:tcW w:w="1320" w:type="dxa"/>
            <w:vAlign w:val="bottom"/>
            <w:gridSpan w:val="2"/>
          </w:tcPr>
          <w:p>
            <w:pPr>
              <w:jc w:val="center"/>
              <w:ind w:right="386"/>
              <w:spacing w:after="0" w:line="135" w:lineRule="exact"/>
              <w:rPr>
                <w:sz w:val="20"/>
                <w:szCs w:val="20"/>
                <w:color w:val="auto"/>
              </w:rPr>
            </w:pPr>
            <w:r>
              <w:rPr>
                <w:rFonts w:ascii="Arial" w:cs="Arial" w:eastAsia="Arial" w:hAnsi="Arial"/>
                <w:sz w:val="12"/>
                <w:szCs w:val="12"/>
                <w:b w:val="1"/>
                <w:bCs w:val="1"/>
                <w:color w:val="auto"/>
              </w:rPr>
              <w:t>Last 4</w:t>
            </w:r>
          </w:p>
        </w:tc>
        <w:tc>
          <w:tcPr>
            <w:tcW w:w="1000" w:type="dxa"/>
            <w:vAlign w:val="bottom"/>
          </w:tcPr>
          <w:p>
            <w:pPr>
              <w:jc w:val="right"/>
              <w:ind w:right="285"/>
              <w:spacing w:after="0" w:line="135" w:lineRule="exact"/>
              <w:rPr>
                <w:sz w:val="20"/>
                <w:szCs w:val="20"/>
                <w:color w:val="auto"/>
              </w:rPr>
            </w:pPr>
            <w:r>
              <w:rPr>
                <w:rFonts w:ascii="Arial" w:cs="Arial" w:eastAsia="Arial" w:hAnsi="Arial"/>
                <w:sz w:val="12"/>
                <w:szCs w:val="12"/>
                <w:b w:val="1"/>
                <w:bCs w:val="1"/>
                <w:color w:val="auto"/>
                <w:w w:val="98"/>
              </w:rPr>
              <w:t>Percentage</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40" w:type="dxa"/>
            <w:vAlign w:val="bottom"/>
          </w:tcPr>
          <w:p>
            <w:pPr>
              <w:ind w:left="1060"/>
              <w:spacing w:after="0"/>
              <w:rPr>
                <w:sz w:val="20"/>
                <w:szCs w:val="20"/>
                <w:color w:val="auto"/>
              </w:rPr>
            </w:pPr>
            <w:r>
              <w:rPr>
                <w:rFonts w:ascii="Arial" w:cs="Arial" w:eastAsia="Arial" w:hAnsi="Arial"/>
                <w:sz w:val="12"/>
                <w:szCs w:val="12"/>
                <w:b w:val="1"/>
                <w:bCs w:val="1"/>
                <w:color w:val="auto"/>
              </w:rPr>
              <w:t>Quarter Ended</w:t>
            </w:r>
          </w:p>
        </w:tc>
        <w:tc>
          <w:tcPr>
            <w:tcW w:w="1240" w:type="dxa"/>
            <w:vAlign w:val="bottom"/>
          </w:tcPr>
          <w:p>
            <w:pPr>
              <w:jc w:val="center"/>
              <w:ind w:right="164"/>
              <w:spacing w:after="0"/>
              <w:rPr>
                <w:sz w:val="20"/>
                <w:szCs w:val="20"/>
                <w:color w:val="auto"/>
              </w:rPr>
            </w:pPr>
            <w:r>
              <w:rPr>
                <w:rFonts w:ascii="Arial" w:cs="Arial" w:eastAsia="Arial" w:hAnsi="Arial"/>
                <w:sz w:val="12"/>
                <w:szCs w:val="12"/>
                <w:b w:val="1"/>
                <w:bCs w:val="1"/>
                <w:color w:val="auto"/>
                <w:w w:val="99"/>
              </w:rPr>
              <w:t>Payable (DCP)</w:t>
            </w:r>
          </w:p>
        </w:tc>
        <w:tc>
          <w:tcPr>
            <w:tcW w:w="1320" w:type="dxa"/>
            <w:vAlign w:val="bottom"/>
            <w:gridSpan w:val="2"/>
          </w:tcPr>
          <w:p>
            <w:pPr>
              <w:jc w:val="center"/>
              <w:ind w:right="366"/>
              <w:spacing w:after="0"/>
              <w:rPr>
                <w:sz w:val="20"/>
                <w:szCs w:val="20"/>
                <w:color w:val="auto"/>
              </w:rPr>
            </w:pPr>
            <w:r>
              <w:rPr>
                <w:rFonts w:ascii="Arial" w:cs="Arial" w:eastAsia="Arial" w:hAnsi="Arial"/>
                <w:sz w:val="12"/>
                <w:szCs w:val="12"/>
                <w:b w:val="1"/>
                <w:bCs w:val="1"/>
                <w:color w:val="auto"/>
                <w:w w:val="99"/>
              </w:rPr>
              <w:t>Quarters</w:t>
            </w:r>
          </w:p>
        </w:tc>
        <w:tc>
          <w:tcPr>
            <w:tcW w:w="1000" w:type="dxa"/>
            <w:vAlign w:val="bottom"/>
          </w:tcPr>
          <w:p>
            <w:pPr>
              <w:jc w:val="right"/>
              <w:ind w:right="385"/>
              <w:spacing w:after="0"/>
              <w:rPr>
                <w:sz w:val="20"/>
                <w:szCs w:val="20"/>
                <w:color w:val="auto"/>
              </w:rPr>
            </w:pPr>
            <w:r>
              <w:rPr>
                <w:rFonts w:ascii="Arial" w:cs="Arial" w:eastAsia="Arial" w:hAnsi="Arial"/>
                <w:sz w:val="12"/>
                <w:szCs w:val="12"/>
                <w:b w:val="1"/>
                <w:bCs w:val="1"/>
                <w:color w:val="auto"/>
              </w:rPr>
              <w:t>Change</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12/31/2018</w:t>
            </w:r>
          </w:p>
        </w:tc>
        <w:tc>
          <w:tcPr>
            <w:tcW w:w="1240" w:type="dxa"/>
            <w:vAlign w:val="bottom"/>
            <w:tcBorders>
              <w:top w:val="single" w:sz="8" w:color="auto"/>
            </w:tcBorders>
          </w:tcPr>
          <w:p>
            <w:pPr>
              <w:jc w:val="right"/>
              <w:ind w:right="144"/>
              <w:spacing w:after="0"/>
              <w:rPr>
                <w:sz w:val="20"/>
                <w:szCs w:val="20"/>
                <w:color w:val="auto"/>
              </w:rPr>
            </w:pPr>
            <w:r>
              <w:rPr>
                <w:rFonts w:ascii="Arial" w:cs="Arial" w:eastAsia="Arial" w:hAnsi="Arial"/>
                <w:sz w:val="11"/>
                <w:szCs w:val="11"/>
                <w:color w:val="auto"/>
              </w:rPr>
              <w:t>39.1</w:t>
            </w:r>
          </w:p>
        </w:tc>
        <w:tc>
          <w:tcPr>
            <w:tcW w:w="1320" w:type="dxa"/>
            <w:vAlign w:val="bottom"/>
            <w:tcBorders>
              <w:top w:val="single" w:sz="8" w:color="auto"/>
            </w:tcBorders>
            <w:gridSpan w:val="2"/>
          </w:tcPr>
          <w:p>
            <w:pPr>
              <w:jc w:val="right"/>
              <w:ind w:right="266"/>
              <w:spacing w:after="0"/>
              <w:rPr>
                <w:sz w:val="20"/>
                <w:szCs w:val="20"/>
                <w:color w:val="auto"/>
              </w:rPr>
            </w:pPr>
            <w:r>
              <w:rPr>
                <w:rFonts w:ascii="Arial" w:cs="Arial" w:eastAsia="Arial" w:hAnsi="Arial"/>
                <w:sz w:val="11"/>
                <w:szCs w:val="11"/>
                <w:color w:val="auto"/>
              </w:rPr>
              <w:t>(1.3)</w:t>
            </w:r>
          </w:p>
        </w:tc>
        <w:tc>
          <w:tcPr>
            <w:tcW w:w="100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-3.2 %</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jc w:val="right"/>
              <w:ind w:right="44"/>
              <w:spacing w:after="0"/>
              <w:rPr>
                <w:sz w:val="20"/>
                <w:szCs w:val="20"/>
                <w:color w:val="auto"/>
              </w:rPr>
            </w:pPr>
            <w:r>
              <w:rPr>
                <w:rFonts w:ascii="Arial" w:cs="Arial" w:eastAsia="Arial" w:hAnsi="Arial"/>
                <w:sz w:val="11"/>
                <w:szCs w:val="11"/>
                <w:color w:val="auto"/>
              </w:rPr>
              <w:t>3/31/2019</w:t>
            </w:r>
          </w:p>
        </w:tc>
        <w:tc>
          <w:tcPr>
            <w:tcW w:w="1240" w:type="dxa"/>
            <w:vAlign w:val="bottom"/>
          </w:tcPr>
          <w:p>
            <w:pPr>
              <w:jc w:val="right"/>
              <w:ind w:right="144"/>
              <w:spacing w:after="0"/>
              <w:rPr>
                <w:sz w:val="20"/>
                <w:szCs w:val="20"/>
                <w:color w:val="auto"/>
              </w:rPr>
            </w:pPr>
            <w:r>
              <w:rPr>
                <w:rFonts w:ascii="Arial" w:cs="Arial" w:eastAsia="Arial" w:hAnsi="Arial"/>
                <w:sz w:val="11"/>
                <w:szCs w:val="11"/>
                <w:color w:val="auto"/>
              </w:rPr>
              <w:t>40.2</w:t>
            </w:r>
          </w:p>
        </w:tc>
        <w:tc>
          <w:tcPr>
            <w:tcW w:w="1320" w:type="dxa"/>
            <w:vAlign w:val="bottom"/>
            <w:gridSpan w:val="2"/>
          </w:tcPr>
          <w:p>
            <w:pPr>
              <w:jc w:val="right"/>
              <w:ind w:right="306"/>
              <w:spacing w:after="0"/>
              <w:rPr>
                <w:sz w:val="20"/>
                <w:szCs w:val="20"/>
                <w:color w:val="auto"/>
              </w:rPr>
            </w:pPr>
            <w:r>
              <w:rPr>
                <w:rFonts w:ascii="Arial" w:cs="Arial" w:eastAsia="Arial" w:hAnsi="Arial"/>
                <w:sz w:val="11"/>
                <w:szCs w:val="11"/>
                <w:color w:val="auto"/>
              </w:rPr>
              <w:t>1.9</w:t>
            </w: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5.0 %</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jc w:val="right"/>
              <w:ind w:right="44"/>
              <w:spacing w:after="0"/>
              <w:rPr>
                <w:sz w:val="20"/>
                <w:szCs w:val="20"/>
                <w:color w:val="auto"/>
              </w:rPr>
            </w:pPr>
            <w:r>
              <w:rPr>
                <w:rFonts w:ascii="Arial" w:cs="Arial" w:eastAsia="Arial" w:hAnsi="Arial"/>
                <w:sz w:val="11"/>
                <w:szCs w:val="11"/>
                <w:color w:val="auto"/>
              </w:rPr>
              <w:t>6/30/2019</w:t>
            </w:r>
          </w:p>
        </w:tc>
        <w:tc>
          <w:tcPr>
            <w:tcW w:w="1240" w:type="dxa"/>
            <w:vAlign w:val="bottom"/>
          </w:tcPr>
          <w:p>
            <w:pPr>
              <w:jc w:val="right"/>
              <w:ind w:right="144"/>
              <w:spacing w:after="0"/>
              <w:rPr>
                <w:sz w:val="20"/>
                <w:szCs w:val="20"/>
                <w:color w:val="auto"/>
              </w:rPr>
            </w:pPr>
            <w:r>
              <w:rPr>
                <w:rFonts w:ascii="Arial" w:cs="Arial" w:eastAsia="Arial" w:hAnsi="Arial"/>
                <w:sz w:val="11"/>
                <w:szCs w:val="11"/>
                <w:color w:val="auto"/>
              </w:rPr>
              <w:t>39.9</w:t>
            </w:r>
          </w:p>
        </w:tc>
        <w:tc>
          <w:tcPr>
            <w:tcW w:w="1320" w:type="dxa"/>
            <w:vAlign w:val="bottom"/>
            <w:gridSpan w:val="2"/>
          </w:tcPr>
          <w:p>
            <w:pPr>
              <w:jc w:val="right"/>
              <w:ind w:right="266"/>
              <w:spacing w:after="0"/>
              <w:rPr>
                <w:sz w:val="20"/>
                <w:szCs w:val="20"/>
                <w:color w:val="auto"/>
              </w:rPr>
            </w:pPr>
            <w:r>
              <w:rPr>
                <w:rFonts w:ascii="Arial" w:cs="Arial" w:eastAsia="Arial" w:hAnsi="Arial"/>
                <w:sz w:val="11"/>
                <w:szCs w:val="11"/>
                <w:color w:val="auto"/>
              </w:rPr>
              <w:t>(0.2)</w:t>
            </w: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-0.5 %</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9/30/2019</w:t>
            </w: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color w:val="auto"/>
              </w:rPr>
              <w:t>42.8</w:t>
            </w:r>
          </w:p>
        </w:tc>
        <w:tc>
          <w:tcPr>
            <w:tcW w:w="1320" w:type="dxa"/>
            <w:vAlign w:val="bottom"/>
            <w:tcBorders>
              <w:bottom w:val="single" w:sz="8" w:color="auto"/>
            </w:tcBorders>
            <w:gridSpan w:val="2"/>
          </w:tcPr>
          <w:p>
            <w:pPr>
              <w:jc w:val="right"/>
              <w:ind w:right="306"/>
              <w:spacing w:after="0"/>
              <w:rPr>
                <w:sz w:val="20"/>
                <w:szCs w:val="20"/>
                <w:color w:val="auto"/>
              </w:rPr>
            </w:pPr>
            <w:r>
              <w:rPr>
                <w:rFonts w:ascii="Arial" w:cs="Arial" w:eastAsia="Arial" w:hAnsi="Arial"/>
                <w:sz w:val="11"/>
                <w:szCs w:val="11"/>
                <w:color w:val="auto"/>
              </w:rPr>
              <w:t>1.7</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4.1 %</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40" w:type="dxa"/>
            <w:vAlign w:val="bottom"/>
            <w:tcBorders>
              <w:left w:val="single" w:sz="8" w:color="auto"/>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00497F"/>
              </w:rPr>
              <w:t>12/31/2019</w:t>
            </w: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00497F"/>
              </w:rPr>
              <w:t>40.4</w:t>
            </w:r>
          </w:p>
        </w:tc>
        <w:tc>
          <w:tcPr>
            <w:tcW w:w="1320" w:type="dxa"/>
            <w:vAlign w:val="bottom"/>
            <w:tcBorders>
              <w:bottom w:val="single" w:sz="8" w:color="auto"/>
            </w:tcBorders>
            <w:gridSpan w:val="2"/>
          </w:tcPr>
          <w:p>
            <w:pPr>
              <w:jc w:val="right"/>
              <w:ind w:right="306"/>
              <w:spacing w:after="0"/>
              <w:rPr>
                <w:sz w:val="20"/>
                <w:szCs w:val="20"/>
                <w:color w:val="auto"/>
              </w:rPr>
            </w:pPr>
            <w:r>
              <w:rPr>
                <w:rFonts w:ascii="Arial" w:cs="Arial" w:eastAsia="Arial" w:hAnsi="Arial"/>
                <w:sz w:val="11"/>
                <w:szCs w:val="11"/>
                <w:b w:val="1"/>
                <w:bCs w:val="1"/>
                <w:color w:val="00497F"/>
              </w:rPr>
              <w:t>1.3</w:t>
            </w:r>
          </w:p>
        </w:tc>
        <w:tc>
          <w:tcPr>
            <w:tcW w:w="100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1"/>
                <w:szCs w:val="11"/>
                <w:b w:val="1"/>
                <w:bCs w:val="1"/>
                <w:color w:val="00497F"/>
              </w:rPr>
              <w:t>3.3 %</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Change in Days in Claims Payable (S)</w:t>
            </w: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0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jc w:val="center"/>
              <w:ind w:left="26"/>
              <w:spacing w:after="0" w:line="123" w:lineRule="exact"/>
              <w:rPr>
                <w:sz w:val="20"/>
                <w:szCs w:val="20"/>
                <w:color w:val="auto"/>
              </w:rPr>
            </w:pPr>
            <w:r>
              <w:rPr>
                <w:rFonts w:ascii="Arial" w:cs="Arial" w:eastAsia="Arial" w:hAnsi="Arial"/>
                <w:sz w:val="11"/>
                <w:szCs w:val="11"/>
                <w:color w:val="auto"/>
                <w:w w:val="95"/>
              </w:rPr>
              <w:t>1Q</w:t>
            </w:r>
          </w:p>
        </w:tc>
        <w:tc>
          <w:tcPr>
            <w:tcW w:w="1000" w:type="dxa"/>
            <w:vAlign w:val="bottom"/>
          </w:tcPr>
          <w:p>
            <w:pPr>
              <w:jc w:val="center"/>
              <w:spacing w:after="0" w:line="123" w:lineRule="exact"/>
              <w:rPr>
                <w:sz w:val="20"/>
                <w:szCs w:val="20"/>
                <w:color w:val="auto"/>
              </w:rPr>
            </w:pPr>
            <w:r>
              <w:rPr>
                <w:rFonts w:ascii="Arial" w:cs="Arial" w:eastAsia="Arial" w:hAnsi="Arial"/>
                <w:sz w:val="11"/>
                <w:szCs w:val="11"/>
                <w:color w:val="auto"/>
              </w:rPr>
              <w:t>2Q</w:t>
            </w:r>
          </w:p>
        </w:tc>
        <w:tc>
          <w:tcPr>
            <w:tcW w:w="700" w:type="dxa"/>
            <w:vAlign w:val="bottom"/>
            <w:tcBorders>
              <w:right w:val="single" w:sz="8" w:color="auto"/>
            </w:tcBorders>
          </w:tcPr>
          <w:p>
            <w:pPr>
              <w:jc w:val="center"/>
              <w:ind w:right="26"/>
              <w:spacing w:after="0" w:line="123" w:lineRule="exact"/>
              <w:rPr>
                <w:sz w:val="20"/>
                <w:szCs w:val="20"/>
                <w:color w:val="auto"/>
              </w:rPr>
            </w:pPr>
            <w:r>
              <w:rPr>
                <w:rFonts w:ascii="Arial" w:cs="Arial" w:eastAsia="Arial" w:hAnsi="Arial"/>
                <w:sz w:val="11"/>
                <w:szCs w:val="11"/>
                <w:color w:val="auto"/>
                <w:w w:val="95"/>
              </w:rPr>
              <w:t>3Q</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1"/>
                <w:szCs w:val="11"/>
                <w:b w:val="1"/>
                <w:bCs w:val="1"/>
                <w:color w:val="00497F"/>
              </w:rPr>
              <w:t>4Q</w:t>
            </w:r>
          </w:p>
        </w:tc>
        <w:tc>
          <w:tcPr>
            <w:tcW w:w="840" w:type="dxa"/>
            <w:vAlign w:val="bottom"/>
            <w:tcBorders>
              <w:right w:val="single" w:sz="8" w:color="auto"/>
            </w:tcBorders>
          </w:tcPr>
          <w:p>
            <w:pPr>
              <w:jc w:val="right"/>
              <w:ind w:right="326"/>
              <w:spacing w:after="0" w:line="123" w:lineRule="exact"/>
              <w:rPr>
                <w:sz w:val="20"/>
                <w:szCs w:val="20"/>
                <w:color w:val="auto"/>
              </w:rPr>
            </w:pPr>
            <w:r>
              <w:rPr>
                <w:rFonts w:ascii="Arial" w:cs="Arial" w:eastAsia="Arial" w:hAnsi="Arial"/>
                <w:sz w:val="11"/>
                <w:szCs w:val="11"/>
                <w:b w:val="1"/>
                <w:bCs w:val="1"/>
                <w:color w:val="00497F"/>
              </w:rPr>
              <w:t>FY</w:t>
            </w:r>
          </w:p>
        </w:tc>
        <w:tc>
          <w:tcPr>
            <w:tcW w:w="60" w:type="dxa"/>
            <w:vAlign w:val="bottom"/>
          </w:tcPr>
          <w:p>
            <w:pPr>
              <w:spacing w:after="0"/>
              <w:rPr>
                <w:sz w:val="10"/>
                <w:szCs w:val="10"/>
                <w:color w:val="auto"/>
              </w:rPr>
            </w:pPr>
          </w:p>
        </w:tc>
        <w:tc>
          <w:tcPr>
            <w:tcW w:w="860" w:type="dxa"/>
            <w:vAlign w:val="bottom"/>
          </w:tcPr>
          <w:p>
            <w:pPr>
              <w:jc w:val="center"/>
              <w:ind w:right="46"/>
              <w:spacing w:after="0" w:line="123" w:lineRule="exact"/>
              <w:rPr>
                <w:sz w:val="20"/>
                <w:szCs w:val="20"/>
                <w:color w:val="auto"/>
              </w:rPr>
            </w:pPr>
            <w:r>
              <w:rPr>
                <w:rFonts w:ascii="Arial" w:cs="Arial" w:eastAsia="Arial" w:hAnsi="Arial"/>
                <w:sz w:val="11"/>
                <w:szCs w:val="11"/>
                <w:color w:val="auto"/>
              </w:rPr>
              <w:t>4Q</w:t>
            </w:r>
          </w:p>
        </w:tc>
        <w:tc>
          <w:tcPr>
            <w:tcW w:w="740" w:type="dxa"/>
            <w:vAlign w:val="bottom"/>
          </w:tcPr>
          <w:p>
            <w:pPr>
              <w:jc w:val="right"/>
              <w:ind w:right="306"/>
              <w:spacing w:after="0" w:line="123" w:lineRule="exact"/>
              <w:rPr>
                <w:sz w:val="20"/>
                <w:szCs w:val="20"/>
                <w:color w:val="auto"/>
              </w:rPr>
            </w:pPr>
            <w:r>
              <w:rPr>
                <w:rFonts w:ascii="Arial" w:cs="Arial" w:eastAsia="Arial" w:hAnsi="Arial"/>
                <w:sz w:val="11"/>
                <w:szCs w:val="11"/>
                <w:color w:val="auto"/>
              </w:rPr>
              <w:t>FY</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2019</w:t>
            </w:r>
          </w:p>
        </w:tc>
        <w:tc>
          <w:tcPr>
            <w:tcW w:w="1000" w:type="dxa"/>
            <w:vAlign w:val="bottom"/>
            <w:tcBorders>
              <w:bottom w:val="single" w:sz="8" w:color="auto"/>
            </w:tcBorders>
          </w:tcPr>
          <w:p>
            <w:pPr>
              <w:jc w:val="right"/>
              <w:ind w:right="325"/>
              <w:spacing w:after="0"/>
              <w:rPr>
                <w:sz w:val="20"/>
                <w:szCs w:val="20"/>
                <w:color w:val="auto"/>
              </w:rPr>
            </w:pPr>
            <w:r>
              <w:rPr>
                <w:rFonts w:ascii="Arial" w:cs="Arial" w:eastAsia="Arial" w:hAnsi="Arial"/>
                <w:sz w:val="11"/>
                <w:szCs w:val="11"/>
                <w:color w:val="auto"/>
              </w:rPr>
              <w:t>2019</w:t>
            </w:r>
          </w:p>
        </w:tc>
        <w:tc>
          <w:tcPr>
            <w:tcW w:w="70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1"/>
                <w:szCs w:val="11"/>
                <w:color w:val="auto"/>
              </w:rPr>
              <w:t>2019</w:t>
            </w:r>
          </w:p>
        </w:tc>
        <w:tc>
          <w:tcPr>
            <w:tcW w:w="88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1"/>
                <w:szCs w:val="11"/>
                <w:b w:val="1"/>
                <w:bCs w:val="1"/>
                <w:color w:val="00497F"/>
              </w:rPr>
              <w:t>2019</w:t>
            </w:r>
          </w:p>
        </w:tc>
        <w:tc>
          <w:tcPr>
            <w:tcW w:w="840" w:type="dxa"/>
            <w:vAlign w:val="bottom"/>
            <w:tcBorders>
              <w:bottom w:val="single" w:sz="8" w:color="auto"/>
              <w:right w:val="single" w:sz="8" w:color="auto"/>
            </w:tcBorders>
          </w:tcPr>
          <w:p>
            <w:pPr>
              <w:jc w:val="right"/>
              <w:ind w:right="266"/>
              <w:spacing w:after="0"/>
              <w:rPr>
                <w:sz w:val="20"/>
                <w:szCs w:val="20"/>
                <w:color w:val="auto"/>
              </w:rPr>
            </w:pPr>
            <w:r>
              <w:rPr>
                <w:rFonts w:ascii="Arial" w:cs="Arial" w:eastAsia="Arial" w:hAnsi="Arial"/>
                <w:sz w:val="11"/>
                <w:szCs w:val="11"/>
                <w:b w:val="1"/>
                <w:bCs w:val="1"/>
                <w:color w:val="00497F"/>
              </w:rPr>
              <w:t>2019</w:t>
            </w: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2018</w:t>
            </w: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rPr>
              <w:t>2018</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2"/>
                <w:szCs w:val="12"/>
                <w:b w:val="1"/>
                <w:bCs w:val="1"/>
                <w:color w:val="auto"/>
              </w:rPr>
              <w:t>DCP—beginning of period</w:t>
            </w:r>
          </w:p>
        </w:tc>
        <w:tc>
          <w:tcPr>
            <w:tcW w:w="12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39.1</w:t>
            </w:r>
          </w:p>
        </w:tc>
        <w:tc>
          <w:tcPr>
            <w:tcW w:w="1000" w:type="dxa"/>
            <w:vAlign w:val="bottom"/>
          </w:tcPr>
          <w:p>
            <w:pPr>
              <w:jc w:val="right"/>
              <w:ind w:right="125"/>
              <w:spacing w:after="0"/>
              <w:rPr>
                <w:sz w:val="20"/>
                <w:szCs w:val="20"/>
                <w:color w:val="auto"/>
              </w:rPr>
            </w:pPr>
            <w:r>
              <w:rPr>
                <w:rFonts w:ascii="Arial" w:cs="Arial" w:eastAsia="Arial" w:hAnsi="Arial"/>
                <w:sz w:val="11"/>
                <w:szCs w:val="11"/>
                <w:color w:val="auto"/>
              </w:rPr>
              <w:t>40.2</w:t>
            </w:r>
          </w:p>
        </w:tc>
        <w:tc>
          <w:tcPr>
            <w:tcW w:w="7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39.9</w:t>
            </w:r>
          </w:p>
        </w:tc>
        <w:tc>
          <w:tcPr>
            <w:tcW w:w="8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b w:val="1"/>
                <w:bCs w:val="1"/>
                <w:color w:val="00497F"/>
              </w:rPr>
              <w:t>42.8</w:t>
            </w: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39.1</w:t>
            </w:r>
          </w:p>
        </w:tc>
        <w:tc>
          <w:tcPr>
            <w:tcW w:w="920" w:type="dxa"/>
            <w:vAlign w:val="bottom"/>
            <w:gridSpan w:val="2"/>
          </w:tcPr>
          <w:p>
            <w:pPr>
              <w:jc w:val="right"/>
              <w:ind w:right="166"/>
              <w:spacing w:after="0"/>
              <w:rPr>
                <w:sz w:val="20"/>
                <w:szCs w:val="20"/>
                <w:color w:val="auto"/>
              </w:rPr>
            </w:pPr>
            <w:r>
              <w:rPr>
                <w:rFonts w:ascii="Arial" w:cs="Arial" w:eastAsia="Arial" w:hAnsi="Arial"/>
                <w:sz w:val="11"/>
                <w:szCs w:val="11"/>
                <w:color w:val="auto"/>
              </w:rPr>
              <w:t>41.1</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58"/>
        </w:trPr>
        <w:tc>
          <w:tcPr>
            <w:tcW w:w="3040" w:type="dxa"/>
            <w:vAlign w:val="bottom"/>
          </w:tcPr>
          <w:p>
            <w:pPr>
              <w:ind w:left="240"/>
              <w:spacing w:after="0"/>
              <w:rPr>
                <w:sz w:val="20"/>
                <w:szCs w:val="20"/>
                <w:color w:val="auto"/>
              </w:rPr>
            </w:pPr>
            <w:r>
              <w:rPr>
                <w:rFonts w:ascii="Arial" w:cs="Arial" w:eastAsia="Arial" w:hAnsi="Arial"/>
                <w:sz w:val="11"/>
                <w:szCs w:val="11"/>
                <w:color w:val="auto"/>
              </w:rPr>
              <w:t>Components of change in DCP:</w:t>
            </w: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460"/>
              <w:spacing w:after="0"/>
              <w:rPr>
                <w:sz w:val="20"/>
                <w:szCs w:val="20"/>
                <w:color w:val="auto"/>
              </w:rPr>
            </w:pPr>
            <w:r>
              <w:rPr>
                <w:rFonts w:ascii="Arial" w:cs="Arial" w:eastAsia="Arial" w:hAnsi="Arial"/>
                <w:sz w:val="11"/>
                <w:szCs w:val="11"/>
                <w:color w:val="auto"/>
              </w:rPr>
              <w:t>Provider accruals (T)</w:t>
            </w:r>
          </w:p>
        </w:tc>
        <w:tc>
          <w:tcPr>
            <w:tcW w:w="1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1000" w:type="dxa"/>
            <w:vAlign w:val="bottom"/>
          </w:tcPr>
          <w:p>
            <w:pPr>
              <w:jc w:val="right"/>
              <w:ind w:right="125"/>
              <w:spacing w:after="0"/>
              <w:rPr>
                <w:sz w:val="20"/>
                <w:szCs w:val="20"/>
                <w:color w:val="auto"/>
              </w:rPr>
            </w:pPr>
            <w:r>
              <w:rPr>
                <w:rFonts w:ascii="Arial" w:cs="Arial" w:eastAsia="Arial" w:hAnsi="Arial"/>
                <w:sz w:val="11"/>
                <w:szCs w:val="11"/>
                <w:color w:val="auto"/>
              </w:rPr>
              <w:t>0.9</w:t>
            </w:r>
          </w:p>
        </w:tc>
        <w:tc>
          <w:tcPr>
            <w:tcW w:w="7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0.1</w:t>
            </w:r>
          </w:p>
        </w:tc>
        <w:tc>
          <w:tcPr>
            <w:tcW w:w="88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00497F"/>
              </w:rPr>
              <w:t>(0.6)</w:t>
            </w: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1.4</w:t>
            </w:r>
          </w:p>
        </w:tc>
        <w:tc>
          <w:tcPr>
            <w:tcW w:w="920" w:type="dxa"/>
            <w:vAlign w:val="bottom"/>
            <w:gridSpan w:val="2"/>
          </w:tcPr>
          <w:p>
            <w:pPr>
              <w:jc w:val="right"/>
              <w:ind w:right="126"/>
              <w:spacing w:after="0"/>
              <w:rPr>
                <w:sz w:val="20"/>
                <w:szCs w:val="20"/>
                <w:color w:val="auto"/>
              </w:rPr>
            </w:pPr>
            <w:r>
              <w:rPr>
                <w:rFonts w:ascii="Arial" w:cs="Arial" w:eastAsia="Arial" w:hAnsi="Arial"/>
                <w:sz w:val="11"/>
                <w:szCs w:val="11"/>
                <w:color w:val="auto"/>
              </w:rPr>
              <w:t>(0.8)</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80"/>
        </w:trPr>
        <w:tc>
          <w:tcPr>
            <w:tcW w:w="4280" w:type="dxa"/>
            <w:vAlign w:val="bottom"/>
            <w:gridSpan w:val="2"/>
          </w:tcPr>
          <w:p>
            <w:pPr>
              <w:ind w:left="560"/>
              <w:spacing w:after="0"/>
              <w:rPr>
                <w:sz w:val="20"/>
                <w:szCs w:val="20"/>
                <w:color w:val="auto"/>
              </w:rPr>
            </w:pPr>
            <w:r>
              <w:rPr>
                <w:rFonts w:ascii="Arial" w:cs="Arial" w:eastAsia="Arial" w:hAnsi="Arial"/>
                <w:sz w:val="11"/>
                <w:szCs w:val="11"/>
                <w:color w:val="auto"/>
              </w:rPr>
              <w:t>Medical fee-for-service, excluding Individual Commercial (U)</w:t>
            </w: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(0.8)</w:t>
            </w:r>
          </w:p>
        </w:tc>
        <w:tc>
          <w:tcPr>
            <w:tcW w:w="1000" w:type="dxa"/>
            <w:vAlign w:val="bottom"/>
          </w:tcPr>
          <w:p>
            <w:pPr>
              <w:jc w:val="right"/>
              <w:ind w:right="85"/>
              <w:spacing w:after="0"/>
              <w:rPr>
                <w:sz w:val="20"/>
                <w:szCs w:val="20"/>
                <w:color w:val="auto"/>
              </w:rPr>
            </w:pPr>
            <w:r>
              <w:rPr>
                <w:rFonts w:ascii="Arial" w:cs="Arial" w:eastAsia="Arial" w:hAnsi="Arial"/>
                <w:sz w:val="11"/>
                <w:szCs w:val="11"/>
                <w:color w:val="auto"/>
              </w:rPr>
              <w:t>(1.0)</w:t>
            </w:r>
          </w:p>
        </w:tc>
        <w:tc>
          <w:tcPr>
            <w:tcW w:w="7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2.2</w:t>
            </w:r>
          </w:p>
        </w:tc>
        <w:tc>
          <w:tcPr>
            <w:tcW w:w="8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b w:val="1"/>
                <w:bCs w:val="1"/>
                <w:color w:val="00497F"/>
              </w:rPr>
              <w:t>0.3</w:t>
            </w: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0.7</w:t>
            </w:r>
          </w:p>
        </w:tc>
        <w:tc>
          <w:tcPr>
            <w:tcW w:w="920" w:type="dxa"/>
            <w:vAlign w:val="bottom"/>
            <w:gridSpan w:val="2"/>
          </w:tcPr>
          <w:p>
            <w:pPr>
              <w:jc w:val="right"/>
              <w:ind w:right="166"/>
              <w:spacing w:after="0"/>
              <w:rPr>
                <w:sz w:val="20"/>
                <w:szCs w:val="20"/>
                <w:color w:val="auto"/>
              </w:rPr>
            </w:pPr>
            <w:r>
              <w:rPr>
                <w:rFonts w:ascii="Arial" w:cs="Arial" w:eastAsia="Arial" w:hAnsi="Arial"/>
                <w:sz w:val="11"/>
                <w:szCs w:val="11"/>
                <w:color w:val="auto"/>
              </w:rPr>
              <w:t>0.3</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Arial" w:cs="Arial" w:eastAsia="Arial" w:hAnsi="Arial"/>
                <w:sz w:val="11"/>
                <w:szCs w:val="11"/>
                <w:color w:val="auto"/>
              </w:rPr>
              <w:t>Individual Commercial (V)</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b w:val="1"/>
                <w:bCs w:val="1"/>
                <w:color w:val="00497F"/>
              </w:rPr>
              <w:t>—</w:t>
            </w:r>
          </w:p>
        </w:tc>
        <w:tc>
          <w:tcPr>
            <w:tcW w:w="84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w:t>
            </w:r>
          </w:p>
        </w:tc>
        <w:tc>
          <w:tcPr>
            <w:tcW w:w="60" w:type="dxa"/>
            <w:vAlign w:val="bottom"/>
          </w:tcPr>
          <w:p>
            <w:pPr>
              <w:spacing w:after="0"/>
              <w:rPr>
                <w:sz w:val="15"/>
                <w:szCs w:val="15"/>
                <w:color w:val="auto"/>
              </w:rPr>
            </w:pPr>
          </w:p>
        </w:tc>
        <w:tc>
          <w:tcPr>
            <w:tcW w:w="86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Arial" w:cs="Arial" w:eastAsia="Arial" w:hAnsi="Arial"/>
                <w:sz w:val="11"/>
                <w:szCs w:val="11"/>
                <w:color w:val="auto"/>
              </w:rPr>
              <w:t>Pharmacy (W)</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5"/>
              <w:spacing w:after="0"/>
              <w:rPr>
                <w:sz w:val="20"/>
                <w:szCs w:val="20"/>
                <w:color w:val="auto"/>
              </w:rPr>
            </w:pPr>
            <w:r>
              <w:rPr>
                <w:rFonts w:ascii="Arial" w:cs="Arial" w:eastAsia="Arial" w:hAnsi="Arial"/>
                <w:sz w:val="11"/>
                <w:szCs w:val="11"/>
                <w:color w:val="auto"/>
              </w:rPr>
              <w:t>(0.9)</w:t>
            </w:r>
          </w:p>
        </w:tc>
        <w:tc>
          <w:tcPr>
            <w:tcW w:w="7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0.7</w:t>
            </w:r>
          </w:p>
        </w:tc>
        <w:tc>
          <w:tcPr>
            <w:tcW w:w="88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00497F"/>
              </w:rPr>
              <w:t>(0.3)</w:t>
            </w:r>
          </w:p>
        </w:tc>
        <w:tc>
          <w:tcPr>
            <w:tcW w:w="84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00497F"/>
              </w:rPr>
              <w:t>(0.5)</w:t>
            </w:r>
          </w:p>
        </w:tc>
        <w:tc>
          <w:tcPr>
            <w:tcW w:w="920" w:type="dxa"/>
            <w:vAlign w:val="bottom"/>
            <w:gridSpan w:val="2"/>
          </w:tcPr>
          <w:p>
            <w:pPr>
              <w:jc w:val="right"/>
              <w:ind w:right="166"/>
              <w:spacing w:after="0"/>
              <w:rPr>
                <w:sz w:val="20"/>
                <w:szCs w:val="20"/>
                <w:color w:val="auto"/>
              </w:rPr>
            </w:pPr>
            <w:r>
              <w:rPr>
                <w:rFonts w:ascii="Arial" w:cs="Arial" w:eastAsia="Arial" w:hAnsi="Arial"/>
                <w:sz w:val="11"/>
                <w:szCs w:val="11"/>
                <w:color w:val="auto"/>
              </w:rPr>
              <w:t>0.8</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Arial" w:cs="Arial" w:eastAsia="Arial" w:hAnsi="Arial"/>
                <w:sz w:val="11"/>
                <w:szCs w:val="11"/>
                <w:color w:val="auto"/>
              </w:rPr>
              <w:t>Processed claims inventory (X)</w:t>
            </w:r>
          </w:p>
        </w:tc>
        <w:tc>
          <w:tcPr>
            <w:tcW w:w="124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1000" w:type="dxa"/>
            <w:vAlign w:val="bottom"/>
          </w:tcPr>
          <w:p>
            <w:pPr>
              <w:jc w:val="right"/>
              <w:ind w:right="125"/>
              <w:spacing w:after="0"/>
              <w:rPr>
                <w:sz w:val="20"/>
                <w:szCs w:val="20"/>
                <w:color w:val="auto"/>
              </w:rPr>
            </w:pPr>
            <w:r>
              <w:rPr>
                <w:rFonts w:ascii="Arial" w:cs="Arial" w:eastAsia="Arial" w:hAnsi="Arial"/>
                <w:sz w:val="11"/>
                <w:szCs w:val="11"/>
                <w:color w:val="auto"/>
              </w:rPr>
              <w:t>0.8</w:t>
            </w:r>
          </w:p>
        </w:tc>
        <w:tc>
          <w:tcPr>
            <w:tcW w:w="7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(0.4)</w:t>
            </w:r>
          </w:p>
        </w:tc>
        <w:tc>
          <w:tcPr>
            <w:tcW w:w="88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00497F"/>
              </w:rPr>
              <w:t>(2.0)</w:t>
            </w:r>
          </w:p>
        </w:tc>
        <w:tc>
          <w:tcPr>
            <w:tcW w:w="84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00497F"/>
              </w:rPr>
              <w:t>(0.5)</w:t>
            </w:r>
          </w:p>
        </w:tc>
        <w:tc>
          <w:tcPr>
            <w:tcW w:w="920" w:type="dxa"/>
            <w:vAlign w:val="bottom"/>
            <w:gridSpan w:val="2"/>
          </w:tcPr>
          <w:p>
            <w:pPr>
              <w:jc w:val="right"/>
              <w:ind w:right="126"/>
              <w:spacing w:after="0"/>
              <w:rPr>
                <w:sz w:val="20"/>
                <w:szCs w:val="20"/>
                <w:color w:val="auto"/>
              </w:rPr>
            </w:pPr>
            <w:r>
              <w:rPr>
                <w:rFonts w:ascii="Arial" w:cs="Arial" w:eastAsia="Arial" w:hAnsi="Arial"/>
                <w:sz w:val="11"/>
                <w:szCs w:val="11"/>
                <w:color w:val="auto"/>
              </w:rPr>
              <w:t>(2.0)</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82"/>
        </w:trPr>
        <w:tc>
          <w:tcPr>
            <w:tcW w:w="3040" w:type="dxa"/>
            <w:vAlign w:val="bottom"/>
          </w:tcPr>
          <w:p>
            <w:pPr>
              <w:ind w:left="460"/>
              <w:spacing w:after="0"/>
              <w:rPr>
                <w:sz w:val="20"/>
                <w:szCs w:val="20"/>
                <w:color w:val="auto"/>
              </w:rPr>
            </w:pPr>
            <w:r>
              <w:rPr>
                <w:rFonts w:ascii="Arial" w:cs="Arial" w:eastAsia="Arial" w:hAnsi="Arial"/>
                <w:sz w:val="11"/>
                <w:szCs w:val="11"/>
                <w:color w:val="auto"/>
              </w:rPr>
              <w:t>Other (Y)</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(0.1)</w:t>
            </w:r>
          </w:p>
        </w:tc>
        <w:tc>
          <w:tcPr>
            <w:tcW w:w="7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0.3</w:t>
            </w: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00497F"/>
              </w:rPr>
              <w:t>0.2</w:t>
            </w:r>
          </w:p>
        </w:tc>
        <w:tc>
          <w:tcPr>
            <w:tcW w:w="8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0.2</w:t>
            </w:r>
          </w:p>
        </w:tc>
        <w:tc>
          <w:tcPr>
            <w:tcW w:w="60" w:type="dxa"/>
            <w:vAlign w:val="bottom"/>
          </w:tcPr>
          <w:p>
            <w:pPr>
              <w:spacing w:after="0"/>
              <w:rPr>
                <w:sz w:val="15"/>
                <w:szCs w:val="15"/>
                <w:color w:val="auto"/>
              </w:rPr>
            </w:pPr>
          </w:p>
        </w:tc>
        <w:tc>
          <w:tcPr>
            <w:tcW w:w="8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(0.3)</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Arial" w:cs="Arial" w:eastAsia="Arial" w:hAnsi="Arial"/>
                <w:sz w:val="12"/>
                <w:szCs w:val="12"/>
                <w:b w:val="1"/>
                <w:bCs w:val="1"/>
                <w:color w:val="auto"/>
              </w:rPr>
              <w:t>DCP—end of period</w:t>
            </w: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40.2</w:t>
            </w:r>
          </w:p>
        </w:tc>
        <w:tc>
          <w:tcPr>
            <w:tcW w:w="100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39.9</w:t>
            </w:r>
          </w:p>
        </w:tc>
        <w:tc>
          <w:tcPr>
            <w:tcW w:w="70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42.8</w:t>
            </w: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00497F"/>
              </w:rPr>
              <w:t>40.4</w:t>
            </w:r>
          </w:p>
        </w:tc>
        <w:tc>
          <w:tcPr>
            <w:tcW w:w="8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40.4</w:t>
            </w:r>
          </w:p>
        </w:tc>
        <w:tc>
          <w:tcPr>
            <w:tcW w:w="60" w:type="dxa"/>
            <w:vAlign w:val="bottom"/>
          </w:tcPr>
          <w:p>
            <w:pPr>
              <w:spacing w:after="0"/>
              <w:rPr>
                <w:sz w:val="14"/>
                <w:szCs w:val="14"/>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39.1</w:t>
            </w: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39.1</w:t>
            </w:r>
          </w:p>
        </w:tc>
        <w:tc>
          <w:tcPr>
            <w:tcW w:w="0" w:type="dxa"/>
            <w:vAlign w:val="bottom"/>
          </w:tcPr>
          <w:p>
            <w:pPr>
              <w:spacing w:after="0"/>
              <w:rPr>
                <w:sz w:val="1"/>
                <w:szCs w:val="1"/>
                <w:color w:val="auto"/>
              </w:rPr>
            </w:pPr>
          </w:p>
        </w:tc>
      </w:tr>
      <w:tr>
        <w:trPr>
          <w:trHeight w:val="158"/>
        </w:trPr>
        <w:tc>
          <w:tcPr>
            <w:tcW w:w="3040" w:type="dxa"/>
            <w:vAlign w:val="bottom"/>
          </w:tcPr>
          <w:p>
            <w:pPr>
              <w:ind w:left="20"/>
              <w:spacing w:after="0"/>
              <w:rPr>
                <w:sz w:val="20"/>
                <w:szCs w:val="20"/>
                <w:color w:val="auto"/>
              </w:rPr>
            </w:pPr>
            <w:r>
              <w:rPr>
                <w:rFonts w:ascii="Arial" w:cs="Arial" w:eastAsia="Arial" w:hAnsi="Arial"/>
                <w:sz w:val="12"/>
                <w:szCs w:val="12"/>
                <w:b w:val="1"/>
                <w:bCs w:val="1"/>
                <w:color w:val="auto"/>
              </w:rPr>
              <w:t>Total change from beginning of period</w:t>
            </w:r>
          </w:p>
        </w:tc>
        <w:tc>
          <w:tcPr>
            <w:tcW w:w="124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1000" w:type="dxa"/>
            <w:vAlign w:val="bottom"/>
          </w:tcPr>
          <w:p>
            <w:pPr>
              <w:jc w:val="right"/>
              <w:ind w:right="85"/>
              <w:spacing w:after="0"/>
              <w:rPr>
                <w:sz w:val="20"/>
                <w:szCs w:val="20"/>
                <w:color w:val="auto"/>
              </w:rPr>
            </w:pPr>
            <w:r>
              <w:rPr>
                <w:rFonts w:ascii="Arial" w:cs="Arial" w:eastAsia="Arial" w:hAnsi="Arial"/>
                <w:sz w:val="11"/>
                <w:szCs w:val="11"/>
                <w:color w:val="auto"/>
              </w:rPr>
              <w:t>(0.3)</w:t>
            </w:r>
          </w:p>
        </w:tc>
        <w:tc>
          <w:tcPr>
            <w:tcW w:w="7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2.9</w:t>
            </w:r>
          </w:p>
        </w:tc>
        <w:tc>
          <w:tcPr>
            <w:tcW w:w="88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b w:val="1"/>
                <w:bCs w:val="1"/>
                <w:color w:val="00497F"/>
              </w:rPr>
              <w:t>(2.4)</w:t>
            </w:r>
          </w:p>
        </w:tc>
        <w:tc>
          <w:tcPr>
            <w:tcW w:w="8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00497F"/>
              </w:rPr>
              <w:t>1.3</w:t>
            </w:r>
          </w:p>
        </w:tc>
        <w:tc>
          <w:tcPr>
            <w:tcW w:w="920" w:type="dxa"/>
            <w:vAlign w:val="bottom"/>
            <w:gridSpan w:val="2"/>
          </w:tcPr>
          <w:p>
            <w:pPr>
              <w:jc w:val="right"/>
              <w:ind w:right="126"/>
              <w:spacing w:after="0"/>
              <w:rPr>
                <w:sz w:val="20"/>
                <w:szCs w:val="20"/>
                <w:color w:val="auto"/>
              </w:rPr>
            </w:pPr>
            <w:r>
              <w:rPr>
                <w:rFonts w:ascii="Arial" w:cs="Arial" w:eastAsia="Arial" w:hAnsi="Arial"/>
                <w:sz w:val="11"/>
                <w:szCs w:val="11"/>
                <w:color w:val="auto"/>
              </w:rPr>
              <w:t>(2.0)</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S-19</w:t>
      </w:r>
    </w:p>
    <w:p>
      <w:pPr>
        <w:sectPr>
          <w:pgSz w:w="11900" w:h="16838" w:orient="portrait"/>
          <w:cols w:equalWidth="0" w:num="1">
            <w:col w:w="10680"/>
          </w:cols>
          <w:pgMar w:left="220" w:top="438" w:right="999" w:bottom="1440" w:gutter="0" w:footer="0" w:header="0"/>
        </w:sectPr>
      </w:pPr>
    </w:p>
    <w:bookmarkStart w:id="51" w:name="page52"/>
    <w:bookmarkEnd w:id="51"/>
    <w:p>
      <w:pPr>
        <w:spacing w:after="0"/>
        <w:rPr>
          <w:sz w:val="20"/>
          <w:szCs w:val="20"/>
          <w:color w:val="auto"/>
        </w:rPr>
      </w:pPr>
      <w:r>
        <w:rPr>
          <w:rFonts w:ascii="Arial" w:cs="Arial" w:eastAsia="Arial" w:hAnsi="Arial"/>
          <w:sz w:val="9"/>
          <w:szCs w:val="9"/>
          <w:b w:val="1"/>
          <w:bCs w:val="1"/>
          <w:color w:val="auto"/>
        </w:rPr>
        <w:t>Humana Inc.</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Footnotes to Statistical Schedules and Supplementary Information</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4Q19 Earnings Release</w:t>
      </w:r>
    </w:p>
    <w:p>
      <w:pPr>
        <w:spacing w:after="0" w:line="149" w:lineRule="exact"/>
        <w:rPr>
          <w:sz w:val="20"/>
          <w:szCs w:val="20"/>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Put/call valuation adjustments associated with Humana’s 40% minority interest ownership in Kindred at Home.</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Net earnings (losses) associated with the company’s 40% minority interest ownership in Kindred at Home.</w:t>
      </w:r>
    </w:p>
    <w:p>
      <w:pPr>
        <w:spacing w:after="0" w:line="4" w:lineRule="exact"/>
        <w:rPr>
          <w:rFonts w:ascii="Arial" w:cs="Arial" w:eastAsia="Arial" w:hAnsi="Arial"/>
          <w:sz w:val="9"/>
          <w:szCs w:val="9"/>
          <w:color w:val="auto"/>
        </w:rPr>
      </w:pPr>
    </w:p>
    <w:p>
      <w:pPr>
        <w:ind w:left="540" w:right="2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Humana exited the individual commercial fully-insured medical health insurance business beginning January 1, 2018, as well as exited certain other business, and therefore no longer report separately the Individual Commercial segment and the Other Businesses category in 2019.</w:t>
      </w: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The Medicaid and other category includes premiums associated with the company’s Medicaid business, as well as the closed block of long-term care insurance policies in 2018.</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The ASO and other category is primarily comprised of Administrative Services Only (ASO) fees and other ancillary services fees, including military services unless separately disclosed.</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Includes Medicaid Temporary Assistance for Needy Families (TANF), dual-eligible demonstration, and Long-Term Support Services (LTSS) from state-based contracts.</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Other supplemental benefits include group life policies.</w:t>
      </w:r>
    </w:p>
    <w:p>
      <w:pPr>
        <w:spacing w:after="0" w:line="4" w:lineRule="exact"/>
        <w:rPr>
          <w:rFonts w:ascii="Arial" w:cs="Arial" w:eastAsia="Arial" w:hAnsi="Arial"/>
          <w:sz w:val="9"/>
          <w:szCs w:val="9"/>
          <w:color w:val="auto"/>
        </w:rPr>
      </w:pPr>
    </w:p>
    <w:p>
      <w:pPr>
        <w:ind w:left="540" w:right="8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ind w:left="540" w:right="18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Specialty per member per month is computed based on reported specialty premiums and average fully-insured specialty membership for the period. Included with specialty premiums are stop-loss ASO premiums.</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The amounts primarily reflect services revenues under the TRICARE East Region contract which generally are contracted on a per-member basis.</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Computed based on average membership for the period (i.e., monthly ending membership during the period divided by the number of months in the period).</w:t>
      </w:r>
    </w:p>
    <w:p>
      <w:pPr>
        <w:spacing w:after="0" w:line="4" w:lineRule="exact"/>
        <w:rPr>
          <w:rFonts w:ascii="Arial" w:cs="Arial" w:eastAsia="Arial" w:hAnsi="Arial"/>
          <w:sz w:val="9"/>
          <w:szCs w:val="9"/>
          <w:color w:val="auto"/>
        </w:rPr>
      </w:pPr>
    </w:p>
    <w:p>
      <w:pPr>
        <w:jc w:val="both"/>
        <w:ind w:left="540" w:right="10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ind w:left="540" w:right="36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Script volume is presented on an adjusted 30-day equivalent basis. This includes all scripts processed by the Humana pharmacy benefit manager (PBM).</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Represents reinsurance recoverables associated with the company’s state-based Medicaid contract in Kentucky.</w:t>
      </w:r>
    </w:p>
    <w:p>
      <w:pPr>
        <w:spacing w:after="0" w:line="4" w:lineRule="exact"/>
        <w:rPr>
          <w:rFonts w:ascii="Arial" w:cs="Arial" w:eastAsia="Arial" w:hAnsi="Arial"/>
          <w:sz w:val="9"/>
          <w:szCs w:val="9"/>
          <w:color w:val="auto"/>
        </w:rPr>
      </w:pPr>
    </w:p>
    <w:p>
      <w:pPr>
        <w:ind w:left="540" w:right="12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ind w:left="540" w:right="4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A common metric for monitoring benefits payable levels relative to benefits expense is days in claims payable (DCP). The company calculates DCP using the quarterly reported benefits expense and benefits payable balances as presented within the company’s consolidated financial statements.</w:t>
      </w:r>
    </w:p>
    <w:p>
      <w:pPr>
        <w:ind w:left="54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Provider accruals represent portions of capitation payments set aside to pay future settlements for capitated providers. Related settlements generally happen over a 12-month period.</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Represents medical and specialty claims incurred but not reported (IBNR) for non-pharmacy fully-insured products and excludes the impact of the Individual Commercial segment.</w:t>
      </w:r>
    </w:p>
    <w:p>
      <w:pPr>
        <w:spacing w:after="0" w:line="4" w:lineRule="exact"/>
        <w:rPr>
          <w:rFonts w:ascii="Arial" w:cs="Arial" w:eastAsia="Arial" w:hAnsi="Arial"/>
          <w:sz w:val="9"/>
          <w:szCs w:val="9"/>
          <w:color w:val="auto"/>
        </w:rPr>
      </w:pP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Represents Individual Commercial medical IBNR (on-exchange, off-exchange, and legacy).</w:t>
      </w:r>
    </w:p>
    <w:p>
      <w:pPr>
        <w:spacing w:after="0" w:line="4" w:lineRule="exact"/>
        <w:rPr>
          <w:rFonts w:ascii="Arial" w:cs="Arial" w:eastAsia="Arial" w:hAnsi="Arial"/>
          <w:sz w:val="9"/>
          <w:szCs w:val="9"/>
          <w:color w:val="auto"/>
        </w:rPr>
      </w:pPr>
    </w:p>
    <w:p>
      <w:pPr>
        <w:ind w:left="540" w:right="40" w:hanging="224"/>
        <w:spacing w:after="0" w:line="25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ind w:left="540" w:hanging="224"/>
        <w:spacing w:after="0"/>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spacing w:after="0" w:line="4" w:lineRule="exact"/>
        <w:rPr>
          <w:rFonts w:ascii="Arial" w:cs="Arial" w:eastAsia="Arial" w:hAnsi="Arial"/>
          <w:sz w:val="9"/>
          <w:szCs w:val="9"/>
          <w:color w:val="auto"/>
        </w:rPr>
      </w:pPr>
    </w:p>
    <w:p>
      <w:pPr>
        <w:ind w:left="540" w:right="100" w:hanging="224"/>
        <w:spacing w:after="0" w:line="260" w:lineRule="auto"/>
        <w:tabs>
          <w:tab w:leader="none" w:pos="540" w:val="left"/>
        </w:tabs>
        <w:numPr>
          <w:ilvl w:val="0"/>
          <w:numId w:val="55"/>
        </w:numPr>
        <w:rPr>
          <w:rFonts w:ascii="Arial" w:cs="Arial" w:eastAsia="Arial" w:hAnsi="Arial"/>
          <w:sz w:val="9"/>
          <w:szCs w:val="9"/>
          <w:color w:val="auto"/>
        </w:rPr>
      </w:pPr>
      <w:r>
        <w:rPr>
          <w:rFonts w:ascii="Arial" w:cs="Arial" w:eastAsia="Arial" w:hAnsi="Arial"/>
          <w:sz w:val="9"/>
          <w:szCs w:val="9"/>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S-20</w:t>
      </w:r>
    </w:p>
    <w:p>
      <w:pPr>
        <w:sectPr>
          <w:pgSz w:w="11900" w:h="16838" w:orient="portrait"/>
          <w:cols w:equalWidth="0" w:num="1">
            <w:col w:w="11460"/>
          </w:cols>
          <w:pgMar w:left="220" w:top="426" w:right="219" w:bottom="144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504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Letter"/>
      <w:start w:val="1"/>
    </w:lvl>
    <w:lvl w:ilvl="1">
      <w:lvlJc w:val="left"/>
      <w:lvlText w:val="•"/>
      <w:numFmt w:val="bullet"/>
      <w:start w:val="1"/>
    </w:lvl>
  </w:abstractNum>
  <w:abstractNum w:abstractNumId="3">
    <w:nsid w:val="3A95F87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
    <w:nsid w:val="8138641"/>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5">
    <w:nsid w:val="1E7FF521"/>
    <w:multiLevelType w:val="hybridMultilevel"/>
    <w:lvl w:ilvl="0">
      <w:lvlJc w:val="left"/>
      <w:lvlText w:val="(%1)"/>
      <w:numFmt w:val="lowerLetter"/>
      <w:start w:val="6"/>
    </w:lvl>
    <w:lvl w:ilvl="1">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lvl w:ilvl="1">
      <w:lvlJc w:val="left"/>
      <w:lvlText w:val="◦"/>
      <w:numFmt w:val="bullet"/>
      <w:start w:val="1"/>
    </w:lvl>
  </w:abstractNum>
  <w:abstractNum w:abstractNumId="25">
    <w:nsid w:val="580BD78F"/>
    <w:multiLevelType w:val="hybridMultilevel"/>
    <w:lvl w:ilvl="0">
      <w:lvlJc w:val="left"/>
      <w:lvlText w:val="•"/>
      <w:numFmt w:val="bullet"/>
      <w:start w:val="1"/>
    </w:lvl>
    <w:lvl w:ilvl="1">
      <w:lvlJc w:val="left"/>
      <w:lvlText w:val="◦"/>
      <w:numFmt w:val="bullet"/>
      <w:start w:val="1"/>
    </w:lvl>
  </w:abstractNum>
  <w:abstractNum w:abstractNumId="26">
    <w:nsid w:val="153EA438"/>
    <w:multiLevelType w:val="hybridMultilevel"/>
    <w:lvl w:ilvl="0">
      <w:lvlJc w:val="left"/>
      <w:lvlText w:val="•"/>
      <w:numFmt w:val="bullet"/>
      <w:start w:val="1"/>
    </w:lvl>
    <w:lvl w:ilvl="1">
      <w:lvlJc w:val="left"/>
      <w:lvlText w:val="◦"/>
      <w:numFmt w:val="bullet"/>
      <w:start w:val="1"/>
    </w:lvl>
  </w:abstractNum>
  <w:abstractNum w:abstractNumId="27">
    <w:nsid w:val="3855585C"/>
    <w:multiLevelType w:val="hybridMultilevel"/>
    <w:lvl w:ilvl="0">
      <w:lvlJc w:val="left"/>
      <w:lvlText w:val="•"/>
      <w:numFmt w:val="bullet"/>
      <w:start w:val="1"/>
    </w:lvl>
    <w:lvl w:ilvl="1">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lvl w:ilvl="1">
      <w:lvlJc w:val="left"/>
      <w:lvlText w:val="◦"/>
      <w:numFmt w:val="bullet"/>
      <w:start w:val="1"/>
    </w:lvl>
  </w:abstractNum>
  <w:abstractNum w:abstractNumId="30">
    <w:nsid w:val="2A487CB0"/>
    <w:multiLevelType w:val="hybridMultilevel"/>
    <w:lvl w:ilvl="0">
      <w:lvlJc w:val="left"/>
      <w:lvlText w:val="•"/>
      <w:numFmt w:val="bullet"/>
      <w:start w:val="1"/>
    </w:lvl>
    <w:lvl w:ilvl="1">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lvl w:ilvl="1">
      <w:lvlJc w:val="left"/>
      <w:lvlText w:val="◦"/>
      <w:numFmt w:val="bullet"/>
      <w:start w:val="1"/>
    </w:lvl>
  </w:abstractNum>
  <w:abstractNum w:abstractNumId="34">
    <w:nsid w:val="57E4CCAF"/>
    <w:multiLevelType w:val="hybridMultilevel"/>
    <w:lvl w:ilvl="0">
      <w:lvlJc w:val="left"/>
      <w:lvlText w:val="•"/>
      <w:numFmt w:val="bullet"/>
      <w:start w:val="1"/>
    </w:lvl>
    <w:lvl w:ilvl="1">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lvl w:ilvl="1">
      <w:lvlJc w:val="left"/>
      <w:lvlText w:val="◦"/>
      <w:numFmt w:val="bullet"/>
      <w:start w:val="1"/>
    </w:lvl>
  </w:abstractNum>
  <w:abstractNum w:abstractNumId="43">
    <w:nsid w:val="579478FE"/>
    <w:multiLevelType w:val="hybridMultilevel"/>
    <w:lvl w:ilvl="0">
      <w:lvlJc w:val="left"/>
      <w:lvlText w:val="(%1)"/>
      <w:numFmt w:val="lowerLetter"/>
      <w:start w:val="1"/>
    </w:lvl>
    <w:lvl w:ilvl="1">
      <w:lvlJc w:val="left"/>
      <w:lvlText w:val="•"/>
      <w:numFmt w:val="bullet"/>
      <w:start w:val="1"/>
    </w:lvl>
  </w:abstractNum>
  <w:abstractNum w:abstractNumId="44">
    <w:nsid w:val="749ABB43"/>
    <w:multiLevelType w:val="hybridMultilevel"/>
    <w:lvl w:ilvl="0">
      <w:lvlJc w:val="left"/>
      <w:lvlText w:val="(%1)"/>
      <w:numFmt w:val="lowerLetter"/>
      <w:start w:val="2"/>
    </w:lvl>
    <w:lvl w:ilvl="1">
      <w:lvlJc w:val="left"/>
      <w:lvlText w:val="•"/>
      <w:numFmt w:val="bullet"/>
      <w:start w:val="1"/>
    </w:lvl>
  </w:abstractNum>
  <w:abstractNum w:abstractNumId="45">
    <w:nsid w:val="3DC240FB"/>
    <w:multiLevelType w:val="hybridMultilevel"/>
    <w:lvl w:ilvl="0">
      <w:lvlJc w:val="left"/>
      <w:lvlText w:val="(%1)"/>
      <w:numFmt w:val="lowerLetter"/>
      <w:start w:val="6"/>
    </w:lvl>
    <w:lvl w:ilvl="1">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7"/>
    </w:lvl>
  </w:abstractNum>
  <w:abstractNum w:abstractNumId="53">
    <w:nsid w:val="4F4EF005"/>
    <w:multiLevelType w:val="hybridMultilevel"/>
    <w:lvl w:ilvl="0">
      <w:lvlJc w:val="left"/>
      <w:lvlText w:val="%1."/>
      <w:numFmt w:val="decimal"/>
      <w:start w:val="11"/>
    </w:lvl>
  </w:abstractNum>
  <w:abstractNum w:abstractNumId="54">
    <w:nsid w:val="23F9C13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2020-02-05T05:59:20Z</dcterms:created>
  <dcterms:modified xsi:type="dcterms:W3CDTF">2020-02-05T05:59:20Z</dcterms:modified>
</cp:coreProperties>
</file>