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1"/>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201930</wp:posOffset>
            </wp:positionH>
            <wp:positionV relativeFrom="page">
              <wp:posOffset>292100</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323215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25" w:lineRule="exact"/>
        <w:rPr>
          <w:sz w:val="24"/>
          <w:szCs w:val="24"/>
          <w:color w:val="auto"/>
        </w:rPr>
      </w:pPr>
    </w:p>
    <w:p>
      <w:pPr>
        <w:jc w:val="center"/>
        <w:ind w:right="-621"/>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621"/>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6" w:lineRule="exact"/>
        <w:rPr>
          <w:sz w:val="24"/>
          <w:szCs w:val="24"/>
          <w:color w:val="auto"/>
        </w:rPr>
      </w:pPr>
    </w:p>
    <w:p>
      <w:pPr>
        <w:ind w:left="4522"/>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07" w:lineRule="exact"/>
        <w:rPr>
          <w:sz w:val="24"/>
          <w:szCs w:val="24"/>
          <w:color w:val="auto"/>
        </w:rPr>
      </w:pPr>
    </w:p>
    <w:p>
      <w:pPr>
        <w:jc w:val="center"/>
        <w:ind w:right="-581"/>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w:t>
      </w:r>
    </w:p>
    <w:p>
      <w:pPr>
        <w:spacing w:after="0" w:line="34" w:lineRule="exact"/>
        <w:rPr>
          <w:sz w:val="24"/>
          <w:szCs w:val="24"/>
          <w:color w:val="auto"/>
        </w:rPr>
      </w:pPr>
    </w:p>
    <w:p>
      <w:pPr>
        <w:jc w:val="center"/>
        <w:ind w:right="-621"/>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3" w:lineRule="exact"/>
        <w:rPr>
          <w:sz w:val="24"/>
          <w:szCs w:val="24"/>
          <w:color w:val="auto"/>
        </w:rPr>
      </w:pPr>
    </w:p>
    <w:p>
      <w:pPr>
        <w:jc w:val="center"/>
        <w:ind w:right="-641"/>
        <w:spacing w:after="0"/>
        <w:tabs>
          <w:tab w:leader="none" w:pos="180" w:val="left"/>
        </w:tabs>
        <w:rPr>
          <w:sz w:val="20"/>
          <w:szCs w:val="20"/>
          <w:color w:val="auto"/>
        </w:rPr>
      </w:pPr>
      <w:r>
        <w:rPr>
          <w:rFonts w:ascii="Times New Roman" w:cs="Times New Roman" w:eastAsia="Times New Roman" w:hAnsi="Times New Roman"/>
          <w:sz w:val="16"/>
          <w:szCs w:val="16"/>
          <w:b w:val="1"/>
          <w:bCs w:val="1"/>
          <w:color w:val="auto"/>
        </w:rPr>
        <w:t>(Amendment No.</w:t>
        <w:tab/>
        <w:t>)</w:t>
      </w:r>
    </w:p>
    <w:p>
      <w:pPr>
        <w:spacing w:after="0" w:line="157" w:lineRule="exact"/>
        <w:rPr>
          <w:sz w:val="24"/>
          <w:szCs w:val="24"/>
          <w:color w:val="auto"/>
        </w:rPr>
      </w:pPr>
    </w:p>
    <w:p>
      <w:pPr>
        <w:ind w:left="2"/>
        <w:spacing w:after="0" w:line="215"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Arial Unicode MS" w:cs="Arial Unicode MS" w:eastAsia="Arial Unicode MS" w:hAnsi="Arial Unicode MS"/>
          <w:sz w:val="16"/>
          <w:szCs w:val="16"/>
          <w:color w:val="auto"/>
        </w:rPr>
        <w:t>☒</w:t>
      </w:r>
    </w:p>
    <w:p>
      <w:pPr>
        <w:spacing w:after="0" w:line="180" w:lineRule="exact"/>
        <w:rPr>
          <w:sz w:val="24"/>
          <w:szCs w:val="24"/>
          <w:color w:val="auto"/>
        </w:rPr>
      </w:pPr>
    </w:p>
    <w:p>
      <w:pPr>
        <w:ind w:left="2"/>
        <w:spacing w:after="0" w:line="215" w:lineRule="exact"/>
        <w:rPr>
          <w:sz w:val="20"/>
          <w:szCs w:val="20"/>
          <w:color w:val="auto"/>
        </w:rPr>
      </w:pPr>
      <w:r>
        <w:rPr>
          <w:rFonts w:ascii="Times New Roman" w:cs="Times New Roman" w:eastAsia="Times New Roman" w:hAnsi="Times New Roman"/>
          <w:sz w:val="16"/>
          <w:szCs w:val="16"/>
          <w:color w:val="auto"/>
        </w:rPr>
        <w:t>Filed by a Party other than the Registrant </w:t>
      </w:r>
      <w:r>
        <w:rPr>
          <w:rFonts w:ascii="Arial Unicode MS" w:cs="Arial Unicode MS" w:eastAsia="Arial Unicode MS" w:hAnsi="Arial Unicode MS"/>
          <w:sz w:val="16"/>
          <w:szCs w:val="16"/>
          <w:color w:val="auto"/>
        </w:rPr>
        <w:t>☐</w:t>
      </w:r>
    </w:p>
    <w:p>
      <w:pPr>
        <w:spacing w:after="0" w:line="216"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0622"/>
          </w:cols>
          <w:pgMar w:left="318" w:top="700" w:right="959" w:bottom="1440" w:gutter="0" w:footer="0" w:header="0"/>
        </w:sectPr>
      </w:pPr>
    </w:p>
    <w:p>
      <w:pPr>
        <w:spacing w:after="0" w:line="174" w:lineRule="exact"/>
        <w:rPr>
          <w:sz w:val="24"/>
          <w:szCs w:val="24"/>
          <w:color w:val="auto"/>
        </w:rPr>
      </w:pPr>
    </w:p>
    <w:p>
      <w:pPr>
        <w:ind w:left="2"/>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31" w:lineRule="exact"/>
        <w:rPr>
          <w:sz w:val="24"/>
          <w:szCs w:val="24"/>
          <w:color w:val="auto"/>
        </w:rPr>
      </w:pPr>
    </w:p>
    <w:p>
      <w:pPr>
        <w:ind w:left="2"/>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Preliminary Proxy Statement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hanging="559"/>
        <w:spacing w:after="0" w:line="256"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CONFIDENTIAL, FOR USE OF THE COMMISSION ONLY (AS PERMITTED BY RULE 14A-6(E)(2))</w:t>
      </w:r>
    </w:p>
    <w:p>
      <w:pPr>
        <w:spacing w:after="0" w:line="35" w:lineRule="exact"/>
        <w:rPr>
          <w:sz w:val="24"/>
          <w:szCs w:val="24"/>
          <w:color w:val="auto"/>
        </w:rPr>
      </w:pPr>
    </w:p>
    <w:p>
      <w:pPr>
        <w:sectPr>
          <w:pgSz w:w="11900" w:h="16838" w:orient="portrait"/>
          <w:cols w:equalWidth="0" w:num="3">
            <w:col w:w="142" w:space="420"/>
            <w:col w:w="4920" w:space="720"/>
            <w:col w:w="4420"/>
          </w:cols>
          <w:pgMar w:left="318" w:top="700" w:right="959" w:bottom="1440" w:gutter="0" w:footer="0" w:header="0"/>
          <w:type w:val="continuous"/>
        </w:sectPr>
      </w:pPr>
    </w:p>
    <w:p>
      <w:pPr>
        <w:ind w:left="562" w:hanging="562"/>
        <w:spacing w:after="0" w:line="200" w:lineRule="auto"/>
        <w:tabs>
          <w:tab w:leader="none" w:pos="562"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Additional Materials</w:t>
      </w:r>
    </w:p>
    <w:p>
      <w:pPr>
        <w:ind w:left="562" w:hanging="562"/>
        <w:spacing w:after="0" w:line="227" w:lineRule="auto"/>
        <w:tabs>
          <w:tab w:leader="none" w:pos="562"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151" w:lineRule="exact"/>
        <w:rPr>
          <w:sz w:val="24"/>
          <w:szCs w:val="24"/>
          <w:color w:val="auto"/>
        </w:rPr>
      </w:pPr>
    </w:p>
    <w:p>
      <w:pPr>
        <w:jc w:val="center"/>
        <w:ind w:right="-621"/>
        <w:spacing w:after="0"/>
        <w:rPr>
          <w:sz w:val="20"/>
          <w:szCs w:val="20"/>
          <w:color w:val="auto"/>
        </w:rPr>
      </w:pPr>
      <w:r>
        <w:rPr>
          <w:rFonts w:ascii="Times New Roman" w:cs="Times New Roman" w:eastAsia="Times New Roman" w:hAnsi="Times New Roman"/>
          <w:sz w:val="39"/>
          <w:szCs w:val="39"/>
          <w:b w:val="1"/>
          <w:bCs w:val="1"/>
          <w:color w:val="auto"/>
        </w:rPr>
        <w:t>Humana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47" w:lineRule="exact"/>
        <w:rPr>
          <w:sz w:val="24"/>
          <w:szCs w:val="24"/>
          <w:color w:val="auto"/>
        </w:rPr>
      </w:pPr>
    </w:p>
    <w:p>
      <w:pPr>
        <w:ind w:left="3942"/>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144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389" w:lineRule="exact"/>
        <w:rPr>
          <w:sz w:val="24"/>
          <w:szCs w:val="24"/>
          <w:color w:val="auto"/>
        </w:rPr>
      </w:pPr>
    </w:p>
    <w:p>
      <w:pPr>
        <w:ind w:left="3102"/>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14"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10" w:lineRule="exact"/>
        <w:rPr>
          <w:sz w:val="24"/>
          <w:szCs w:val="24"/>
          <w:color w:val="auto"/>
        </w:rPr>
      </w:pPr>
    </w:p>
    <w:p>
      <w:pPr>
        <w:ind w:left="302" w:hanging="302"/>
        <w:spacing w:after="0"/>
        <w:tabs>
          <w:tab w:leader="none" w:pos="302"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No fee required.</w:t>
      </w:r>
    </w:p>
    <w:p>
      <w:pPr>
        <w:spacing w:after="0" w:line="180" w:lineRule="exact"/>
        <w:rPr>
          <w:sz w:val="24"/>
          <w:szCs w:val="24"/>
          <w:color w:val="auto"/>
        </w:rPr>
      </w:pPr>
    </w:p>
    <w:p>
      <w:pPr>
        <w:ind w:left="302" w:hanging="302"/>
        <w:spacing w:after="0"/>
        <w:tabs>
          <w:tab w:leader="none" w:pos="302" w:val="left"/>
        </w:tabs>
        <w:numPr>
          <w:ilvl w:val="0"/>
          <w:numId w:val="4"/>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below per Exchange Act Rules 14a-6(i)(4) and 0-11.</w:t>
      </w:r>
    </w:p>
    <w:p>
      <w:pPr>
        <w:spacing w:after="0" w:line="179" w:lineRule="exact"/>
        <w:rPr>
          <w:rFonts w:ascii="Arial" w:cs="Arial" w:eastAsia="Arial" w:hAnsi="Arial"/>
          <w:sz w:val="16"/>
          <w:szCs w:val="16"/>
          <w:color w:val="auto"/>
        </w:rPr>
      </w:pPr>
    </w:p>
    <w:p>
      <w:pPr>
        <w:ind w:left="302" w:hanging="302"/>
        <w:spacing w:after="0"/>
        <w:tabs>
          <w:tab w:leader="none" w:pos="302" w:val="left"/>
        </w:tabs>
        <w:numPr>
          <w:ilvl w:val="0"/>
          <w:numId w:val="4"/>
        </w:numPr>
        <w:rPr>
          <w:rFonts w:ascii="Arial" w:cs="Arial" w:eastAsia="Arial" w:hAnsi="Arial"/>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443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71443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554355</wp:posOffset>
            </wp:positionV>
            <wp:extent cx="7144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22"/>
          </w:cols>
          <w:pgMar w:left="318" w:top="700" w:right="959" w:bottom="1440" w:gutter="0" w:footer="0" w:header="0"/>
          <w:type w:val="continuous"/>
        </w:sectPr>
      </w:pPr>
    </w:p>
    <w:bookmarkStart w:id="1" w:name="page2"/>
    <w:bookmarkEnd w:id="1"/>
    <w:p>
      <w:pPr>
        <w:ind w:left="880"/>
        <w:spacing w:after="0"/>
        <w:rPr>
          <w:sz w:val="20"/>
          <w:szCs w:val="20"/>
          <w:color w:val="auto"/>
        </w:rPr>
      </w:pPr>
      <w:r>
        <w:rPr>
          <w:rFonts w:ascii="Times New Roman" w:cs="Times New Roman" w:eastAsia="Times New Roman" w:hAnsi="Times New Roman"/>
          <w:sz w:val="16"/>
          <w:szCs w:val="16"/>
          <w:color w:val="auto"/>
        </w:rPr>
        <w:t>On March 6, 2026, Humana Inc. (the “Company”) made the following communication available to the Company’s employees: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Highlights</w:t>
      </w:r>
    </w:p>
    <w:p>
      <w:pPr>
        <w:spacing w:after="0" w:line="214" w:lineRule="exact"/>
        <w:rPr>
          <w:sz w:val="20"/>
          <w:szCs w:val="20"/>
          <w:color w:val="auto"/>
        </w:rPr>
      </w:pPr>
    </w:p>
    <w:p>
      <w:pPr>
        <w:ind w:left="880" w:hanging="291"/>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have the right to vote on items being presented at our Annual Meeting of Stockholders (the “Annual Meeting”)</w:t>
      </w:r>
    </w:p>
    <w:p>
      <w:pPr>
        <w:spacing w:after="0" w:line="209" w:lineRule="exact"/>
        <w:rPr>
          <w:rFonts w:ascii="Times New Roman" w:cs="Times New Roman" w:eastAsia="Times New Roman" w:hAnsi="Times New Roman"/>
          <w:sz w:val="16"/>
          <w:szCs w:val="16"/>
          <w:color w:val="auto"/>
        </w:rPr>
      </w:pPr>
    </w:p>
    <w:p>
      <w:pPr>
        <w:ind w:left="880" w:right="720" w:hanging="291"/>
        <w:spacing w:after="0" w:line="296"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Meeting is scheduled for April 16, 2026 at 1:00 p.m. Eastern Time, and will be held via a live audio webcast accessible at: www.virtualshareholdermeeting.com/HUM2026</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Exercise your voting privilege as a Humana stockholder</w:t>
      </w:r>
    </w:p>
    <w:p>
      <w:pPr>
        <w:spacing w:after="0" w:line="214" w:lineRule="exact"/>
        <w:rPr>
          <w:sz w:val="20"/>
          <w:szCs w:val="20"/>
          <w:color w:val="auto"/>
        </w:rPr>
      </w:pPr>
    </w:p>
    <w:p>
      <w:pPr>
        <w:jc w:val="both"/>
        <w:ind w:firstLine="886"/>
        <w:spacing w:after="0" w:line="276" w:lineRule="auto"/>
        <w:rPr>
          <w:sz w:val="20"/>
          <w:szCs w:val="20"/>
          <w:color w:val="auto"/>
        </w:rPr>
      </w:pPr>
      <w:r>
        <w:rPr>
          <w:rFonts w:ascii="Times New Roman" w:cs="Times New Roman" w:eastAsia="Times New Roman" w:hAnsi="Times New Roman"/>
          <w:sz w:val="16"/>
          <w:szCs w:val="16"/>
          <w:color w:val="auto"/>
        </w:rPr>
        <w:t>Humana associates who participate in our Company’s Retirement Savings Plan 401(k) and have invested funds in the Humana Common Stock Fund have the right to vote on items being presented at this year’s Annual Meeting, scheduled for April 16, 2026. You may submit one vote for each share held in your Humana Common Stock account as of February 27, 2026, the record date for this Annual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documents do you need to vote?</w:t>
      </w:r>
    </w:p>
    <w:p>
      <w:pPr>
        <w:spacing w:after="0" w:line="214" w:lineRule="exact"/>
        <w:rPr>
          <w:sz w:val="20"/>
          <w:szCs w:val="20"/>
          <w:color w:val="auto"/>
        </w:rPr>
      </w:pPr>
    </w:p>
    <w:p>
      <w:pPr>
        <w:ind w:firstLine="886"/>
        <w:spacing w:after="0" w:line="276" w:lineRule="auto"/>
        <w:rPr>
          <w:sz w:val="20"/>
          <w:szCs w:val="20"/>
          <w:color w:val="auto"/>
        </w:rPr>
      </w:pPr>
      <w:r>
        <w:rPr>
          <w:rFonts w:ascii="Times New Roman" w:cs="Times New Roman" w:eastAsia="Times New Roman" w:hAnsi="Times New Roman"/>
          <w:sz w:val="16"/>
          <w:szCs w:val="16"/>
          <w:color w:val="auto"/>
        </w:rPr>
        <w:t>Every year, Humana produces a document - the proxy statement - that details all of the information the Company’s stockholders need in order to make informed votes. The proxy becomes available to stockholders and the public after Humana files it with the federal Securities and Exchange Commission on March 6, 2026. In order to vote, you must also receive an official “voting card.”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When will you receive the proxy statement and voting card?</w:t>
      </w:r>
    </w:p>
    <w:p>
      <w:pPr>
        <w:spacing w:after="0" w:line="214" w:lineRule="exact"/>
        <w:rPr>
          <w:sz w:val="20"/>
          <w:szCs w:val="20"/>
          <w:color w:val="auto"/>
        </w:rPr>
      </w:pPr>
    </w:p>
    <w:p>
      <w:pPr>
        <w:ind w:right="300" w:firstLine="886"/>
        <w:spacing w:after="0" w:line="270" w:lineRule="auto"/>
        <w:rPr>
          <w:sz w:val="20"/>
          <w:szCs w:val="20"/>
          <w:color w:val="auto"/>
        </w:rPr>
      </w:pPr>
      <w:r>
        <w:rPr>
          <w:rFonts w:ascii="Times New Roman" w:cs="Times New Roman" w:eastAsia="Times New Roman" w:hAnsi="Times New Roman"/>
          <w:sz w:val="16"/>
          <w:szCs w:val="16"/>
          <w:color w:val="auto"/>
        </w:rPr>
        <w:t xml:space="preserve">Starting March 6, 2026, all stockholders who have (recently or in prior years) successfully submitted electronic requests for a proxy statement and voting card will then receive - via the e-mail address you designated during the online-registration process - a proxy statement and voting card. (Please watch for e-mail from </w:t>
      </w:r>
      <w:r>
        <w:rPr>
          <w:rFonts w:ascii="Times New Roman" w:cs="Times New Roman" w:eastAsia="Times New Roman" w:hAnsi="Times New Roman"/>
          <w:sz w:val="16"/>
          <w:szCs w:val="16"/>
          <w:u w:val="single" w:color="auto"/>
          <w:color w:val="auto"/>
        </w:rPr>
        <w:t>ID@ProxyVote.com</w:t>
      </w:r>
      <w:r>
        <w:rPr>
          <w:rFonts w:ascii="Times New Roman" w:cs="Times New Roman" w:eastAsia="Times New Roman" w:hAnsi="Times New Roman"/>
          <w:sz w:val="16"/>
          <w:szCs w:val="16"/>
          <w:color w:val="auto"/>
        </w:rPr>
        <w:t>.) If you did not sign up for electronic delivery of these materials, you’ll receive a “Notice and Access Card” in the mail at home regarding the material.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When can participants in the Humana Retirement Savings Plan vote?</w:t>
      </w:r>
    </w:p>
    <w:p>
      <w:pPr>
        <w:spacing w:after="0" w:line="214" w:lineRule="exact"/>
        <w:rPr>
          <w:sz w:val="20"/>
          <w:szCs w:val="20"/>
          <w:color w:val="auto"/>
        </w:rPr>
      </w:pPr>
    </w:p>
    <w:p>
      <w:pPr>
        <w:ind w:firstLine="886"/>
        <w:spacing w:after="0" w:line="266" w:lineRule="auto"/>
        <w:rPr>
          <w:sz w:val="20"/>
          <w:szCs w:val="20"/>
          <w:color w:val="auto"/>
        </w:rPr>
      </w:pPr>
      <w:r>
        <w:rPr>
          <w:rFonts w:ascii="Times New Roman" w:cs="Times New Roman" w:eastAsia="Times New Roman" w:hAnsi="Times New Roman"/>
          <w:sz w:val="16"/>
          <w:szCs w:val="16"/>
          <w:color w:val="auto"/>
        </w:rPr>
        <w:t>If you wish to vote, you may do so AFTER you receive your voting card. You then must vote BEFORE 11:59 p.m., EDT on Wednesday, April 8, 2026, through Humana’s Retirement Savings Plan Trustee - Charles Schwab - with Broadridge acting as tabulator. If your voting instructions are received by 11:59 p.m. EDT on Wednesday, April 8, 2026, the Trustee will submit a proxy that reflects your instructions. If you do not give voting instructions (or give them late), the Trustee will vote your interest in the Humana Common Stock Fund in the same proportion as the shares attributed to the Humana Retirement Savings Plan actually voted. Humana’s Annual Meeting will be held on April 16,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Whom do you contact for answers to your stockholder-voting-process questions?</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If you have any questions, please contact Valerie M. Talkers, Corporate Secretary via email at CorporateSecretary@humana.com.</w:t>
      </w:r>
    </w:p>
    <w:p>
      <w:pPr>
        <w:spacing w:after="0" w:line="210"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On March 6, 2026, the Company distributed the following “Notice Regarding the Availability of Proxy Materials” to its stockholders as of the record date of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363220</wp:posOffset>
            </wp:positionV>
            <wp:extent cx="7144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382270</wp:posOffset>
            </wp:positionH>
            <wp:positionV relativeFrom="page">
              <wp:posOffset>433070</wp:posOffset>
            </wp:positionV>
            <wp:extent cx="6776720" cy="893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6720" cy="8934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389890</wp:posOffset>
            </wp:positionH>
            <wp:positionV relativeFrom="page">
              <wp:posOffset>88900</wp:posOffset>
            </wp:positionV>
            <wp:extent cx="6769100" cy="8934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9100" cy="8934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2026-03-06T06:34:46Z</dcterms:created>
  <dcterms:modified xsi:type="dcterms:W3CDTF">2026-03-06T06:34:46Z</dcterms:modified>
</cp:coreProperties>
</file>