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398145</wp:posOffset>
            </wp:positionH>
            <wp:positionV relativeFrom="page">
              <wp:posOffset>722630</wp:posOffset>
            </wp:positionV>
            <wp:extent cx="6760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0845" cy="8255"/>
                    </a:xfrm>
                    <a:prstGeom prst="rect">
                      <a:avLst/>
                    </a:prstGeom>
                    <a:noFill/>
                  </pic:spPr>
                </pic:pic>
              </a:graphicData>
            </a:graphic>
          </wp:anchor>
        </w:drawing>
        <w:drawing>
          <wp:anchor simplePos="0" relativeHeight="251657728" behindDoc="1" locked="0" layoutInCell="0" allowOverlap="1">
            <wp:simplePos x="0" y="0"/>
            <wp:positionH relativeFrom="page">
              <wp:posOffset>398145</wp:posOffset>
            </wp:positionH>
            <wp:positionV relativeFrom="page">
              <wp:posOffset>638810</wp:posOffset>
            </wp:positionV>
            <wp:extent cx="6760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084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1920875</wp:posOffset>
            </wp:positionH>
            <wp:positionV relativeFrom="paragraph">
              <wp:posOffset>-223520</wp:posOffset>
            </wp:positionV>
            <wp:extent cx="3301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1365" cy="8255"/>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309245</wp:posOffset>
            </wp:positionV>
            <wp:extent cx="3301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13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April 29, 2020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1845310</wp:posOffset>
            </wp:positionH>
            <wp:positionV relativeFrom="paragraph">
              <wp:posOffset>187325</wp:posOffset>
            </wp:positionV>
            <wp:extent cx="3459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Humana Inc.</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105410</wp:posOffset>
            </wp:positionV>
            <wp:extent cx="3434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4715"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318" w:lineRule="exact"/>
        <w:rPr>
          <w:sz w:val="24"/>
          <w:szCs w:val="24"/>
          <w:color w:val="auto"/>
        </w:rPr>
      </w:pPr>
    </w:p>
    <w:p>
      <w:pPr>
        <w:ind w:left="19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1-5975</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61-0647538</w:t>
      </w:r>
    </w:p>
    <w:p>
      <w:pPr>
        <w:spacing w:after="0" w:line="74" w:lineRule="exact"/>
        <w:rPr>
          <w:sz w:val="24"/>
          <w:szCs w:val="24"/>
          <w:color w:val="auto"/>
        </w:rPr>
      </w:pPr>
    </w:p>
    <w:p>
      <w:pPr>
        <w:sectPr>
          <w:pgSz w:w="11900" w:h="16838" w:orient="portrait"/>
          <w:cols w:equalWidth="0" w:num="3">
            <w:col w:w="4720" w:space="720"/>
            <w:col w:w="2380" w:space="720"/>
            <w:col w:w="2700"/>
          </w:cols>
          <w:pgMar w:left="320" w:top="1188" w:right="33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60" w:space="720"/>
            <w:col w:w="2360" w:space="720"/>
            <w:col w:w="3280"/>
          </w:cols>
          <w:pgMar w:left="320" w:top="1188" w:right="339" w:bottom="144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500 West Main Street Louisville, KY 40202</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40"/>
          </w:cols>
          <w:pgMar w:left="320" w:top="1188"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502-580-1000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1845310</wp:posOffset>
            </wp:positionH>
            <wp:positionV relativeFrom="paragraph">
              <wp:posOffset>170815</wp:posOffset>
            </wp:positionV>
            <wp:extent cx="3459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54" w:lineRule="exact"/>
        <w:rPr>
          <w:sz w:val="24"/>
          <w:szCs w:val="24"/>
          <w:color w:val="auto"/>
        </w:rPr>
      </w:pPr>
    </w:p>
    <w:p>
      <w:pPr>
        <w:ind w:right="26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29" w:lineRule="exact"/>
        <w:rPr>
          <w:sz w:val="24"/>
          <w:szCs w:val="24"/>
          <w:color w:val="auto"/>
        </w:rPr>
      </w:pPr>
    </w:p>
    <w:p>
      <w:pPr>
        <w:ind w:left="500" w:hanging="46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6" w:lineRule="exact"/>
        <w:rPr>
          <w:rFonts w:ascii="MS PGothic" w:cs="MS PGothic" w:eastAsia="MS PGothic" w:hAnsi="MS PGothic"/>
          <w:sz w:val="18"/>
          <w:szCs w:val="18"/>
          <w:color w:val="auto"/>
        </w:rPr>
      </w:pPr>
    </w:p>
    <w:p>
      <w:pPr>
        <w:ind w:left="500" w:hanging="46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6" w:lineRule="exact"/>
        <w:rPr>
          <w:rFonts w:ascii="MS PGothic" w:cs="MS PGothic" w:eastAsia="MS PGothic" w:hAnsi="MS PGothic"/>
          <w:sz w:val="18"/>
          <w:szCs w:val="18"/>
          <w:color w:val="auto"/>
        </w:rPr>
      </w:pPr>
    </w:p>
    <w:p>
      <w:pPr>
        <w:ind w:left="500" w:hanging="46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9" w:lineRule="exact"/>
        <w:rPr>
          <w:rFonts w:ascii="MS PGothic" w:cs="MS PGothic" w:eastAsia="MS PGothic" w:hAnsi="MS PGothic"/>
          <w:sz w:val="18"/>
          <w:szCs w:val="18"/>
          <w:color w:val="auto"/>
        </w:rPr>
      </w:pPr>
    </w:p>
    <w:p>
      <w:pPr>
        <w:ind w:right="2940" w:firstLine="31"/>
        <w:spacing w:after="0" w:line="463"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52"/>
        </w:trPr>
        <w:tc>
          <w:tcPr>
            <w:tcW w:w="4160" w:type="dxa"/>
            <w:vAlign w:val="bottom"/>
            <w:tcBorders>
              <w:top w:val="single" w:sz="8" w:color="auto"/>
              <w:left w:val="single" w:sz="8" w:color="auto"/>
              <w:right w:val="single" w:sz="8" w:color="auto"/>
            </w:tcBorders>
            <w:gridSpan w:val="3"/>
          </w:tcPr>
          <w:p>
            <w:pPr>
              <w:jc w:val="center"/>
              <w:spacing w:after="0" w:line="152" w:lineRule="exact"/>
              <w:rPr>
                <w:sz w:val="20"/>
                <w:szCs w:val="20"/>
                <w:color w:val="auto"/>
              </w:rPr>
            </w:pPr>
            <w:r>
              <w:rPr>
                <w:rFonts w:ascii="Arial" w:cs="Arial" w:eastAsia="Arial" w:hAnsi="Arial"/>
                <w:sz w:val="14"/>
                <w:szCs w:val="14"/>
                <w:b w:val="1"/>
                <w:bCs w:val="1"/>
                <w:color w:val="auto"/>
                <w:w w:val="86"/>
              </w:rPr>
              <w:t>Title of each class</w:t>
            </w:r>
          </w:p>
        </w:tc>
        <w:tc>
          <w:tcPr>
            <w:tcW w:w="840" w:type="dxa"/>
            <w:vAlign w:val="bottom"/>
            <w:tcBorders>
              <w:top w:val="single" w:sz="8" w:color="auto"/>
            </w:tcBorders>
          </w:tcPr>
          <w:p>
            <w:pPr>
              <w:spacing w:after="0"/>
              <w:rPr>
                <w:sz w:val="13"/>
                <w:szCs w:val="13"/>
                <w:color w:val="auto"/>
              </w:rPr>
            </w:pPr>
          </w:p>
        </w:tc>
        <w:tc>
          <w:tcPr>
            <w:tcW w:w="1980" w:type="dxa"/>
            <w:vAlign w:val="bottom"/>
            <w:tcBorders>
              <w:top w:val="single" w:sz="8" w:color="auto"/>
              <w:right w:val="single" w:sz="8" w:color="auto"/>
            </w:tcBorders>
            <w:gridSpan w:val="2"/>
          </w:tcPr>
          <w:p>
            <w:pPr>
              <w:jc w:val="center"/>
              <w:ind w:right="860"/>
              <w:spacing w:after="0" w:line="152" w:lineRule="exact"/>
              <w:rPr>
                <w:sz w:val="20"/>
                <w:szCs w:val="20"/>
                <w:color w:val="auto"/>
              </w:rPr>
            </w:pPr>
            <w:r>
              <w:rPr>
                <w:rFonts w:ascii="Arial" w:cs="Arial" w:eastAsia="Arial" w:hAnsi="Arial"/>
                <w:sz w:val="14"/>
                <w:szCs w:val="14"/>
                <w:b w:val="1"/>
                <w:bCs w:val="1"/>
                <w:color w:val="auto"/>
                <w:w w:val="91"/>
              </w:rPr>
              <w:t>Trading Symbol(s)</w:t>
            </w:r>
          </w:p>
        </w:tc>
        <w:tc>
          <w:tcPr>
            <w:tcW w:w="4240" w:type="dxa"/>
            <w:vAlign w:val="bottom"/>
            <w:tcBorders>
              <w:top w:val="single" w:sz="8" w:color="auto"/>
              <w:right w:val="single" w:sz="8" w:color="auto"/>
            </w:tcBorders>
            <w:gridSpan w:val="3"/>
          </w:tcPr>
          <w:p>
            <w:pPr>
              <w:jc w:val="center"/>
              <w:ind w:right="20"/>
              <w:spacing w:after="0" w:line="152" w:lineRule="exact"/>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
        </w:trPr>
        <w:tc>
          <w:tcPr>
            <w:tcW w:w="156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247"/>
        </w:trPr>
        <w:tc>
          <w:tcPr>
            <w:tcW w:w="41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9"/>
                <w:szCs w:val="19"/>
                <w:color w:val="auto"/>
                <w:w w:val="92"/>
              </w:rPr>
              <w:t>Common Stock</w:t>
            </w:r>
          </w:p>
        </w:tc>
        <w:tc>
          <w:tcPr>
            <w:tcW w:w="840" w:type="dxa"/>
            <w:vAlign w:val="bottom"/>
          </w:tcPr>
          <w:p>
            <w:pPr>
              <w:spacing w:after="0"/>
              <w:rPr>
                <w:sz w:val="21"/>
                <w:szCs w:val="21"/>
                <w:color w:val="auto"/>
              </w:rPr>
            </w:pPr>
          </w:p>
        </w:tc>
        <w:tc>
          <w:tcPr>
            <w:tcW w:w="198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9"/>
                <w:szCs w:val="19"/>
                <w:color w:val="auto"/>
              </w:rPr>
              <w:t>HUM</w:t>
            </w:r>
          </w:p>
        </w:tc>
        <w:tc>
          <w:tcPr>
            <w:tcW w:w="820" w:type="dxa"/>
            <w:vAlign w:val="bottom"/>
          </w:tcPr>
          <w:p>
            <w:pPr>
              <w:spacing w:after="0"/>
              <w:rPr>
                <w:sz w:val="21"/>
                <w:szCs w:val="21"/>
                <w:color w:val="auto"/>
              </w:rPr>
            </w:pPr>
          </w:p>
        </w:tc>
        <w:tc>
          <w:tcPr>
            <w:tcW w:w="342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9"/>
                <w:szCs w:val="19"/>
                <w:color w:val="auto"/>
                <w:w w:val="92"/>
              </w:rPr>
              <w:t>New York Stock Exchange</w:t>
            </w:r>
          </w:p>
        </w:tc>
      </w:tr>
      <w:tr>
        <w:trPr>
          <w:trHeight w:val="21"/>
        </w:trPr>
        <w:tc>
          <w:tcPr>
            <w:tcW w:w="156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bl>
    <w:p>
      <w:pPr>
        <w:ind w:right="4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1"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19" w:lineRule="exact"/>
        <w:rPr>
          <w:sz w:val="20"/>
          <w:szCs w:val="20"/>
          <w:color w:val="auto"/>
        </w:rPr>
      </w:pPr>
    </w:p>
    <w:p>
      <w:pPr>
        <w:jc w:val="both"/>
        <w:ind w:right="100" w:firstLine="420"/>
        <w:spacing w:after="0" w:line="298" w:lineRule="auto"/>
        <w:rPr>
          <w:sz w:val="20"/>
          <w:szCs w:val="20"/>
          <w:color w:val="auto"/>
        </w:rPr>
      </w:pPr>
      <w:r>
        <w:rPr>
          <w:rFonts w:ascii="Arial" w:cs="Arial" w:eastAsia="Arial" w:hAnsi="Arial"/>
          <w:sz w:val="16"/>
          <w:szCs w:val="16"/>
          <w:color w:val="auto"/>
        </w:rPr>
        <w:t xml:space="preserve">Humana Inc. (the "Company") issued a press release this morning reporting financial results for the quarter ended March 31, 2020, and posted a detailed earnings release related to the same period to the Investor Relations portion of the Company’s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A copy of each release is attached hereto as Exhibit 99.1 and Exhibit 99.2, respectively, and each release is incorporated herein by reference.</w:t>
      </w:r>
    </w:p>
    <w:p>
      <w:pPr>
        <w:spacing w:after="0" w:line="200" w:lineRule="exact"/>
        <w:rPr>
          <w:sz w:val="20"/>
          <w:szCs w:val="20"/>
          <w:color w:val="auto"/>
        </w:rPr>
      </w:pPr>
    </w:p>
    <w:p>
      <w:pPr>
        <w:spacing w:after="0" w:line="3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02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352"/>
        </w:trPr>
        <w:tc>
          <w:tcPr>
            <w:tcW w:w="1040" w:type="dxa"/>
            <w:vAlign w:val="bottom"/>
          </w:tcPr>
          <w:p>
            <w:pPr>
              <w:ind w:left="40"/>
              <w:spacing w:after="0"/>
              <w:rPr>
                <w:sz w:val="20"/>
                <w:szCs w:val="20"/>
                <w:color w:val="auto"/>
              </w:rPr>
            </w:pPr>
            <w:r>
              <w:rPr>
                <w:rFonts w:ascii="Arial" w:cs="Arial" w:eastAsia="Arial" w:hAnsi="Arial"/>
                <w:sz w:val="18"/>
                <w:szCs w:val="18"/>
                <w:color w:val="auto"/>
              </w:rPr>
              <w:t>99.1</w:t>
            </w:r>
          </w:p>
        </w:tc>
        <w:tc>
          <w:tcPr>
            <w:tcW w:w="10200" w:type="dxa"/>
            <w:vAlign w:val="bottom"/>
          </w:tcPr>
          <w:p>
            <w:pPr>
              <w:ind w:left="3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w:t>
              </w:r>
            </w:hyperlink>
          </w:p>
        </w:tc>
      </w:tr>
      <w:tr>
        <w:trPr>
          <w:trHeight w:val="381"/>
        </w:trPr>
        <w:tc>
          <w:tcPr>
            <w:tcW w:w="1040" w:type="dxa"/>
            <w:vAlign w:val="bottom"/>
          </w:tcPr>
          <w:p>
            <w:pPr>
              <w:ind w:left="40"/>
              <w:spacing w:after="0"/>
              <w:rPr>
                <w:sz w:val="20"/>
                <w:szCs w:val="20"/>
                <w:color w:val="auto"/>
              </w:rPr>
            </w:pPr>
            <w:r>
              <w:rPr>
                <w:rFonts w:ascii="Arial" w:cs="Arial" w:eastAsia="Arial" w:hAnsi="Arial"/>
                <w:sz w:val="18"/>
                <w:szCs w:val="18"/>
                <w:color w:val="auto"/>
              </w:rPr>
              <w:t>99.2</w:t>
            </w:r>
          </w:p>
        </w:tc>
        <w:tc>
          <w:tcPr>
            <w:tcW w:w="10200" w:type="dxa"/>
            <w:vAlign w:val="bottom"/>
          </w:tcPr>
          <w:p>
            <w:pPr>
              <w:ind w:left="34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Earnings Release and Statistical Pages</w:t>
              </w:r>
            </w:hyperlink>
          </w:p>
        </w:tc>
      </w:tr>
      <w:tr>
        <w:trPr>
          <w:trHeight w:val="420"/>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0200" w:type="dxa"/>
            <w:vAlign w:val="bottom"/>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7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right="700" w:firstLine="42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HUMANA INC.</w:t>
      </w:r>
    </w:p>
    <w:p>
      <w:pPr>
        <w:spacing w:after="0" w:line="371" w:lineRule="exact"/>
        <w:rPr>
          <w:sz w:val="20"/>
          <w:szCs w:val="20"/>
          <w:color w:val="auto"/>
        </w:rPr>
      </w:pPr>
    </w:p>
    <w:tbl>
      <w:tblPr>
        <w:tblLayout w:type="fixed"/>
        <w:tblInd w:w="480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/s/ Cynthia H. Zipperle</w:t>
            </w:r>
          </w:p>
        </w:tc>
      </w:tr>
      <w:tr>
        <w:trPr>
          <w:trHeight w:val="27"/>
        </w:trPr>
        <w:tc>
          <w:tcPr>
            <w:tcW w:w="8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29"/>
        </w:trPr>
        <w:tc>
          <w:tcPr>
            <w:tcW w:w="880" w:type="dxa"/>
            <w:vAlign w:val="bottom"/>
          </w:tcPr>
          <w:p>
            <w:pPr>
              <w:spacing w:after="0"/>
              <w:rPr>
                <w:sz w:val="19"/>
                <w:szCs w:val="19"/>
                <w:color w:val="auto"/>
              </w:rPr>
            </w:pPr>
          </w:p>
        </w:tc>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Cynthia H. Zipperle</w:t>
            </w:r>
          </w:p>
        </w:tc>
      </w:tr>
      <w:tr>
        <w:trPr>
          <w:trHeight w:val="263"/>
        </w:trPr>
        <w:tc>
          <w:tcPr>
            <w:tcW w:w="880" w:type="dxa"/>
            <w:vAlign w:val="bottom"/>
          </w:tcPr>
          <w:p>
            <w:pPr>
              <w:spacing w:after="0"/>
              <w:rPr>
                <w:sz w:val="22"/>
                <w:szCs w:val="22"/>
                <w:color w:val="auto"/>
              </w:rPr>
            </w:pPr>
          </w:p>
        </w:tc>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Senior Vice President, Chief Accounting Officer and Controller</w:t>
            </w:r>
          </w:p>
        </w:tc>
      </w:tr>
      <w:tr>
        <w:trPr>
          <w:trHeight w:val="263"/>
        </w:trPr>
        <w:tc>
          <w:tcPr>
            <w:tcW w:w="880" w:type="dxa"/>
            <w:vAlign w:val="bottom"/>
          </w:tcPr>
          <w:p>
            <w:pPr>
              <w:spacing w:after="0"/>
              <w:rPr>
                <w:sz w:val="22"/>
                <w:szCs w:val="22"/>
                <w:color w:val="auto"/>
              </w:rPr>
            </w:pPr>
          </w:p>
        </w:tc>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2020</w:t>
      </w:r>
    </w:p>
    <w:p>
      <w:pPr>
        <w:sectPr>
          <w:pgSz w:w="11900" w:h="16838" w:orient="portrait"/>
          <w:cols w:equalWidth="0" w:num="1">
            <w:col w:w="11240"/>
          </w:cols>
          <w:pgMar w:left="320" w:top="75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660" w:type="dxa"/>
            <w:vAlign w:val="bottom"/>
            <w:gridSpan w:val="4"/>
          </w:tcPr>
          <w:p>
            <w:pPr>
              <w:ind w:left="340"/>
              <w:spacing w:after="0"/>
              <w:rPr>
                <w:sz w:val="20"/>
                <w:szCs w:val="20"/>
                <w:color w:val="auto"/>
              </w:rPr>
            </w:pPr>
            <w:r>
              <w:rPr>
                <w:rFonts w:ascii="Arial" w:cs="Arial" w:eastAsia="Arial" w:hAnsi="Arial"/>
                <w:sz w:val="26"/>
                <w:szCs w:val="26"/>
                <w:b w:val="1"/>
                <w:bCs w:val="1"/>
                <w:color w:val="auto"/>
              </w:rPr>
              <w:t xml:space="preserve">n e w s </w:t>
            </w:r>
            <w:r>
              <w:rPr>
                <w:rFonts w:ascii="Arial" w:cs="Arial" w:eastAsia="Arial" w:hAnsi="Arial"/>
                <w:sz w:val="26"/>
                <w:szCs w:val="26"/>
                <w:color w:val="auto"/>
              </w:rPr>
              <w:t>r e l e a s e</w:t>
            </w:r>
          </w:p>
        </w:tc>
        <w:tc>
          <w:tcPr>
            <w:tcW w:w="4280" w:type="dxa"/>
            <w:vAlign w:val="bottom"/>
            <w:gridSpan w:val="2"/>
          </w:tcPr>
          <w:p>
            <w:pPr>
              <w:ind w:left="2240"/>
              <w:spacing w:after="0"/>
              <w:rPr>
                <w:sz w:val="20"/>
                <w:szCs w:val="20"/>
                <w:color w:val="auto"/>
              </w:rPr>
            </w:pPr>
            <w:r>
              <w:rPr>
                <w:rFonts w:ascii="Arial" w:cs="Arial" w:eastAsia="Arial" w:hAnsi="Arial"/>
                <w:sz w:val="19"/>
                <w:szCs w:val="19"/>
                <w:color w:val="auto"/>
              </w:rPr>
              <w:t>Humana Inc.</w:t>
            </w:r>
          </w:p>
        </w:tc>
      </w:tr>
      <w:tr>
        <w:trPr>
          <w:trHeight w:val="180"/>
        </w:trPr>
        <w:tc>
          <w:tcPr>
            <w:tcW w:w="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280" w:type="dxa"/>
            <w:vAlign w:val="bottom"/>
            <w:gridSpan w:val="2"/>
          </w:tcPr>
          <w:p>
            <w:pPr>
              <w:ind w:left="2240"/>
              <w:spacing w:after="0" w:line="181" w:lineRule="exact"/>
              <w:rPr>
                <w:sz w:val="20"/>
                <w:szCs w:val="20"/>
                <w:color w:val="auto"/>
              </w:rPr>
            </w:pPr>
            <w:r>
              <w:rPr>
                <w:rFonts w:ascii="Arial" w:cs="Arial" w:eastAsia="Arial" w:hAnsi="Arial"/>
                <w:sz w:val="19"/>
                <w:szCs w:val="19"/>
                <w:color w:val="auto"/>
              </w:rPr>
              <w:t>500 West Main Street</w:t>
            </w:r>
          </w:p>
        </w:tc>
      </w:tr>
      <w:tr>
        <w:trPr>
          <w:trHeight w:val="210"/>
        </w:trPr>
        <w:tc>
          <w:tcPr>
            <w:tcW w:w="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280" w:type="dxa"/>
            <w:vAlign w:val="bottom"/>
            <w:gridSpan w:val="2"/>
          </w:tcPr>
          <w:p>
            <w:pPr>
              <w:ind w:left="2240"/>
              <w:spacing w:after="0" w:line="210" w:lineRule="exact"/>
              <w:rPr>
                <w:sz w:val="20"/>
                <w:szCs w:val="20"/>
                <w:color w:val="auto"/>
              </w:rPr>
            </w:pPr>
            <w:r>
              <w:rPr>
                <w:rFonts w:ascii="Arial" w:cs="Arial" w:eastAsia="Arial" w:hAnsi="Arial"/>
                <w:sz w:val="19"/>
                <w:szCs w:val="19"/>
                <w:color w:val="auto"/>
              </w:rPr>
              <w:t>P.O. Box 1438</w:t>
            </w:r>
          </w:p>
        </w:tc>
      </w:tr>
      <w:tr>
        <w:trPr>
          <w:trHeight w:val="210"/>
        </w:trPr>
        <w:tc>
          <w:tcPr>
            <w:tcW w:w="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280" w:type="dxa"/>
            <w:vAlign w:val="bottom"/>
            <w:gridSpan w:val="2"/>
          </w:tcPr>
          <w:p>
            <w:pPr>
              <w:ind w:left="2240"/>
              <w:spacing w:after="0" w:line="210" w:lineRule="exact"/>
              <w:rPr>
                <w:sz w:val="20"/>
                <w:szCs w:val="20"/>
                <w:color w:val="auto"/>
              </w:rPr>
            </w:pPr>
            <w:r>
              <w:rPr>
                <w:rFonts w:ascii="Arial" w:cs="Arial" w:eastAsia="Arial" w:hAnsi="Arial"/>
                <w:sz w:val="19"/>
                <w:szCs w:val="19"/>
                <w:color w:val="auto"/>
              </w:rPr>
              <w:t>Louisville, KY 40202</w:t>
            </w:r>
          </w:p>
        </w:tc>
      </w:tr>
      <w:tr>
        <w:trPr>
          <w:trHeight w:val="187"/>
        </w:trPr>
        <w:tc>
          <w:tcPr>
            <w:tcW w:w="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280" w:type="dxa"/>
            <w:vAlign w:val="bottom"/>
            <w:gridSpan w:val="2"/>
          </w:tcPr>
          <w:p>
            <w:pPr>
              <w:ind w:left="2240"/>
              <w:spacing w:after="0" w:line="187" w:lineRule="exact"/>
              <w:rPr>
                <w:sz w:val="20"/>
                <w:szCs w:val="20"/>
                <w:color w:val="auto"/>
              </w:rPr>
            </w:pPr>
            <w:r>
              <w:rPr>
                <w:rFonts w:ascii="Arial" w:cs="Arial" w:eastAsia="Arial" w:hAnsi="Arial"/>
                <w:sz w:val="19"/>
                <w:szCs w:val="19"/>
                <w:color w:val="auto"/>
                <w:w w:val="99"/>
              </w:rPr>
              <w:t>http://www.humana.com</w:t>
            </w:r>
          </w:p>
        </w:tc>
      </w:tr>
      <w:tr>
        <w:trPr>
          <w:trHeight w:val="261"/>
        </w:trPr>
        <w:tc>
          <w:tcPr>
            <w:tcW w:w="5660" w:type="dxa"/>
            <w:vAlign w:val="bottom"/>
            <w:gridSpan w:val="4"/>
          </w:tcPr>
          <w:p>
            <w:pPr>
              <w:spacing w:after="0"/>
              <w:rPr>
                <w:sz w:val="20"/>
                <w:szCs w:val="20"/>
                <w:color w:val="auto"/>
              </w:rPr>
            </w:pPr>
            <w:r>
              <w:rPr>
                <w:rFonts w:ascii="Arial" w:cs="Arial" w:eastAsia="Arial" w:hAnsi="Arial"/>
                <w:sz w:val="19"/>
                <w:szCs w:val="19"/>
                <w:color w:val="auto"/>
              </w:rPr>
              <w:t>FOR MORE INFORMATION CONTACT:</w:t>
            </w:r>
          </w:p>
        </w:tc>
        <w:tc>
          <w:tcPr>
            <w:tcW w:w="224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r>
      <w:tr>
        <w:trPr>
          <w:trHeight w:val="372"/>
        </w:trPr>
        <w:tc>
          <w:tcPr>
            <w:tcW w:w="5660" w:type="dxa"/>
            <w:vAlign w:val="bottom"/>
            <w:gridSpan w:val="4"/>
          </w:tcPr>
          <w:p>
            <w:pPr>
              <w:ind w:left="40"/>
              <w:spacing w:after="0"/>
              <w:rPr>
                <w:sz w:val="20"/>
                <w:szCs w:val="20"/>
                <w:color w:val="auto"/>
              </w:rPr>
            </w:pPr>
            <w:r>
              <w:rPr>
                <w:rFonts w:ascii="Arial" w:cs="Arial" w:eastAsia="Arial" w:hAnsi="Arial"/>
                <w:sz w:val="19"/>
                <w:szCs w:val="19"/>
                <w:color w:val="auto"/>
              </w:rPr>
              <w:t>Amy Smith</w:t>
            </w: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0"/>
        </w:trPr>
        <w:tc>
          <w:tcPr>
            <w:tcW w:w="5660" w:type="dxa"/>
            <w:vAlign w:val="bottom"/>
            <w:gridSpan w:val="4"/>
          </w:tcPr>
          <w:p>
            <w:pPr>
              <w:ind w:left="40"/>
              <w:spacing w:after="0" w:line="210" w:lineRule="exact"/>
              <w:rPr>
                <w:sz w:val="20"/>
                <w:szCs w:val="20"/>
                <w:color w:val="auto"/>
              </w:rPr>
            </w:pPr>
            <w:r>
              <w:rPr>
                <w:rFonts w:ascii="Arial" w:cs="Arial" w:eastAsia="Arial" w:hAnsi="Arial"/>
                <w:sz w:val="19"/>
                <w:szCs w:val="19"/>
                <w:color w:val="auto"/>
              </w:rPr>
              <w:t>Humana Investor Relations</w:t>
            </w:r>
          </w:p>
        </w:tc>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2820" w:type="dxa"/>
            <w:vAlign w:val="bottom"/>
            <w:gridSpan w:val="2"/>
          </w:tcPr>
          <w:p>
            <w:pPr>
              <w:ind w:left="40"/>
              <w:spacing w:after="0" w:line="210" w:lineRule="exact"/>
              <w:rPr>
                <w:sz w:val="20"/>
                <w:szCs w:val="20"/>
                <w:color w:val="auto"/>
              </w:rPr>
            </w:pPr>
            <w:r>
              <w:rPr>
                <w:rFonts w:ascii="Arial" w:cs="Arial" w:eastAsia="Arial" w:hAnsi="Arial"/>
                <w:sz w:val="19"/>
                <w:szCs w:val="19"/>
                <w:color w:val="auto"/>
              </w:rPr>
              <w:t>(502) 580-2811</w:t>
            </w: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187"/>
        </w:trPr>
        <w:tc>
          <w:tcPr>
            <w:tcW w:w="5660" w:type="dxa"/>
            <w:vAlign w:val="bottom"/>
            <w:gridSpan w:val="4"/>
          </w:tcPr>
          <w:p>
            <w:pPr>
              <w:ind w:left="40"/>
              <w:spacing w:after="0" w:line="187" w:lineRule="exact"/>
              <w:rPr>
                <w:sz w:val="20"/>
                <w:szCs w:val="20"/>
                <w:color w:val="auto"/>
              </w:rPr>
            </w:pPr>
            <w:r>
              <w:rPr>
                <w:rFonts w:ascii="Arial" w:cs="Arial" w:eastAsia="Arial" w:hAnsi="Arial"/>
                <w:sz w:val="19"/>
                <w:szCs w:val="19"/>
                <w:color w:val="auto"/>
              </w:rPr>
              <w:t>e-mail: Amysmith@humana.com</w:t>
            </w:r>
          </w:p>
        </w:tc>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2"/>
        </w:trPr>
        <w:tc>
          <w:tcPr>
            <w:tcW w:w="5660" w:type="dxa"/>
            <w:vAlign w:val="bottom"/>
            <w:gridSpan w:val="4"/>
          </w:tcPr>
          <w:p>
            <w:pPr>
              <w:spacing w:after="0"/>
              <w:rPr>
                <w:sz w:val="20"/>
                <w:szCs w:val="20"/>
                <w:color w:val="auto"/>
              </w:rPr>
            </w:pPr>
            <w:r>
              <w:rPr>
                <w:rFonts w:ascii="Arial" w:cs="Arial" w:eastAsia="Arial" w:hAnsi="Arial"/>
                <w:sz w:val="19"/>
                <w:szCs w:val="19"/>
                <w:color w:val="auto"/>
              </w:rPr>
              <w:t>Kelley Murphy</w:t>
            </w: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3"/>
        </w:trPr>
        <w:tc>
          <w:tcPr>
            <w:tcW w:w="5660" w:type="dxa"/>
            <w:vAlign w:val="bottom"/>
            <w:gridSpan w:val="4"/>
          </w:tcPr>
          <w:p>
            <w:pPr>
              <w:spacing w:after="0"/>
              <w:rPr>
                <w:sz w:val="20"/>
                <w:szCs w:val="20"/>
                <w:color w:val="auto"/>
              </w:rPr>
            </w:pPr>
            <w:r>
              <w:rPr>
                <w:rFonts w:ascii="Arial" w:cs="Arial" w:eastAsia="Arial" w:hAnsi="Arial"/>
                <w:sz w:val="19"/>
                <w:szCs w:val="19"/>
                <w:color w:val="auto"/>
              </w:rPr>
              <w:t>Humana Corporate Communications</w:t>
            </w:r>
          </w:p>
        </w:tc>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9"/>
                <w:szCs w:val="19"/>
                <w:color w:val="auto"/>
              </w:rPr>
              <w:t>(502) 224-1755</w:t>
            </w: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87"/>
        </w:trPr>
        <w:tc>
          <w:tcPr>
            <w:tcW w:w="5660" w:type="dxa"/>
            <w:vAlign w:val="bottom"/>
            <w:gridSpan w:val="4"/>
          </w:tcPr>
          <w:p>
            <w:pPr>
              <w:spacing w:after="0" w:line="187" w:lineRule="exact"/>
              <w:rPr>
                <w:sz w:val="20"/>
                <w:szCs w:val="20"/>
                <w:color w:val="auto"/>
              </w:rPr>
            </w:pPr>
            <w:r>
              <w:rPr>
                <w:rFonts w:ascii="Arial" w:cs="Arial" w:eastAsia="Arial" w:hAnsi="Arial"/>
                <w:sz w:val="19"/>
                <w:szCs w:val="19"/>
                <w:color w:val="auto"/>
              </w:rPr>
              <w:t>e-mail: Kmurphy26@humana.com</w:t>
            </w:r>
          </w:p>
        </w:tc>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-1241425</wp:posOffset>
            </wp:positionV>
            <wp:extent cx="1809115" cy="541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115"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Humana Reports First Quarter 2020 Financial Results including</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Proactive Actions Taken during Pandemic</w:t>
      </w:r>
    </w:p>
    <w:p>
      <w:pPr>
        <w:spacing w:after="0" w:line="340" w:lineRule="exact"/>
        <w:rPr>
          <w:sz w:val="20"/>
          <w:szCs w:val="20"/>
          <w:color w:val="auto"/>
        </w:rPr>
      </w:pPr>
    </w:p>
    <w:p>
      <w:pPr>
        <w:ind w:left="620" w:right="460" w:hanging="313"/>
        <w:spacing w:after="0" w:line="239"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Committed to ongoing COVID-19 relief efforts to provide resources and assistance to all constituencies, including proactive outreach to vulnerable members to address clinical and social determinants of health needs to minimize the short-term impact amid the pandemic</w:t>
      </w:r>
    </w:p>
    <w:p>
      <w:pPr>
        <w:spacing w:after="0" w:line="1" w:lineRule="exact"/>
        <w:rPr>
          <w:rFonts w:ascii="Arial" w:cs="Arial" w:eastAsia="Arial" w:hAnsi="Arial"/>
          <w:sz w:val="16"/>
          <w:szCs w:val="16"/>
          <w:color w:val="auto"/>
        </w:rPr>
      </w:pPr>
    </w:p>
    <w:p>
      <w:pPr>
        <w:ind w:left="620" w:hanging="313"/>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Reports 1Q20 earnings per diluted common share (EPS) of $3.56 on a GAAP basis, $5.40 on an Adjusted basis</w:t>
      </w:r>
    </w:p>
    <w:p>
      <w:pPr>
        <w:ind w:left="620" w:hanging="313"/>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Comments on FY 2020 guidance:</w:t>
      </w:r>
    </w:p>
    <w:p>
      <w:pPr>
        <w:ind w:left="1260" w:hanging="323"/>
        <w:spacing w:after="0"/>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color w:val="auto"/>
        </w:rPr>
        <w:t>FY 2020 GAAP EPS expected to be in a range of $16.04 to $16.54</w:t>
      </w:r>
    </w:p>
    <w:p>
      <w:pPr>
        <w:ind w:left="1260" w:right="200" w:hanging="323"/>
        <w:spacing w:after="0" w:line="239" w:lineRule="auto"/>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color w:val="auto"/>
        </w:rPr>
        <w:t>Reaffirms FY 2020 Adjusted EPS guidance range of $18.25 to $18.75 while acknowledging the inherent uncertainty surrounding the ongoing crisis</w:t>
      </w:r>
    </w:p>
    <w:p>
      <w:pPr>
        <w:spacing w:after="0" w:line="1" w:lineRule="exact"/>
        <w:rPr>
          <w:rFonts w:ascii="Arial" w:cs="Arial" w:eastAsia="Arial" w:hAnsi="Arial"/>
          <w:sz w:val="16"/>
          <w:szCs w:val="16"/>
          <w:color w:val="auto"/>
        </w:rPr>
      </w:pPr>
    </w:p>
    <w:p>
      <w:pPr>
        <w:ind w:left="1260" w:right="520" w:hanging="323"/>
        <w:spacing w:after="0" w:line="239" w:lineRule="auto"/>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color w:val="auto"/>
        </w:rPr>
        <w:t>Increases full year expected individual Medicare Advantage membership growth to 300,000 to 350,000 members from previous range of 270,000 to 330,000 members, while reaffirming group Medicare Advantage and stand-alone PDP membership estimates for 2020</w:t>
      </w:r>
    </w:p>
    <w:p>
      <w:pPr>
        <w:spacing w:after="0" w:line="1" w:lineRule="exact"/>
        <w:rPr>
          <w:rFonts w:ascii="Arial" w:cs="Arial" w:eastAsia="Arial" w:hAnsi="Arial"/>
          <w:sz w:val="16"/>
          <w:szCs w:val="16"/>
          <w:color w:val="auto"/>
        </w:rPr>
      </w:pPr>
    </w:p>
    <w:p>
      <w:pPr>
        <w:ind w:left="1260" w:right="180" w:hanging="323"/>
        <w:spacing w:after="0" w:line="245" w:lineRule="auto"/>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color w:val="auto"/>
        </w:rPr>
        <w:t>Withdraws additional FY 2020 detailed guidance not noted above given the likelihood of significant variability of results by financial statement line item and related ratios</w:t>
      </w:r>
    </w:p>
    <w:p>
      <w:pPr>
        <w:spacing w:after="0" w:line="330" w:lineRule="exact"/>
        <w:rPr>
          <w:sz w:val="20"/>
          <w:szCs w:val="20"/>
          <w:color w:val="auto"/>
        </w:rPr>
      </w:pPr>
    </w:p>
    <w:p>
      <w:pPr>
        <w:ind w:left="60" w:right="40"/>
        <w:spacing w:after="0" w:line="252" w:lineRule="auto"/>
        <w:rPr>
          <w:sz w:val="20"/>
          <w:szCs w:val="20"/>
          <w:color w:val="auto"/>
        </w:rPr>
      </w:pPr>
      <w:r>
        <w:rPr>
          <w:rFonts w:ascii="Arial" w:cs="Arial" w:eastAsia="Arial" w:hAnsi="Arial"/>
          <w:sz w:val="19"/>
          <w:szCs w:val="19"/>
          <w:b w:val="1"/>
          <w:bCs w:val="1"/>
          <w:color w:val="auto"/>
        </w:rPr>
        <w:t xml:space="preserve">LOUISVILLE, KY (April 29, 2020) </w:t>
      </w:r>
      <w:r>
        <w:rPr>
          <w:rFonts w:ascii="Arial" w:cs="Arial" w:eastAsia="Arial" w:hAnsi="Arial"/>
          <w:sz w:val="19"/>
          <w:szCs w:val="19"/>
          <w:color w:val="auto"/>
        </w:rPr>
        <w:t>– Humana Inc. (NYSE: HUM) moved quickly during the first quarter of 2020 to ease some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burden associated with the outbreak of the novel coronavirus, COVID-19, including assisting its employees to transition to work at home, alleviating financial and healthcare concerns for members, and supporting providers. The company has taken several proactive steps to be a part of the solution, including waiving costs associated with the diagnostic testing and treatment of COVID-19, expanding access to telehealth services, and simplifying and expediting claims processing for providers to promote the speed of reimbursement payments. In addition, the company contributed $50 million to the Humana Foundation to advance COVID-19 relief efforts.</w:t>
      </w:r>
    </w:p>
    <w:p>
      <w:pPr>
        <w:spacing w:after="0" w:line="204" w:lineRule="exact"/>
        <w:rPr>
          <w:sz w:val="20"/>
          <w:szCs w:val="20"/>
          <w:color w:val="auto"/>
        </w:rPr>
      </w:pPr>
    </w:p>
    <w:p>
      <w:pPr>
        <w:ind w:left="60" w:right="40"/>
        <w:spacing w:after="0" w:line="247" w:lineRule="auto"/>
        <w:rPr>
          <w:sz w:val="20"/>
          <w:szCs w:val="20"/>
          <w:color w:val="auto"/>
        </w:rPr>
      </w:pPr>
      <w:r>
        <w:rPr>
          <w:rFonts w:ascii="Arial" w:cs="Arial" w:eastAsia="Arial" w:hAnsi="Arial"/>
          <w:sz w:val="19"/>
          <w:szCs w:val="19"/>
          <w:color w:val="auto"/>
        </w:rPr>
        <w:t>The net financial impact of COVID-19 was not material to Humana's results of operations during the first quarter of 2020. With the emergence of stay-at-home and physical distancing orders and other restrictions on movement and economic activity intended to reduce the spread of COVID-19 during the second half of March 2020, the company experienced lower hospital admissions and utilization as members and providers began to defer non-essential procedures. The deferral of non-essential procedures was offset by an increase in pharmacy costs as a result of the company's decision to permit early prescription refills to allow members to prepare for extended supply needs and the impact of other COVID-19 specific administrative costs, including the contribution to the Humana Foundation.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545" w:right="339" w:bottom="1440" w:gutter="0" w:footer="0" w:header="0"/>
        </w:sectPr>
      </w:pPr>
    </w:p>
    <w:bookmarkStart w:id="4" w:name="page5"/>
    <w:bookmarkEnd w:id="4"/>
    <w:p>
      <w:pPr>
        <w:ind w:left="60"/>
        <w:spacing w:after="0" w:line="247" w:lineRule="auto"/>
        <w:rPr>
          <w:sz w:val="20"/>
          <w:szCs w:val="20"/>
          <w:color w:val="auto"/>
        </w:rPr>
      </w:pPr>
      <w:r>
        <w:rPr>
          <w:rFonts w:ascii="Arial" w:cs="Arial" w:eastAsia="Arial" w:hAnsi="Arial"/>
          <w:sz w:val="19"/>
          <w:szCs w:val="19"/>
          <w:color w:val="auto"/>
        </w:rPr>
        <w:t>Humana has seen the trend of lower utilization persist into the second quarter of 2020 and it expects that deferred non-essential procedures will return in the coming weeks and months, although a number of significant variables make the timing and impact of this recovery uncertain. As the progression of the COVID-19 pandemic continues, Humana will continue to monitor the impact on the company and all of its stakeholders and adjust its response accordingly, proactively leveraging its integrated care delivery model to best serve its members, partnering with federal and state governments to develop comprehensive and actionable plans for recovery and re-entry, minimizing the impact on its provider partners, and advancing the long-term sustainability of the company and the healthcare system.</w:t>
      </w:r>
    </w:p>
    <w:p>
      <w:pPr>
        <w:spacing w:after="0" w:line="211" w:lineRule="exact"/>
        <w:rPr>
          <w:sz w:val="20"/>
          <w:szCs w:val="20"/>
          <w:color w:val="auto"/>
        </w:rPr>
      </w:pPr>
    </w:p>
    <w:p>
      <w:pPr>
        <w:ind w:left="60" w:right="20"/>
        <w:spacing w:after="0" w:line="246" w:lineRule="auto"/>
        <w:rPr>
          <w:sz w:val="20"/>
          <w:szCs w:val="20"/>
          <w:color w:val="auto"/>
        </w:rPr>
      </w:pPr>
      <w:r>
        <w:rPr>
          <w:rFonts w:ascii="Arial" w:cs="Arial" w:eastAsia="Arial" w:hAnsi="Arial"/>
          <w:sz w:val="19"/>
          <w:szCs w:val="19"/>
          <w:color w:val="auto"/>
        </w:rPr>
        <w:t>“From the outset of the COVID-19 crisis, we’ve been proactive in assisting our employees, members, and providers by improving access to healthcare and easing burdens associated with finances and daily living needs," said Bruce D. Broussard, Humana's President and Chief Executive Office. "As we begin the re-entry phase, we will remain focused on serving our vulnerable populations, including over eight million Medicare beneficiaries, and recognize that safety, and particularly consumer confidence in the ability to once again safely begin using the healthcare system, are top of mind with everyone, and we play a pivotal role in ensuring both. We will continue to expand our relief efforts, like the proactive outreach we started last month to our most vulnerable members that, to date, have included fulfilling orders for over half a million meals and closing approximately 630,000 gaps in care. Humana stands ready to be a strong and willing partner to federal, state and local governments, and community nonprofits, building on what we learned during the crisis to reshape the healthcare system so it’s ready and able to provide broader access to care, and to proactively manage more comprehensive health and lifestyle needs."</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Summary of Quarterly Results</w:t>
      </w:r>
    </w:p>
    <w:p>
      <w:pPr>
        <w:spacing w:after="0" w:line="252" w:lineRule="exact"/>
        <w:rPr>
          <w:sz w:val="20"/>
          <w:szCs w:val="20"/>
          <w:color w:val="auto"/>
        </w:rPr>
      </w:pPr>
    </w:p>
    <w:p>
      <w:pPr>
        <w:ind w:left="60" w:right="280"/>
        <w:spacing w:after="0" w:line="260" w:lineRule="auto"/>
        <w:rPr>
          <w:sz w:val="20"/>
          <w:szCs w:val="20"/>
          <w:color w:val="auto"/>
        </w:rPr>
      </w:pPr>
      <w:r>
        <w:rPr>
          <w:rFonts w:ascii="Arial" w:cs="Arial" w:eastAsia="Arial" w:hAnsi="Arial"/>
          <w:sz w:val="19"/>
          <w:szCs w:val="19"/>
          <w:color w:val="auto"/>
        </w:rPr>
        <w:t>Humana today reported consolidated pretax income and diluted earnings per common share (EPS) for the quarter ended March 31, 2020 (1Q20) versus the quarter ended March 31, 2019 (1Q19) as follows.</w:t>
      </w:r>
    </w:p>
    <w:p>
      <w:pPr>
        <w:spacing w:after="0" w:line="311" w:lineRule="exact"/>
        <w:rPr>
          <w:sz w:val="20"/>
          <w:szCs w:val="20"/>
          <w:color w:val="auto"/>
        </w:rPr>
      </w:pPr>
    </w:p>
    <w:tbl>
      <w:tblPr>
        <w:tblLayout w:type="fixed"/>
        <w:tblInd w:w="1230" w:type="dxa"/>
        <w:tblCellMar>
          <w:top w:w="0" w:type="dxa"/>
          <w:left w:w="0" w:type="dxa"/>
          <w:bottom w:w="0" w:type="dxa"/>
          <w:right w:w="0" w:type="dxa"/>
        </w:tblCellMar>
      </w:tblPr>
      <w:tr>
        <w:trPr>
          <w:trHeight w:val="223"/>
        </w:trPr>
        <w:tc>
          <w:tcPr>
            <w:tcW w:w="6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w w:val="99"/>
              </w:rPr>
              <w:t>Consolidated income before income taxes and equity in earnings (pretax income)</w:t>
            </w:r>
          </w:p>
        </w:tc>
        <w:tc>
          <w:tcPr>
            <w:tcW w:w="360" w:type="dxa"/>
            <w:vAlign w:val="bottom"/>
            <w:tcBorders>
              <w:top w:val="single" w:sz="8" w:color="auto"/>
            </w:tcBorders>
            <w:shd w:val="clear" w:color="auto" w:fill="EAEAEA"/>
          </w:tcPr>
          <w:p>
            <w:pPr>
              <w:spacing w:after="0"/>
              <w:rPr>
                <w:sz w:val="19"/>
                <w:szCs w:val="19"/>
                <w:color w:val="auto"/>
              </w:rPr>
            </w:pPr>
          </w:p>
        </w:tc>
        <w:tc>
          <w:tcPr>
            <w:tcW w:w="600" w:type="dxa"/>
            <w:vAlign w:val="bottom"/>
            <w:tcBorders>
              <w:top w:val="single" w:sz="8" w:color="auto"/>
            </w:tcBorders>
            <w:vMerge w:val="restart"/>
            <w:shd w:val="clear" w:color="auto" w:fill="EAEAEA"/>
          </w:tcPr>
          <w:p>
            <w:pPr>
              <w:spacing w:after="0"/>
              <w:rPr>
                <w:sz w:val="20"/>
                <w:szCs w:val="20"/>
                <w:color w:val="auto"/>
              </w:rPr>
            </w:pPr>
            <w:r>
              <w:rPr>
                <w:rFonts w:ascii="Arial" w:cs="Arial" w:eastAsia="Arial" w:hAnsi="Arial"/>
                <w:sz w:val="16"/>
                <w:szCs w:val="16"/>
                <w:b w:val="1"/>
                <w:bCs w:val="1"/>
                <w:color w:val="auto"/>
                <w:w w:val="91"/>
                <w:shd w:val="clear" w:color="auto" w:fill="EAEAEA"/>
              </w:rPr>
              <w:t>1Q20 (a)</w:t>
            </w:r>
          </w:p>
        </w:tc>
        <w:tc>
          <w:tcPr>
            <w:tcW w:w="260" w:type="dxa"/>
            <w:vAlign w:val="bottom"/>
            <w:tcBorders>
              <w:top w:val="single" w:sz="8" w:color="auto"/>
            </w:tcBorders>
            <w:shd w:val="clear" w:color="auto" w:fill="EAEAEA"/>
          </w:tcPr>
          <w:p>
            <w:pPr>
              <w:spacing w:after="0"/>
              <w:rPr>
                <w:sz w:val="19"/>
                <w:szCs w:val="19"/>
                <w:color w:val="auto"/>
              </w:rPr>
            </w:pPr>
          </w:p>
        </w:tc>
        <w:tc>
          <w:tcPr>
            <w:tcW w:w="120" w:type="dxa"/>
            <w:vAlign w:val="bottom"/>
            <w:tcBorders>
              <w:top w:val="single" w:sz="8" w:color="auto"/>
              <w:right w:val="single" w:sz="8" w:color="auto"/>
            </w:tcBorders>
            <w:shd w:val="clear" w:color="auto" w:fill="EAEAEA"/>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Borders>
              <w:bottom w:val="single" w:sz="8" w:color="EAEAEA"/>
            </w:tcBorders>
            <w:shd w:val="clear" w:color="auto" w:fill="EAEAEA"/>
          </w:tcPr>
          <w:p>
            <w:pPr>
              <w:spacing w:after="0"/>
              <w:rPr>
                <w:sz w:val="18"/>
                <w:szCs w:val="18"/>
                <w:color w:val="auto"/>
              </w:rPr>
            </w:pPr>
          </w:p>
        </w:tc>
        <w:tc>
          <w:tcPr>
            <w:tcW w:w="600" w:type="dxa"/>
            <w:vAlign w:val="bottom"/>
            <w:tcBorders>
              <w:bottom w:val="single" w:sz="8" w:color="EAEAEA"/>
            </w:tcBorders>
            <w:vMerge w:val="continue"/>
            <w:shd w:val="clear" w:color="auto" w:fill="EAEAEA"/>
          </w:tcPr>
          <w:p>
            <w:pPr>
              <w:spacing w:after="0"/>
              <w:rPr>
                <w:sz w:val="18"/>
                <w:szCs w:val="18"/>
                <w:color w:val="auto"/>
              </w:rPr>
            </w:pPr>
          </w:p>
        </w:tc>
        <w:tc>
          <w:tcPr>
            <w:tcW w:w="380" w:type="dxa"/>
            <w:vAlign w:val="bottom"/>
            <w:tcBorders>
              <w:bottom w:val="single" w:sz="8" w:color="EAEAEA"/>
              <w:right w:val="single" w:sz="8" w:color="auto"/>
            </w:tcBorders>
            <w:gridSpan w:val="2"/>
            <w:shd w:val="clear" w:color="auto" w:fill="EAEAEA"/>
          </w:tcPr>
          <w:p>
            <w:pPr>
              <w:spacing w:after="0"/>
              <w:rPr>
                <w:sz w:val="18"/>
                <w:szCs w:val="18"/>
                <w:color w:val="auto"/>
              </w:rPr>
            </w:pPr>
          </w:p>
        </w:tc>
        <w:tc>
          <w:tcPr>
            <w:tcW w:w="1320" w:type="dxa"/>
            <w:vAlign w:val="bottom"/>
            <w:tcBorders>
              <w:right w:val="single" w:sz="8" w:color="auto"/>
            </w:tcBorders>
          </w:tcPr>
          <w:p>
            <w:pPr>
              <w:jc w:val="right"/>
              <w:ind w:right="281"/>
              <w:spacing w:after="0"/>
              <w:rPr>
                <w:sz w:val="20"/>
                <w:szCs w:val="20"/>
                <w:color w:val="auto"/>
              </w:rPr>
            </w:pPr>
            <w:r>
              <w:rPr>
                <w:rFonts w:ascii="Arial" w:cs="Arial" w:eastAsia="Arial" w:hAnsi="Arial"/>
                <w:sz w:val="16"/>
                <w:szCs w:val="16"/>
                <w:color w:val="auto"/>
              </w:rPr>
              <w:t>1Q19 (b)</w:t>
            </w:r>
          </w:p>
        </w:tc>
        <w:tc>
          <w:tcPr>
            <w:tcW w:w="0" w:type="dxa"/>
            <w:vAlign w:val="bottom"/>
          </w:tcPr>
          <w:p>
            <w:pPr>
              <w:spacing w:after="0"/>
              <w:rPr>
                <w:sz w:val="1"/>
                <w:szCs w:val="1"/>
                <w:color w:val="auto"/>
              </w:rPr>
            </w:pPr>
          </w:p>
        </w:tc>
      </w:tr>
      <w:tr>
        <w:trPr>
          <w:trHeight w:val="249"/>
        </w:trPr>
        <w:tc>
          <w:tcPr>
            <w:tcW w:w="6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220" w:type="dxa"/>
            <w:vAlign w:val="bottom"/>
            <w:tcBorders>
              <w:top w:val="single" w:sz="8" w:color="auto"/>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$717</w:t>
            </w:r>
          </w:p>
        </w:tc>
        <w:tc>
          <w:tcPr>
            <w:tcW w:w="120" w:type="dxa"/>
            <w:vAlign w:val="bottom"/>
            <w:tcBorders>
              <w:top w:val="single" w:sz="8" w:color="auto"/>
              <w:bottom w:val="single" w:sz="8" w:color="auto"/>
              <w:right w:val="single" w:sz="8" w:color="auto"/>
            </w:tcBorders>
            <w:shd w:val="clear" w:color="auto" w:fill="EAEAEA"/>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29"/>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20" w:type="dxa"/>
            <w:vAlign w:val="bottom"/>
            <w:tcBorders>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bottom w:val="single" w:sz="8" w:color="auto"/>
              <w:right w:val="single" w:sz="8" w:color="auto"/>
            </w:tcBorders>
            <w:shd w:val="clear" w:color="auto" w:fill="EAEAEA"/>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6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w:t>
            </w:r>
          </w:p>
        </w:tc>
        <w:tc>
          <w:tcPr>
            <w:tcW w:w="1220" w:type="dxa"/>
            <w:vAlign w:val="bottom"/>
            <w:gridSpan w:val="3"/>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297</w:t>
            </w:r>
          </w:p>
        </w:tc>
        <w:tc>
          <w:tcPr>
            <w:tcW w:w="120" w:type="dxa"/>
            <w:vAlign w:val="bottom"/>
            <w:tcBorders>
              <w:right w:val="single" w:sz="8" w:color="auto"/>
            </w:tcBorders>
            <w:shd w:val="clear" w:color="auto" w:fill="EAEAEA"/>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investments</w:t>
            </w:r>
          </w:p>
        </w:tc>
        <w:tc>
          <w:tcPr>
            <w:tcW w:w="1220" w:type="dxa"/>
            <w:vAlign w:val="bottom"/>
            <w:tcBorders>
              <w:bottom w:val="single" w:sz="8" w:color="auto"/>
            </w:tcBorders>
            <w:gridSpan w:val="3"/>
            <w:vMerge w:val="continue"/>
            <w:shd w:val="clear" w:color="auto" w:fill="EAEAEA"/>
          </w:tcPr>
          <w:p>
            <w:pPr>
              <w:spacing w:after="0"/>
              <w:rPr>
                <w:sz w:val="17"/>
                <w:szCs w:val="17"/>
                <w:color w:val="auto"/>
              </w:rPr>
            </w:pPr>
          </w:p>
        </w:tc>
        <w:tc>
          <w:tcPr>
            <w:tcW w:w="120" w:type="dxa"/>
            <w:vAlign w:val="bottom"/>
            <w:tcBorders>
              <w:bottom w:val="single" w:sz="8" w:color="auto"/>
              <w:right w:val="single" w:sz="8" w:color="auto"/>
            </w:tcBorders>
            <w:shd w:val="clear" w:color="auto" w:fill="EAEAEA"/>
          </w:tcPr>
          <w:p>
            <w:pPr>
              <w:spacing w:after="0"/>
              <w:rPr>
                <w:sz w:val="17"/>
                <w:szCs w:val="17"/>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6"/>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20" w:type="dxa"/>
            <w:vAlign w:val="bottom"/>
            <w:tcBorders>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$1,035</w:t>
            </w:r>
          </w:p>
        </w:tc>
        <w:tc>
          <w:tcPr>
            <w:tcW w:w="120" w:type="dxa"/>
            <w:vAlign w:val="bottom"/>
            <w:tcBorders>
              <w:bottom w:val="single" w:sz="8" w:color="auto"/>
              <w:right w:val="single" w:sz="8" w:color="auto"/>
            </w:tcBorders>
            <w:shd w:val="clear" w:color="auto" w:fill="EAEAEA"/>
          </w:tcPr>
          <w:p>
            <w:pPr>
              <w:spacing w:after="0"/>
              <w:rPr>
                <w:sz w:val="22"/>
                <w:szCs w:val="22"/>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$803</w:t>
            </w:r>
          </w:p>
        </w:tc>
        <w:tc>
          <w:tcPr>
            <w:tcW w:w="0" w:type="dxa"/>
            <w:vAlign w:val="bottom"/>
          </w:tcPr>
          <w:p>
            <w:pPr>
              <w:spacing w:after="0"/>
              <w:rPr>
                <w:sz w:val="1"/>
                <w:szCs w:val="1"/>
                <w:color w:val="auto"/>
              </w:rPr>
            </w:pPr>
          </w:p>
        </w:tc>
      </w:tr>
      <w:tr>
        <w:trPr>
          <w:trHeight w:val="354"/>
        </w:trPr>
        <w:tc>
          <w:tcPr>
            <w:tcW w:w="6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360" w:type="dxa"/>
            <w:vAlign w:val="bottom"/>
            <w:tcBorders>
              <w:bottom w:val="single" w:sz="8" w:color="EAEAEA"/>
            </w:tcBorders>
            <w:shd w:val="clear" w:color="auto" w:fill="EAEAEA"/>
          </w:tcPr>
          <w:p>
            <w:pPr>
              <w:spacing w:after="0"/>
              <w:rPr>
                <w:sz w:val="19"/>
                <w:szCs w:val="19"/>
                <w:color w:val="auto"/>
              </w:rPr>
            </w:pPr>
          </w:p>
        </w:tc>
        <w:tc>
          <w:tcPr>
            <w:tcW w:w="60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b w:val="1"/>
                <w:bCs w:val="1"/>
                <w:color w:val="auto"/>
                <w:w w:val="91"/>
                <w:shd w:val="clear" w:color="auto" w:fill="EAEAEA"/>
              </w:rPr>
              <w:t>1Q20 (a)</w:t>
            </w:r>
          </w:p>
        </w:tc>
        <w:tc>
          <w:tcPr>
            <w:tcW w:w="380" w:type="dxa"/>
            <w:vAlign w:val="bottom"/>
            <w:tcBorders>
              <w:bottom w:val="single" w:sz="8" w:color="EAEAEA"/>
              <w:right w:val="single" w:sz="8" w:color="auto"/>
            </w:tcBorders>
            <w:gridSpan w:val="2"/>
            <w:shd w:val="clear" w:color="auto" w:fill="EAEAEA"/>
          </w:tcPr>
          <w:p>
            <w:pPr>
              <w:spacing w:after="0"/>
              <w:rPr>
                <w:sz w:val="19"/>
                <w:szCs w:val="19"/>
                <w:color w:val="auto"/>
              </w:rPr>
            </w:pPr>
          </w:p>
        </w:tc>
        <w:tc>
          <w:tcPr>
            <w:tcW w:w="1320" w:type="dxa"/>
            <w:vAlign w:val="bottom"/>
            <w:tcBorders>
              <w:right w:val="single" w:sz="8" w:color="auto"/>
            </w:tcBorders>
          </w:tcPr>
          <w:p>
            <w:pPr>
              <w:jc w:val="right"/>
              <w:ind w:right="281"/>
              <w:spacing w:after="0"/>
              <w:rPr>
                <w:sz w:val="20"/>
                <w:szCs w:val="20"/>
                <w:color w:val="auto"/>
              </w:rPr>
            </w:pPr>
            <w:r>
              <w:rPr>
                <w:rFonts w:ascii="Arial" w:cs="Arial" w:eastAsia="Arial" w:hAnsi="Arial"/>
                <w:sz w:val="16"/>
                <w:szCs w:val="16"/>
                <w:color w:val="auto"/>
              </w:rPr>
              <w:t>1Q19 (b)</w:t>
            </w:r>
          </w:p>
        </w:tc>
        <w:tc>
          <w:tcPr>
            <w:tcW w:w="0" w:type="dxa"/>
            <w:vAlign w:val="bottom"/>
          </w:tcPr>
          <w:p>
            <w:pPr>
              <w:spacing w:after="0"/>
              <w:rPr>
                <w:sz w:val="1"/>
                <w:szCs w:val="1"/>
                <w:color w:val="auto"/>
              </w:rPr>
            </w:pPr>
          </w:p>
        </w:tc>
      </w:tr>
      <w:tr>
        <w:trPr>
          <w:trHeight w:val="249"/>
        </w:trPr>
        <w:tc>
          <w:tcPr>
            <w:tcW w:w="6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20" w:type="dxa"/>
            <w:vAlign w:val="bottom"/>
            <w:tcBorders>
              <w:top w:val="single" w:sz="8" w:color="auto"/>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$3.56</w:t>
            </w:r>
          </w:p>
        </w:tc>
        <w:tc>
          <w:tcPr>
            <w:tcW w:w="120" w:type="dxa"/>
            <w:vAlign w:val="bottom"/>
            <w:tcBorders>
              <w:top w:val="single" w:sz="8" w:color="auto"/>
              <w:bottom w:val="single" w:sz="8" w:color="auto"/>
              <w:right w:val="single" w:sz="8" w:color="auto"/>
            </w:tcBorders>
            <w:shd w:val="clear" w:color="auto" w:fill="EAEAEA"/>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29"/>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20" w:type="dxa"/>
            <w:vAlign w:val="bottom"/>
            <w:tcBorders>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0.12</w:t>
            </w:r>
          </w:p>
        </w:tc>
        <w:tc>
          <w:tcPr>
            <w:tcW w:w="120" w:type="dxa"/>
            <w:vAlign w:val="bottom"/>
            <w:tcBorders>
              <w:bottom w:val="single" w:sz="8" w:color="auto"/>
              <w:right w:val="single" w:sz="8" w:color="auto"/>
            </w:tcBorders>
            <w:shd w:val="clear" w:color="auto" w:fill="EAEAEA"/>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2"/>
        </w:trPr>
        <w:tc>
          <w:tcPr>
            <w:tcW w:w="6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w:t>
            </w:r>
          </w:p>
        </w:tc>
        <w:tc>
          <w:tcPr>
            <w:tcW w:w="1220" w:type="dxa"/>
            <w:vAlign w:val="bottom"/>
            <w:gridSpan w:val="3"/>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1.72</w:t>
            </w:r>
          </w:p>
        </w:tc>
        <w:tc>
          <w:tcPr>
            <w:tcW w:w="120" w:type="dxa"/>
            <w:vAlign w:val="bottom"/>
            <w:tcBorders>
              <w:right w:val="single" w:sz="8" w:color="auto"/>
            </w:tcBorders>
            <w:shd w:val="clear" w:color="auto" w:fill="EAEAEA"/>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investments</w:t>
            </w:r>
          </w:p>
        </w:tc>
        <w:tc>
          <w:tcPr>
            <w:tcW w:w="1220" w:type="dxa"/>
            <w:vAlign w:val="bottom"/>
            <w:tcBorders>
              <w:bottom w:val="single" w:sz="8" w:color="auto"/>
            </w:tcBorders>
            <w:gridSpan w:val="3"/>
            <w:vMerge w:val="continue"/>
            <w:shd w:val="clear" w:color="auto" w:fill="EAEAEA"/>
          </w:tcPr>
          <w:p>
            <w:pPr>
              <w:spacing w:after="0"/>
              <w:rPr>
                <w:sz w:val="17"/>
                <w:szCs w:val="17"/>
                <w:color w:val="auto"/>
              </w:rPr>
            </w:pPr>
          </w:p>
        </w:tc>
        <w:tc>
          <w:tcPr>
            <w:tcW w:w="120" w:type="dxa"/>
            <w:vAlign w:val="bottom"/>
            <w:tcBorders>
              <w:bottom w:val="single" w:sz="8" w:color="auto"/>
              <w:right w:val="single" w:sz="8" w:color="auto"/>
            </w:tcBorders>
            <w:shd w:val="clear" w:color="auto" w:fill="EAEAEA"/>
          </w:tcPr>
          <w:p>
            <w:pPr>
              <w:spacing w:after="0"/>
              <w:rPr>
                <w:sz w:val="17"/>
                <w:szCs w:val="17"/>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56"/>
        </w:trPr>
        <w:tc>
          <w:tcPr>
            <w:tcW w:w="6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20" w:type="dxa"/>
            <w:vAlign w:val="bottom"/>
            <w:tcBorders>
              <w:bottom w:val="single" w:sz="8" w:color="auto"/>
            </w:tcBorders>
            <w:gridSpan w:val="3"/>
            <w:shd w:val="clear" w:color="auto" w:fill="EAEAEA"/>
          </w:tcPr>
          <w:p>
            <w:pPr>
              <w:jc w:val="right"/>
              <w:spacing w:after="0"/>
              <w:rPr>
                <w:sz w:val="20"/>
                <w:szCs w:val="20"/>
                <w:color w:val="auto"/>
              </w:rPr>
            </w:pPr>
            <w:r>
              <w:rPr>
                <w:rFonts w:ascii="Arial" w:cs="Arial" w:eastAsia="Arial" w:hAnsi="Arial"/>
                <w:sz w:val="16"/>
                <w:szCs w:val="16"/>
                <w:b w:val="1"/>
                <w:bCs w:val="1"/>
                <w:color w:val="auto"/>
              </w:rPr>
              <w:t>$5.40</w:t>
            </w:r>
          </w:p>
        </w:tc>
        <w:tc>
          <w:tcPr>
            <w:tcW w:w="120" w:type="dxa"/>
            <w:vAlign w:val="bottom"/>
            <w:tcBorders>
              <w:bottom w:val="single" w:sz="8" w:color="auto"/>
              <w:right w:val="single" w:sz="8" w:color="auto"/>
            </w:tcBorders>
            <w:shd w:val="clear" w:color="auto" w:fill="EAEAEA"/>
          </w:tcPr>
          <w:p>
            <w:pPr>
              <w:spacing w:after="0"/>
              <w:rPr>
                <w:sz w:val="22"/>
                <w:szCs w:val="22"/>
                <w:color w:val="auto"/>
              </w:rPr>
            </w:pPr>
          </w:p>
        </w:tc>
        <w:tc>
          <w:tcPr>
            <w:tcW w:w="13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3" w:lineRule="exact"/>
        <w:rPr>
          <w:sz w:val="20"/>
          <w:szCs w:val="20"/>
          <w:color w:val="auto"/>
        </w:rPr>
      </w:pPr>
    </w:p>
    <w:p>
      <w:pPr>
        <w:jc w:val="both"/>
        <w:ind w:right="100"/>
        <w:spacing w:after="0" w:line="252" w:lineRule="auto"/>
        <w:rPr>
          <w:sz w:val="20"/>
          <w:szCs w:val="20"/>
          <w:color w:val="auto"/>
        </w:rPr>
      </w:pPr>
      <w:r>
        <w:rPr>
          <w:rFonts w:ascii="Arial" w:cs="Arial" w:eastAsia="Arial" w:hAnsi="Arial"/>
          <w:sz w:val="19"/>
          <w:szCs w:val="19"/>
          <w:color w:val="auto"/>
        </w:rPr>
        <w:t>GAAP and Adjusted pretax income and EPS results for 1Q20 exceeded management's expectations driven by solid results across each of the company's segments, led by strong Medicare Advantage earnings. As noted above, the net financial impact of COVID-19 was not material to Humana's results of operations during 1Q20.</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00"/>
          </w:cols>
          <w:pgMar w:left="320" w:top="792" w:right="379" w:bottom="1440" w:gutter="0" w:footer="0" w:header="0"/>
        </w:sectPr>
      </w:pPr>
    </w:p>
    <w:bookmarkStart w:id="5" w:name="page6"/>
    <w:bookmarkEnd w:id="5"/>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Please refer to the tables above, as well as the consolidated and segment highlight sections in the detailed earnings release for additional discussion of the factors impacting the year-over-comparisons.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In addition, below is a summary of key consolidated and segment statistics comparing 1Q20 to 1Q19.</w:t>
      </w:r>
    </w:p>
    <w:p>
      <w:pPr>
        <w:spacing w:after="0" w:line="330" w:lineRule="exact"/>
        <w:rPr>
          <w:sz w:val="20"/>
          <w:szCs w:val="20"/>
          <w:color w:val="auto"/>
        </w:rPr>
      </w:pPr>
    </w:p>
    <w:tbl>
      <w:tblPr>
        <w:tblLayout w:type="fixed"/>
        <w:tblInd w:w="1690" w:type="dxa"/>
        <w:tblCellMar>
          <w:top w:w="0" w:type="dxa"/>
          <w:left w:w="0" w:type="dxa"/>
          <w:bottom w:w="0" w:type="dxa"/>
          <w:right w:w="0" w:type="dxa"/>
        </w:tblCellMar>
      </w:tblPr>
      <w:tr>
        <w:trPr>
          <w:trHeight w:val="238"/>
        </w:trPr>
        <w:tc>
          <w:tcPr>
            <w:tcW w:w="4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Humana Inc. Summary of Quarterly Results</w:t>
            </w:r>
          </w:p>
        </w:tc>
        <w:tc>
          <w:tcPr>
            <w:tcW w:w="1680" w:type="dxa"/>
            <w:vAlign w:val="bottom"/>
            <w:tcBorders>
              <w:top w:val="single" w:sz="8" w:color="auto"/>
            </w:tcBorders>
            <w:shd w:val="clear" w:color="auto" w:fill="EAEAEA"/>
          </w:tcPr>
          <w:p>
            <w:pPr>
              <w:spacing w:after="0"/>
              <w:rPr>
                <w:sz w:val="20"/>
                <w:szCs w:val="20"/>
                <w:color w:val="auto"/>
              </w:rPr>
            </w:pPr>
          </w:p>
        </w:tc>
        <w:tc>
          <w:tcPr>
            <w:tcW w:w="200" w:type="dxa"/>
            <w:vAlign w:val="bottom"/>
            <w:tcBorders>
              <w:top w:val="single" w:sz="8" w:color="auto"/>
              <w:right w:val="single" w:sz="8" w:color="auto"/>
            </w:tcBorders>
            <w:shd w:val="clear" w:color="auto" w:fill="EAEAEA"/>
          </w:tcPr>
          <w:p>
            <w:pPr>
              <w:spacing w:after="0"/>
              <w:rPr>
                <w:sz w:val="20"/>
                <w:szCs w:val="20"/>
                <w:color w:val="auto"/>
              </w:rPr>
            </w:pPr>
          </w:p>
        </w:tc>
        <w:tc>
          <w:tcPr>
            <w:tcW w:w="1880" w:type="dxa"/>
            <w:vAlign w:val="bottom"/>
            <w:tcBorders>
              <w:top w:val="single" w:sz="8" w:color="auto"/>
              <w:right w:val="single" w:sz="8" w:color="auto"/>
            </w:tcBorders>
          </w:tcPr>
          <w:p>
            <w:pPr>
              <w:spacing w:after="0"/>
              <w:rPr>
                <w:sz w:val="20"/>
                <w:szCs w:val="20"/>
                <w:color w:val="auto"/>
              </w:rPr>
            </w:pPr>
          </w:p>
        </w:tc>
      </w:tr>
      <w:tr>
        <w:trPr>
          <w:trHeight w:val="201"/>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(dollars in millions, except per share amounts)</w:t>
            </w:r>
          </w:p>
        </w:tc>
        <w:tc>
          <w:tcPr>
            <w:tcW w:w="1880" w:type="dxa"/>
            <w:vAlign w:val="bottom"/>
            <w:tcBorders>
              <w:bottom w:val="single" w:sz="8" w:color="auto"/>
              <w:right w:val="single" w:sz="8" w:color="auto"/>
            </w:tcBorders>
            <w:gridSpan w:val="2"/>
            <w:shd w:val="clear" w:color="auto" w:fill="EAEAEA"/>
          </w:tcPr>
          <w:p>
            <w:pPr>
              <w:jc w:val="right"/>
              <w:ind w:right="640"/>
              <w:spacing w:after="0"/>
              <w:rPr>
                <w:sz w:val="20"/>
                <w:szCs w:val="20"/>
                <w:color w:val="auto"/>
              </w:rPr>
            </w:pPr>
            <w:r>
              <w:rPr>
                <w:rFonts w:ascii="Arial" w:cs="Arial" w:eastAsia="Arial" w:hAnsi="Arial"/>
                <w:sz w:val="16"/>
                <w:szCs w:val="16"/>
                <w:color w:val="auto"/>
              </w:rPr>
              <w:t>1Q20 (a)</w:t>
            </w:r>
          </w:p>
        </w:tc>
        <w:tc>
          <w:tcPr>
            <w:tcW w:w="188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16"/>
                <w:szCs w:val="16"/>
                <w:color w:val="auto"/>
              </w:rPr>
              <w:t>1Q19 (b)</w:t>
            </w:r>
          </w:p>
        </w:tc>
      </w:tr>
      <w:tr>
        <w:trPr>
          <w:trHeight w:val="229"/>
        </w:trPr>
        <w:tc>
          <w:tcPr>
            <w:tcW w:w="41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1680" w:type="dxa"/>
            <w:vAlign w:val="bottom"/>
            <w:tcBorders>
              <w:bottom w:val="single" w:sz="8" w:color="auto"/>
            </w:tcBorders>
            <w:shd w:val="clear" w:color="auto" w:fill="EAEAEA"/>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8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$18,935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$16,107</w:t>
            </w:r>
          </w:p>
        </w:tc>
      </w:tr>
      <w:tr>
        <w:trPr>
          <w:trHeight w:val="256"/>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GAAP</w:t>
            </w:r>
          </w:p>
        </w:tc>
        <w:tc>
          <w:tcPr>
            <w:tcW w:w="1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$717</w:t>
            </w:r>
          </w:p>
        </w:tc>
        <w:tc>
          <w:tcPr>
            <w:tcW w:w="200" w:type="dxa"/>
            <w:vAlign w:val="bottom"/>
            <w:tcBorders>
              <w:bottom w:val="single" w:sz="8" w:color="auto"/>
              <w:right w:val="single" w:sz="8" w:color="auto"/>
            </w:tcBorders>
            <w:shd w:val="clear" w:color="auto" w:fill="EAEAEA"/>
          </w:tcPr>
          <w:p>
            <w:pPr>
              <w:spacing w:after="0"/>
              <w:rPr>
                <w:sz w:val="22"/>
                <w:szCs w:val="22"/>
                <w:color w:val="auto"/>
              </w:rPr>
            </w:pPr>
          </w:p>
        </w:tc>
        <w:tc>
          <w:tcPr>
            <w:tcW w:w="188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16"/>
                <w:szCs w:val="16"/>
                <w:color w:val="auto"/>
              </w:rPr>
              <w:t>$746</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Adjusted</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$1,035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$3.56</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Adjusted</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$5.40</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$4.48</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8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85.1%</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86.2%</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8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11.3%</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$474</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$896</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Parent company cash and short term investments</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$2,353</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Debt-to-total capitalization</w:t>
            </w:r>
          </w:p>
        </w:tc>
        <w:tc>
          <w:tcPr>
            <w:tcW w:w="188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39.2%</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29"/>
        </w:trPr>
        <w:tc>
          <w:tcPr>
            <w:tcW w:w="41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Retail segment results:</w:t>
            </w:r>
          </w:p>
        </w:tc>
        <w:tc>
          <w:tcPr>
            <w:tcW w:w="16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8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$16,762</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$14,013</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8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86.6%</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88.3%</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8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$685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$689</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29"/>
        </w:trPr>
        <w:tc>
          <w:tcPr>
            <w:tcW w:w="41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Group and Specialty segment results:</w:t>
            </w:r>
          </w:p>
        </w:tc>
        <w:tc>
          <w:tcPr>
            <w:tcW w:w="1680" w:type="dxa"/>
            <w:vAlign w:val="bottom"/>
            <w:tcBorders>
              <w:bottom w:val="single" w:sz="8" w:color="auto"/>
            </w:tcBorders>
            <w:shd w:val="clear" w:color="auto" w:fill="EAEAEA"/>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8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$1,865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$1,887</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8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79.1%</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8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23.1%</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$105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$106</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29"/>
        </w:trPr>
        <w:tc>
          <w:tcPr>
            <w:tcW w:w="41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Healthcare Services segment results:</w:t>
            </w:r>
          </w:p>
        </w:tc>
        <w:tc>
          <w:tcPr>
            <w:tcW w:w="1680" w:type="dxa"/>
            <w:vAlign w:val="bottom"/>
            <w:tcBorders>
              <w:bottom w:val="single" w:sz="8" w:color="auto"/>
            </w:tcBorders>
            <w:shd w:val="clear" w:color="auto" w:fill="EAEAEA"/>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8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$7,085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$6,098</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8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96.0%</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96.6%</w:t>
            </w:r>
          </w:p>
        </w:tc>
      </w:tr>
      <w:tr>
        <w:trPr>
          <w:trHeight w:val="229"/>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$250</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12"/>
        </w:trPr>
        <w:tc>
          <w:tcPr>
            <w:tcW w:w="4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Adjusted earnings before interest, taxes, depreciation and</w:t>
            </w:r>
          </w:p>
        </w:tc>
        <w:tc>
          <w:tcPr>
            <w:tcW w:w="168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01"/>
        </w:trPr>
        <w:tc>
          <w:tcPr>
            <w:tcW w:w="4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(Adjusted EBITDA) (c)</w:t>
            </w:r>
          </w:p>
        </w:tc>
        <w:tc>
          <w:tcPr>
            <w:tcW w:w="188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$319</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-3609340</wp:posOffset>
            </wp:positionV>
            <wp:extent cx="108394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394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-2975610</wp:posOffset>
            </wp:positionV>
            <wp:extent cx="10839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394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-2500630</wp:posOffset>
            </wp:positionV>
            <wp:extent cx="108394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394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-1550035</wp:posOffset>
            </wp:positionV>
            <wp:extent cx="108394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39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820"/>
          </w:cols>
          <w:pgMar w:left="320" w:top="1440" w:right="759" w:bottom="1440" w:gutter="0" w:footer="0" w:header="0"/>
        </w:sectPr>
      </w:pPr>
    </w:p>
    <w:bookmarkStart w:id="6" w:name="page7"/>
    <w:bookmarkEnd w:id="6"/>
    <w:p>
      <w:pPr>
        <w:spacing w:after="0"/>
        <w:rPr>
          <w:sz w:val="20"/>
          <w:szCs w:val="20"/>
          <w:color w:val="auto"/>
        </w:rPr>
      </w:pPr>
      <w:r>
        <w:rPr>
          <w:rFonts w:ascii="Arial" w:cs="Arial" w:eastAsia="Arial" w:hAnsi="Arial"/>
          <w:sz w:val="24"/>
          <w:szCs w:val="24"/>
          <w:b w:val="1"/>
          <w:bCs w:val="1"/>
          <w:u w:val="single" w:color="auto"/>
          <w:color w:val="auto"/>
        </w:rPr>
        <w:t>2020 Earnings Guidance</w:t>
      </w:r>
    </w:p>
    <w:p>
      <w:pPr>
        <w:spacing w:after="0" w:line="248"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Humana is revising its GAAP EPS guidance range for the year ending December 31, 2020 (FY 2020) to $16.04 to $ 16.54 from the previous range of $17.76 to $18.26, reflecting the 1Q20 impact of the company's non-consolidating minority interest put/call valuation adjustments. While acknowledging the inherent uncertainty surrounding the ongoing crisis, Humana is maintaining its FY 2020 Adjusted EPS range of $18.25 to $18.75. For comparison, FY 2020 GAAP and Adjusted EPS guidance is detailed below along with GAAP and Adjusted results for the year ended December 31, 2019 (FY 2019).</w:t>
      </w:r>
    </w:p>
    <w:p>
      <w:pPr>
        <w:spacing w:after="0" w:line="197"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The company is revising its net membership growth estimate for its individual Medicare Advantage products now expecting growth in a range of 300,000 to 350,000 members for FY 2020 compared to the previous guidance growth range of 270,000 to 330,000 members. This anticipated increase in 2020 represents year-over-year growth of approximately 9 percent at the midpoint of the guidance range.</w:t>
      </w:r>
    </w:p>
    <w:p>
      <w:pPr>
        <w:spacing w:after="0" w:line="192" w:lineRule="exact"/>
        <w:rPr>
          <w:sz w:val="20"/>
          <w:szCs w:val="20"/>
          <w:color w:val="auto"/>
        </w:rPr>
      </w:pPr>
    </w:p>
    <w:p>
      <w:pPr>
        <w:ind w:right="280"/>
        <w:spacing w:after="0" w:line="260" w:lineRule="auto"/>
        <w:rPr>
          <w:sz w:val="20"/>
          <w:szCs w:val="20"/>
          <w:color w:val="auto"/>
        </w:rPr>
      </w:pPr>
      <w:r>
        <w:rPr>
          <w:rFonts w:ascii="Arial" w:cs="Arial" w:eastAsia="Arial" w:hAnsi="Arial"/>
          <w:sz w:val="19"/>
          <w:szCs w:val="19"/>
          <w:color w:val="auto"/>
        </w:rPr>
        <w:t>The company is also reiterating its expectations for group Medicare Advantage net membership gains for FY 2020, projecting an increase of approximately 90,000 members year over year.</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For its stand-alone PDP business, Humana continues to estimate a net membership decline of approximately 550,000 members for FY 2020.</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Given the likelihood of significant variability of results by financial statement line item (and related ratios), Humana is withdrawing its additional detailed guidance that was initially provided as part of the company's fourth quarter 2019 earnings release dated February 5, 2020.</w:t>
      </w:r>
    </w:p>
    <w:p>
      <w:pPr>
        <w:spacing w:after="0" w:line="306" w:lineRule="exact"/>
        <w:rPr>
          <w:sz w:val="20"/>
          <w:szCs w:val="20"/>
          <w:color w:val="auto"/>
        </w:rPr>
      </w:pPr>
    </w:p>
    <w:tbl>
      <w:tblPr>
        <w:tblLayout w:type="fixed"/>
        <w:tblInd w:w="90" w:type="dxa"/>
        <w:tblCellMar>
          <w:top w:w="0" w:type="dxa"/>
          <w:left w:w="0" w:type="dxa"/>
          <w:bottom w:w="0" w:type="dxa"/>
          <w:right w:w="0" w:type="dxa"/>
        </w:tblCellMar>
      </w:tblPr>
      <w:tr>
        <w:trPr>
          <w:trHeight w:val="186"/>
        </w:trPr>
        <w:tc>
          <w:tcPr>
            <w:tcW w:w="7800" w:type="dxa"/>
            <w:vAlign w:val="bottom"/>
            <w:tcBorders>
              <w:top w:val="single" w:sz="8" w:color="auto"/>
              <w:left w:val="single" w:sz="8" w:color="auto"/>
              <w:right w:val="single" w:sz="8" w:color="auto"/>
            </w:tcBorders>
            <w:shd w:val="clear" w:color="auto" w:fill="EAEAEA"/>
          </w:tcPr>
          <w:p>
            <w:pPr>
              <w:spacing w:after="0"/>
              <w:rPr>
                <w:sz w:val="16"/>
                <w:szCs w:val="16"/>
                <w:color w:val="auto"/>
              </w:rPr>
            </w:pPr>
          </w:p>
        </w:tc>
        <w:tc>
          <w:tcPr>
            <w:tcW w:w="1880" w:type="dxa"/>
            <w:vAlign w:val="bottom"/>
            <w:tcBorders>
              <w:top w:val="single" w:sz="8" w:color="auto"/>
              <w:right w:val="single" w:sz="8" w:color="auto"/>
            </w:tcBorders>
            <w:shd w:val="clear" w:color="auto" w:fill="EAEAEA"/>
          </w:tcPr>
          <w:p>
            <w:pPr>
              <w:jc w:val="right"/>
              <w:ind w:right="604"/>
              <w:spacing w:after="0"/>
              <w:rPr>
                <w:sz w:val="20"/>
                <w:szCs w:val="20"/>
                <w:color w:val="auto"/>
              </w:rPr>
            </w:pPr>
            <w:r>
              <w:rPr>
                <w:rFonts w:ascii="Arial" w:cs="Arial" w:eastAsia="Arial" w:hAnsi="Arial"/>
                <w:sz w:val="14"/>
                <w:szCs w:val="14"/>
                <w:b w:val="1"/>
                <w:bCs w:val="1"/>
                <w:color w:val="auto"/>
              </w:rPr>
              <w:t>FY 2020</w:t>
            </w:r>
          </w:p>
        </w:tc>
        <w:tc>
          <w:tcPr>
            <w:tcW w:w="1440" w:type="dxa"/>
            <w:vAlign w:val="bottom"/>
            <w:tcBorders>
              <w:top w:val="single" w:sz="8" w:color="auto"/>
              <w:right w:val="single" w:sz="8" w:color="auto"/>
            </w:tcBorders>
          </w:tcPr>
          <w:p>
            <w:pPr>
              <w:spacing w:after="0"/>
              <w:rPr>
                <w:sz w:val="16"/>
                <w:szCs w:val="16"/>
                <w:color w:val="auto"/>
              </w:rPr>
            </w:pPr>
          </w:p>
        </w:tc>
      </w:tr>
      <w:tr>
        <w:trPr>
          <w:trHeight w:val="190"/>
        </w:trPr>
        <w:tc>
          <w:tcPr>
            <w:tcW w:w="7800" w:type="dxa"/>
            <w:vAlign w:val="bottom"/>
            <w:tcBorders>
              <w:left w:val="single" w:sz="8" w:color="auto"/>
              <w:bottom w:val="single" w:sz="8" w:color="auto"/>
              <w:right w:val="single" w:sz="8" w:color="auto"/>
            </w:tcBorders>
            <w:shd w:val="clear" w:color="auto" w:fill="EAEAEA"/>
          </w:tcPr>
          <w:p>
            <w:pPr>
              <w:ind w:left="2700"/>
              <w:spacing w:after="0"/>
              <w:rPr>
                <w:sz w:val="20"/>
                <w:szCs w:val="20"/>
                <w:color w:val="auto"/>
              </w:rPr>
            </w:pPr>
            <w:r>
              <w:rPr>
                <w:rFonts w:ascii="Arial" w:cs="Arial" w:eastAsia="Arial" w:hAnsi="Arial"/>
                <w:sz w:val="14"/>
                <w:szCs w:val="14"/>
                <w:b w:val="1"/>
                <w:bCs w:val="1"/>
                <w:color w:val="auto"/>
              </w:rPr>
              <w:t>Diluted earnings per common share</w:t>
            </w:r>
          </w:p>
        </w:tc>
        <w:tc>
          <w:tcPr>
            <w:tcW w:w="1880" w:type="dxa"/>
            <w:vAlign w:val="bottom"/>
            <w:tcBorders>
              <w:bottom w:val="single" w:sz="8" w:color="auto"/>
              <w:right w:val="single" w:sz="8" w:color="auto"/>
            </w:tcBorders>
            <w:shd w:val="clear" w:color="auto" w:fill="EAEAEA"/>
          </w:tcPr>
          <w:p>
            <w:pPr>
              <w:jc w:val="right"/>
              <w:ind w:right="424"/>
              <w:spacing w:after="0"/>
              <w:rPr>
                <w:sz w:val="20"/>
                <w:szCs w:val="20"/>
                <w:color w:val="auto"/>
              </w:rPr>
            </w:pPr>
            <w:r>
              <w:rPr>
                <w:rFonts w:ascii="Arial" w:cs="Arial" w:eastAsia="Arial" w:hAnsi="Arial"/>
                <w:sz w:val="14"/>
                <w:szCs w:val="14"/>
                <w:b w:val="1"/>
                <w:bCs w:val="1"/>
                <w:color w:val="auto"/>
              </w:rPr>
              <w:t>Guidance (d)</w:t>
            </w:r>
          </w:p>
        </w:tc>
        <w:tc>
          <w:tcPr>
            <w:tcW w:w="1440" w:type="dxa"/>
            <w:vAlign w:val="bottom"/>
            <w:tcBorders>
              <w:bottom w:val="single" w:sz="8" w:color="auto"/>
              <w:right w:val="single" w:sz="8" w:color="auto"/>
            </w:tcBorders>
          </w:tcPr>
          <w:p>
            <w:pPr>
              <w:jc w:val="right"/>
              <w:ind w:right="283"/>
              <w:spacing w:after="0"/>
              <w:rPr>
                <w:sz w:val="20"/>
                <w:szCs w:val="20"/>
                <w:color w:val="auto"/>
              </w:rPr>
            </w:pPr>
            <w:r>
              <w:rPr>
                <w:rFonts w:ascii="Arial" w:cs="Arial" w:eastAsia="Arial" w:hAnsi="Arial"/>
                <w:sz w:val="14"/>
                <w:szCs w:val="14"/>
                <w:color w:val="auto"/>
              </w:rPr>
              <w:t>FY 2019 (e)</w:t>
            </w:r>
          </w:p>
        </w:tc>
      </w:tr>
      <w:tr>
        <w:trPr>
          <w:trHeight w:val="254"/>
        </w:trPr>
        <w:tc>
          <w:tcPr>
            <w:tcW w:w="7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880" w:type="dxa"/>
            <w:vAlign w:val="bottom"/>
            <w:tcBorders>
              <w:bottom w:val="single" w:sz="8" w:color="auto"/>
              <w:right w:val="single" w:sz="8" w:color="auto"/>
            </w:tcBorders>
            <w:shd w:val="clear" w:color="auto" w:fill="EAEAEA"/>
          </w:tcPr>
          <w:p>
            <w:pPr>
              <w:jc w:val="right"/>
              <w:ind w:right="44"/>
              <w:spacing w:after="0"/>
              <w:rPr>
                <w:sz w:val="20"/>
                <w:szCs w:val="20"/>
                <w:color w:val="auto"/>
              </w:rPr>
            </w:pPr>
            <w:r>
              <w:rPr>
                <w:rFonts w:ascii="Arial" w:cs="Arial" w:eastAsia="Arial" w:hAnsi="Arial"/>
                <w:sz w:val="16"/>
                <w:szCs w:val="16"/>
                <w:b w:val="1"/>
                <w:bCs w:val="1"/>
                <w:color w:val="auto"/>
              </w:rPr>
              <w:t>$16.04 to $16.54</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$20.10</w:t>
            </w:r>
          </w:p>
        </w:tc>
      </w:tr>
      <w:tr>
        <w:trPr>
          <w:trHeight w:val="229"/>
        </w:trPr>
        <w:tc>
          <w:tcPr>
            <w:tcW w:w="7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880" w:type="dxa"/>
            <w:vAlign w:val="bottom"/>
            <w:tcBorders>
              <w:bottom w:val="single" w:sz="8" w:color="auto"/>
              <w:right w:val="single" w:sz="8" w:color="auto"/>
            </w:tcBorders>
            <w:shd w:val="clear" w:color="auto" w:fill="EAEAEA"/>
          </w:tcPr>
          <w:p>
            <w:pPr>
              <w:jc w:val="right"/>
              <w:ind w:right="44"/>
              <w:spacing w:after="0"/>
              <w:rPr>
                <w:sz w:val="20"/>
                <w:szCs w:val="20"/>
                <w:color w:val="auto"/>
              </w:rPr>
            </w:pPr>
            <w:r>
              <w:rPr>
                <w:rFonts w:ascii="Arial" w:cs="Arial" w:eastAsia="Arial" w:hAnsi="Arial"/>
                <w:sz w:val="16"/>
                <w:szCs w:val="16"/>
                <w:color w:val="auto"/>
              </w:rPr>
              <w:t>0.49</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0.40</w:t>
            </w:r>
          </w:p>
        </w:tc>
      </w:tr>
      <w:tr>
        <w:trPr>
          <w:trHeight w:val="229"/>
        </w:trPr>
        <w:tc>
          <w:tcPr>
            <w:tcW w:w="7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 interest investments</w:t>
            </w:r>
          </w:p>
        </w:tc>
        <w:tc>
          <w:tcPr>
            <w:tcW w:w="1880" w:type="dxa"/>
            <w:vAlign w:val="bottom"/>
            <w:tcBorders>
              <w:bottom w:val="single" w:sz="8" w:color="auto"/>
              <w:right w:val="single" w:sz="8" w:color="auto"/>
            </w:tcBorders>
            <w:shd w:val="clear" w:color="auto" w:fill="EAEAEA"/>
          </w:tcPr>
          <w:p>
            <w:pPr>
              <w:jc w:val="right"/>
              <w:ind w:right="44"/>
              <w:spacing w:after="0"/>
              <w:rPr>
                <w:sz w:val="20"/>
                <w:szCs w:val="20"/>
                <w:color w:val="auto"/>
              </w:rPr>
            </w:pPr>
            <w:r>
              <w:rPr>
                <w:rFonts w:ascii="Arial" w:cs="Arial" w:eastAsia="Arial" w:hAnsi="Arial"/>
                <w:sz w:val="16"/>
                <w:szCs w:val="16"/>
                <w:color w:val="auto"/>
              </w:rPr>
              <w:t>1.72</w:t>
            </w:r>
          </w:p>
        </w:tc>
        <w:tc>
          <w:tcPr>
            <w:tcW w:w="144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(2.89)</w:t>
            </w:r>
          </w:p>
        </w:tc>
      </w:tr>
      <w:tr>
        <w:trPr>
          <w:trHeight w:val="229"/>
        </w:trPr>
        <w:tc>
          <w:tcPr>
            <w:tcW w:w="7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Charges associated with workforce optimization</w:t>
            </w:r>
          </w:p>
        </w:tc>
        <w:tc>
          <w:tcPr>
            <w:tcW w:w="1880" w:type="dxa"/>
            <w:vAlign w:val="bottom"/>
            <w:tcBorders>
              <w:bottom w:val="single" w:sz="8" w:color="auto"/>
              <w:right w:val="single" w:sz="8" w:color="auto"/>
            </w:tcBorders>
            <w:shd w:val="clear" w:color="auto" w:fill="EAEAEA"/>
          </w:tcPr>
          <w:p>
            <w:pPr>
              <w:jc w:val="right"/>
              <w:ind w:right="44"/>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0.26</w:t>
            </w:r>
          </w:p>
        </w:tc>
      </w:tr>
      <w:tr>
        <w:trPr>
          <w:trHeight w:val="256"/>
        </w:trPr>
        <w:tc>
          <w:tcPr>
            <w:tcW w:w="7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 2020 projected; FY 2019 reported</w:t>
            </w:r>
          </w:p>
        </w:tc>
        <w:tc>
          <w:tcPr>
            <w:tcW w:w="1880" w:type="dxa"/>
            <w:vAlign w:val="bottom"/>
            <w:tcBorders>
              <w:bottom w:val="single" w:sz="8" w:color="auto"/>
              <w:right w:val="single" w:sz="8" w:color="auto"/>
            </w:tcBorders>
            <w:shd w:val="clear" w:color="auto" w:fill="EAEAEA"/>
          </w:tcPr>
          <w:p>
            <w:pPr>
              <w:jc w:val="right"/>
              <w:ind w:right="44"/>
              <w:spacing w:after="0"/>
              <w:rPr>
                <w:sz w:val="20"/>
                <w:szCs w:val="20"/>
                <w:color w:val="auto"/>
              </w:rPr>
            </w:pPr>
            <w:r>
              <w:rPr>
                <w:rFonts w:ascii="Arial" w:cs="Arial" w:eastAsia="Arial" w:hAnsi="Arial"/>
                <w:sz w:val="16"/>
                <w:szCs w:val="16"/>
                <w:b w:val="1"/>
                <w:bCs w:val="1"/>
                <w:color w:val="auto"/>
              </w:rPr>
              <w:t>$18.25 to $18.75</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$17.87</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2021 Rate Notice</w:t>
      </w:r>
    </w:p>
    <w:p>
      <w:pPr>
        <w:spacing w:after="0" w:line="261" w:lineRule="exact"/>
        <w:rPr>
          <w:sz w:val="20"/>
          <w:szCs w:val="20"/>
          <w:color w:val="auto"/>
        </w:rPr>
      </w:pPr>
    </w:p>
    <w:p>
      <w:pPr>
        <w:ind w:right="180"/>
        <w:spacing w:after="0" w:line="219" w:lineRule="auto"/>
        <w:rPr>
          <w:sz w:val="20"/>
          <w:szCs w:val="20"/>
          <w:color w:val="auto"/>
        </w:rPr>
      </w:pPr>
      <w:r>
        <w:rPr>
          <w:rFonts w:ascii="Arial" w:cs="Arial" w:eastAsia="Arial" w:hAnsi="Arial"/>
          <w:sz w:val="19"/>
          <w:szCs w:val="19"/>
          <w:color w:val="auto"/>
        </w:rPr>
        <w:t>On April 6, 2020, CMS published its Announcement of Calendar Year 2021 Medicare Advantage Capitation Rates and Part C and Part D Payment Policies (the Final Rate Notice). The company expects the Final Rate Notice to result in a 1.20 percent</w:t>
      </w:r>
      <w:r>
        <w:rPr>
          <w:rFonts w:ascii="Arial" w:cs="Arial" w:eastAsia="Arial" w:hAnsi="Arial"/>
          <w:sz w:val="26"/>
          <w:szCs w:val="26"/>
          <w:color w:val="auto"/>
          <w:vertAlign w:val="superscript"/>
        </w:rPr>
        <w:t>(f)</w:t>
      </w:r>
      <w:r>
        <w:rPr>
          <w:rFonts w:ascii="Arial" w:cs="Arial" w:eastAsia="Arial" w:hAnsi="Arial"/>
          <w:sz w:val="19"/>
          <w:szCs w:val="19"/>
          <w:color w:val="auto"/>
        </w:rPr>
        <w:t xml:space="preserve"> rate</w:t>
      </w:r>
    </w:p>
    <w:p>
      <w:pPr>
        <w:ind w:right="20"/>
        <w:spacing w:after="0" w:line="248" w:lineRule="auto"/>
        <w:rPr>
          <w:sz w:val="20"/>
          <w:szCs w:val="20"/>
          <w:color w:val="auto"/>
        </w:rPr>
      </w:pPr>
      <w:r>
        <w:rPr>
          <w:rFonts w:ascii="Arial" w:cs="Arial" w:eastAsia="Arial" w:hAnsi="Arial"/>
          <w:sz w:val="19"/>
          <w:szCs w:val="19"/>
          <w:color w:val="auto"/>
        </w:rPr>
        <w:t>increase for non end stage renal disease (ESRD) Medicare Advantage business, excluding the impact of Employer Group Waiver Plan (EGWP) funding changes. The company’s 1.20 percent rate increase compares to CMS’ estimate for the sector of 1.66 percent on a comparable basis, with the variance primarily driven by county rebasing and the company's geographic footprint. CMS also establishes separate rates of payment for ESRD beneficiaries enrolled in Medicare Advantage plans. The company expects the Final Rate Notice to result in a 3.7 percent rate increase in 2021 for ESRD beneficiaries. The company’s estimate of 3.7 percent is slightly higher than CMS’ 3.6 percent which is also impacted by the company’s geographic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00"/>
          </w:cols>
          <w:pgMar w:left="320" w:top="754" w:right="37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u w:val="single" w:color="auto"/>
          <w:color w:val="auto"/>
        </w:rPr>
        <w:t>Detailed Press Release</w:t>
      </w:r>
    </w:p>
    <w:p>
      <w:pPr>
        <w:spacing w:after="0" w:line="248" w:lineRule="exact"/>
        <w:rPr>
          <w:sz w:val="20"/>
          <w:szCs w:val="20"/>
          <w:color w:val="auto"/>
        </w:rPr>
      </w:pPr>
    </w:p>
    <w:p>
      <w:pPr>
        <w:jc w:val="both"/>
        <w:ind w:right="140"/>
        <w:spacing w:after="0" w:line="252" w:lineRule="auto"/>
        <w:rPr>
          <w:sz w:val="20"/>
          <w:szCs w:val="20"/>
          <w:color w:val="auto"/>
        </w:rPr>
      </w:pPr>
      <w:r>
        <w:rPr>
          <w:rFonts w:ascii="Arial" w:cs="Arial" w:eastAsia="Arial" w:hAnsi="Arial"/>
          <w:sz w:val="19"/>
          <w:szCs w:val="19"/>
          <w:color w:val="auto"/>
        </w:rPr>
        <w:t xml:space="preserve">Humana’s full earnings press release including the statistical pages has been posted to the company’s Investor Relations site and may be accessed at </w:t>
      </w:r>
      <w:r>
        <w:rPr>
          <w:rFonts w:ascii="Arial" w:cs="Arial" w:eastAsia="Arial" w:hAnsi="Arial"/>
          <w:sz w:val="19"/>
          <w:szCs w:val="19"/>
          <w:u w:val="single" w:color="auto"/>
          <w:color w:val="auto"/>
        </w:rPr>
        <w:t>https://humana.gcs-web.com/</w:t>
      </w:r>
      <w:r>
        <w:rPr>
          <w:rFonts w:ascii="Arial" w:cs="Arial" w:eastAsia="Arial" w:hAnsi="Arial"/>
          <w:sz w:val="19"/>
          <w:szCs w:val="19"/>
          <w:color w:val="auto"/>
        </w:rPr>
        <w:t xml:space="preserve"> or via a current report on Form 8-K filed by the company with the Securities and Exchange Commission this morning (available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or on the company’s website).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Conference Call</w:t>
      </w:r>
    </w:p>
    <w:p>
      <w:pPr>
        <w:spacing w:after="0" w:line="248" w:lineRule="exact"/>
        <w:rPr>
          <w:sz w:val="20"/>
          <w:szCs w:val="20"/>
          <w:color w:val="auto"/>
        </w:rPr>
      </w:pPr>
    </w:p>
    <w:p>
      <w:pPr>
        <w:ind w:right="940"/>
        <w:spacing w:after="0" w:line="260" w:lineRule="auto"/>
        <w:rPr>
          <w:sz w:val="20"/>
          <w:szCs w:val="20"/>
          <w:color w:val="auto"/>
        </w:rPr>
      </w:pPr>
      <w:r>
        <w:rPr>
          <w:rFonts w:ascii="Arial" w:cs="Arial" w:eastAsia="Arial" w:hAnsi="Arial"/>
          <w:sz w:val="19"/>
          <w:szCs w:val="19"/>
          <w:color w:val="auto"/>
        </w:rPr>
        <w:t>Humana will host a conference call at 10:00 a.m. Eastern time today to discuss its financial results for the quarter and the company’s expectations for future earnings.</w:t>
      </w:r>
    </w:p>
    <w:p>
      <w:pPr>
        <w:spacing w:after="0" w:line="183" w:lineRule="exact"/>
        <w:rPr>
          <w:sz w:val="20"/>
          <w:szCs w:val="20"/>
          <w:color w:val="auto"/>
        </w:rPr>
      </w:pPr>
    </w:p>
    <w:p>
      <w:pPr>
        <w:ind w:right="200"/>
        <w:spacing w:after="0" w:line="250" w:lineRule="auto"/>
        <w:rPr>
          <w:sz w:val="20"/>
          <w:szCs w:val="20"/>
          <w:color w:val="auto"/>
        </w:rPr>
      </w:pPr>
      <w:r>
        <w:rPr>
          <w:rFonts w:ascii="Arial" w:cs="Arial" w:eastAsia="Arial" w:hAnsi="Arial"/>
          <w:sz w:val="19"/>
          <w:szCs w:val="19"/>
          <w:color w:val="auto"/>
        </w:rPr>
        <w:t xml:space="preserve">All parties interested in the company’s 1Q20 earnings conference call are invited to dial 888-625-7430. No password is required. The audio-only webcast of the 1Q20 earnings call may be accessed via Humana’s Investor Relations page at </w:t>
      </w:r>
      <w:r>
        <w:rPr>
          <w:rFonts w:ascii="Arial" w:cs="Arial" w:eastAsia="Arial" w:hAnsi="Arial"/>
          <w:sz w:val="19"/>
          <w:szCs w:val="19"/>
          <w:u w:val="single" w:color="auto"/>
          <w:color w:val="auto"/>
        </w:rPr>
        <w:t>humana.com.</w:t>
      </w:r>
      <w:r>
        <w:rPr>
          <w:rFonts w:ascii="Arial" w:cs="Arial" w:eastAsia="Arial" w:hAnsi="Arial"/>
          <w:sz w:val="19"/>
          <w:szCs w:val="19"/>
          <w:color w:val="auto"/>
        </w:rPr>
        <w:t xml:space="preserve"> The company suggests participants for both the conference call and those listening via the web dial in or sign on at least 15 minutes in advance of the call.</w:t>
      </w:r>
    </w:p>
    <w:p>
      <w:pPr>
        <w:spacing w:after="0" w:line="192"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9"/>
          <w:szCs w:val="19"/>
          <w:u w:val="single" w:color="auto"/>
          <w:color w:val="auto"/>
        </w:rPr>
        <w:t>humana.com</w:t>
      </w:r>
      <w:r>
        <w:rPr>
          <w:rFonts w:ascii="Arial" w:cs="Arial" w:eastAsia="Arial" w:hAnsi="Arial"/>
          <w:sz w:val="19"/>
          <w:szCs w:val="19"/>
          <w:color w:val="auto"/>
        </w:rPr>
        <w:t>, approximately two hours following the live webcast. Telephone replays will also be available from approximately 1:15 p.m. Eastern time on April 29, 2020 until 10:59 p.m. Eastern time on June 29, 2020 and can be accessed by dialing 855-859-2056 and providing the conference ID #7592196.</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Footnotes</w:t>
      </w:r>
    </w:p>
    <w:p>
      <w:pPr>
        <w:spacing w:after="0" w:line="248" w:lineRule="exact"/>
        <w:rPr>
          <w:sz w:val="20"/>
          <w:szCs w:val="20"/>
          <w:color w:val="auto"/>
        </w:rPr>
      </w:pPr>
    </w:p>
    <w:p>
      <w:pPr>
        <w:ind w:left="340" w:hanging="282"/>
        <w:spacing w:after="0"/>
        <w:tabs>
          <w:tab w:leader="none" w:pos="340" w:val="left"/>
        </w:tabs>
        <w:numPr>
          <w:ilvl w:val="1"/>
          <w:numId w:val="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1Q20 Adjusted results exclude the following:</w:t>
      </w:r>
    </w:p>
    <w:p>
      <w:pPr>
        <w:spacing w:after="0" w:line="7" w:lineRule="exact"/>
        <w:rPr>
          <w:rFonts w:ascii="Arial" w:cs="Arial" w:eastAsia="Arial" w:hAnsi="Arial"/>
          <w:sz w:val="19"/>
          <w:szCs w:val="19"/>
          <w:u w:val="single" w:color="auto"/>
          <w:color w:val="auto"/>
        </w:rPr>
      </w:pPr>
    </w:p>
    <w:p>
      <w:pPr>
        <w:ind w:left="980" w:hanging="319"/>
        <w:spacing w:after="0" w:line="245" w:lineRule="auto"/>
        <w:tabs>
          <w:tab w:leader="none" w:pos="980" w:val="left"/>
        </w:tabs>
        <w:numPr>
          <w:ilvl w:val="2"/>
          <w:numId w:val="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$21 million pretax income, or $0.12 per diluted common share; GAAP measures affected in this release include consolidated pretax, EPS, and segment earnings (for respective amortization expense for the Retail and Group and Specialty segments).</w:t>
      </w:r>
    </w:p>
    <w:p>
      <w:pPr>
        <w:ind w:left="980" w:right="220" w:hanging="319"/>
        <w:spacing w:after="0" w:line="315" w:lineRule="auto"/>
        <w:tabs>
          <w:tab w:leader="none" w:pos="980" w:val="left"/>
        </w:tabs>
        <w:numPr>
          <w:ilvl w:val="2"/>
          <w:numId w:val="3"/>
        </w:numPr>
        <w:rPr>
          <w:rFonts w:ascii="Arial" w:cs="Arial" w:eastAsia="Arial" w:hAnsi="Arial"/>
          <w:sz w:val="17"/>
          <w:szCs w:val="17"/>
          <w:color w:val="auto"/>
        </w:rPr>
      </w:pPr>
      <w:r>
        <w:rPr>
          <w:rFonts w:ascii="Arial" w:cs="Arial" w:eastAsia="Arial" w:hAnsi="Arial"/>
          <w:sz w:val="17"/>
          <w:szCs w:val="17"/>
          <w:color w:val="auto"/>
        </w:rPr>
        <w:t>Put/call valuation adjustments of approximately $297 million, or $1.72 per diluted common share, associated with Humana’s non-consolidating minority interest investments. GAAP measures affected in this release include consolidated pretax and EPS.</w:t>
      </w:r>
    </w:p>
    <w:p>
      <w:pPr>
        <w:spacing w:after="0" w:line="153" w:lineRule="exact"/>
        <w:rPr>
          <w:rFonts w:ascii="Arial" w:cs="Arial" w:eastAsia="Arial" w:hAnsi="Arial"/>
          <w:sz w:val="17"/>
          <w:szCs w:val="17"/>
          <w:color w:val="auto"/>
        </w:rPr>
      </w:pPr>
    </w:p>
    <w:p>
      <w:pPr>
        <w:ind w:left="340" w:hanging="282"/>
        <w:spacing w:after="0"/>
        <w:tabs>
          <w:tab w:leader="none" w:pos="340" w:val="left"/>
        </w:tabs>
        <w:numPr>
          <w:ilvl w:val="1"/>
          <w:numId w:val="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1Q19 Adjusted results exclude the following:</w:t>
      </w:r>
    </w:p>
    <w:p>
      <w:pPr>
        <w:spacing w:after="0" w:line="7" w:lineRule="exact"/>
        <w:rPr>
          <w:rFonts w:ascii="Arial" w:cs="Arial" w:eastAsia="Arial" w:hAnsi="Arial"/>
          <w:sz w:val="19"/>
          <w:szCs w:val="19"/>
          <w:u w:val="single" w:color="auto"/>
          <w:color w:val="auto"/>
        </w:rPr>
      </w:pPr>
    </w:p>
    <w:p>
      <w:pPr>
        <w:ind w:left="1020" w:right="180" w:hanging="306"/>
        <w:spacing w:after="0" w:line="245" w:lineRule="auto"/>
        <w:tabs>
          <w:tab w:leader="none" w:pos="1020" w:val="left"/>
        </w:tabs>
        <w:numPr>
          <w:ilvl w:val="3"/>
          <w:numId w:val="3"/>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ind w:left="1020" w:right="280" w:hanging="306"/>
        <w:spacing w:after="0" w:line="315" w:lineRule="auto"/>
        <w:tabs>
          <w:tab w:leader="none" w:pos="1020" w:val="left"/>
        </w:tabs>
        <w:numPr>
          <w:ilvl w:val="3"/>
          <w:numId w:val="3"/>
        </w:numPr>
        <w:rPr>
          <w:rFonts w:ascii="Arial" w:cs="Arial" w:eastAsia="Arial" w:hAnsi="Arial"/>
          <w:sz w:val="17"/>
          <w:szCs w:val="17"/>
          <w:color w:val="auto"/>
        </w:rPr>
      </w:pPr>
      <w:r>
        <w:rPr>
          <w:rFonts w:ascii="Arial" w:cs="Arial" w:eastAsia="Arial" w:hAnsi="Arial"/>
          <w:sz w:val="17"/>
          <w:szCs w:val="17"/>
          <w:color w:val="auto"/>
        </w:rPr>
        <w:t>Put/call valuation adjustments of approximately $39 million, or $0.22 per diluted common share, associated with Humana’s non-consolidating minority interest investments. GAAP measures affected in this release include consolidated pretax and EPS.</w:t>
      </w:r>
    </w:p>
    <w:p>
      <w:pPr>
        <w:spacing w:after="0" w:line="153" w:lineRule="exact"/>
        <w:rPr>
          <w:rFonts w:ascii="Arial" w:cs="Arial" w:eastAsia="Arial" w:hAnsi="Arial"/>
          <w:sz w:val="17"/>
          <w:szCs w:val="17"/>
          <w:color w:val="auto"/>
        </w:rPr>
      </w:pPr>
    </w:p>
    <w:p>
      <w:pPr>
        <w:ind w:left="320" w:right="160" w:hanging="315"/>
        <w:spacing w:after="0" w:line="248" w:lineRule="auto"/>
        <w:tabs>
          <w:tab w:leader="none" w:pos="283"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10" w:lineRule="exact"/>
        <w:rPr>
          <w:rFonts w:ascii="Arial" w:cs="Arial" w:eastAsia="Arial" w:hAnsi="Arial"/>
          <w:sz w:val="19"/>
          <w:szCs w:val="19"/>
          <w:color w:val="auto"/>
        </w:rPr>
      </w:pPr>
    </w:p>
    <w:p>
      <w:pPr>
        <w:ind w:left="300" w:hanging="295"/>
        <w:spacing w:after="0"/>
        <w:tabs>
          <w:tab w:leader="none" w:pos="300" w:val="left"/>
        </w:tabs>
        <w:numPr>
          <w:ilvl w:val="0"/>
          <w:numId w:val="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FY 2020 Adjusted EPS projections exclude the following:</w:t>
      </w:r>
    </w:p>
    <w:p>
      <w:pPr>
        <w:spacing w:after="0" w:line="7" w:lineRule="exact"/>
        <w:rPr>
          <w:rFonts w:ascii="Arial" w:cs="Arial" w:eastAsia="Arial" w:hAnsi="Arial"/>
          <w:sz w:val="19"/>
          <w:szCs w:val="19"/>
          <w:u w:val="single" w:color="auto"/>
          <w:color w:val="auto"/>
        </w:rPr>
      </w:pPr>
    </w:p>
    <w:p>
      <w:pPr>
        <w:ind w:left="1020" w:hanging="306"/>
        <w:spacing w:after="0"/>
        <w:tabs>
          <w:tab w:leader="none" w:pos="1020" w:val="left"/>
        </w:tabs>
        <w:numPr>
          <w:ilvl w:val="3"/>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$0.49 per diluted common share.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754" w:right="339" w:bottom="1440" w:gutter="0" w:footer="0" w:header="0"/>
        </w:sectPr>
      </w:pPr>
    </w:p>
    <w:bookmarkStart w:id="8" w:name="page9"/>
    <w:bookmarkEnd w:id="8"/>
    <w:p>
      <w:pPr>
        <w:ind w:left="2060" w:hanging="1346"/>
        <w:spacing w:after="0" w:line="255" w:lineRule="auto"/>
        <w:tabs>
          <w:tab w:leader="none" w:pos="1036" w:val="left"/>
        </w:tabs>
        <w:numPr>
          <w:ilvl w:val="1"/>
          <w:numId w:val="5"/>
        </w:numPr>
        <w:rPr>
          <w:rFonts w:ascii="Arial" w:cs="Arial" w:eastAsia="Arial" w:hAnsi="Arial"/>
          <w:sz w:val="19"/>
          <w:szCs w:val="19"/>
          <w:color w:val="auto"/>
        </w:rPr>
      </w:pPr>
      <w:r>
        <w:rPr>
          <w:rFonts w:ascii="Arial" w:cs="Arial" w:eastAsia="Arial" w:hAnsi="Arial"/>
          <w:sz w:val="19"/>
          <w:szCs w:val="19"/>
          <w:color w:val="auto"/>
        </w:rPr>
        <w:t>Put/call valuation adjustments of $1.72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spacing w:after="0" w:line="200" w:lineRule="exact"/>
        <w:rPr>
          <w:rFonts w:ascii="Arial" w:cs="Arial" w:eastAsia="Arial" w:hAnsi="Arial"/>
          <w:sz w:val="19"/>
          <w:szCs w:val="19"/>
          <w:color w:val="auto"/>
        </w:rPr>
      </w:pPr>
    </w:p>
    <w:p>
      <w:pPr>
        <w:ind w:left="300" w:hanging="295"/>
        <w:spacing w:after="0"/>
        <w:tabs>
          <w:tab w:leader="none" w:pos="300" w:val="left"/>
        </w:tabs>
        <w:numPr>
          <w:ilvl w:val="0"/>
          <w:numId w:val="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FY 2019 Adjusted results exclude the following:</w:t>
      </w:r>
    </w:p>
    <w:p>
      <w:pPr>
        <w:spacing w:after="0" w:line="7" w:lineRule="exact"/>
        <w:rPr>
          <w:rFonts w:ascii="Arial" w:cs="Arial" w:eastAsia="Arial" w:hAnsi="Arial"/>
          <w:sz w:val="19"/>
          <w:szCs w:val="19"/>
          <w:u w:val="single" w:color="auto"/>
          <w:color w:val="auto"/>
        </w:rPr>
      </w:pPr>
    </w:p>
    <w:p>
      <w:pPr>
        <w:ind w:left="1020" w:hanging="306"/>
        <w:spacing w:after="0"/>
        <w:tabs>
          <w:tab w:leader="none" w:pos="10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Amortization expense for identifiable intangibles of approximately $70 million pretax income, or $0.40 per diluted common share.</w:t>
      </w:r>
    </w:p>
    <w:p>
      <w:pPr>
        <w:spacing w:after="0" w:line="27" w:lineRule="exact"/>
        <w:rPr>
          <w:rFonts w:ascii="Arial" w:cs="Arial" w:eastAsia="Arial" w:hAnsi="Arial"/>
          <w:sz w:val="17"/>
          <w:szCs w:val="17"/>
          <w:color w:val="auto"/>
        </w:rPr>
      </w:pPr>
    </w:p>
    <w:p>
      <w:pPr>
        <w:ind w:left="1020" w:right="160" w:hanging="306"/>
        <w:spacing w:after="0" w:line="245" w:lineRule="auto"/>
        <w:tabs>
          <w:tab w:leader="none" w:pos="1020" w:val="left"/>
        </w:tabs>
        <w:numPr>
          <w:ilvl w:val="1"/>
          <w:numId w:val="5"/>
        </w:numPr>
        <w:rPr>
          <w:rFonts w:ascii="Arial" w:cs="Arial" w:eastAsia="Arial" w:hAnsi="Arial"/>
          <w:sz w:val="19"/>
          <w:szCs w:val="19"/>
          <w:color w:val="auto"/>
        </w:rPr>
      </w:pPr>
      <w:r>
        <w:rPr>
          <w:rFonts w:ascii="Arial" w:cs="Arial" w:eastAsia="Arial" w:hAnsi="Arial"/>
          <w:sz w:val="19"/>
          <w:szCs w:val="19"/>
          <w:color w:val="auto"/>
        </w:rPr>
        <w:t>Put/call valuation adjustments of approximately $506 million, or $2.89 per diluted common share, associated with Humana’s non-consolidating minority interest investments.</w:t>
      </w:r>
    </w:p>
    <w:p>
      <w:pPr>
        <w:ind w:left="1020" w:hanging="306"/>
        <w:spacing w:after="0"/>
        <w:tabs>
          <w:tab w:leader="none" w:pos="1020" w:val="left"/>
        </w:tabs>
        <w:numPr>
          <w:ilvl w:val="1"/>
          <w:numId w:val="5"/>
        </w:numPr>
        <w:rPr>
          <w:rFonts w:ascii="Arial" w:cs="Arial" w:eastAsia="Arial" w:hAnsi="Arial"/>
          <w:sz w:val="17"/>
          <w:szCs w:val="17"/>
          <w:color w:val="auto"/>
        </w:rPr>
      </w:pPr>
      <w:r>
        <w:rPr>
          <w:rFonts w:ascii="Arial" w:cs="Arial" w:eastAsia="Arial" w:hAnsi="Arial"/>
          <w:sz w:val="17"/>
          <w:szCs w:val="17"/>
          <w:color w:val="auto"/>
        </w:rPr>
        <w:t>Expense associated with involuntary workforce reduction of approximately $47 million pretax, or $0.26 per diluted common share.</w:t>
      </w:r>
    </w:p>
    <w:p>
      <w:pPr>
        <w:spacing w:after="0" w:line="248" w:lineRule="exact"/>
        <w:rPr>
          <w:rFonts w:ascii="Arial" w:cs="Arial" w:eastAsia="Arial" w:hAnsi="Arial"/>
          <w:sz w:val="17"/>
          <w:szCs w:val="17"/>
          <w:color w:val="auto"/>
        </w:rPr>
      </w:pPr>
    </w:p>
    <w:p>
      <w:pPr>
        <w:ind w:left="240" w:hanging="235"/>
        <w:spacing w:after="0"/>
        <w:tabs>
          <w:tab w:leader="none" w:pos="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Excludes estimates of changes in revenues associated with increased accuracy of risk coding.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Cautionary Statement</w:t>
      </w:r>
    </w:p>
    <w:p>
      <w:pPr>
        <w:spacing w:after="0" w:line="29" w:lineRule="exact"/>
        <w:rPr>
          <w:sz w:val="20"/>
          <w:szCs w:val="20"/>
          <w:color w:val="auto"/>
        </w:rPr>
      </w:pPr>
    </w:p>
    <w:p>
      <w:pPr>
        <w:ind w:left="320"/>
        <w:spacing w:after="0" w:line="248" w:lineRule="auto"/>
        <w:rPr>
          <w:sz w:val="20"/>
          <w:szCs w:val="20"/>
          <w:color w:val="auto"/>
        </w:rPr>
      </w:pPr>
      <w:r>
        <w:rPr>
          <w:rFonts w:ascii="Arial" w:cs="Arial" w:eastAsia="Arial" w:hAnsi="Arial"/>
          <w:sz w:val="19"/>
          <w:szCs w:val="19"/>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10" w:lineRule="exact"/>
        <w:rPr>
          <w:sz w:val="20"/>
          <w:szCs w:val="20"/>
          <w:color w:val="auto"/>
        </w:rPr>
      </w:pPr>
    </w:p>
    <w:p>
      <w:pPr>
        <w:ind w:left="320" w:right="220"/>
        <w:spacing w:after="0" w:line="252" w:lineRule="auto"/>
        <w:rPr>
          <w:sz w:val="20"/>
          <w:szCs w:val="20"/>
          <w:color w:val="auto"/>
        </w:rPr>
      </w:pPr>
      <w:r>
        <w:rPr>
          <w:rFonts w:ascii="Arial" w:cs="Arial" w:eastAsia="Arial" w:hAnsi="Arial"/>
          <w:sz w:val="19"/>
          <w:szCs w:val="19"/>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91" w:lineRule="exact"/>
        <w:rPr>
          <w:sz w:val="20"/>
          <w:szCs w:val="20"/>
          <w:color w:val="auto"/>
        </w:rPr>
      </w:pPr>
    </w:p>
    <w:p>
      <w:pPr>
        <w:ind w:left="620" w:hanging="313"/>
        <w:spacing w:after="0" w:line="260"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4" w:lineRule="exact"/>
        <w:rPr>
          <w:rFonts w:ascii="Arial" w:cs="Arial" w:eastAsia="Arial" w:hAnsi="Arial"/>
          <w:sz w:val="18"/>
          <w:szCs w:val="18"/>
          <w:color w:val="auto"/>
        </w:rPr>
      </w:pPr>
    </w:p>
    <w:p>
      <w:pPr>
        <w:ind w:left="620" w:hanging="313"/>
        <w:spacing w:after="0" w:line="245" w:lineRule="auto"/>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ind w:left="620" w:right="120" w:hanging="313"/>
        <w:spacing w:after="0" w:line="249" w:lineRule="auto"/>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00"/>
          </w:cols>
          <w:pgMar w:left="320" w:top="556" w:right="379" w:bottom="1440" w:gutter="0" w:footer="0" w:header="0"/>
        </w:sectPr>
      </w:pPr>
    </w:p>
    <w:bookmarkStart w:id="9" w:name="page10"/>
    <w:bookmarkEnd w:id="9"/>
    <w:p>
      <w:pPr>
        <w:ind w:left="320" w:hanging="313"/>
        <w:spacing w:after="0" w:line="278"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3" w:lineRule="exact"/>
        <w:rPr>
          <w:rFonts w:ascii="Arial" w:cs="Arial" w:eastAsia="Arial" w:hAnsi="Arial"/>
          <w:sz w:val="17"/>
          <w:szCs w:val="17"/>
          <w:color w:val="auto"/>
        </w:rPr>
      </w:pPr>
    </w:p>
    <w:p>
      <w:pPr>
        <w:ind w:left="320" w:hanging="313"/>
        <w:spacing w:after="0" w:line="274"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ind w:left="320" w:right="20" w:hanging="313"/>
        <w:spacing w:after="0" w:line="245"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1" w:lineRule="exact"/>
        <w:rPr>
          <w:rFonts w:ascii="Arial" w:cs="Arial" w:eastAsia="Arial" w:hAnsi="Arial"/>
          <w:sz w:val="19"/>
          <w:szCs w:val="19"/>
          <w:color w:val="auto"/>
        </w:rPr>
      </w:pPr>
    </w:p>
    <w:p>
      <w:pPr>
        <w:ind w:left="320" w:right="180" w:hanging="313"/>
        <w:spacing w:after="0" w:line="245"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Humana’s failure to manage acquisitions, divestitures and other significant transactions successfully may have a material adverse effect on the company’s results of operations, financial position, and cash flows.</w:t>
      </w:r>
    </w:p>
    <w:p>
      <w:pPr>
        <w:ind w:left="320" w:right="40" w:hanging="313"/>
        <w:spacing w:after="0" w:line="245"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Humana fails to develop and maintain satisfactory relationships with the providers of care to its members, the company’s business may be adversely affected.</w:t>
      </w:r>
    </w:p>
    <w:p>
      <w:pPr>
        <w:ind w:left="320" w:right="400" w:hanging="313"/>
        <w:spacing w:after="0" w:line="245"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Humana’s pharmacy business is highly competitive and subjects it to regulations in addition to those the company faces with its core health benefits businesses.</w:t>
      </w:r>
    </w:p>
    <w:p>
      <w:pPr>
        <w:ind w:left="320" w:hanging="313"/>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spacing w:after="0" w:line="4" w:lineRule="exact"/>
        <w:rPr>
          <w:rFonts w:ascii="Arial" w:cs="Arial" w:eastAsia="Arial" w:hAnsi="Arial"/>
          <w:sz w:val="19"/>
          <w:szCs w:val="19"/>
          <w:color w:val="auto"/>
        </w:rPr>
      </w:pPr>
    </w:p>
    <w:p>
      <w:pPr>
        <w:ind w:left="320" w:right="380" w:hanging="313"/>
        <w:spacing w:after="0" w:line="245"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Humana does not continue to earn and retain purchase discounts and volume rebates from pharmaceutical manufacturers at current levels, Humana’s gross margins may decline.</w:t>
      </w:r>
    </w:p>
    <w:p>
      <w:pPr>
        <w:ind w:left="320" w:hanging="313"/>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spacing w:after="0" w:line="4" w:lineRule="exact"/>
        <w:rPr>
          <w:rFonts w:ascii="Arial" w:cs="Arial" w:eastAsia="Arial" w:hAnsi="Arial"/>
          <w:sz w:val="19"/>
          <w:szCs w:val="19"/>
          <w:color w:val="auto"/>
        </w:rPr>
      </w:pPr>
    </w:p>
    <w:p>
      <w:pPr>
        <w:ind w:left="320" w:hanging="313"/>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27" w:lineRule="exact"/>
        <w:rPr>
          <w:rFonts w:ascii="Arial" w:cs="Arial" w:eastAsia="Arial" w:hAnsi="Arial"/>
          <w:sz w:val="17"/>
          <w:szCs w:val="17"/>
          <w:color w:val="auto"/>
        </w:rPr>
      </w:pPr>
    </w:p>
    <w:p>
      <w:pPr>
        <w:ind w:left="320" w:hanging="313"/>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securities and credit markets may experience volatility and disruption, which may adversely affect Humana’s business.</w:t>
      </w:r>
    </w:p>
    <w:p>
      <w:pPr>
        <w:spacing w:after="0" w:line="4" w:lineRule="exact"/>
        <w:rPr>
          <w:rFonts w:ascii="Arial" w:cs="Arial" w:eastAsia="Arial" w:hAnsi="Arial"/>
          <w:sz w:val="19"/>
          <w:szCs w:val="19"/>
          <w:color w:val="auto"/>
        </w:rPr>
      </w:pPr>
    </w:p>
    <w:p>
      <w:pPr>
        <w:ind w:left="320" w:right="120" w:hanging="313"/>
        <w:spacing w:after="0" w:line="251" w:lineRule="auto"/>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04" w:lineRule="exact"/>
        <w:rPr>
          <w:rFonts w:ascii="Arial" w:cs="Arial" w:eastAsia="Arial" w:hAnsi="Arial"/>
          <w:sz w:val="19"/>
          <w:szCs w:val="19"/>
          <w:color w:val="auto"/>
        </w:rPr>
      </w:pPr>
    </w:p>
    <w:p>
      <w:pPr>
        <w:ind w:left="340" w:right="40"/>
        <w:spacing w:after="0" w:line="250" w:lineRule="auto"/>
        <w:rPr>
          <w:rFonts w:ascii="Arial" w:cs="Arial" w:eastAsia="Arial" w:hAnsi="Arial"/>
          <w:sz w:val="19"/>
          <w:szCs w:val="19"/>
          <w:color w:val="auto"/>
        </w:rPr>
      </w:pPr>
      <w:r>
        <w:rPr>
          <w:rFonts w:ascii="Arial" w:cs="Arial" w:eastAsia="Arial" w:hAnsi="Arial"/>
          <w:sz w:val="19"/>
          <w:szCs w:val="19"/>
          <w:color w:val="auto"/>
        </w:rPr>
        <w:t>In December 2019, a novel strain of coronavirus (COVID-19) was reported to have surfaced in Wuhan, China. COVID-19 has since spread to over 200 countries, including every state in the United States. On March 11, 2020 the World Health Organization declared COVID-19 a pandemic, and on March 13, 2020 the United States declared a national emergency with respect to COVID-19.</w:t>
      </w: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940"/>
          </w:cols>
          <w:pgMar w:left="620" w:top="556" w:right="339" w:bottom="1440" w:gutter="0" w:footer="0" w:header="0"/>
        </w:sectPr>
      </w:pPr>
    </w:p>
    <w:bookmarkStart w:id="10" w:name="page11"/>
    <w:bookmarkEnd w:id="10"/>
    <w:p>
      <w:pPr>
        <w:ind w:left="640"/>
        <w:spacing w:after="0" w:line="246" w:lineRule="auto"/>
        <w:rPr>
          <w:sz w:val="20"/>
          <w:szCs w:val="20"/>
          <w:color w:val="auto"/>
        </w:rPr>
      </w:pPr>
      <w:r>
        <w:rPr>
          <w:rFonts w:ascii="Arial" w:cs="Arial" w:eastAsia="Arial" w:hAnsi="Arial"/>
          <w:sz w:val="19"/>
          <w:szCs w:val="19"/>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 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providing full coverage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expand or otherwise modify the services delivered to its members, provide relief for the health care provider community, or in connection with the relaxation of stay-at-home and physical distancing orders and other restrictions on movement and economic activity intended to reduce the spread of COVID-19, including the potential for widespread testing as a component of lifting these measures, could adversely impact the company’s profitability.</w:t>
      </w:r>
    </w:p>
    <w:p>
      <w:pPr>
        <w:spacing w:after="0" w:line="212" w:lineRule="exact"/>
        <w:rPr>
          <w:sz w:val="20"/>
          <w:szCs w:val="20"/>
          <w:color w:val="auto"/>
        </w:rPr>
      </w:pPr>
    </w:p>
    <w:p>
      <w:pPr>
        <w:ind w:left="640"/>
        <w:spacing w:after="0" w:line="246" w:lineRule="auto"/>
        <w:rPr>
          <w:sz w:val="20"/>
          <w:szCs w:val="20"/>
          <w:color w:val="auto"/>
        </w:rPr>
      </w:pPr>
      <w:r>
        <w:rPr>
          <w:rFonts w:ascii="Arial" w:cs="Arial" w:eastAsia="Arial" w:hAnsi="Arial"/>
          <w:sz w:val="19"/>
          <w:szCs w:val="19"/>
          <w:color w:val="auto"/>
        </w:rPr>
        <w:t>The spread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as well as the value of the company’s investment portfolio.</w:t>
      </w:r>
    </w:p>
    <w:p>
      <w:pPr>
        <w:spacing w:after="0" w:line="213" w:lineRule="exact"/>
        <w:rPr>
          <w:sz w:val="20"/>
          <w:szCs w:val="20"/>
          <w:color w:val="auto"/>
        </w:rPr>
      </w:pPr>
    </w:p>
    <w:p>
      <w:pPr>
        <w:ind w:left="640" w:right="80"/>
        <w:spacing w:after="0" w:line="247" w:lineRule="auto"/>
        <w:rPr>
          <w:sz w:val="20"/>
          <w:szCs w:val="20"/>
          <w:color w:val="auto"/>
        </w:rPr>
      </w:pPr>
      <w:r>
        <w:rPr>
          <w:rFonts w:ascii="Arial" w:cs="Arial" w:eastAsia="Arial" w:hAnsi="Arial"/>
          <w:sz w:val="19"/>
          <w:szCs w:val="19"/>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associated with lifting restrictions on movement and economic activity and ultimately a vaccine,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200" w:lineRule="exact"/>
        <w:rPr>
          <w:sz w:val="20"/>
          <w:szCs w:val="20"/>
          <w:color w:val="auto"/>
        </w:rPr>
      </w:pP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Humana advises investors to read the following documents as filed by the company with the SEC for further discussion both of the risks it faces and its historical performance: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20"/>
          </w:cols>
          <w:pgMar w:left="320" w:top="569" w:right="359" w:bottom="1440" w:gutter="0" w:footer="0" w:header="0"/>
        </w:sectPr>
      </w:pPr>
    </w:p>
    <w:bookmarkStart w:id="11" w:name="page12"/>
    <w:bookmarkEnd w:id="11"/>
    <w:p>
      <w:pPr>
        <w:ind w:left="640" w:hanging="320"/>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Form 10-K for the year ended December 31, 2019; and</w:t>
      </w:r>
    </w:p>
    <w:p>
      <w:pPr>
        <w:spacing w:after="0" w:line="20" w:lineRule="exact"/>
        <w:rPr>
          <w:rFonts w:ascii="Arial" w:cs="Arial" w:eastAsia="Arial" w:hAnsi="Arial"/>
          <w:sz w:val="19"/>
          <w:szCs w:val="19"/>
          <w:color w:val="auto"/>
        </w:rPr>
      </w:pPr>
    </w:p>
    <w:p>
      <w:pPr>
        <w:ind w:left="640" w:hanging="320"/>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Form 8-Ks filed during 2020.</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About Humana</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92" w:lineRule="exact"/>
        <w:rPr>
          <w:sz w:val="20"/>
          <w:szCs w:val="20"/>
          <w:color w:val="auto"/>
        </w:rPr>
      </w:pPr>
    </w:p>
    <w:p>
      <w:pPr>
        <w:ind w:right="260"/>
        <w:spacing w:after="0" w:line="250" w:lineRule="auto"/>
        <w:rPr>
          <w:sz w:val="20"/>
          <w:szCs w:val="20"/>
          <w:color w:val="auto"/>
        </w:rPr>
      </w:pPr>
      <w:r>
        <w:rPr>
          <w:rFonts w:ascii="Arial" w:cs="Arial" w:eastAsia="Arial" w:hAnsi="Arial"/>
          <w:sz w:val="19"/>
          <w:szCs w:val="19"/>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92" w:lineRule="exact"/>
        <w:rPr>
          <w:sz w:val="20"/>
          <w:szCs w:val="20"/>
          <w:color w:val="auto"/>
        </w:rPr>
      </w:pPr>
    </w:p>
    <w:p>
      <w:pPr>
        <w:ind w:right="980"/>
        <w:spacing w:after="0" w:line="260" w:lineRule="auto"/>
        <w:rPr>
          <w:sz w:val="20"/>
          <w:szCs w:val="20"/>
          <w:color w:val="auto"/>
        </w:rPr>
      </w:pPr>
      <w:r>
        <w:rPr>
          <w:rFonts w:ascii="Arial" w:cs="Arial" w:eastAsia="Arial" w:hAnsi="Arial"/>
          <w:sz w:val="19"/>
          <w:szCs w:val="19"/>
          <w:color w:val="auto"/>
        </w:rPr>
        <w:t xml:space="preserve">More information regarding Humana is available to investors via the Investor Relations page of the company’s website at </w:t>
      </w:r>
      <w:r>
        <w:rPr>
          <w:rFonts w:ascii="Arial" w:cs="Arial" w:eastAsia="Arial" w:hAnsi="Arial"/>
          <w:sz w:val="19"/>
          <w:szCs w:val="19"/>
          <w:u w:val="single" w:color="auto"/>
          <w:color w:val="auto"/>
        </w:rPr>
        <w:t>humana.com</w:t>
      </w:r>
      <w:r>
        <w:rPr>
          <w:rFonts w:ascii="Arial" w:cs="Arial" w:eastAsia="Arial" w:hAnsi="Arial"/>
          <w:sz w:val="19"/>
          <w:szCs w:val="19"/>
          <w:color w:val="auto"/>
        </w:rPr>
        <w:t>, including copies of:</w:t>
      </w:r>
    </w:p>
    <w:p>
      <w:pPr>
        <w:spacing w:after="0" w:line="393" w:lineRule="exact"/>
        <w:rPr>
          <w:sz w:val="20"/>
          <w:szCs w:val="20"/>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Annual reports to stockholders</w:t>
      </w:r>
    </w:p>
    <w:p>
      <w:pPr>
        <w:spacing w:after="0" w:line="20" w:lineRule="exact"/>
        <w:rPr>
          <w:rFonts w:ascii="Arial" w:cs="Arial" w:eastAsia="Arial" w:hAnsi="Arial"/>
          <w:sz w:val="19"/>
          <w:szCs w:val="19"/>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Securities and Exchange Commission filings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Most recent investor conference presentations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Quarterly earnings news releases and conference calls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Calendar of events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Corporate Governance information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779" w:right="339" w:bottom="1440" w:gutter="0" w:footer="0" w:header="0"/>
        </w:sectPr>
      </w:pPr>
    </w:p>
    <w:bookmarkStart w:id="12" w:name="page13"/>
    <w:bookmarkEnd w:id="12"/>
    <w:p>
      <w:pPr>
        <w:ind w:left="8640"/>
        <w:spacing w:after="0"/>
        <w:rPr>
          <w:sz w:val="20"/>
          <w:szCs w:val="20"/>
          <w:color w:val="auto"/>
        </w:rPr>
      </w:pPr>
      <w:r>
        <w:rPr>
          <w:rFonts w:ascii="Arial" w:cs="Arial" w:eastAsia="Arial" w:hAnsi="Arial"/>
          <w:sz w:val="26"/>
          <w:szCs w:val="26"/>
          <w:b w:val="1"/>
          <w:bCs w:val="1"/>
          <w:color w:val="auto"/>
        </w:rPr>
        <w:t xml:space="preserve">n e w s </w:t>
      </w:r>
      <w:r>
        <w:rPr>
          <w:rFonts w:ascii="Arial" w:cs="Arial" w:eastAsia="Arial" w:hAnsi="Arial"/>
          <w:sz w:val="26"/>
          <w:szCs w:val="26"/>
          <w:color w:val="auto"/>
        </w:rPr>
        <w:t>r e l e a s e</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Humana Inc.</w:t>
      </w:r>
    </w:p>
    <w:p>
      <w:pPr>
        <w:ind w:left="9080"/>
        <w:spacing w:after="0" w:line="230" w:lineRule="auto"/>
        <w:rPr>
          <w:sz w:val="20"/>
          <w:szCs w:val="20"/>
          <w:color w:val="auto"/>
        </w:rPr>
      </w:pPr>
      <w:r>
        <w:rPr>
          <w:rFonts w:ascii="Arial" w:cs="Arial" w:eastAsia="Arial" w:hAnsi="Arial"/>
          <w:sz w:val="19"/>
          <w:szCs w:val="19"/>
          <w:color w:val="auto"/>
        </w:rPr>
        <w:t>500 West Main Street</w:t>
      </w:r>
    </w:p>
    <w:p>
      <w:pPr>
        <w:ind w:left="9080"/>
        <w:spacing w:after="0" w:line="231" w:lineRule="auto"/>
        <w:rPr>
          <w:sz w:val="20"/>
          <w:szCs w:val="20"/>
          <w:color w:val="auto"/>
        </w:rPr>
      </w:pPr>
      <w:r>
        <w:rPr>
          <w:rFonts w:ascii="Arial" w:cs="Arial" w:eastAsia="Arial" w:hAnsi="Arial"/>
          <w:sz w:val="19"/>
          <w:szCs w:val="19"/>
          <w:color w:val="auto"/>
        </w:rPr>
        <w:t>P.O. Box 1438</w:t>
      </w:r>
    </w:p>
    <w:p>
      <w:pPr>
        <w:ind w:left="9080"/>
        <w:spacing w:after="0" w:line="231" w:lineRule="auto"/>
        <w:rPr>
          <w:sz w:val="20"/>
          <w:szCs w:val="20"/>
          <w:color w:val="auto"/>
        </w:rPr>
      </w:pPr>
      <w:r>
        <w:rPr>
          <w:rFonts w:ascii="Arial" w:cs="Arial" w:eastAsia="Arial" w:hAnsi="Arial"/>
          <w:sz w:val="19"/>
          <w:szCs w:val="19"/>
          <w:color w:val="auto"/>
        </w:rPr>
        <w:t>Louisville, KY 40202</w:t>
      </w:r>
    </w:p>
    <w:p>
      <w:pPr>
        <w:ind w:left="9080"/>
        <w:spacing w:after="0"/>
        <w:rPr>
          <w:sz w:val="20"/>
          <w:szCs w:val="20"/>
          <w:color w:val="auto"/>
        </w:rPr>
      </w:pPr>
      <w:r>
        <w:rPr>
          <w:rFonts w:ascii="Arial" w:cs="Arial" w:eastAsia="Arial" w:hAnsi="Arial"/>
          <w:sz w:val="19"/>
          <w:szCs w:val="19"/>
          <w:u w:val="single" w:color="auto"/>
          <w:color w:val="auto"/>
        </w:rPr>
        <w:t>http://www.humana.com</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105410</wp:posOffset>
            </wp:positionV>
            <wp:extent cx="1809115" cy="541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115" cy="541655"/>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Amy Smith</w:t>
      </w:r>
    </w:p>
    <w:p>
      <w:pPr>
        <w:ind w:left="40"/>
        <w:spacing w:after="0" w:line="230" w:lineRule="auto"/>
        <w:rPr>
          <w:sz w:val="20"/>
          <w:szCs w:val="20"/>
          <w:color w:val="auto"/>
        </w:rPr>
      </w:pPr>
      <w:r>
        <w:rPr>
          <w:rFonts w:ascii="Arial" w:cs="Arial" w:eastAsia="Arial" w:hAnsi="Arial"/>
          <w:sz w:val="19"/>
          <w:szCs w:val="19"/>
          <w:color w:val="auto"/>
        </w:rPr>
        <w:t>Humana Investor Relations</w:t>
      </w:r>
    </w:p>
    <w:p>
      <w:pPr>
        <w:ind w:left="40"/>
        <w:spacing w:after="0" w:line="231" w:lineRule="auto"/>
        <w:rPr>
          <w:sz w:val="20"/>
          <w:szCs w:val="20"/>
          <w:color w:val="auto"/>
        </w:rPr>
      </w:pPr>
      <w:r>
        <w:rPr>
          <w:rFonts w:ascii="Arial" w:cs="Arial" w:eastAsia="Arial" w:hAnsi="Arial"/>
          <w:sz w:val="19"/>
          <w:szCs w:val="19"/>
          <w:color w:val="auto"/>
        </w:rPr>
        <w:t>(502) 580-2811</w:t>
      </w:r>
    </w:p>
    <w:p>
      <w:pPr>
        <w:ind w:left="4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Amysmith@humana.com</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Kelley Murphy</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Humana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(502) 224-1755</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Kmurphy26@humana.com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Humana Reports First Quarter 2020 Financial Results including</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Proactive Actions Taken during Pandemic</w:t>
      </w:r>
    </w:p>
    <w:p>
      <w:pPr>
        <w:spacing w:after="0" w:line="200" w:lineRule="exact"/>
        <w:rPr>
          <w:sz w:val="20"/>
          <w:szCs w:val="20"/>
          <w:color w:val="auto"/>
        </w:rPr>
      </w:pPr>
    </w:p>
    <w:p>
      <w:pPr>
        <w:spacing w:after="0" w:line="298" w:lineRule="exact"/>
        <w:rPr>
          <w:sz w:val="20"/>
          <w:szCs w:val="20"/>
          <w:color w:val="auto"/>
        </w:rPr>
      </w:pPr>
    </w:p>
    <w:p>
      <w:pPr>
        <w:ind w:left="620" w:right="460" w:hanging="313"/>
        <w:spacing w:after="0" w:line="239"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Committed to ongoing COVID-19 relief efforts to provide resources and assistance to all constituencies, including proactive outreach to vulnerable members to address clinical and social determinants of health needs to minimize the short-term impact amid the pandemic</w:t>
      </w:r>
    </w:p>
    <w:p>
      <w:pPr>
        <w:spacing w:after="0" w:line="1" w:lineRule="exact"/>
        <w:rPr>
          <w:rFonts w:ascii="Arial" w:cs="Arial" w:eastAsia="Arial" w:hAnsi="Arial"/>
          <w:sz w:val="16"/>
          <w:szCs w:val="16"/>
          <w:color w:val="auto"/>
        </w:rPr>
      </w:pPr>
    </w:p>
    <w:p>
      <w:pPr>
        <w:ind w:left="620" w:hanging="313"/>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Reports 1Q20 earnings per diluted common share (EPS) of $3.56 on a GAAP basis, $5.40 on an Adjusted basis</w:t>
      </w:r>
    </w:p>
    <w:p>
      <w:pPr>
        <w:ind w:left="620" w:hanging="313"/>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Comments on FY 2020 guidance:</w:t>
      </w:r>
    </w:p>
    <w:p>
      <w:pPr>
        <w:ind w:left="1260" w:hanging="310"/>
        <w:spacing w:after="0"/>
        <w:tabs>
          <w:tab w:leader="none" w:pos="12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FY 2020 GAAP EPS expected to be in a range of $16.04 to $16.54</w:t>
      </w:r>
    </w:p>
    <w:p>
      <w:pPr>
        <w:ind w:left="1260" w:right="200" w:hanging="323"/>
        <w:spacing w:after="0" w:line="239"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Reaffirms FY 2020 Adjusted EPS guidance range of $18.25 to $18.75 while acknowledging the inherent uncertainty surrounding the ongoing crisis</w:t>
      </w:r>
    </w:p>
    <w:p>
      <w:pPr>
        <w:spacing w:after="0" w:line="1" w:lineRule="exact"/>
        <w:rPr>
          <w:rFonts w:ascii="Arial" w:cs="Arial" w:eastAsia="Arial" w:hAnsi="Arial"/>
          <w:sz w:val="16"/>
          <w:szCs w:val="16"/>
          <w:color w:val="auto"/>
        </w:rPr>
      </w:pPr>
    </w:p>
    <w:p>
      <w:pPr>
        <w:ind w:left="1260" w:right="520" w:hanging="323"/>
        <w:spacing w:after="0" w:line="239"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Increases full year expected individual Medicare Advantage membership growth to 300,000 to 350,000 members from previous range of 270,000 to 330,000 members, while reaffirming group Medicare Advantage and stand-alone PDP membership estimates for 2020</w:t>
      </w:r>
    </w:p>
    <w:p>
      <w:pPr>
        <w:spacing w:after="0" w:line="1" w:lineRule="exact"/>
        <w:rPr>
          <w:rFonts w:ascii="Arial" w:cs="Arial" w:eastAsia="Arial" w:hAnsi="Arial"/>
          <w:sz w:val="16"/>
          <w:szCs w:val="16"/>
          <w:color w:val="auto"/>
        </w:rPr>
      </w:pPr>
    </w:p>
    <w:p>
      <w:pPr>
        <w:ind w:left="1260" w:right="180" w:hanging="323"/>
        <w:spacing w:after="0" w:line="245"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Withdraws additional FY 2020 detailed guidance not noted above given the likelihood of significant variability of results by financial statement line item and related ratios</w:t>
      </w:r>
    </w:p>
    <w:p>
      <w:pPr>
        <w:spacing w:after="0" w:line="186" w:lineRule="exact"/>
        <w:rPr>
          <w:sz w:val="20"/>
          <w:szCs w:val="20"/>
          <w:color w:val="auto"/>
        </w:rPr>
      </w:pPr>
    </w:p>
    <w:p>
      <w:pPr>
        <w:ind w:left="60" w:right="40"/>
        <w:spacing w:after="0" w:line="252" w:lineRule="auto"/>
        <w:rPr>
          <w:sz w:val="20"/>
          <w:szCs w:val="20"/>
          <w:color w:val="auto"/>
        </w:rPr>
      </w:pPr>
      <w:r>
        <w:rPr>
          <w:rFonts w:ascii="Arial" w:cs="Arial" w:eastAsia="Arial" w:hAnsi="Arial"/>
          <w:sz w:val="19"/>
          <w:szCs w:val="19"/>
          <w:b w:val="1"/>
          <w:bCs w:val="1"/>
          <w:color w:val="auto"/>
        </w:rPr>
        <w:t xml:space="preserve">LOUISVILLE, KY (April 29, 2020) </w:t>
      </w:r>
      <w:r>
        <w:rPr>
          <w:rFonts w:ascii="Arial" w:cs="Arial" w:eastAsia="Arial" w:hAnsi="Arial"/>
          <w:sz w:val="19"/>
          <w:szCs w:val="19"/>
          <w:color w:val="auto"/>
        </w:rPr>
        <w:t>– Humana Inc. (NYSE: HUM) moved quickly during the first quarter of 2020 to ease some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burden associated with the outbreak of the novel coronavirus, COVID-19, including assisting its employees to transition to work at home, alleviating financial and healthcare concerns for members, and supporting providers. The company has taken several proactive steps to be a part of the solution, including waiving costs associated with the diagnostic testing and treatment of COVID-19, expanding access to telehealth services, and simplifying and expediting claims processing for providers to promote the speed of reimbursement payments. In addition, the company contributed $50 million to the Humana Foundation to advance COVID-19 relief efforts.</w:t>
      </w:r>
    </w:p>
    <w:p>
      <w:pPr>
        <w:spacing w:after="0" w:line="204"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color w:val="auto"/>
        </w:rPr>
        <w:t>The net financial impact of COVID-19 was not material to Humana's results of operations during the first quarter of 2020. With the emergence of stay-at-home and physical distancing orders and other restrictions on movement and economic activity intended to reduce the spread of COVID-19 during the second half of March 2020, the company experienced lower hospital admissions and utilization as members and providers began to defer non-essential procedures. The deferral of non-essential procedures was offset by an increase in pharmacy costs as a result of the company's decision to permit early prescription refills to allow members to prepare for extended supply needs and the impact of other COVID-19 specific administrative costs, including the contribution to the Humana Foundation.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697" w:right="339" w:bottom="1440" w:gutter="0" w:footer="0" w:header="0"/>
        </w:sectPr>
      </w:pPr>
    </w:p>
    <w:bookmarkStart w:id="13" w:name="page14"/>
    <w:bookmarkEnd w:id="13"/>
    <w:p>
      <w:pPr>
        <w:spacing w:after="0" w:line="247" w:lineRule="auto"/>
        <w:rPr>
          <w:sz w:val="20"/>
          <w:szCs w:val="20"/>
          <w:color w:val="auto"/>
        </w:rPr>
      </w:pPr>
      <w:r>
        <w:rPr>
          <w:rFonts w:ascii="Arial" w:cs="Arial" w:eastAsia="Arial" w:hAnsi="Arial"/>
          <w:sz w:val="19"/>
          <w:szCs w:val="19"/>
          <w:color w:val="auto"/>
        </w:rPr>
        <w:t>Humana has seen the trend of lower utilization persist into the second quarter of 2020 and it expects that deferred non-essential procedures will return in the coming weeks and months, although a number of significant variables make the timing and impact of this recovery uncertain. As the progression of the COVID-19 pandemic continues, Humana will continue to monitor the impact on the company and all of its stakeholders and adjust its response accordingly, proactively leveraging its integrated care delivery model to best serve its members, partnering with federal and state governments to develop comprehensive and actionable plans for recovery and re-entry, minimizing the impact on its provider partners, and advancing the long-term sustainability of the company and the healthcare system.</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“From the outset of the COVID-19 crisis, we’ve been proactive in assisting our employees, members, and providers by improving access to healthcare and easing burdens associated with finances and daily living needs," said Bruce D. Broussard, Humana's President and Chief Executive Office. "As we begin the re-entry phase, we will remain focused on serving our vulnerable populations, including over eight million Medicare beneficiaries, and recognize that safety, and particularly consumer confidence in the ability to once again safely begin using the healthcare system, are top of mind with everyone, and we play a pivotal role in ensuring both. We will continue to expand our relief efforts, like the proactive outreach we started last month to our most vulnerable members that, to date, have included fulfilling orders for over half a million meals and closing approximately 630,000 gaps in care. Humana stands ready to be a strong and willing partner to federal, state and local governments, and community nonprofits, building on what we learned during the crisis to reshape the healthcare system so it’s ready and able to provide broader access to care, and to proactively manage more comprehensive health and lifestyle needs."</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Summary of Quarterly Results</w:t>
      </w:r>
    </w:p>
    <w:p>
      <w:pPr>
        <w:spacing w:after="0" w:line="252" w:lineRule="exact"/>
        <w:rPr>
          <w:sz w:val="20"/>
          <w:szCs w:val="20"/>
          <w:color w:val="auto"/>
        </w:rPr>
      </w:pPr>
    </w:p>
    <w:p>
      <w:pPr>
        <w:ind w:left="60" w:right="320"/>
        <w:spacing w:after="0" w:line="260" w:lineRule="auto"/>
        <w:rPr>
          <w:sz w:val="20"/>
          <w:szCs w:val="20"/>
          <w:color w:val="auto"/>
        </w:rPr>
      </w:pPr>
      <w:r>
        <w:rPr>
          <w:rFonts w:ascii="Arial" w:cs="Arial" w:eastAsia="Arial" w:hAnsi="Arial"/>
          <w:sz w:val="19"/>
          <w:szCs w:val="19"/>
          <w:color w:val="auto"/>
        </w:rPr>
        <w:t>Humana today reported consolidated pretax income and diluted earnings per common share (EPS) for the quarter ended March 31, 2020 (1Q20) versus the quarter ended March 31, 2019 (1Q19) as follows.</w:t>
      </w:r>
    </w:p>
    <w:p>
      <w:pPr>
        <w:spacing w:after="0" w:line="311" w:lineRule="exact"/>
        <w:rPr>
          <w:sz w:val="20"/>
          <w:szCs w:val="20"/>
          <w:color w:val="auto"/>
        </w:rPr>
      </w:pPr>
    </w:p>
    <w:tbl>
      <w:tblPr>
        <w:tblLayout w:type="fixed"/>
        <w:tblInd w:w="1350" w:type="dxa"/>
        <w:tblCellMar>
          <w:top w:w="0" w:type="dxa"/>
          <w:left w:w="0" w:type="dxa"/>
          <w:bottom w:w="0" w:type="dxa"/>
          <w:right w:w="0" w:type="dxa"/>
        </w:tblCellMar>
      </w:tblPr>
      <w:tr>
        <w:trPr>
          <w:trHeight w:val="223"/>
        </w:trPr>
        <w:tc>
          <w:tcPr>
            <w:tcW w:w="6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income before income taxes and equity in earnings (pretax</w:t>
            </w:r>
          </w:p>
        </w:tc>
        <w:tc>
          <w:tcPr>
            <w:tcW w:w="1200" w:type="dxa"/>
            <w:vAlign w:val="bottom"/>
            <w:tcBorders>
              <w:top w:val="single" w:sz="8" w:color="auto"/>
            </w:tcBorders>
            <w:shd w:val="clear" w:color="auto" w:fill="EAEAEA"/>
          </w:tcPr>
          <w:p>
            <w:pPr>
              <w:spacing w:after="0"/>
              <w:rPr>
                <w:sz w:val="19"/>
                <w:szCs w:val="19"/>
                <w:color w:val="auto"/>
              </w:rPr>
            </w:pPr>
          </w:p>
        </w:tc>
        <w:tc>
          <w:tcPr>
            <w:tcW w:w="100" w:type="dxa"/>
            <w:vAlign w:val="bottom"/>
            <w:tcBorders>
              <w:top w:val="single" w:sz="8" w:color="auto"/>
              <w:right w:val="single" w:sz="8" w:color="auto"/>
            </w:tcBorders>
            <w:shd w:val="clear" w:color="auto" w:fill="EAEAEA"/>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income) </w:t>
            </w:r>
            <w:r>
              <w:rPr>
                <w:rFonts w:ascii="Arial" w:cs="Arial" w:eastAsia="Arial" w:hAnsi="Arial"/>
                <w:sz w:val="16"/>
                <w:szCs w:val="16"/>
                <w:i w:val="1"/>
                <w:iCs w:val="1"/>
                <w:color w:val="auto"/>
              </w:rPr>
              <w:t>In millions</w:t>
            </w:r>
          </w:p>
        </w:tc>
        <w:tc>
          <w:tcPr>
            <w:tcW w:w="1200" w:type="dxa"/>
            <w:vAlign w:val="bottom"/>
            <w:tcBorders>
              <w:bottom w:val="single" w:sz="8" w:color="EAEAEA"/>
            </w:tcBorders>
            <w:shd w:val="clear" w:color="auto" w:fill="EAEAEA"/>
          </w:tcPr>
          <w:p>
            <w:pPr>
              <w:jc w:val="right"/>
              <w:ind w:right="161"/>
              <w:spacing w:after="0"/>
              <w:rPr>
                <w:sz w:val="20"/>
                <w:szCs w:val="20"/>
                <w:color w:val="auto"/>
              </w:rPr>
            </w:pPr>
            <w:r>
              <w:rPr>
                <w:rFonts w:ascii="Arial" w:cs="Arial" w:eastAsia="Arial" w:hAnsi="Arial"/>
                <w:sz w:val="16"/>
                <w:szCs w:val="16"/>
                <w:b w:val="1"/>
                <w:bCs w:val="1"/>
                <w:color w:val="auto"/>
                <w:shd w:val="clear" w:color="auto" w:fill="EAEAEA"/>
              </w:rPr>
              <w:t>1Q20 (a)</w:t>
            </w:r>
          </w:p>
        </w:tc>
        <w:tc>
          <w:tcPr>
            <w:tcW w:w="100" w:type="dxa"/>
            <w:vAlign w:val="bottom"/>
            <w:tcBorders>
              <w:bottom w:val="single" w:sz="8" w:color="EAEAEA"/>
              <w:right w:val="single" w:sz="8" w:color="auto"/>
            </w:tcBorders>
            <w:shd w:val="clear" w:color="auto" w:fill="EAEAEA"/>
          </w:tcPr>
          <w:p>
            <w:pPr>
              <w:spacing w:after="0"/>
              <w:rPr>
                <w:sz w:val="18"/>
                <w:szCs w:val="18"/>
                <w:color w:val="auto"/>
              </w:rPr>
            </w:pPr>
          </w:p>
        </w:tc>
        <w:tc>
          <w:tcPr>
            <w:tcW w:w="1280" w:type="dxa"/>
            <w:vAlign w:val="bottom"/>
            <w:tcBorders>
              <w:right w:val="single" w:sz="8" w:color="auto"/>
            </w:tcBorders>
          </w:tcPr>
          <w:p>
            <w:pPr>
              <w:jc w:val="right"/>
              <w:ind w:right="261"/>
              <w:spacing w:after="0"/>
              <w:rPr>
                <w:sz w:val="20"/>
                <w:szCs w:val="20"/>
                <w:color w:val="auto"/>
              </w:rPr>
            </w:pPr>
            <w:r>
              <w:rPr>
                <w:rFonts w:ascii="Arial" w:cs="Arial" w:eastAsia="Arial" w:hAnsi="Arial"/>
                <w:sz w:val="16"/>
                <w:szCs w:val="16"/>
                <w:color w:val="auto"/>
              </w:rPr>
              <w:t>1Q19 (b)</w:t>
            </w:r>
          </w:p>
        </w:tc>
        <w:tc>
          <w:tcPr>
            <w:tcW w:w="0" w:type="dxa"/>
            <w:vAlign w:val="bottom"/>
          </w:tcPr>
          <w:p>
            <w:pPr>
              <w:spacing w:after="0"/>
              <w:rPr>
                <w:sz w:val="1"/>
                <w:szCs w:val="1"/>
                <w:color w:val="auto"/>
              </w:rPr>
            </w:pPr>
          </w:p>
        </w:tc>
      </w:tr>
      <w:tr>
        <w:trPr>
          <w:trHeight w:val="249"/>
        </w:trPr>
        <w:tc>
          <w:tcPr>
            <w:tcW w:w="6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2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$717</w:t>
            </w:r>
          </w:p>
        </w:tc>
        <w:tc>
          <w:tcPr>
            <w:tcW w:w="100" w:type="dxa"/>
            <w:vAlign w:val="bottom"/>
            <w:tcBorders>
              <w:top w:val="single" w:sz="8" w:color="auto"/>
              <w:bottom w:val="single" w:sz="8" w:color="auto"/>
              <w:right w:val="single" w:sz="8" w:color="auto"/>
            </w:tcBorders>
            <w:shd w:val="clear" w:color="auto" w:fill="EAEAEA"/>
          </w:tcPr>
          <w:p>
            <w:pPr>
              <w:spacing w:after="0"/>
              <w:rPr>
                <w:sz w:val="21"/>
                <w:szCs w:val="21"/>
                <w:color w:val="auto"/>
              </w:rPr>
            </w:pPr>
          </w:p>
        </w:tc>
        <w:tc>
          <w:tcPr>
            <w:tcW w:w="128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29"/>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auto"/>
              <w:right w:val="single" w:sz="8" w:color="auto"/>
            </w:tcBorders>
            <w:shd w:val="clear" w:color="auto" w:fill="EAEAEA"/>
          </w:tcPr>
          <w:p>
            <w:pPr>
              <w:spacing w:after="0"/>
              <w:rPr>
                <w:sz w:val="19"/>
                <w:szCs w:val="19"/>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Put/call valuation adjustments associated with company's non-consolidating minority</w:t>
            </w:r>
          </w:p>
        </w:tc>
        <w:tc>
          <w:tcPr>
            <w:tcW w:w="120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tcBorders>
              <w:right w:val="single" w:sz="8" w:color="auto"/>
            </w:tcBorders>
            <w:shd w:val="clear" w:color="auto" w:fill="EAEAEA"/>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investments</w:t>
            </w:r>
          </w:p>
        </w:tc>
        <w:tc>
          <w:tcPr>
            <w:tcW w:w="1200" w:type="dxa"/>
            <w:vAlign w:val="bottom"/>
            <w:tcBorders>
              <w:bottom w:val="single" w:sz="8" w:color="auto"/>
            </w:tcBorders>
            <w:vMerge w:val="continue"/>
            <w:shd w:val="clear" w:color="auto" w:fill="EAEAEA"/>
          </w:tcPr>
          <w:p>
            <w:pPr>
              <w:spacing w:after="0"/>
              <w:rPr>
                <w:sz w:val="17"/>
                <w:szCs w:val="17"/>
                <w:color w:val="auto"/>
              </w:rPr>
            </w:pPr>
          </w:p>
        </w:tc>
        <w:tc>
          <w:tcPr>
            <w:tcW w:w="100" w:type="dxa"/>
            <w:vAlign w:val="bottom"/>
            <w:tcBorders>
              <w:bottom w:val="single" w:sz="8" w:color="auto"/>
              <w:right w:val="single" w:sz="8" w:color="auto"/>
            </w:tcBorders>
            <w:shd w:val="clear" w:color="auto" w:fill="EAEAEA"/>
          </w:tcPr>
          <w:p>
            <w:pPr>
              <w:spacing w:after="0"/>
              <w:rPr>
                <w:sz w:val="17"/>
                <w:szCs w:val="17"/>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6"/>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$1,035</w:t>
            </w:r>
          </w:p>
        </w:tc>
        <w:tc>
          <w:tcPr>
            <w:tcW w:w="100" w:type="dxa"/>
            <w:vAlign w:val="bottom"/>
            <w:tcBorders>
              <w:bottom w:val="single" w:sz="8" w:color="auto"/>
              <w:right w:val="single" w:sz="8" w:color="auto"/>
            </w:tcBorders>
            <w:shd w:val="clear" w:color="auto" w:fill="EAEAEA"/>
          </w:tcPr>
          <w:p>
            <w:pPr>
              <w:spacing w:after="0"/>
              <w:rPr>
                <w:sz w:val="22"/>
                <w:szCs w:val="22"/>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$803</w:t>
            </w:r>
          </w:p>
        </w:tc>
        <w:tc>
          <w:tcPr>
            <w:tcW w:w="0" w:type="dxa"/>
            <w:vAlign w:val="bottom"/>
          </w:tcPr>
          <w:p>
            <w:pPr>
              <w:spacing w:after="0"/>
              <w:rPr>
                <w:sz w:val="1"/>
                <w:szCs w:val="1"/>
                <w:color w:val="auto"/>
              </w:rPr>
            </w:pPr>
          </w:p>
        </w:tc>
      </w:tr>
      <w:tr>
        <w:trPr>
          <w:trHeight w:val="354"/>
        </w:trPr>
        <w:tc>
          <w:tcPr>
            <w:tcW w:w="6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1200" w:type="dxa"/>
            <w:vAlign w:val="bottom"/>
            <w:tcBorders>
              <w:bottom w:val="single" w:sz="8" w:color="EAEAEA"/>
            </w:tcBorders>
            <w:shd w:val="clear" w:color="auto" w:fill="EAEAEA"/>
          </w:tcPr>
          <w:p>
            <w:pPr>
              <w:jc w:val="right"/>
              <w:ind w:right="161"/>
              <w:spacing w:after="0"/>
              <w:rPr>
                <w:sz w:val="20"/>
                <w:szCs w:val="20"/>
                <w:color w:val="auto"/>
              </w:rPr>
            </w:pPr>
            <w:r>
              <w:rPr>
                <w:rFonts w:ascii="Arial" w:cs="Arial" w:eastAsia="Arial" w:hAnsi="Arial"/>
                <w:sz w:val="16"/>
                <w:szCs w:val="16"/>
                <w:b w:val="1"/>
                <w:bCs w:val="1"/>
                <w:color w:val="auto"/>
                <w:shd w:val="clear" w:color="auto" w:fill="EAEAEA"/>
              </w:rPr>
              <w:t>1Q20 (a)</w:t>
            </w:r>
          </w:p>
        </w:tc>
        <w:tc>
          <w:tcPr>
            <w:tcW w:w="100" w:type="dxa"/>
            <w:vAlign w:val="bottom"/>
            <w:tcBorders>
              <w:bottom w:val="single" w:sz="8" w:color="EAEAEA"/>
              <w:right w:val="single" w:sz="8" w:color="auto"/>
            </w:tcBorders>
            <w:shd w:val="clear" w:color="auto" w:fill="EAEAEA"/>
          </w:tcPr>
          <w:p>
            <w:pPr>
              <w:spacing w:after="0"/>
              <w:rPr>
                <w:sz w:val="19"/>
                <w:szCs w:val="19"/>
                <w:color w:val="auto"/>
              </w:rPr>
            </w:pPr>
          </w:p>
        </w:tc>
        <w:tc>
          <w:tcPr>
            <w:tcW w:w="1280" w:type="dxa"/>
            <w:vAlign w:val="bottom"/>
            <w:tcBorders>
              <w:right w:val="single" w:sz="8" w:color="auto"/>
            </w:tcBorders>
          </w:tcPr>
          <w:p>
            <w:pPr>
              <w:jc w:val="right"/>
              <w:ind w:right="261"/>
              <w:spacing w:after="0"/>
              <w:rPr>
                <w:sz w:val="20"/>
                <w:szCs w:val="20"/>
                <w:color w:val="auto"/>
              </w:rPr>
            </w:pPr>
            <w:r>
              <w:rPr>
                <w:rFonts w:ascii="Arial" w:cs="Arial" w:eastAsia="Arial" w:hAnsi="Arial"/>
                <w:sz w:val="16"/>
                <w:szCs w:val="16"/>
                <w:color w:val="auto"/>
              </w:rPr>
              <w:t>1Q19 (b)</w:t>
            </w:r>
          </w:p>
        </w:tc>
        <w:tc>
          <w:tcPr>
            <w:tcW w:w="0" w:type="dxa"/>
            <w:vAlign w:val="bottom"/>
          </w:tcPr>
          <w:p>
            <w:pPr>
              <w:spacing w:after="0"/>
              <w:rPr>
                <w:sz w:val="1"/>
                <w:szCs w:val="1"/>
                <w:color w:val="auto"/>
              </w:rPr>
            </w:pPr>
          </w:p>
        </w:tc>
      </w:tr>
      <w:tr>
        <w:trPr>
          <w:trHeight w:val="249"/>
        </w:trPr>
        <w:tc>
          <w:tcPr>
            <w:tcW w:w="6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tcBorders>
              <w:top w:val="single" w:sz="8" w:color="auto"/>
              <w:bottom w:val="single" w:sz="8" w:color="auto"/>
              <w:right w:val="single" w:sz="8" w:color="auto"/>
            </w:tcBorders>
            <w:shd w:val="clear" w:color="auto" w:fill="EAEAEA"/>
          </w:tcPr>
          <w:p>
            <w:pPr>
              <w:spacing w:after="0"/>
              <w:rPr>
                <w:sz w:val="21"/>
                <w:szCs w:val="21"/>
                <w:color w:val="auto"/>
              </w:rPr>
            </w:pPr>
          </w:p>
        </w:tc>
        <w:tc>
          <w:tcPr>
            <w:tcW w:w="128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29"/>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0.12</w:t>
            </w:r>
          </w:p>
        </w:tc>
        <w:tc>
          <w:tcPr>
            <w:tcW w:w="100" w:type="dxa"/>
            <w:vAlign w:val="bottom"/>
            <w:tcBorders>
              <w:bottom w:val="single" w:sz="8" w:color="auto"/>
              <w:right w:val="single" w:sz="8" w:color="auto"/>
            </w:tcBorders>
            <w:shd w:val="clear" w:color="auto" w:fill="EAEAEA"/>
          </w:tcPr>
          <w:p>
            <w:pPr>
              <w:spacing w:after="0"/>
              <w:rPr>
                <w:sz w:val="19"/>
                <w:szCs w:val="19"/>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2"/>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Put/call valuation adjustments associated with company's non-consolidating minority</w:t>
            </w:r>
          </w:p>
        </w:tc>
        <w:tc>
          <w:tcPr>
            <w:tcW w:w="120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tcBorders>
              <w:right w:val="single" w:sz="8" w:color="auto"/>
            </w:tcBorders>
            <w:shd w:val="clear" w:color="auto" w:fill="EAEAEA"/>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investments</w:t>
            </w:r>
          </w:p>
        </w:tc>
        <w:tc>
          <w:tcPr>
            <w:tcW w:w="1200" w:type="dxa"/>
            <w:vAlign w:val="bottom"/>
            <w:tcBorders>
              <w:bottom w:val="single" w:sz="8" w:color="auto"/>
            </w:tcBorders>
            <w:vMerge w:val="continue"/>
            <w:shd w:val="clear" w:color="auto" w:fill="EAEAEA"/>
          </w:tcPr>
          <w:p>
            <w:pPr>
              <w:spacing w:after="0"/>
              <w:rPr>
                <w:sz w:val="17"/>
                <w:szCs w:val="17"/>
                <w:color w:val="auto"/>
              </w:rPr>
            </w:pPr>
          </w:p>
        </w:tc>
        <w:tc>
          <w:tcPr>
            <w:tcW w:w="100" w:type="dxa"/>
            <w:vAlign w:val="bottom"/>
            <w:tcBorders>
              <w:bottom w:val="single" w:sz="8" w:color="auto"/>
              <w:right w:val="single" w:sz="8" w:color="auto"/>
            </w:tcBorders>
            <w:shd w:val="clear" w:color="auto" w:fill="EAEAEA"/>
          </w:tcPr>
          <w:p>
            <w:pPr>
              <w:spacing w:after="0"/>
              <w:rPr>
                <w:sz w:val="17"/>
                <w:szCs w:val="17"/>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56"/>
        </w:trPr>
        <w:tc>
          <w:tcPr>
            <w:tcW w:w="6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$5.40</w:t>
            </w:r>
          </w:p>
        </w:tc>
        <w:tc>
          <w:tcPr>
            <w:tcW w:w="100" w:type="dxa"/>
            <w:vAlign w:val="bottom"/>
            <w:tcBorders>
              <w:bottom w:val="single" w:sz="8" w:color="auto"/>
              <w:right w:val="single" w:sz="8" w:color="auto"/>
            </w:tcBorders>
            <w:shd w:val="clear" w:color="auto" w:fill="EAEAEA"/>
          </w:tcPr>
          <w:p>
            <w:pPr>
              <w:spacing w:after="0"/>
              <w:rPr>
                <w:sz w:val="22"/>
                <w:szCs w:val="22"/>
                <w:color w:val="auto"/>
              </w:rPr>
            </w:pP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3" w:lineRule="exact"/>
        <w:rPr>
          <w:sz w:val="20"/>
          <w:szCs w:val="20"/>
          <w:color w:val="auto"/>
        </w:rPr>
      </w:pPr>
    </w:p>
    <w:p>
      <w:pPr>
        <w:jc w:val="both"/>
        <w:ind w:right="140"/>
        <w:spacing w:after="0" w:line="252" w:lineRule="auto"/>
        <w:rPr>
          <w:sz w:val="20"/>
          <w:szCs w:val="20"/>
          <w:color w:val="auto"/>
        </w:rPr>
      </w:pPr>
      <w:r>
        <w:rPr>
          <w:rFonts w:ascii="Arial" w:cs="Arial" w:eastAsia="Arial" w:hAnsi="Arial"/>
          <w:sz w:val="19"/>
          <w:szCs w:val="19"/>
          <w:color w:val="auto"/>
        </w:rPr>
        <w:t>GAAP and Adjusted pretax income and EPS results for 1Q20 exceeded management's expectations driven by solid results across each of the company's segments, led by strong Medicare Advantage earnings. As noted above, the net financial impact of COVID-19 was not material to Humana's results of operations during 1Q20.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69" w:right="33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19"/>
          <w:szCs w:val="19"/>
          <w:color w:val="auto"/>
        </w:rPr>
        <w:t>Please refer to the tables above, as well as the consolidated and segment highlight sections that follow for additional discussion of the factors impacting the year-over-year comparisons.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In addition, below is a summary of key consolidated and segment statistics comparing 1Q20 to 1Q19.</w:t>
      </w:r>
    </w:p>
    <w:p>
      <w:pPr>
        <w:spacing w:after="0" w:line="330" w:lineRule="exact"/>
        <w:rPr>
          <w:sz w:val="20"/>
          <w:szCs w:val="20"/>
          <w:color w:val="auto"/>
        </w:rPr>
      </w:pPr>
    </w:p>
    <w:tbl>
      <w:tblPr>
        <w:tblLayout w:type="fixed"/>
        <w:tblInd w:w="1830" w:type="dxa"/>
        <w:tblCellMar>
          <w:top w:w="0" w:type="dxa"/>
          <w:left w:w="0" w:type="dxa"/>
          <w:bottom w:w="0" w:type="dxa"/>
          <w:right w:w="0" w:type="dxa"/>
        </w:tblCellMar>
      </w:tblPr>
      <w:tr>
        <w:trPr>
          <w:trHeight w:val="238"/>
        </w:trPr>
        <w:tc>
          <w:tcPr>
            <w:tcW w:w="4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Humana Inc. Summary of Quarterly Results</w:t>
            </w:r>
          </w:p>
        </w:tc>
        <w:tc>
          <w:tcPr>
            <w:tcW w:w="1620" w:type="dxa"/>
            <w:vAlign w:val="bottom"/>
            <w:tcBorders>
              <w:top w:val="single" w:sz="8" w:color="auto"/>
            </w:tcBorders>
            <w:shd w:val="clear" w:color="auto" w:fill="EAEAEA"/>
          </w:tcPr>
          <w:p>
            <w:pPr>
              <w:spacing w:after="0"/>
              <w:rPr>
                <w:sz w:val="20"/>
                <w:szCs w:val="20"/>
                <w:color w:val="auto"/>
              </w:rPr>
            </w:pPr>
          </w:p>
        </w:tc>
        <w:tc>
          <w:tcPr>
            <w:tcW w:w="200" w:type="dxa"/>
            <w:vAlign w:val="bottom"/>
            <w:tcBorders>
              <w:top w:val="single" w:sz="8" w:color="auto"/>
              <w:right w:val="single" w:sz="8" w:color="auto"/>
            </w:tcBorders>
            <w:shd w:val="clear" w:color="auto" w:fill="EAEAEA"/>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r>
      <w:tr>
        <w:trPr>
          <w:trHeight w:val="201"/>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(dollars in millions, except per share amounts)</w:t>
            </w:r>
          </w:p>
        </w:tc>
        <w:tc>
          <w:tcPr>
            <w:tcW w:w="1820" w:type="dxa"/>
            <w:vAlign w:val="bottom"/>
            <w:tcBorders>
              <w:bottom w:val="single" w:sz="8" w:color="auto"/>
              <w:right w:val="single" w:sz="8" w:color="auto"/>
            </w:tcBorders>
            <w:gridSpan w:val="2"/>
            <w:shd w:val="clear" w:color="auto" w:fill="EAEAEA"/>
          </w:tcPr>
          <w:p>
            <w:pPr>
              <w:jc w:val="right"/>
              <w:ind w:right="620"/>
              <w:spacing w:after="0"/>
              <w:rPr>
                <w:sz w:val="20"/>
                <w:szCs w:val="20"/>
                <w:color w:val="auto"/>
              </w:rPr>
            </w:pPr>
            <w:r>
              <w:rPr>
                <w:rFonts w:ascii="Arial" w:cs="Arial" w:eastAsia="Arial" w:hAnsi="Arial"/>
                <w:sz w:val="16"/>
                <w:szCs w:val="16"/>
                <w:color w:val="auto"/>
              </w:rPr>
              <w:t>1Q20 (a)</w:t>
            </w:r>
          </w:p>
        </w:tc>
        <w:tc>
          <w:tcPr>
            <w:tcW w:w="180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16"/>
                <w:szCs w:val="16"/>
                <w:color w:val="auto"/>
              </w:rPr>
              <w:t>1Q19 (b)</w:t>
            </w:r>
          </w:p>
        </w:tc>
      </w:tr>
      <w:tr>
        <w:trPr>
          <w:trHeight w:val="229"/>
        </w:trPr>
        <w:tc>
          <w:tcPr>
            <w:tcW w:w="402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Consolidated results:</w:t>
            </w:r>
          </w:p>
        </w:tc>
        <w:tc>
          <w:tcPr>
            <w:tcW w:w="1620" w:type="dxa"/>
            <w:vAlign w:val="bottom"/>
            <w:tcBorders>
              <w:bottom w:val="single" w:sz="8" w:color="auto"/>
            </w:tcBorders>
            <w:shd w:val="clear" w:color="auto" w:fill="EAEAEA"/>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0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$18,935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$16,107</w:t>
            </w:r>
          </w:p>
        </w:tc>
      </w:tr>
      <w:tr>
        <w:trPr>
          <w:trHeight w:val="256"/>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Pretax income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$717</w:t>
            </w:r>
          </w:p>
        </w:tc>
        <w:tc>
          <w:tcPr>
            <w:tcW w:w="200" w:type="dxa"/>
            <w:vAlign w:val="bottom"/>
            <w:tcBorders>
              <w:bottom w:val="single" w:sz="8" w:color="auto"/>
              <w:right w:val="single" w:sz="8" w:color="auto"/>
            </w:tcBorders>
            <w:shd w:val="clear" w:color="auto" w:fill="EAEAEA"/>
          </w:tcPr>
          <w:p>
            <w:pPr>
              <w:spacing w:after="0"/>
              <w:rPr>
                <w:sz w:val="22"/>
                <w:szCs w:val="22"/>
                <w:color w:val="auto"/>
              </w:rPr>
            </w:pPr>
          </w:p>
        </w:tc>
        <w:tc>
          <w:tcPr>
            <w:tcW w:w="180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16"/>
                <w:szCs w:val="16"/>
                <w:color w:val="auto"/>
              </w:rPr>
              <w:t>$746</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Pretax income - Adjusted</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$1,035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EPS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$3.56</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EPS - Adjusted</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$5.40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$4.48</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Benefits expense ratio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85.1%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86.2%</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11.3%</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cash flows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$474</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$896</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Parent company cash and short term investments</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$2,353</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Debt-to-total capitalization</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39.2%</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29"/>
        </w:trPr>
        <w:tc>
          <w:tcPr>
            <w:tcW w:w="402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Retail segment results:</w:t>
            </w:r>
          </w:p>
        </w:tc>
        <w:tc>
          <w:tcPr>
            <w:tcW w:w="16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shd w:val="clear" w:color="auto" w:fill="EAEAEA"/>
          </w:tcPr>
          <w:p>
            <w:pPr>
              <w:spacing w:after="0"/>
              <w:rPr>
                <w:sz w:val="19"/>
                <w:szCs w:val="19"/>
                <w:color w:val="auto"/>
              </w:rPr>
            </w:pPr>
          </w:p>
        </w:tc>
        <w:tc>
          <w:tcPr>
            <w:tcW w:w="1800" w:type="dxa"/>
            <w:vAlign w:val="bottom"/>
            <w:tcBorders>
              <w:bottom w:val="single" w:sz="8" w:color="auto"/>
              <w:right w:val="single" w:sz="8" w:color="auto"/>
            </w:tcBorders>
            <w:shd w:val="clear" w:color="auto" w:fill="EAEAEA"/>
          </w:tcPr>
          <w:p>
            <w:pPr>
              <w:spacing w:after="0"/>
              <w:rPr>
                <w:sz w:val="19"/>
                <w:szCs w:val="19"/>
                <w:color w:val="auto"/>
              </w:rPr>
            </w:pP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$16,762</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$14,013</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Benefits expense ratio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86.6%</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88.3%</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$685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$689</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31"/>
        </w:trPr>
        <w:tc>
          <w:tcPr>
            <w:tcW w:w="402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Group and Specialty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0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27"/>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$1,865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$1,887</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Benefits expense ratio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79.1%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$105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$106</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31"/>
        </w:trPr>
        <w:tc>
          <w:tcPr>
            <w:tcW w:w="402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Healthcare Services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0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27"/>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$7,085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$6,098</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96.0%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96.6%</w:t>
            </w:r>
          </w:p>
        </w:tc>
      </w:tr>
      <w:tr>
        <w:trPr>
          <w:trHeight w:val="22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$250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12"/>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Adjusted earnings before interest, taxes, depreciation</w:t>
            </w:r>
          </w:p>
        </w:tc>
        <w:tc>
          <w:tcPr>
            <w:tcW w:w="162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01"/>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and amortization (Adjusted EBITDA) (c)</w:t>
            </w:r>
          </w:p>
        </w:tc>
        <w:tc>
          <w:tcPr>
            <w:tcW w:w="1820" w:type="dxa"/>
            <w:vAlign w:val="bottom"/>
            <w:tcBorders>
              <w:bottom w:val="single" w:sz="8" w:color="auto"/>
              <w:right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$319</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-3609340</wp:posOffset>
            </wp:positionV>
            <wp:extent cx="1042035"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203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-2975610</wp:posOffset>
            </wp:positionV>
            <wp:extent cx="104203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203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-2500630</wp:posOffset>
            </wp:positionV>
            <wp:extent cx="1042035"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2035" cy="31686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-1550035</wp:posOffset>
            </wp:positionV>
            <wp:extent cx="1042035"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420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060"/>
          </w:cols>
          <w:pgMar w:left="320" w:top="779" w:right="519" w:bottom="1440" w:gutter="0" w:footer="0" w:header="0"/>
        </w:sectPr>
      </w:pPr>
    </w:p>
    <w:bookmarkStart w:id="15" w:name="page16"/>
    <w:bookmarkEnd w:id="15"/>
    <w:p>
      <w:pPr>
        <w:spacing w:after="0"/>
        <w:rPr>
          <w:sz w:val="20"/>
          <w:szCs w:val="20"/>
          <w:color w:val="auto"/>
        </w:rPr>
      </w:pPr>
      <w:r>
        <w:rPr>
          <w:rFonts w:ascii="Arial" w:cs="Arial" w:eastAsia="Arial" w:hAnsi="Arial"/>
          <w:sz w:val="24"/>
          <w:szCs w:val="24"/>
          <w:b w:val="1"/>
          <w:bCs w:val="1"/>
          <w:u w:val="single" w:color="auto"/>
          <w:color w:val="auto"/>
        </w:rPr>
        <w:t>2020 Earnings Guidance</w:t>
      </w:r>
    </w:p>
    <w:p>
      <w:pPr>
        <w:spacing w:after="0" w:line="261"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Humana is revising its GAAP EPS guidance range for the year ending December 31, 2020 (FY 2020) to $16.04 to $ 16.54 from the previous range of $17.76 to $18.26, reflecting the 1Q20 impact of the company's non-consolidating minority interest put/call valuation adjustments. While acknowledging the inherent uncertainty surrounding the ongoing crisis, Humana is maintaining its FY 2020 Adjusted EPS range of $18.25 to $18.75. For comparison, FY 2020 GAAP and Adjusted EPS guidance is detailed below along with GAAP and Adjusted results for the year ended December 31, 2019 (FY 2019).</w:t>
      </w:r>
    </w:p>
    <w:p>
      <w:pPr>
        <w:spacing w:after="0" w:line="210"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The company is revising its net membership growth estimate for its individual Medicare Advantage products now expecting growth in a range of 300,000 to 350,000 members for FY 2020 compared to the previous guidance growth range of 270,000 to 330,000 members. This anticipated increase in 2020 represents year-over-year growth of approximately 9 percent at the midpoint of the guidance range.</w:t>
      </w:r>
    </w:p>
    <w:p>
      <w:pPr>
        <w:spacing w:after="0" w:line="206" w:lineRule="exact"/>
        <w:rPr>
          <w:sz w:val="20"/>
          <w:szCs w:val="20"/>
          <w:color w:val="auto"/>
        </w:rPr>
      </w:pPr>
    </w:p>
    <w:p>
      <w:pPr>
        <w:ind w:right="340"/>
        <w:spacing w:after="0" w:line="260" w:lineRule="auto"/>
        <w:rPr>
          <w:sz w:val="20"/>
          <w:szCs w:val="20"/>
          <w:color w:val="auto"/>
        </w:rPr>
      </w:pPr>
      <w:r>
        <w:rPr>
          <w:rFonts w:ascii="Arial" w:cs="Arial" w:eastAsia="Arial" w:hAnsi="Arial"/>
          <w:sz w:val="19"/>
          <w:szCs w:val="19"/>
          <w:color w:val="auto"/>
        </w:rPr>
        <w:t>The company is also reiterating its expectations for group Medicare Advantage net membership gains for FY 2020, projecting an increase of approximately 90,000 members year over year.</w:t>
      </w:r>
    </w:p>
    <w:p>
      <w:pPr>
        <w:spacing w:after="0" w:line="19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For its stand-alone PDP business, Humana continues to estimate a net membership decline of approximately 550,000 members for FY 2020.</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Given the likelihood of significant variability of results by financial statement line item (and related ratios), Humana is withdrawing its additional detailed guidance that was initially provided as part of the company's fourth quarter 2019 earnings release dated February 5, 2020.</w:t>
      </w: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8340" w:type="dxa"/>
            <w:vAlign w:val="bottom"/>
            <w:tcBorders>
              <w:top w:val="single" w:sz="8" w:color="auto"/>
              <w:left w:val="single" w:sz="8" w:color="auto"/>
              <w:right w:val="single" w:sz="8" w:color="auto"/>
            </w:tcBorders>
            <w:shd w:val="clear" w:color="auto" w:fill="EAEAEA"/>
          </w:tcPr>
          <w:p>
            <w:pPr>
              <w:spacing w:after="0"/>
              <w:rPr>
                <w:sz w:val="16"/>
                <w:szCs w:val="16"/>
                <w:color w:val="auto"/>
              </w:rPr>
            </w:pPr>
          </w:p>
        </w:tc>
        <w:tc>
          <w:tcPr>
            <w:tcW w:w="1480" w:type="dxa"/>
            <w:vAlign w:val="bottom"/>
            <w:tcBorders>
              <w:top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4"/>
                <w:szCs w:val="14"/>
                <w:b w:val="1"/>
                <w:bCs w:val="1"/>
                <w:color w:val="auto"/>
              </w:rPr>
              <w:t>FY 2020</w:t>
            </w:r>
          </w:p>
        </w:tc>
        <w:tc>
          <w:tcPr>
            <w:tcW w:w="1440" w:type="dxa"/>
            <w:vAlign w:val="bottom"/>
            <w:tcBorders>
              <w:top w:val="single" w:sz="8" w:color="auto"/>
              <w:right w:val="single" w:sz="8" w:color="auto"/>
            </w:tcBorders>
          </w:tcPr>
          <w:p>
            <w:pPr>
              <w:spacing w:after="0"/>
              <w:rPr>
                <w:sz w:val="16"/>
                <w:szCs w:val="16"/>
                <w:color w:val="auto"/>
              </w:rPr>
            </w:pPr>
          </w:p>
        </w:tc>
      </w:tr>
      <w:tr>
        <w:trPr>
          <w:trHeight w:val="190"/>
        </w:trPr>
        <w:tc>
          <w:tcPr>
            <w:tcW w:w="8340" w:type="dxa"/>
            <w:vAlign w:val="bottom"/>
            <w:tcBorders>
              <w:left w:val="single" w:sz="8" w:color="auto"/>
              <w:bottom w:val="single" w:sz="8" w:color="auto"/>
              <w:right w:val="single" w:sz="8" w:color="auto"/>
            </w:tcBorders>
            <w:shd w:val="clear" w:color="auto" w:fill="EAEAEA"/>
          </w:tcPr>
          <w:p>
            <w:pPr>
              <w:ind w:left="2980"/>
              <w:spacing w:after="0"/>
              <w:rPr>
                <w:sz w:val="20"/>
                <w:szCs w:val="20"/>
                <w:color w:val="auto"/>
              </w:rPr>
            </w:pPr>
            <w:r>
              <w:rPr>
                <w:rFonts w:ascii="Arial" w:cs="Arial" w:eastAsia="Arial" w:hAnsi="Arial"/>
                <w:sz w:val="14"/>
                <w:szCs w:val="14"/>
                <w:b w:val="1"/>
                <w:bCs w:val="1"/>
                <w:color w:val="auto"/>
              </w:rPr>
              <w:t>Diluted earnings per common share</w:t>
            </w:r>
          </w:p>
        </w:tc>
        <w:tc>
          <w:tcPr>
            <w:tcW w:w="1480" w:type="dxa"/>
            <w:vAlign w:val="bottom"/>
            <w:tcBorders>
              <w:bottom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4"/>
                <w:szCs w:val="14"/>
                <w:b w:val="1"/>
                <w:bCs w:val="1"/>
                <w:color w:val="auto"/>
              </w:rPr>
              <w:t>Guidance (d)</w:t>
            </w:r>
          </w:p>
        </w:tc>
        <w:tc>
          <w:tcPr>
            <w:tcW w:w="1440" w:type="dxa"/>
            <w:vAlign w:val="bottom"/>
            <w:tcBorders>
              <w:bottom w:val="single" w:sz="8" w:color="auto"/>
              <w:right w:val="single" w:sz="8" w:color="auto"/>
            </w:tcBorders>
          </w:tcPr>
          <w:p>
            <w:pPr>
              <w:jc w:val="right"/>
              <w:ind w:right="283"/>
              <w:spacing w:after="0"/>
              <w:rPr>
                <w:sz w:val="20"/>
                <w:szCs w:val="20"/>
                <w:color w:val="auto"/>
              </w:rPr>
            </w:pPr>
            <w:r>
              <w:rPr>
                <w:rFonts w:ascii="Arial" w:cs="Arial" w:eastAsia="Arial" w:hAnsi="Arial"/>
                <w:sz w:val="14"/>
                <w:szCs w:val="14"/>
                <w:color w:val="auto"/>
              </w:rPr>
              <w:t>FY 2019 (e)</w:t>
            </w:r>
          </w:p>
        </w:tc>
      </w:tr>
      <w:tr>
        <w:trPr>
          <w:trHeight w:val="254"/>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480" w:type="dxa"/>
            <w:vAlign w:val="bottom"/>
            <w:tcBorders>
              <w:bottom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6"/>
                <w:szCs w:val="16"/>
                <w:b w:val="1"/>
                <w:bCs w:val="1"/>
                <w:color w:val="auto"/>
                <w:w w:val="98"/>
              </w:rPr>
              <w:t>$16.04 to $16.54</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$20.10</w:t>
            </w:r>
          </w:p>
        </w:tc>
      </w:tr>
      <w:tr>
        <w:trPr>
          <w:trHeight w:val="229"/>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480" w:type="dxa"/>
            <w:vAlign w:val="bottom"/>
            <w:tcBorders>
              <w:bottom w:val="single" w:sz="8" w:color="auto"/>
              <w:right w:val="single" w:sz="8" w:color="auto"/>
            </w:tcBorders>
            <w:shd w:val="clear" w:color="auto" w:fill="EAEAEA"/>
          </w:tcPr>
          <w:p>
            <w:pPr>
              <w:jc w:val="right"/>
              <w:ind w:right="64"/>
              <w:spacing w:after="0"/>
              <w:rPr>
                <w:sz w:val="20"/>
                <w:szCs w:val="20"/>
                <w:color w:val="auto"/>
              </w:rPr>
            </w:pPr>
            <w:r>
              <w:rPr>
                <w:rFonts w:ascii="Arial" w:cs="Arial" w:eastAsia="Arial" w:hAnsi="Arial"/>
                <w:sz w:val="16"/>
                <w:szCs w:val="16"/>
                <w:color w:val="auto"/>
              </w:rPr>
              <w:t>0.49</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0.40</w:t>
            </w:r>
          </w:p>
        </w:tc>
      </w:tr>
      <w:tr>
        <w:trPr>
          <w:trHeight w:val="229"/>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 interest investments</w:t>
            </w:r>
          </w:p>
        </w:tc>
        <w:tc>
          <w:tcPr>
            <w:tcW w:w="1480" w:type="dxa"/>
            <w:vAlign w:val="bottom"/>
            <w:tcBorders>
              <w:bottom w:val="single" w:sz="8" w:color="auto"/>
              <w:right w:val="single" w:sz="8" w:color="auto"/>
            </w:tcBorders>
            <w:shd w:val="clear" w:color="auto" w:fill="EAEAEA"/>
          </w:tcPr>
          <w:p>
            <w:pPr>
              <w:jc w:val="right"/>
              <w:ind w:right="64"/>
              <w:spacing w:after="0"/>
              <w:rPr>
                <w:sz w:val="20"/>
                <w:szCs w:val="20"/>
                <w:color w:val="auto"/>
              </w:rPr>
            </w:pPr>
            <w:r>
              <w:rPr>
                <w:rFonts w:ascii="Arial" w:cs="Arial" w:eastAsia="Arial" w:hAnsi="Arial"/>
                <w:sz w:val="16"/>
                <w:szCs w:val="16"/>
                <w:color w:val="auto"/>
              </w:rPr>
              <w:t>1.72</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(2.89)</w:t>
            </w:r>
          </w:p>
        </w:tc>
      </w:tr>
      <w:tr>
        <w:trPr>
          <w:trHeight w:val="229"/>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Charges associated with workforce optimization</w:t>
            </w:r>
          </w:p>
        </w:tc>
        <w:tc>
          <w:tcPr>
            <w:tcW w:w="1480" w:type="dxa"/>
            <w:vAlign w:val="bottom"/>
            <w:tcBorders>
              <w:bottom w:val="single" w:sz="8" w:color="auto"/>
              <w:right w:val="single" w:sz="8" w:color="auto"/>
            </w:tcBorders>
            <w:shd w:val="clear" w:color="auto" w:fill="EAEAEA"/>
          </w:tcPr>
          <w:p>
            <w:pPr>
              <w:jc w:val="right"/>
              <w:ind w:right="64"/>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0.26</w:t>
            </w:r>
          </w:p>
        </w:tc>
      </w:tr>
      <w:tr>
        <w:trPr>
          <w:trHeight w:val="256"/>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 2020 projected; FY 2019 reported</w:t>
            </w:r>
          </w:p>
        </w:tc>
        <w:tc>
          <w:tcPr>
            <w:tcW w:w="1480" w:type="dxa"/>
            <w:vAlign w:val="bottom"/>
            <w:tcBorders>
              <w:bottom w:val="single" w:sz="8" w:color="auto"/>
              <w:right w:val="single" w:sz="8" w:color="auto"/>
            </w:tcBorders>
            <w:shd w:val="clear" w:color="auto" w:fill="EAEAEA"/>
          </w:tcPr>
          <w:p>
            <w:pPr>
              <w:jc w:val="center"/>
              <w:spacing w:after="0"/>
              <w:rPr>
                <w:sz w:val="20"/>
                <w:szCs w:val="20"/>
                <w:color w:val="auto"/>
              </w:rPr>
            </w:pPr>
            <w:r>
              <w:rPr>
                <w:rFonts w:ascii="Arial" w:cs="Arial" w:eastAsia="Arial" w:hAnsi="Arial"/>
                <w:sz w:val="16"/>
                <w:szCs w:val="16"/>
                <w:b w:val="1"/>
                <w:bCs w:val="1"/>
                <w:color w:val="auto"/>
                <w:w w:val="98"/>
              </w:rPr>
              <w:t>$18.25 to $18.75</w:t>
            </w:r>
          </w:p>
        </w:tc>
        <w:tc>
          <w:tcPr>
            <w:tcW w:w="1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$17.87</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2021 Rate Notice</w:t>
      </w:r>
    </w:p>
    <w:p>
      <w:pPr>
        <w:spacing w:after="0" w:line="287" w:lineRule="exact"/>
        <w:rPr>
          <w:sz w:val="20"/>
          <w:szCs w:val="20"/>
          <w:color w:val="auto"/>
        </w:rPr>
      </w:pPr>
    </w:p>
    <w:p>
      <w:pPr>
        <w:ind w:right="240"/>
        <w:spacing w:after="0" w:line="219" w:lineRule="auto"/>
        <w:rPr>
          <w:sz w:val="20"/>
          <w:szCs w:val="20"/>
          <w:color w:val="auto"/>
        </w:rPr>
      </w:pPr>
      <w:r>
        <w:rPr>
          <w:rFonts w:ascii="Arial" w:cs="Arial" w:eastAsia="Arial" w:hAnsi="Arial"/>
          <w:sz w:val="19"/>
          <w:szCs w:val="19"/>
          <w:color w:val="auto"/>
        </w:rPr>
        <w:t>On April 6, 2020, CMS published its Announcement of Calendar Year 2021 Medicare Advantage Capitation Rates and Part C and Part D Payment Policies (the Final Rate Notice). The company expects the Final Rate Notice to result in a 1.20 percent</w:t>
      </w:r>
      <w:r>
        <w:rPr>
          <w:rFonts w:ascii="Arial" w:cs="Arial" w:eastAsia="Arial" w:hAnsi="Arial"/>
          <w:sz w:val="26"/>
          <w:szCs w:val="26"/>
          <w:color w:val="auto"/>
          <w:vertAlign w:val="superscript"/>
        </w:rPr>
        <w:t>(f)</w:t>
      </w:r>
      <w:r>
        <w:rPr>
          <w:rFonts w:ascii="Arial" w:cs="Arial" w:eastAsia="Arial" w:hAnsi="Arial"/>
          <w:sz w:val="19"/>
          <w:szCs w:val="19"/>
          <w:color w:val="auto"/>
        </w:rPr>
        <w:t xml:space="preserve"> rate</w:t>
      </w:r>
    </w:p>
    <w:p>
      <w:pPr>
        <w:ind w:right="80"/>
        <w:spacing w:after="0" w:line="248" w:lineRule="auto"/>
        <w:rPr>
          <w:sz w:val="20"/>
          <w:szCs w:val="20"/>
          <w:color w:val="auto"/>
        </w:rPr>
      </w:pPr>
      <w:r>
        <w:rPr>
          <w:rFonts w:ascii="Arial" w:cs="Arial" w:eastAsia="Arial" w:hAnsi="Arial"/>
          <w:sz w:val="19"/>
          <w:szCs w:val="19"/>
          <w:color w:val="auto"/>
        </w:rPr>
        <w:t>increase for non end stage renal disease (ESRD) Medicare Advantage business, excluding the impact of Employer Group Waiver Plan (EGWP) funding changes. The company’s 1.20 percent rate increase compares to CMS’ estimate for the sector of 1.66 percent on a comparable basis, with the variance primarily driven by county rebasing and the company's geographic footprint. CMS also establishes separate rates of payment for ESRD beneficiaries enrolled in Medicare Advantage plans. The company expects the Final Rate Notice to result in a 3.7 percent rate increase in 2021 for ESRD beneficiaries. The company’s estimate of 3.7 percent is slightly higher than CMS’ 3.6 percent which is also impacted by the company’s geographic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754" w:right="319" w:bottom="1440" w:gutter="0" w:footer="0" w:header="0"/>
        </w:sectPr>
      </w:pPr>
    </w:p>
    <w:bookmarkStart w:id="16" w:name="page17"/>
    <w:bookmarkEnd w:id="16"/>
    <w:p>
      <w:pPr>
        <w:spacing w:after="0"/>
        <w:rPr>
          <w:sz w:val="20"/>
          <w:szCs w:val="20"/>
          <w:color w:val="auto"/>
        </w:rPr>
      </w:pPr>
      <w:r>
        <w:rPr>
          <w:rFonts w:ascii="Arial" w:cs="Arial" w:eastAsia="Arial" w:hAnsi="Arial"/>
          <w:sz w:val="24"/>
          <w:szCs w:val="24"/>
          <w:b w:val="1"/>
          <w:bCs w:val="1"/>
          <w:u w:val="single" w:color="auto"/>
          <w:color w:val="auto"/>
        </w:rPr>
        <w:t>Humana Consolidated Highlights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revenues</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GAAP consolidated revenues for 1Q20 were $18.94 billion, an increase of $2.83 billion, or 18 percent, from $16.11 billion in 1Q19. Total premiums and services revenues of $18.79 billion in 1Q20 increased $2.78 billion, or 17 percent, from $16.01 billion in 1Q19. The favorable year-over-year comparisons were primarily driven by higher premium revenues stemming from membership growth and higher per member premiums in the company’s Medicare Advantage and state-based contract businesses, while being partially offset by the impact of declining year-over-year stand-alone PDP membership.</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benefits expense</w:t>
      </w:r>
    </w:p>
    <w:p>
      <w:pPr>
        <w:spacing w:after="0" w:line="234"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The 1Q20 GAAP consolidated benefit ratio of 85.1 percent decreased 110 basis points from the 1Q19 GAAP consolidated benefit ratio of 86.2 percent. The year-over-year decrease was primarily the result of the following factors:</w:t>
      </w:r>
    </w:p>
    <w:p>
      <w:pPr>
        <w:spacing w:after="0" w:line="183" w:lineRule="exact"/>
        <w:rPr>
          <w:sz w:val="20"/>
          <w:szCs w:val="20"/>
          <w:color w:val="auto"/>
        </w:rPr>
      </w:pPr>
    </w:p>
    <w:p>
      <w:pPr>
        <w:ind w:left="960" w:right="380" w:hanging="325"/>
        <w:spacing w:after="0" w:line="260" w:lineRule="auto"/>
        <w:tabs>
          <w:tab w:leader="none" w:pos="9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reinstatement of the non-deductible health insurance industry fee in 2020 which was contemplated in the pricing and benefit design of the company's products,</w:t>
      </w:r>
    </w:p>
    <w:p>
      <w:pPr>
        <w:spacing w:after="0" w:line="183" w:lineRule="exact"/>
        <w:rPr>
          <w:rFonts w:ascii="Arial" w:cs="Arial" w:eastAsia="Arial" w:hAnsi="Arial"/>
          <w:sz w:val="19"/>
          <w:szCs w:val="19"/>
          <w:color w:val="auto"/>
        </w:rPr>
      </w:pPr>
    </w:p>
    <w:p>
      <w:pPr>
        <w:ind w:left="960" w:right="460" w:hanging="325"/>
        <w:spacing w:after="0" w:line="260" w:lineRule="auto"/>
        <w:tabs>
          <w:tab w:leader="none" w:pos="9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engaging the company's Medicare Advantage members, including the robust growth of members in 2019, in clinical programs, as well as ensuring they are appropriately documented under the CMS risk-adjustment model, and</w:t>
      </w:r>
    </w:p>
    <w:p>
      <w:pPr>
        <w:spacing w:after="0" w:line="183" w:lineRule="exact"/>
        <w:rPr>
          <w:rFonts w:ascii="Arial" w:cs="Arial" w:eastAsia="Arial" w:hAnsi="Arial"/>
          <w:sz w:val="19"/>
          <w:szCs w:val="19"/>
          <w:color w:val="auto"/>
        </w:rPr>
      </w:pPr>
    </w:p>
    <w:p>
      <w:pPr>
        <w:ind w:left="960" w:right="140" w:hanging="325"/>
        <w:spacing w:after="0" w:line="252" w:lineRule="auto"/>
        <w:tabs>
          <w:tab w:leader="none" w:pos="9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continued shift in Medicare membership mix due to the decline of stand-alone PDP members and significant growth in Medicare Advantage members; the benefit ratio for stand-alone PDP members generally is higher earlier in the year and then decreases as the year progresses.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These declines were partially offset by the following factors:</w:t>
      </w:r>
    </w:p>
    <w:p>
      <w:pPr>
        <w:spacing w:after="0" w:line="215" w:lineRule="exact"/>
        <w:rPr>
          <w:sz w:val="20"/>
          <w:szCs w:val="20"/>
          <w:color w:val="auto"/>
        </w:rPr>
      </w:pPr>
    </w:p>
    <w:p>
      <w:pPr>
        <w:ind w:left="960" w:hanging="325"/>
        <w:spacing w:after="0"/>
        <w:tabs>
          <w:tab w:leader="none" w:pos="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deliberate pricing and benefit design changes in the commercial business in response to the 2019 performance,</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unfavorable impact of weekday seasonality including the impact of a leap year in 1Q20, and</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lesser impact from favorable prior period medical claims reserve development (Prior Period Development) in 1Q20.</w:t>
      </w:r>
    </w:p>
    <w:p>
      <w:pPr>
        <w:spacing w:after="0" w:line="215" w:lineRule="exact"/>
        <w:rPr>
          <w:sz w:val="20"/>
          <w:szCs w:val="20"/>
          <w:color w:val="auto"/>
        </w:rPr>
      </w:pPr>
    </w:p>
    <w:p>
      <w:pPr>
        <w:ind w:right="420"/>
        <w:spacing w:after="0" w:line="260" w:lineRule="auto"/>
        <w:rPr>
          <w:sz w:val="20"/>
          <w:szCs w:val="20"/>
          <w:color w:val="auto"/>
        </w:rPr>
      </w:pPr>
      <w:r>
        <w:rPr>
          <w:rFonts w:ascii="Arial" w:cs="Arial" w:eastAsia="Arial" w:hAnsi="Arial"/>
          <w:sz w:val="19"/>
          <w:szCs w:val="19"/>
          <w:color w:val="auto"/>
        </w:rPr>
        <w:t>Favorable Prior Period Development of $284 million in 1Q20 decreased the consolidated benefit ratio by 150 basis points while favorable Prior Period Development of $267 million decreased the 1Q19 ratio by 170 basis points.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Consolidated operating expenses</w:t>
      </w:r>
    </w:p>
    <w:p>
      <w:pPr>
        <w:spacing w:after="0" w:line="234" w:lineRule="exact"/>
        <w:rPr>
          <w:sz w:val="20"/>
          <w:szCs w:val="20"/>
          <w:color w:val="auto"/>
        </w:rPr>
      </w:pPr>
    </w:p>
    <w:p>
      <w:pPr>
        <w:jc w:val="both"/>
        <w:ind w:right="180"/>
        <w:spacing w:after="0" w:line="260" w:lineRule="auto"/>
        <w:rPr>
          <w:sz w:val="20"/>
          <w:szCs w:val="20"/>
          <w:color w:val="auto"/>
        </w:rPr>
      </w:pPr>
      <w:r>
        <w:rPr>
          <w:rFonts w:ascii="Arial" w:cs="Arial" w:eastAsia="Arial" w:hAnsi="Arial"/>
          <w:sz w:val="19"/>
          <w:szCs w:val="19"/>
          <w:color w:val="auto"/>
        </w:rPr>
        <w:t>The 1Q20 GAAP consolidated operating cost ratio (operating costs as a percent of total revenues less investment income) of 11.3 percent increased 90 basis points from the 1Q19 ratio of 10.4 percent. The increase was primarily related to the following factors:</w:t>
      </w:r>
    </w:p>
    <w:p>
      <w:pPr>
        <w:spacing w:after="0" w:line="183" w:lineRule="exact"/>
        <w:rPr>
          <w:sz w:val="20"/>
          <w:szCs w:val="20"/>
          <w:color w:val="auto"/>
        </w:rPr>
      </w:pPr>
    </w:p>
    <w:p>
      <w:pPr>
        <w:ind w:left="620" w:hanging="313"/>
        <w:spacing w:after="0" w:line="260"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reinstatement of the non-deductible health insurance industry fee in 2020, which increased the consolidated GAAP operating cost ratio by approximately 160 basis points in 1Q20; and</w:t>
      </w:r>
    </w:p>
    <w:p>
      <w:pPr>
        <w:spacing w:after="0" w:line="183" w:lineRule="exact"/>
        <w:rPr>
          <w:rFonts w:ascii="Arial" w:cs="Arial" w:eastAsia="Arial" w:hAnsi="Arial"/>
          <w:sz w:val="19"/>
          <w:szCs w:val="19"/>
          <w:color w:val="auto"/>
        </w:rPr>
      </w:pPr>
    </w:p>
    <w:p>
      <w:pPr>
        <w:ind w:left="620" w:right="440" w:hanging="313"/>
        <w:spacing w:after="0" w:line="260"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COVID-19 related costs, including a $50 million contribution to the Humana Foundation to promote its coronavirus relief efforts in the communities served by Humana.</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These above items were partially offset by the following items: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20"/>
          </w:cols>
          <w:pgMar w:left="320" w:top="544" w:right="359" w:bottom="1440" w:gutter="0" w:footer="0" w:header="0"/>
        </w:sectPr>
      </w:pPr>
    </w:p>
    <w:bookmarkStart w:id="17" w:name="page18"/>
    <w:bookmarkEnd w:id="17"/>
    <w:p>
      <w:pPr>
        <w:ind w:left="640" w:hanging="320"/>
        <w:spacing w:after="0"/>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scale efficiencies associated with growth in the company's Medicare Advantage membership; and</w:t>
      </w:r>
    </w:p>
    <w:p>
      <w:pPr>
        <w:spacing w:after="0" w:line="214" w:lineRule="exact"/>
        <w:rPr>
          <w:rFonts w:ascii="Arial" w:cs="Arial" w:eastAsia="Arial" w:hAnsi="Arial"/>
          <w:sz w:val="19"/>
          <w:szCs w:val="19"/>
          <w:color w:val="auto"/>
        </w:rPr>
      </w:pPr>
    </w:p>
    <w:p>
      <w:pPr>
        <w:ind w:left="640" w:hanging="320"/>
        <w:spacing w:after="0"/>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significant operating cost efficiencies in 1Q20 driven by previously disclosed productivity initiatives.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w:t>
      </w:r>
    </w:p>
    <w:p>
      <w:pPr>
        <w:spacing w:after="0" w:line="220" w:lineRule="exact"/>
        <w:rPr>
          <w:sz w:val="20"/>
          <w:szCs w:val="20"/>
          <w:color w:val="auto"/>
        </w:rPr>
      </w:pPr>
    </w:p>
    <w:p>
      <w:pPr>
        <w:ind w:left="620" w:hanging="313"/>
        <w:spacing w:after="0" w:line="251"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At March 31, 2020, the company had cash, cash equivalents, and investment securities of $17.55 billion, up approximately $2.12 billion, or 14 percent, from $15.43 billion at December 31, 2019. The sequential increase primarily resulted from the net proceeds of a $1.10 billion senior note issuance as more fully discussed below, as well as proceeds from a term loan and commercial paper issuance. These increases were partially offset by the acquisition of Enclara Healthcare, capital expenditures, and the payment of dividends to stockholders. Additional changes are outlined in the company’s consolidated statement of cash flows on pages S-5 of the statistical supplement included in this release.</w:t>
      </w:r>
    </w:p>
    <w:p>
      <w:pPr>
        <w:spacing w:after="0" w:line="138" w:lineRule="exact"/>
        <w:rPr>
          <w:rFonts w:ascii="Arial" w:cs="Arial" w:eastAsia="Arial" w:hAnsi="Arial"/>
          <w:sz w:val="19"/>
          <w:szCs w:val="19"/>
          <w:color w:val="auto"/>
        </w:rPr>
      </w:pPr>
    </w:p>
    <w:p>
      <w:pPr>
        <w:ind w:left="620" w:right="40" w:hanging="313"/>
        <w:spacing w:after="0" w:line="247"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At March 31, 2020, cash and short-term investments held at the parent company of $2.35 billion increased approximately $990 million, or 73 percent, from $1.36 billion at December 31, 2019. The sequential increase primarily resulted from the net proceeds of a $1.10 billion senior note issuance, as well as proceeds from a term loan and commercial paper issuance. The increase was further impacted by non-regulated subsidiary earnings in the company's Healthcare Services segment. These increases were partially offset by the acquisition of Enclara Healthcare, capital contributions to regulated subsidiaries, capital expenditures, cash dividends to shareholders, and the unfavorable impact of the timing of working capital changes between the parent and its subsidiaries.</w:t>
      </w:r>
    </w:p>
    <w:p>
      <w:pPr>
        <w:spacing w:after="0" w:line="132" w:lineRule="exact"/>
        <w:rPr>
          <w:rFonts w:ascii="Arial" w:cs="Arial" w:eastAsia="Arial" w:hAnsi="Arial"/>
          <w:sz w:val="19"/>
          <w:szCs w:val="19"/>
          <w:color w:val="auto"/>
        </w:rPr>
      </w:pPr>
    </w:p>
    <w:p>
      <w:pPr>
        <w:jc w:val="both"/>
        <w:ind w:left="620" w:right="140" w:hanging="313"/>
        <w:spacing w:after="0" w:line="259"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Days in claims payable (DCP) of 41.3 days at March 31, 2020, increased by 0.9 days from 40.4 days at December 31, 2019 and increased 1.1 days from 40.2 days at March 31, 2019. Changes are outlined in the DCP rollforward on page S-13 of the statistical supplement included in this release.</w:t>
      </w:r>
    </w:p>
    <w:p>
      <w:pPr>
        <w:spacing w:after="0" w:line="119" w:lineRule="exact"/>
        <w:rPr>
          <w:rFonts w:ascii="Arial" w:cs="Arial" w:eastAsia="Arial" w:hAnsi="Arial"/>
          <w:sz w:val="19"/>
          <w:szCs w:val="19"/>
          <w:color w:val="auto"/>
        </w:rPr>
      </w:pPr>
    </w:p>
    <w:p>
      <w:pPr>
        <w:ind w:left="620" w:right="20" w:hanging="313"/>
        <w:spacing w:after="0" w:line="259"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Debt-to-total capitalization at March 31, 2020 was 39.2 percent, up 720 basis points from 32.0 percent at December 31, 2019 primarily resulting from the impact of the company's $1.10 billion senior debt offering, as well as borrowings under a term loan and commercial paper issuance. These increases were partially offset by the net impact of 1Q20 earnings.</w:t>
      </w:r>
    </w:p>
    <w:p>
      <w:pPr>
        <w:spacing w:after="0" w:line="133" w:lineRule="exact"/>
        <w:rPr>
          <w:rFonts w:ascii="Arial" w:cs="Arial" w:eastAsia="Arial" w:hAnsi="Arial"/>
          <w:sz w:val="19"/>
          <w:szCs w:val="19"/>
          <w:color w:val="auto"/>
        </w:rPr>
      </w:pPr>
    </w:p>
    <w:p>
      <w:pPr>
        <w:ind w:left="640" w:right="200"/>
        <w:spacing w:after="0" w:line="252" w:lineRule="auto"/>
        <w:rPr>
          <w:rFonts w:ascii="Arial" w:cs="Arial" w:eastAsia="Arial" w:hAnsi="Arial"/>
          <w:sz w:val="19"/>
          <w:szCs w:val="19"/>
          <w:color w:val="auto"/>
        </w:rPr>
      </w:pPr>
      <w:r>
        <w:rPr>
          <w:rFonts w:ascii="Arial" w:cs="Arial" w:eastAsia="Arial" w:hAnsi="Arial"/>
          <w:sz w:val="19"/>
          <w:szCs w:val="19"/>
          <w:color w:val="auto"/>
        </w:rPr>
        <w:t>During 1Q20, the company closed on a public offering of $1.10 billion in senior notes. These notes are comprised of $600 million of the company's 4.500 percent senior notes, due 2025, at 99.875 percent of the principal amount, and $500 million of the company's 4.875 percent senior notes, due 2030, at 99.788 percent of the principal amount.</w:t>
      </w:r>
    </w:p>
    <w:p>
      <w:pPr>
        <w:spacing w:after="0" w:line="138" w:lineRule="exact"/>
        <w:rPr>
          <w:rFonts w:ascii="Arial" w:cs="Arial" w:eastAsia="Arial" w:hAnsi="Arial"/>
          <w:sz w:val="19"/>
          <w:szCs w:val="19"/>
          <w:color w:val="auto"/>
        </w:rPr>
      </w:pPr>
    </w:p>
    <w:p>
      <w:pPr>
        <w:jc w:val="both"/>
        <w:ind w:left="620" w:right="80"/>
        <w:spacing w:after="0" w:line="252" w:lineRule="auto"/>
        <w:rPr>
          <w:rFonts w:ascii="Arial" w:cs="Arial" w:eastAsia="Arial" w:hAnsi="Arial"/>
          <w:sz w:val="19"/>
          <w:szCs w:val="19"/>
          <w:color w:val="auto"/>
        </w:rPr>
      </w:pPr>
      <w:r>
        <w:rPr>
          <w:rFonts w:ascii="Arial" w:cs="Arial" w:eastAsia="Arial" w:hAnsi="Arial"/>
          <w:sz w:val="19"/>
          <w:szCs w:val="19"/>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Operating cash flows</w:t>
      </w:r>
    </w:p>
    <w:p>
      <w:pPr>
        <w:spacing w:after="0" w:line="225" w:lineRule="exact"/>
        <w:rPr>
          <w:sz w:val="20"/>
          <w:szCs w:val="20"/>
          <w:color w:val="auto"/>
        </w:rPr>
      </w:pPr>
    </w:p>
    <w:p>
      <w:pPr>
        <w:ind w:left="620" w:right="260" w:hanging="313"/>
        <w:spacing w:after="0" w:line="255"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GAAP cash flows provided by operations of $474 million in 1Q20 unfavorably compared to GAAP cash flows provided by operations of $896 million in 1Q19, a decrease of $422 million year over year. The year-over-year decline was impacted by the timing of working capital items, including the impact of early prescription refills permitting members to prepare for extended supply needs in response to COVID-19, partially offset by higher income from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Share repurchases</w:t>
      </w:r>
    </w:p>
    <w:p>
      <w:pPr>
        <w:spacing w:after="0" w:line="239" w:lineRule="exact"/>
        <w:rPr>
          <w:sz w:val="20"/>
          <w:szCs w:val="20"/>
          <w:color w:val="auto"/>
        </w:rPr>
      </w:pPr>
    </w:p>
    <w:p>
      <w:pPr>
        <w:ind w:left="620" w:hanging="313"/>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Humana did not complete any open-market transactions during 1Q20.</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19"/>
          <w:szCs w:val="19"/>
          <w:color w:val="auto"/>
        </w:rPr>
        <w:t>6</w:t>
      </w:r>
    </w:p>
    <w:p>
      <w:pPr>
        <w:sectPr>
          <w:pgSz w:w="11900" w:h="16838" w:orient="portrait"/>
          <w:cols w:equalWidth="0" w:num="1">
            <w:col w:w="11240"/>
          </w:cols>
          <w:pgMar w:left="320" w:top="779"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u w:val="single" w:color="auto"/>
          <w:color w:val="auto"/>
        </w:rPr>
        <w:t>Cash dividends</w:t>
      </w:r>
    </w:p>
    <w:p>
      <w:pPr>
        <w:spacing w:after="0" w:line="225" w:lineRule="exact"/>
        <w:rPr>
          <w:sz w:val="20"/>
          <w:szCs w:val="20"/>
          <w:color w:val="auto"/>
        </w:rPr>
      </w:pPr>
    </w:p>
    <w:p>
      <w:pPr>
        <w:ind w:left="620" w:hanging="313"/>
        <w:spacing w:after="0"/>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paid cash dividends to its stockholders of $73 million in 1Q20 versus $68 million in 1Q19.</w:t>
      </w:r>
    </w:p>
    <w:p>
      <w:pPr>
        <w:spacing w:after="0" w:line="228" w:lineRule="exact"/>
        <w:rPr>
          <w:rFonts w:ascii="Arial" w:cs="Arial" w:eastAsia="Arial" w:hAnsi="Arial"/>
          <w:sz w:val="19"/>
          <w:szCs w:val="19"/>
          <w:color w:val="auto"/>
        </w:rPr>
      </w:pPr>
    </w:p>
    <w:p>
      <w:pPr>
        <w:ind w:left="620" w:hanging="313"/>
        <w:spacing w:after="0" w:line="252" w:lineRule="auto"/>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February 2020, the company's Board of Directors declared a cash dividend of $0.625 per share payable on April 24, 2020 to stockholders of record on March 31, 2020. The dividend of $0.625 per share reflected an increase of 14 percent from the previous per share dividend of $0.55.</w:t>
      </w:r>
    </w:p>
    <w:p>
      <w:pPr>
        <w:spacing w:after="0" w:line="191" w:lineRule="exact"/>
        <w:rPr>
          <w:rFonts w:ascii="Arial" w:cs="Arial" w:eastAsia="Arial" w:hAnsi="Arial"/>
          <w:sz w:val="19"/>
          <w:szCs w:val="19"/>
          <w:color w:val="auto"/>
        </w:rPr>
      </w:pPr>
    </w:p>
    <w:p>
      <w:pPr>
        <w:ind w:left="620" w:right="460" w:hanging="313"/>
        <w:spacing w:after="0" w:line="260" w:lineRule="auto"/>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April 2020, Humana's Board of Directors declared an additional cash dividend of $0.625 per share to stockholders of record on June 30, 2020. The dividend is payable on July 31, 2020.</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180"/>
          </w:cols>
          <w:pgMar w:left="320" w:top="755" w:right="399" w:bottom="1440" w:gutter="0" w:footer="0" w:header="0"/>
        </w:sectPr>
      </w:pPr>
    </w:p>
    <w:bookmarkStart w:id="19" w:name="page20"/>
    <w:bookmarkEnd w:id="19"/>
    <w:p>
      <w:pPr>
        <w:spacing w:after="0"/>
        <w:rPr>
          <w:sz w:val="20"/>
          <w:szCs w:val="20"/>
          <w:color w:val="auto"/>
        </w:rPr>
      </w:pPr>
      <w:r>
        <w:rPr>
          <w:rFonts w:ascii="Arial" w:cs="Arial" w:eastAsia="Arial" w:hAnsi="Arial"/>
          <w:sz w:val="24"/>
          <w:szCs w:val="24"/>
          <w:b w:val="1"/>
          <w:bCs w:val="1"/>
          <w:u w:val="single" w:color="auto"/>
          <w:color w:val="auto"/>
        </w:rPr>
        <w:t>Humana’s Retail Segment</w:t>
      </w:r>
    </w:p>
    <w:p>
      <w:pPr>
        <w:spacing w:after="0" w:line="248"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revenues:</w:t>
      </w:r>
    </w:p>
    <w:p>
      <w:pPr>
        <w:spacing w:after="0" w:line="225" w:lineRule="exact"/>
        <w:rPr>
          <w:sz w:val="20"/>
          <w:szCs w:val="20"/>
          <w:color w:val="auto"/>
        </w:rPr>
      </w:pPr>
    </w:p>
    <w:p>
      <w:pPr>
        <w:ind w:left="620" w:right="140" w:hanging="313"/>
        <w:spacing w:after="0" w:line="252" w:lineRule="auto"/>
        <w:tabs>
          <w:tab w:leader="none" w:pos="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1Q20 revenues for the Retail segment were $16.76 billion, an increase of $2.75 billion, or 20 percent, from $14.01 billion in 1Q19 primarily reflecting higher premiums as a result of membership growth and higher per member premiums in the company’s Medicare Advantage and state-based contract businesses. These favorable items were partially offset by the decline in membership in the company's stand-alone PDP offerings. The year-over-year membership changes are further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enrollment:</w:t>
      </w:r>
    </w:p>
    <w:p>
      <w:pPr>
        <w:spacing w:after="0" w:line="215" w:lineRule="exact"/>
        <w:rPr>
          <w:sz w:val="20"/>
          <w:szCs w:val="20"/>
          <w:color w:val="auto"/>
        </w:rPr>
      </w:pPr>
    </w:p>
    <w:p>
      <w:pPr>
        <w:ind w:left="620" w:hanging="313"/>
        <w:spacing w:after="0" w:line="255" w:lineRule="auto"/>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Individual Medicare Advantage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3,838,100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of March 31, 2020, a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404,800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12 percent,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3,433,300 as of March 31, 2019, and up 250,900, or 7 percent, from 3,587,200 as of December 31, 2019. The increases were primarily due to membership additions associated with the most recent Annual Election Period (AEP) and Open Election Period (OEP) for Medicare beneficiaries. The year-over-year growth was further impacted by strong sales to age-ins and Dual Eligible Special Need Plans (D-SNP) members following the 2019 OEP.</w:t>
      </w:r>
    </w:p>
    <w:p>
      <w:pPr>
        <w:spacing w:after="0" w:line="189" w:lineRule="exact"/>
        <w:rPr>
          <w:rFonts w:ascii="Arial" w:cs="Arial" w:eastAsia="Arial" w:hAnsi="Arial"/>
          <w:sz w:val="19"/>
          <w:szCs w:val="19"/>
          <w:color w:val="auto"/>
        </w:rPr>
      </w:pPr>
    </w:p>
    <w:p>
      <w:pPr>
        <w:ind w:left="620" w:right="220"/>
        <w:spacing w:after="0" w:line="248" w:lineRule="auto"/>
        <w:rPr>
          <w:rFonts w:ascii="Arial" w:cs="Arial" w:eastAsia="Arial" w:hAnsi="Arial"/>
          <w:sz w:val="19"/>
          <w:szCs w:val="19"/>
          <w:color w:val="auto"/>
        </w:rPr>
      </w:pPr>
      <w:r>
        <w:rPr>
          <w:rFonts w:ascii="Arial" w:cs="Arial" w:eastAsia="Arial" w:hAnsi="Arial"/>
          <w:sz w:val="19"/>
          <w:szCs w:val="19"/>
          <w:color w:val="auto"/>
        </w:rPr>
        <w:t>The OEP sales period, which ran from January 1 to March 31, 2020 added approximately 20,700 members through March 31, 2020. An additional 10,300 members became effective April 1, 2020 (not included in the ending March 31, 2020 membership detailed above), for a total 2020 OEP impact of 31,000 members. In comparison, the 2019 OEP added approximately 28,700 members through March 31, 2019 and an additional 15,000 members with an April 1, 2019 effective date for a total 2019 OEP impact of 43,700 members.</w:t>
      </w:r>
    </w:p>
    <w:p>
      <w:pPr>
        <w:spacing w:after="0" w:line="197" w:lineRule="exact"/>
        <w:rPr>
          <w:rFonts w:ascii="Arial" w:cs="Arial" w:eastAsia="Arial" w:hAnsi="Arial"/>
          <w:sz w:val="19"/>
          <w:szCs w:val="19"/>
          <w:color w:val="auto"/>
        </w:rPr>
      </w:pPr>
    </w:p>
    <w:p>
      <w:pPr>
        <w:ind w:left="620" w:right="120"/>
        <w:spacing w:after="0" w:line="250" w:lineRule="auto"/>
        <w:rPr>
          <w:rFonts w:ascii="Arial" w:cs="Arial" w:eastAsia="Arial" w:hAnsi="Arial"/>
          <w:sz w:val="19"/>
          <w:szCs w:val="19"/>
          <w:color w:val="auto"/>
        </w:rPr>
      </w:pPr>
      <w:r>
        <w:rPr>
          <w:rFonts w:ascii="Arial" w:cs="Arial" w:eastAsia="Arial" w:hAnsi="Arial"/>
          <w:sz w:val="19"/>
          <w:szCs w:val="19"/>
          <w:color w:val="auto"/>
        </w:rPr>
        <w:t>Individual Medicare Advantage membership includes 342,500 D-SNP members as of March 31, 2020, a net increase of 94,000, or 38 percent, from 248,500 as of March 31, 2019, and up 54,300, or 19 percent, from 288,200 as of December 31, 2019. D-SNP membership as of March 31, 2019 grew by approximately 30,000 members compared to membership at December 31, 2018.</w:t>
      </w:r>
    </w:p>
    <w:p>
      <w:pPr>
        <w:spacing w:after="0" w:line="168" w:lineRule="exact"/>
        <w:rPr>
          <w:rFonts w:ascii="Arial" w:cs="Arial" w:eastAsia="Arial" w:hAnsi="Arial"/>
          <w:sz w:val="19"/>
          <w:szCs w:val="19"/>
          <w:color w:val="auto"/>
        </w:rPr>
      </w:pPr>
    </w:p>
    <w:p>
      <w:pPr>
        <w:ind w:left="620" w:right="40" w:hanging="313"/>
        <w:spacing w:after="0" w:line="258" w:lineRule="auto"/>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b w:val="1"/>
          <w:bCs w:val="1"/>
          <w:i w:val="1"/>
          <w:iCs w:val="1"/>
          <w:color w:val="auto"/>
        </w:rPr>
        <w:t>Group Medicare Advantag</w:t>
      </w:r>
      <w:r>
        <w:rPr>
          <w:rFonts w:ascii="Arial" w:cs="Arial" w:eastAsia="Arial" w:hAnsi="Arial"/>
          <w:sz w:val="19"/>
          <w:szCs w:val="19"/>
          <w:b w:val="1"/>
          <w:bCs w:val="1"/>
          <w:color w:val="auto"/>
        </w:rPr>
        <w: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607,400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of March 31, 2020, a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89,500,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17 percent,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517,900 at March 31, 2019, and up 82,100, or 16 percent, from 525,300 as of December 31, 2019. These increases primarily resulted from the addition of a large account in January 2020, along with net membership additions associated with the most recent AEP for Medicare beneficiaries.</w:t>
      </w:r>
    </w:p>
    <w:p>
      <w:pPr>
        <w:spacing w:after="0" w:line="163" w:lineRule="exact"/>
        <w:rPr>
          <w:rFonts w:ascii="Arial" w:cs="Arial" w:eastAsia="Arial" w:hAnsi="Arial"/>
          <w:sz w:val="19"/>
          <w:szCs w:val="19"/>
          <w:color w:val="auto"/>
        </w:rPr>
      </w:pPr>
    </w:p>
    <w:p>
      <w:pPr>
        <w:ind w:left="620" w:hanging="313"/>
        <w:spacing w:after="0" w:line="252" w:lineRule="auto"/>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Membership in the company’s </w:t>
      </w:r>
      <w:r>
        <w:rPr>
          <w:rFonts w:ascii="Arial" w:cs="Arial" w:eastAsia="Arial" w:hAnsi="Arial"/>
          <w:sz w:val="19"/>
          <w:szCs w:val="19"/>
          <w:b w:val="1"/>
          <w:bCs w:val="1"/>
          <w:i w:val="1"/>
          <w:iCs w:val="1"/>
          <w:color w:val="auto"/>
        </w:rPr>
        <w:t>stand-alone PDP</w:t>
      </w:r>
      <w:r>
        <w:rPr>
          <w:rFonts w:ascii="Arial" w:cs="Arial" w:eastAsia="Arial" w:hAnsi="Arial"/>
          <w:sz w:val="19"/>
          <w:szCs w:val="19"/>
          <w:color w:val="auto"/>
        </w:rPr>
        <w:t xml:space="preserve"> offerings was 3,895,100 as of March 31, 2020, a net decrease of 553,300, or 12 percent, from 4,448,400 as of March 31, 2019, and down 470,100, or 11 percent, from 4,365,200 as of December 31, 2019. These comparisons primarily reflect net declines during the most recent AEP for Medicare beneficiaries. The anticipated declines were primarily the result of terminations driven by premium and benefit adjustments experienced by members that were previously enrolled in the company's 2019 Humana Walmart Rx plan and the 2019 Humana Enhanced plan, which were consolidated into the Premier Rx plan in 2020. The expected PDP losses were partially offset by growth in the new low-price Humana Walmart Value Rx plan, driven by both new sales and plan to plan changes.</w:t>
      </w:r>
    </w:p>
    <w:p>
      <w:pPr>
        <w:spacing w:after="0" w:line="166" w:lineRule="exact"/>
        <w:rPr>
          <w:rFonts w:ascii="Arial" w:cs="Arial" w:eastAsia="Arial" w:hAnsi="Arial"/>
          <w:sz w:val="19"/>
          <w:szCs w:val="19"/>
          <w:color w:val="auto"/>
        </w:rPr>
      </w:pPr>
    </w:p>
    <w:p>
      <w:pPr>
        <w:ind w:left="620" w:right="180" w:hanging="313"/>
        <w:spacing w:after="0" w:line="265" w:lineRule="auto"/>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State-based contracts </w:t>
      </w:r>
      <w:r>
        <w:rPr>
          <w:rFonts w:ascii="Arial" w:cs="Arial" w:eastAsia="Arial" w:hAnsi="Arial"/>
          <w:sz w:val="19"/>
          <w:szCs w:val="19"/>
          <w:color w:val="auto"/>
        </w:rPr>
        <w:t>membership (including dual-eligible demonstration members)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617,300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of March 31, 2020,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net increase of 156,000, or 34 percent, from 461,300 at March 31, 2019, and up 148,300, or 32 percent, from 469,000 at December 31, 2019. Theses increases primarily reflect the impact of discontinuing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20"/>
          </w:cols>
          <w:pgMar w:left="320" w:top="544" w:right="359" w:bottom="1440" w:gutter="0" w:footer="0" w:header="0"/>
        </w:sectPr>
      </w:pPr>
    </w:p>
    <w:bookmarkStart w:id="20" w:name="page21"/>
    <w:bookmarkEnd w:id="20"/>
    <w:p>
      <w:pPr>
        <w:ind w:left="620" w:right="60"/>
        <w:spacing w:after="0" w:line="245" w:lineRule="auto"/>
        <w:rPr>
          <w:sz w:val="20"/>
          <w:szCs w:val="20"/>
          <w:color w:val="auto"/>
        </w:rPr>
      </w:pPr>
      <w:r>
        <w:rPr>
          <w:rFonts w:ascii="Arial" w:cs="Arial" w:eastAsia="Arial" w:hAnsi="Arial"/>
          <w:sz w:val="19"/>
          <w:szCs w:val="19"/>
          <w:color w:val="auto"/>
        </w:rPr>
        <w:t>reinsurance agreement with CareSource and the assumption of full financial risk for the existing Kentucky Medicaid contract as of January 1, 2020.</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benefits expense:</w:t>
      </w:r>
    </w:p>
    <w:p>
      <w:pPr>
        <w:spacing w:after="0" w:line="225" w:lineRule="exact"/>
        <w:rPr>
          <w:sz w:val="20"/>
          <w:szCs w:val="20"/>
          <w:color w:val="auto"/>
        </w:rPr>
      </w:pPr>
    </w:p>
    <w:p>
      <w:pPr>
        <w:ind w:left="620" w:right="180" w:hanging="313"/>
        <w:spacing w:after="0" w:line="274"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1Q20 benefit ratio for the Retail segment of 86.6 percent decreased 170 basis points from 88.3 percent in 1Q19. The year-over-year decrease was primarily the result of the following factors:</w:t>
      </w:r>
    </w:p>
    <w:p>
      <w:pPr>
        <w:spacing w:after="0" w:line="170" w:lineRule="exact"/>
        <w:rPr>
          <w:rFonts w:ascii="Arial" w:cs="Arial" w:eastAsia="Arial" w:hAnsi="Arial"/>
          <w:sz w:val="19"/>
          <w:szCs w:val="19"/>
          <w:color w:val="auto"/>
        </w:rPr>
      </w:pPr>
    </w:p>
    <w:p>
      <w:pPr>
        <w:ind w:left="1260" w:right="60" w:hanging="625"/>
        <w:spacing w:after="0" w:line="260" w:lineRule="auto"/>
        <w:tabs>
          <w:tab w:leader="none" w:pos="12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reinstatement of the non-deductible health insurance industry fee in 2020 which was contemplated in the pricing and benefit design of the company's products,</w:t>
      </w:r>
    </w:p>
    <w:p>
      <w:pPr>
        <w:spacing w:after="0" w:line="183" w:lineRule="exact"/>
        <w:rPr>
          <w:rFonts w:ascii="Arial" w:cs="Arial" w:eastAsia="Arial" w:hAnsi="Arial"/>
          <w:sz w:val="19"/>
          <w:szCs w:val="19"/>
          <w:color w:val="auto"/>
        </w:rPr>
      </w:pPr>
    </w:p>
    <w:p>
      <w:pPr>
        <w:ind w:left="1260" w:right="140" w:hanging="625"/>
        <w:spacing w:after="0" w:line="260" w:lineRule="auto"/>
        <w:tabs>
          <w:tab w:leader="none" w:pos="12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engaging the company's Medicare Advantage members, including the robust growth of members in 2019, in clinical programs, as well as ensuring they are appropriately documented under the CMS risk-adjustment model,</w:t>
      </w:r>
    </w:p>
    <w:p>
      <w:pPr>
        <w:spacing w:after="0" w:line="183" w:lineRule="exact"/>
        <w:rPr>
          <w:rFonts w:ascii="Arial" w:cs="Arial" w:eastAsia="Arial" w:hAnsi="Arial"/>
          <w:sz w:val="19"/>
          <w:szCs w:val="19"/>
          <w:color w:val="auto"/>
        </w:rPr>
      </w:pPr>
    </w:p>
    <w:p>
      <w:pPr>
        <w:ind w:left="1260" w:hanging="625"/>
        <w:spacing w:after="0" w:line="252" w:lineRule="auto"/>
        <w:tabs>
          <w:tab w:leader="none" w:pos="12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continued shift in Medicare membership mix due to the decline of stand-alone PDP members and significant growth in Medicare Advantage members; the benefit ratio for stand-alone PDP members generally is higher earlier in the year and then decreases as the year progresses, and</w:t>
      </w:r>
    </w:p>
    <w:p>
      <w:pPr>
        <w:spacing w:after="0" w:line="191" w:lineRule="exact"/>
        <w:rPr>
          <w:rFonts w:ascii="Arial" w:cs="Arial" w:eastAsia="Arial" w:hAnsi="Arial"/>
          <w:sz w:val="19"/>
          <w:szCs w:val="19"/>
          <w:color w:val="auto"/>
        </w:rPr>
      </w:pPr>
    </w:p>
    <w:p>
      <w:pPr>
        <w:ind w:left="1260" w:hanging="625"/>
        <w:spacing w:after="0"/>
        <w:tabs>
          <w:tab w:leader="none" w:pos="12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impact of the benefit design of Humana's 2020 Premier Rx plan, which includes a member deductible.</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These decreases were partially offset by the following factors:</w:t>
      </w:r>
    </w:p>
    <w:p>
      <w:pPr>
        <w:spacing w:after="0" w:line="215" w:lineRule="exact"/>
        <w:rPr>
          <w:sz w:val="20"/>
          <w:szCs w:val="20"/>
          <w:color w:val="auto"/>
        </w:rPr>
      </w:pPr>
    </w:p>
    <w:p>
      <w:pPr>
        <w:ind w:left="1260" w:hanging="625"/>
        <w:spacing w:after="0"/>
        <w:tabs>
          <w:tab w:leader="none" w:pos="1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unfavorable impact of weekday seasonality including the impact of a leap year in 1Q20; and</w:t>
      </w:r>
    </w:p>
    <w:p>
      <w:pPr>
        <w:spacing w:after="0" w:line="214" w:lineRule="exact"/>
        <w:rPr>
          <w:rFonts w:ascii="Arial" w:cs="Arial" w:eastAsia="Arial" w:hAnsi="Arial"/>
          <w:sz w:val="19"/>
          <w:szCs w:val="19"/>
          <w:color w:val="auto"/>
        </w:rPr>
      </w:pPr>
    </w:p>
    <w:p>
      <w:pPr>
        <w:ind w:left="1260" w:hanging="625"/>
        <w:spacing w:after="0"/>
        <w:tabs>
          <w:tab w:leader="none" w:pos="1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lower favorable Prior Period Development in 1Q20.</w:t>
      </w:r>
    </w:p>
    <w:p>
      <w:pPr>
        <w:spacing w:after="0" w:line="214" w:lineRule="exact"/>
        <w:rPr>
          <w:rFonts w:ascii="Arial" w:cs="Arial" w:eastAsia="Arial" w:hAnsi="Arial"/>
          <w:sz w:val="19"/>
          <w:szCs w:val="19"/>
          <w:color w:val="auto"/>
        </w:rPr>
      </w:pPr>
    </w:p>
    <w:p>
      <w:pPr>
        <w:ind w:left="620" w:right="20" w:hanging="313"/>
        <w:spacing w:after="0" w:line="252" w:lineRule="auto"/>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Retail segment's favorable Prior Period Development of $238 million in 1Q20 lowered the segment benefit ratio by 140 basis points in 1Q20. In 1Q19, the segment's favorable Prior Period Development of $283 million decreased the benefit ratio by 200 basis points.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operating costs:</w:t>
      </w:r>
    </w:p>
    <w:p>
      <w:pPr>
        <w:spacing w:after="0" w:line="225" w:lineRule="exact"/>
        <w:rPr>
          <w:sz w:val="20"/>
          <w:szCs w:val="20"/>
          <w:color w:val="auto"/>
        </w:rPr>
      </w:pPr>
    </w:p>
    <w:p>
      <w:pPr>
        <w:ind w:left="620" w:right="40" w:hanging="313"/>
        <w:spacing w:after="0" w:line="259"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Retail segment’s operating cost ratio of 9.2 percent in 1Q20 increased 100 basis points from 8.2 percent in 1Q19. The year-over-year comparison was negatively impacted by the reinstatement of the non-deductible health insurance industry fee in 2020, which increased the Retail segment's GAAP operating cost ratio by approximately 170 basis points in 1Q20.</w:t>
      </w:r>
    </w:p>
    <w:p>
      <w:pPr>
        <w:spacing w:after="0" w:line="18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The above increase was partially offset by the following items:</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scale efficiencies associated with growth in the company's Medicare Advantage membership; and</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significant operating cost efficiencies in 1Q20 driven by previously disclosed productivity initiatives.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segment results:</w:t>
      </w:r>
    </w:p>
    <w:p>
      <w:pPr>
        <w:spacing w:after="0" w:line="354" w:lineRule="exact"/>
        <w:rPr>
          <w:sz w:val="20"/>
          <w:szCs w:val="20"/>
          <w:color w:val="auto"/>
        </w:rPr>
      </w:pPr>
    </w:p>
    <w:tbl>
      <w:tblPr>
        <w:tblLayout w:type="fixed"/>
        <w:tblInd w:w="1390" w:type="dxa"/>
        <w:tblCellMar>
          <w:top w:w="0" w:type="dxa"/>
          <w:left w:w="0" w:type="dxa"/>
          <w:bottom w:w="0" w:type="dxa"/>
          <w:right w:w="0" w:type="dxa"/>
        </w:tblCellMar>
      </w:tblPr>
      <w:tr>
        <w:trPr>
          <w:trHeight w:val="183"/>
        </w:trPr>
        <w:tc>
          <w:tcPr>
            <w:tcW w:w="5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Retail segment earnings</w:t>
            </w:r>
          </w:p>
        </w:tc>
        <w:tc>
          <w:tcPr>
            <w:tcW w:w="1380" w:type="dxa"/>
            <w:vAlign w:val="bottom"/>
            <w:tcBorders>
              <w:top w:val="single" w:sz="8" w:color="auto"/>
              <w:right w:val="single" w:sz="8" w:color="auto"/>
            </w:tcBorders>
            <w:shd w:val="clear" w:color="auto" w:fill="EAEAEA"/>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r>
      <w:tr>
        <w:trPr>
          <w:trHeight w:val="224"/>
        </w:trPr>
        <w:tc>
          <w:tcPr>
            <w:tcW w:w="5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380" w:type="dxa"/>
            <w:vAlign w:val="bottom"/>
            <w:tcBorders>
              <w:bottom w:val="single" w:sz="8" w:color="EAEAEA"/>
              <w:right w:val="single" w:sz="8" w:color="auto"/>
            </w:tcBorders>
            <w:shd w:val="clear" w:color="auto" w:fill="EAEAEA"/>
          </w:tcPr>
          <w:p>
            <w:pPr>
              <w:jc w:val="right"/>
              <w:ind w:right="363"/>
              <w:spacing w:after="0"/>
              <w:rPr>
                <w:sz w:val="20"/>
                <w:szCs w:val="20"/>
                <w:color w:val="auto"/>
              </w:rPr>
            </w:pPr>
            <w:r>
              <w:rPr>
                <w:rFonts w:ascii="Arial" w:cs="Arial" w:eastAsia="Arial" w:hAnsi="Arial"/>
                <w:sz w:val="14"/>
                <w:szCs w:val="14"/>
                <w:b w:val="1"/>
                <w:bCs w:val="1"/>
                <w:color w:val="auto"/>
                <w:shd w:val="clear" w:color="auto" w:fill="EAEAEA"/>
              </w:rPr>
              <w:t>1Q20 (a)</w:t>
            </w:r>
          </w:p>
        </w:tc>
        <w:tc>
          <w:tcPr>
            <w:tcW w:w="1340" w:type="dxa"/>
            <w:vAlign w:val="bottom"/>
            <w:tcBorders>
              <w:right w:val="single" w:sz="8" w:color="auto"/>
            </w:tcBorders>
          </w:tcPr>
          <w:p>
            <w:pPr>
              <w:jc w:val="right"/>
              <w:ind w:right="343"/>
              <w:spacing w:after="0"/>
              <w:rPr>
                <w:sz w:val="20"/>
                <w:szCs w:val="20"/>
                <w:color w:val="auto"/>
              </w:rPr>
            </w:pPr>
            <w:r>
              <w:rPr>
                <w:rFonts w:ascii="Arial" w:cs="Arial" w:eastAsia="Arial" w:hAnsi="Arial"/>
                <w:sz w:val="14"/>
                <w:szCs w:val="14"/>
                <w:color w:val="auto"/>
              </w:rPr>
              <w:t>1Q19 (b)</w:t>
            </w:r>
          </w:p>
        </w:tc>
      </w:tr>
      <w:tr>
        <w:trPr>
          <w:trHeight w:val="249"/>
        </w:trPr>
        <w:tc>
          <w:tcPr>
            <w:tcW w:w="58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380" w:type="dxa"/>
            <w:vAlign w:val="bottom"/>
            <w:tcBorders>
              <w:top w:val="single" w:sz="8" w:color="auto"/>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$685</w:t>
            </w:r>
          </w:p>
        </w:tc>
        <w:tc>
          <w:tcPr>
            <w:tcW w:w="1340" w:type="dxa"/>
            <w:vAlign w:val="bottom"/>
            <w:tcBorders>
              <w:top w:val="single" w:sz="8" w:color="auto"/>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$465</w:t>
            </w:r>
          </w:p>
        </w:tc>
      </w:tr>
      <w:tr>
        <w:trPr>
          <w:trHeight w:val="229"/>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380" w:type="dxa"/>
            <w:vAlign w:val="bottom"/>
            <w:tcBorders>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4</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4</w:t>
            </w:r>
          </w:p>
        </w:tc>
      </w:tr>
      <w:tr>
        <w:trPr>
          <w:trHeight w:val="256"/>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80" w:type="dxa"/>
            <w:vAlign w:val="bottom"/>
            <w:tcBorders>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$689</w:t>
            </w:r>
          </w:p>
        </w:tc>
        <w:tc>
          <w:tcPr>
            <w:tcW w:w="134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$469</w:t>
            </w:r>
          </w:p>
        </w:tc>
      </w:tr>
    </w:tbl>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00"/>
          </w:cols>
          <w:pgMar w:left="320" w:top="779" w:right="379" w:bottom="1440" w:gutter="0" w:footer="0" w:header="0"/>
        </w:sectPr>
      </w:pPr>
    </w:p>
    <w:bookmarkStart w:id="21" w:name="page22"/>
    <w:bookmarkEnd w:id="21"/>
    <w:p>
      <w:pPr>
        <w:ind w:left="620" w:right="140" w:hanging="313"/>
        <w:spacing w:after="0" w:line="259" w:lineRule="auto"/>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Retail segment’s GAAP segment earnings of $685 million in 1Q20 increased $220 million, or 47 percent, from GAAP segment earnings of $465 million in 1Q19. The year-over-year favorable comparison resulted from the same factors that led to an improving benefit ratio, partially offset by the segment's higher operating cost ratio.</w:t>
      </w:r>
    </w:p>
    <w:p>
      <w:pPr>
        <w:spacing w:after="0" w:line="185" w:lineRule="exact"/>
        <w:rPr>
          <w:rFonts w:ascii="Arial" w:cs="Arial" w:eastAsia="Arial" w:hAnsi="Arial"/>
          <w:sz w:val="19"/>
          <w:szCs w:val="19"/>
          <w:color w:val="auto"/>
        </w:rPr>
      </w:pPr>
    </w:p>
    <w:p>
      <w:pPr>
        <w:ind w:left="620" w:right="40"/>
        <w:spacing w:after="0" w:line="252" w:lineRule="auto"/>
        <w:rPr>
          <w:rFonts w:ascii="Arial" w:cs="Arial" w:eastAsia="Arial" w:hAnsi="Arial"/>
          <w:sz w:val="19"/>
          <w:szCs w:val="19"/>
          <w:color w:val="auto"/>
        </w:rPr>
      </w:pPr>
      <w:r>
        <w:rPr>
          <w:rFonts w:ascii="Arial" w:cs="Arial" w:eastAsia="Arial" w:hAnsi="Arial"/>
          <w:sz w:val="19"/>
          <w:szCs w:val="19"/>
          <w:color w:val="auto"/>
        </w:rPr>
        <w:t>As previously discussed, the company's higher-than-anticipated individual Medicare Advantage membership growth in 2019, which had a muted impact on the segment's earnings last year, is now more profitable as a result of more members being engaged in the company's clinical programs and appropriately documented under the CMS risk-adjustment model.</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Humana’s Group and Specialty Segment</w:t>
      </w:r>
    </w:p>
    <w:p>
      <w:pPr>
        <w:spacing w:after="0" w:line="248"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revenues:</w:t>
      </w:r>
    </w:p>
    <w:p>
      <w:pPr>
        <w:spacing w:after="0" w:line="225" w:lineRule="exact"/>
        <w:rPr>
          <w:sz w:val="20"/>
          <w:szCs w:val="20"/>
          <w:color w:val="auto"/>
        </w:rPr>
      </w:pPr>
    </w:p>
    <w:p>
      <w:pPr>
        <w:ind w:left="620" w:right="540" w:hanging="313"/>
        <w:spacing w:after="0" w:line="259" w:lineRule="auto"/>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1Q20 revenues for the Group and Specialty segment were $1.87 billion, down $22 million year over year from $1.89 billion in 1Q19. This decrease was primarily due to the decline in the company's fully-insured group commercial membership.</w:t>
      </w:r>
    </w:p>
    <w:p>
      <w:pPr>
        <w:spacing w:after="0" w:line="18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The decrease was partially offset by the following factors:</w:t>
      </w:r>
    </w:p>
    <w:p>
      <w:pPr>
        <w:spacing w:after="0" w:line="214" w:lineRule="exact"/>
        <w:rPr>
          <w:rFonts w:ascii="Arial" w:cs="Arial" w:eastAsia="Arial" w:hAnsi="Arial"/>
          <w:sz w:val="19"/>
          <w:szCs w:val="19"/>
          <w:color w:val="auto"/>
        </w:rPr>
      </w:pPr>
    </w:p>
    <w:p>
      <w:pPr>
        <w:ind w:left="1020" w:right="320" w:hanging="385"/>
        <w:spacing w:after="0" w:line="260" w:lineRule="auto"/>
        <w:tabs>
          <w:tab w:leader="none" w:pos="10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higher stop-loss revenues related to the company's level-funded ASO accounts resulting from membership growth in this product as more fully described below; and</w:t>
      </w:r>
    </w:p>
    <w:p>
      <w:pPr>
        <w:spacing w:after="0" w:line="183" w:lineRule="exact"/>
        <w:rPr>
          <w:rFonts w:ascii="Arial" w:cs="Arial" w:eastAsia="Arial" w:hAnsi="Arial"/>
          <w:sz w:val="19"/>
          <w:szCs w:val="19"/>
          <w:color w:val="auto"/>
        </w:rPr>
      </w:pPr>
    </w:p>
    <w:p>
      <w:pPr>
        <w:ind w:left="1020" w:hanging="385"/>
        <w:spacing w:after="0"/>
        <w:tabs>
          <w:tab w:leader="none" w:pos="10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higher per member premiums across the fully-insured commercial business.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enrollment:</w:t>
      </w:r>
    </w:p>
    <w:p>
      <w:pPr>
        <w:spacing w:after="0" w:line="215" w:lineRule="exact"/>
        <w:rPr>
          <w:sz w:val="20"/>
          <w:szCs w:val="20"/>
          <w:color w:val="auto"/>
        </w:rPr>
      </w:pPr>
    </w:p>
    <w:p>
      <w:pPr>
        <w:ind w:left="620" w:right="220" w:hanging="313"/>
        <w:spacing w:after="0" w:line="252" w:lineRule="auto"/>
        <w:tabs>
          <w:tab w:leader="none" w:pos="620" w:val="left"/>
        </w:tabs>
        <w:numPr>
          <w:ilvl w:val="0"/>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Group fully-insured commercial medical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861,600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March 31, 2020,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96,600,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10 percent,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958,200 at March 31, 2019, and down 47,000, or 5 percent, from 908,600 at December 31, 2019. These anticipated declines primarily reflect lower membership in small group accounts due in part to more small group accounts selecting level-funded ASO products, as well as the loss of certain large group accounts due to disciplined pricing in the competitive environment. The portion of group fully-insured commercial medical membership in small group accounts (2-99 sized employer groups) was approximately 57 percent at March 31, 2020 compared to 59 percent at December 31, 2019 and 61 percent at March 31, 2019.</w:t>
      </w:r>
    </w:p>
    <w:p>
      <w:pPr>
        <w:spacing w:after="0" w:line="166" w:lineRule="exact"/>
        <w:rPr>
          <w:rFonts w:ascii="Arial" w:cs="Arial" w:eastAsia="Arial" w:hAnsi="Arial"/>
          <w:sz w:val="19"/>
          <w:szCs w:val="19"/>
          <w:color w:val="auto"/>
        </w:rPr>
      </w:pPr>
    </w:p>
    <w:p>
      <w:pPr>
        <w:ind w:left="620" w:right="120" w:hanging="313"/>
        <w:spacing w:after="0" w:line="253" w:lineRule="auto"/>
        <w:tabs>
          <w:tab w:leader="none" w:pos="620" w:val="left"/>
        </w:tabs>
        <w:numPr>
          <w:ilvl w:val="0"/>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Group ASO commercial medical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506,100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March 31, 2020,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27,500,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6 percent,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478,600 at March 31, 2019, but down 23,100, or 4 percent, from 529,200 at December 31, 2019. These changes primarily reflect more small group accounts selecting level-funded ASO products combined with the loss of certain large group accounts due to continued discipline in pricing of services for self-funded accounts amid a highly competitive environment. Small group membership comprised 45 percent of group ASO medical membership at March 31, 2020 versus 40 percent at December 31, 2019 and 34 percent at March 31, 2019.</w:t>
      </w:r>
    </w:p>
    <w:p>
      <w:pPr>
        <w:spacing w:after="0" w:line="167" w:lineRule="exact"/>
        <w:rPr>
          <w:rFonts w:ascii="Arial" w:cs="Arial" w:eastAsia="Arial" w:hAnsi="Arial"/>
          <w:sz w:val="19"/>
          <w:szCs w:val="19"/>
          <w:color w:val="auto"/>
        </w:rPr>
      </w:pPr>
    </w:p>
    <w:p>
      <w:pPr>
        <w:ind w:left="620" w:right="220" w:hanging="313"/>
        <w:spacing w:after="0" w:line="258" w:lineRule="auto"/>
        <w:tabs>
          <w:tab w:leader="none" w:pos="620" w:val="left"/>
        </w:tabs>
        <w:numPr>
          <w:ilvl w:val="0"/>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Military services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5,999,200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March 31, 2020,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56,700,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 percent,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5,942,500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March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31, 2019, and up 14,900, or less than 1 percent, versus 5,984,300 at December 31, 2019. Membership includes military service members, retirees, and their families to whom the company is providing healthcare services under the current TRICARE East Region contract.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66" w:right="339" w:bottom="1440" w:gutter="0" w:footer="0" w:header="0"/>
        </w:sectPr>
      </w:pPr>
    </w:p>
    <w:bookmarkStart w:id="22" w:name="page23"/>
    <w:bookmarkEnd w:id="22"/>
    <w:p>
      <w:pPr>
        <w:ind w:left="620" w:hanging="313"/>
        <w:spacing w:after="0" w:line="232" w:lineRule="auto"/>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Membership in </w:t>
      </w:r>
      <w:r>
        <w:rPr>
          <w:rFonts w:ascii="Arial" w:cs="Arial" w:eastAsia="Arial" w:hAnsi="Arial"/>
          <w:sz w:val="19"/>
          <w:szCs w:val="19"/>
          <w:b w:val="1"/>
          <w:bCs w:val="1"/>
          <w:i w:val="1"/>
          <w:iCs w:val="1"/>
          <w:color w:val="auto"/>
        </w:rPr>
        <w:t>specialty products</w:t>
      </w:r>
      <w:r>
        <w:rPr>
          <w:rFonts w:ascii="Arial" w:cs="Arial" w:eastAsia="Arial" w:hAnsi="Arial"/>
          <w:sz w:val="26"/>
          <w:szCs w:val="26"/>
          <w:color w:val="auto"/>
          <w:vertAlign w:val="superscript"/>
        </w:rPr>
        <w:t>(g)</w:t>
      </w:r>
      <w:r>
        <w:rPr>
          <w:rFonts w:ascii="Arial" w:cs="Arial" w:eastAsia="Arial" w:hAnsi="Arial"/>
          <w:sz w:val="19"/>
          <w:szCs w:val="19"/>
          <w:color w:val="auto"/>
        </w:rPr>
        <w:t xml:space="preserve"> was 5,470,700 at March 31, 2020, a decrease of 364,500, or 6 percent, from 5,835,200, at March 31, 2019, but up 44,800, or 1 percent, from 5,425,900 at December 31, 2019. The year-over-year decrease resulted from the loss of certain group accounts, including one jumbo account, offering stand-alone dental and vision products. The sequential increase resulted from higher sales of the company’s dental product.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benefits expense:</w:t>
      </w:r>
    </w:p>
    <w:p>
      <w:pPr>
        <w:spacing w:after="0" w:line="225" w:lineRule="exact"/>
        <w:rPr>
          <w:sz w:val="20"/>
          <w:szCs w:val="20"/>
          <w:color w:val="auto"/>
        </w:rPr>
      </w:pPr>
    </w:p>
    <w:p>
      <w:pPr>
        <w:ind w:left="640" w:hanging="320"/>
        <w:spacing w:after="0" w:line="274" w:lineRule="auto"/>
        <w:tabs>
          <w:tab w:leader="none" w:pos="6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1Q20 benefit ratio for the Group and Specialty segment was 79.1 percent, an increase of 270 basis points from 76.4 percent for 1Q19. The year-over-year increase in the benefit ratio is primarily due to the following factors:</w:t>
      </w:r>
    </w:p>
    <w:p>
      <w:pPr>
        <w:spacing w:after="0" w:line="170" w:lineRule="exact"/>
        <w:rPr>
          <w:rFonts w:ascii="Arial" w:cs="Arial" w:eastAsia="Arial" w:hAnsi="Arial"/>
          <w:sz w:val="19"/>
          <w:szCs w:val="19"/>
          <w:color w:val="auto"/>
        </w:rPr>
      </w:pPr>
    </w:p>
    <w:p>
      <w:pPr>
        <w:ind w:left="960" w:hanging="325"/>
        <w:spacing w:after="0"/>
        <w:tabs>
          <w:tab w:leader="none" w:pos="9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deliberate pricing and benefit design changes in the commercial business in response to the 2019 performance; and</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unfavorable impact of weekday seasonality including the impact of a leap year in 1Q20.</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These increases were partially offset by the following factors:</w:t>
      </w:r>
    </w:p>
    <w:p>
      <w:pPr>
        <w:spacing w:after="0" w:line="215" w:lineRule="exact"/>
        <w:rPr>
          <w:sz w:val="20"/>
          <w:szCs w:val="20"/>
          <w:color w:val="auto"/>
        </w:rPr>
      </w:pPr>
    </w:p>
    <w:p>
      <w:pPr>
        <w:ind w:left="1260" w:right="400" w:hanging="625"/>
        <w:spacing w:after="0" w:line="260" w:lineRule="auto"/>
        <w:tabs>
          <w:tab w:leader="none" w:pos="945" w:val="left"/>
        </w:tabs>
        <w:numPr>
          <w:ilvl w:val="1"/>
          <w:numId w:val="29"/>
        </w:numPr>
        <w:rPr>
          <w:rFonts w:ascii="Arial" w:cs="Arial" w:eastAsia="Arial" w:hAnsi="Arial"/>
          <w:sz w:val="19"/>
          <w:szCs w:val="19"/>
          <w:color w:val="auto"/>
        </w:rPr>
      </w:pPr>
      <w:r>
        <w:rPr>
          <w:rFonts w:ascii="Arial" w:cs="Arial" w:eastAsia="Arial" w:hAnsi="Arial"/>
          <w:sz w:val="19"/>
          <w:szCs w:val="19"/>
          <w:color w:val="auto"/>
        </w:rPr>
        <w:t>reinstatement of the non-deductible health insurance industry fee in 2020 which was contemplated in the pricing and benefit design of the company's products; and</w:t>
      </w:r>
    </w:p>
    <w:p>
      <w:pPr>
        <w:spacing w:after="0" w:line="183" w:lineRule="exact"/>
        <w:rPr>
          <w:rFonts w:ascii="Arial" w:cs="Arial" w:eastAsia="Arial" w:hAnsi="Arial"/>
          <w:sz w:val="19"/>
          <w:szCs w:val="19"/>
          <w:color w:val="auto"/>
        </w:rPr>
      </w:pPr>
    </w:p>
    <w:p>
      <w:pPr>
        <w:ind w:left="1020" w:hanging="385"/>
        <w:spacing w:after="0"/>
        <w:tabs>
          <w:tab w:leader="none" w:pos="10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higher favorable Prior Period Development.</w:t>
      </w:r>
    </w:p>
    <w:p>
      <w:pPr>
        <w:spacing w:after="0" w:line="201" w:lineRule="exact"/>
        <w:rPr>
          <w:rFonts w:ascii="Arial" w:cs="Arial" w:eastAsia="Arial" w:hAnsi="Arial"/>
          <w:sz w:val="19"/>
          <w:szCs w:val="19"/>
          <w:color w:val="auto"/>
        </w:rPr>
      </w:pPr>
    </w:p>
    <w:p>
      <w:pPr>
        <w:ind w:left="620" w:hanging="313"/>
        <w:spacing w:after="0" w:line="250" w:lineRule="auto"/>
        <w:tabs>
          <w:tab w:leader="none" w:pos="6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segment's favorable Prior Period Development of $46 million in 1Q20 compared to unfavorable development of $16 million in 1Q19. The favorable Prior Period Development for the Group and Specialty segment decreased the 1Q20 benefit ratio by 280 basis points while the unfavorable Prior Period Development in 1Q19 increased the segment benefit ratio by 100 basis points.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operating costs:</w:t>
      </w:r>
    </w:p>
    <w:p>
      <w:pPr>
        <w:spacing w:after="0" w:line="225" w:lineRule="exact"/>
        <w:rPr>
          <w:sz w:val="20"/>
          <w:szCs w:val="20"/>
          <w:color w:val="auto"/>
        </w:rPr>
      </w:pPr>
    </w:p>
    <w:p>
      <w:pPr>
        <w:ind w:left="620" w:right="280" w:hanging="313"/>
        <w:spacing w:after="0" w:line="259" w:lineRule="auto"/>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Group and Specialty segment’s operating cost ratio was 23.1 percent in 1Q20, an increase of 120 basis points from 21.9 percent in 1Q19 primarily reflecting the reinstatement of the non-deductible health insurance industry fee in 2020, which increased the Group and Specialty segment's GAAP operating cost ratio by approximately 140 basis points in 1Q20.</w:t>
      </w:r>
    </w:p>
    <w:p>
      <w:pPr>
        <w:spacing w:after="0" w:line="186" w:lineRule="exact"/>
        <w:rPr>
          <w:sz w:val="20"/>
          <w:szCs w:val="20"/>
          <w:color w:val="auto"/>
        </w:rPr>
      </w:pPr>
    </w:p>
    <w:p>
      <w:pPr>
        <w:ind w:left="640" w:right="20"/>
        <w:spacing w:after="0" w:line="260" w:lineRule="auto"/>
        <w:rPr>
          <w:sz w:val="20"/>
          <w:szCs w:val="20"/>
          <w:color w:val="auto"/>
        </w:rPr>
      </w:pPr>
      <w:r>
        <w:rPr>
          <w:rFonts w:ascii="Arial" w:cs="Arial" w:eastAsia="Arial" w:hAnsi="Arial"/>
          <w:sz w:val="19"/>
          <w:szCs w:val="19"/>
          <w:color w:val="auto"/>
        </w:rPr>
        <w:t>The impact of the non-deductible health insurance industry fee was partially offset by significant operating cost efficiencies in 1Q20 driven by previously disclosed productivity initiatives.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and Specialty segment results:</w:t>
      </w:r>
    </w:p>
    <w:p>
      <w:pPr>
        <w:spacing w:after="0" w:line="354" w:lineRule="exact"/>
        <w:rPr>
          <w:sz w:val="20"/>
          <w:szCs w:val="20"/>
          <w:color w:val="auto"/>
        </w:rPr>
      </w:pPr>
    </w:p>
    <w:tbl>
      <w:tblPr>
        <w:tblLayout w:type="fixed"/>
        <w:tblInd w:w="1110" w:type="dxa"/>
        <w:tblCellMar>
          <w:top w:w="0" w:type="dxa"/>
          <w:left w:w="0" w:type="dxa"/>
          <w:bottom w:w="0" w:type="dxa"/>
          <w:right w:w="0" w:type="dxa"/>
        </w:tblCellMar>
      </w:tblPr>
      <w:tr>
        <w:trPr>
          <w:trHeight w:val="183"/>
        </w:trPr>
        <w:tc>
          <w:tcPr>
            <w:tcW w:w="6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Group and Specialty segment earnings</w:t>
            </w:r>
          </w:p>
        </w:tc>
        <w:tc>
          <w:tcPr>
            <w:tcW w:w="1280" w:type="dxa"/>
            <w:vAlign w:val="bottom"/>
            <w:tcBorders>
              <w:top w:val="single" w:sz="8" w:color="auto"/>
              <w:right w:val="single" w:sz="8" w:color="auto"/>
            </w:tcBorders>
            <w:shd w:val="clear" w:color="auto" w:fill="EAEAEA"/>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r>
      <w:tr>
        <w:trPr>
          <w:trHeight w:val="224"/>
        </w:trPr>
        <w:tc>
          <w:tcPr>
            <w:tcW w:w="6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80" w:type="dxa"/>
            <w:vAlign w:val="bottom"/>
            <w:tcBorders>
              <w:bottom w:val="single" w:sz="8" w:color="EAEAEA"/>
              <w:right w:val="single" w:sz="8" w:color="auto"/>
            </w:tcBorders>
            <w:shd w:val="clear" w:color="auto" w:fill="EAEAEA"/>
          </w:tcPr>
          <w:p>
            <w:pPr>
              <w:jc w:val="right"/>
              <w:ind w:right="303"/>
              <w:spacing w:after="0"/>
              <w:rPr>
                <w:sz w:val="20"/>
                <w:szCs w:val="20"/>
                <w:color w:val="auto"/>
              </w:rPr>
            </w:pPr>
            <w:r>
              <w:rPr>
                <w:rFonts w:ascii="Arial" w:cs="Arial" w:eastAsia="Arial" w:hAnsi="Arial"/>
                <w:sz w:val="14"/>
                <w:szCs w:val="14"/>
                <w:b w:val="1"/>
                <w:bCs w:val="1"/>
                <w:color w:val="auto"/>
                <w:shd w:val="clear" w:color="auto" w:fill="EAEAEA"/>
              </w:rPr>
              <w:t>1Q20 (a)</w:t>
            </w:r>
          </w:p>
        </w:tc>
        <w:tc>
          <w:tcPr>
            <w:tcW w:w="1260" w:type="dxa"/>
            <w:vAlign w:val="bottom"/>
            <w:tcBorders>
              <w:right w:val="single" w:sz="8" w:color="auto"/>
            </w:tcBorders>
          </w:tcPr>
          <w:p>
            <w:pPr>
              <w:jc w:val="right"/>
              <w:ind w:right="303"/>
              <w:spacing w:after="0"/>
              <w:rPr>
                <w:sz w:val="20"/>
                <w:szCs w:val="20"/>
                <w:color w:val="auto"/>
              </w:rPr>
            </w:pPr>
            <w:r>
              <w:rPr>
                <w:rFonts w:ascii="Arial" w:cs="Arial" w:eastAsia="Arial" w:hAnsi="Arial"/>
                <w:sz w:val="14"/>
                <w:szCs w:val="14"/>
                <w:color w:val="auto"/>
              </w:rPr>
              <w:t>1Q19 (b)</w:t>
            </w:r>
          </w:p>
        </w:tc>
      </w:tr>
      <w:tr>
        <w:trPr>
          <w:trHeight w:val="249"/>
        </w:trPr>
        <w:tc>
          <w:tcPr>
            <w:tcW w:w="6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80" w:type="dxa"/>
            <w:vAlign w:val="bottom"/>
            <w:tcBorders>
              <w:top w:val="single" w:sz="8" w:color="auto"/>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$105</w:t>
            </w:r>
          </w:p>
        </w:tc>
        <w:tc>
          <w:tcPr>
            <w:tcW w:w="1260" w:type="dxa"/>
            <w:vAlign w:val="bottom"/>
            <w:tcBorders>
              <w:top w:val="single" w:sz="8" w:color="auto"/>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$165</w:t>
            </w:r>
          </w:p>
        </w:tc>
      </w:tr>
      <w:tr>
        <w:trPr>
          <w:trHeight w:val="229"/>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80" w:type="dxa"/>
            <w:vAlign w:val="bottom"/>
            <w:tcBorders>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1</w:t>
            </w:r>
          </w:p>
        </w:tc>
        <w:tc>
          <w:tcPr>
            <w:tcW w:w="12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r>
      <w:tr>
        <w:trPr>
          <w:trHeight w:val="256"/>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80" w:type="dxa"/>
            <w:vAlign w:val="bottom"/>
            <w:tcBorders>
              <w:bottom w:val="single" w:sz="8" w:color="auto"/>
              <w:right w:val="single" w:sz="8" w:color="auto"/>
            </w:tcBorders>
            <w:shd w:val="clear" w:color="auto" w:fill="EAEAEA"/>
          </w:tcPr>
          <w:p>
            <w:pPr>
              <w:jc w:val="right"/>
              <w:ind w:right="43"/>
              <w:spacing w:after="0"/>
              <w:rPr>
                <w:sz w:val="20"/>
                <w:szCs w:val="20"/>
                <w:color w:val="auto"/>
              </w:rPr>
            </w:pPr>
            <w:r>
              <w:rPr>
                <w:rFonts w:ascii="Arial" w:cs="Arial" w:eastAsia="Arial" w:hAnsi="Arial"/>
                <w:sz w:val="16"/>
                <w:szCs w:val="16"/>
                <w:b w:val="1"/>
                <w:bCs w:val="1"/>
                <w:color w:val="auto"/>
              </w:rPr>
              <w:t>$106</w:t>
            </w:r>
          </w:p>
        </w:tc>
        <w:tc>
          <w:tcPr>
            <w:tcW w:w="12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$166</w:t>
            </w:r>
          </w:p>
        </w:tc>
      </w:tr>
    </w:tbl>
    <w:p>
      <w:pPr>
        <w:spacing w:after="0" w:line="193" w:lineRule="exact"/>
        <w:rPr>
          <w:sz w:val="20"/>
          <w:szCs w:val="20"/>
          <w:color w:val="auto"/>
        </w:rPr>
      </w:pPr>
    </w:p>
    <w:p>
      <w:pPr>
        <w:ind w:left="620" w:right="120" w:hanging="313"/>
        <w:spacing w:after="0" w:line="259" w:lineRule="auto"/>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Group and Specialty segment’s GAAP segment earnings of $105 million in 1Q20 compared to GAAP segment earnings of $165 million in 1Q19, a decrease of $60 million, or 36 percent. The decrease primarily reflects the company's deliberate pricing and benefit design changes in its commercial business in response to the 2019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755" w:right="339" w:bottom="1440" w:gutter="0" w:footer="0" w:header="0"/>
        </w:sectPr>
      </w:pPr>
    </w:p>
    <w:bookmarkStart w:id="23" w:name="page24"/>
    <w:bookmarkEnd w:id="23"/>
    <w:p>
      <w:pPr>
        <w:spacing w:after="0"/>
        <w:rPr>
          <w:sz w:val="20"/>
          <w:szCs w:val="20"/>
          <w:color w:val="auto"/>
        </w:rPr>
      </w:pPr>
      <w:r>
        <w:rPr>
          <w:rFonts w:ascii="Arial" w:cs="Arial" w:eastAsia="Arial" w:hAnsi="Arial"/>
          <w:sz w:val="24"/>
          <w:szCs w:val="24"/>
          <w:b w:val="1"/>
          <w:bCs w:val="1"/>
          <w:u w:val="single" w:color="auto"/>
          <w:color w:val="auto"/>
        </w:rPr>
        <w:t>Humana’s Healthcare Services Segment</w:t>
      </w:r>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non-consolidating minority interest investments in Kindred at Home and the strategic partnership with Welsh, Carson, Anderson &amp; Stowe (WCAS) to develop and operate senior-focused, payor-agnostic, primary care centers.</w:t>
      </w:r>
    </w:p>
    <w:p>
      <w:pPr>
        <w:spacing w:after="0" w:line="197"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Services offered by this segment are designed to enhance members’ healthcare experience overall. These services may lead to lower utilization associated with improved member health and/or lower drug costs.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revenues:</w:t>
      </w:r>
    </w:p>
    <w:p>
      <w:pPr>
        <w:spacing w:after="0" w:line="225" w:lineRule="exact"/>
        <w:rPr>
          <w:sz w:val="20"/>
          <w:szCs w:val="20"/>
          <w:color w:val="auto"/>
        </w:rPr>
      </w:pPr>
    </w:p>
    <w:p>
      <w:pPr>
        <w:ind w:left="620" w:right="420" w:hanging="313"/>
        <w:spacing w:after="0" w:line="274" w:lineRule="auto"/>
        <w:tabs>
          <w:tab w:leader="none" w:pos="6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Revenues of $7.09 billion in 1Q20 for the Healthcare Services segment increased by $987 million, or 16 percent, from $6.10 billion in 1Q19. The year-over-year comparison was favorably impacted by the following factors:</w:t>
      </w:r>
    </w:p>
    <w:p>
      <w:pPr>
        <w:spacing w:after="0" w:line="170" w:lineRule="exact"/>
        <w:rPr>
          <w:rFonts w:ascii="Arial" w:cs="Arial" w:eastAsia="Arial" w:hAnsi="Arial"/>
          <w:sz w:val="19"/>
          <w:szCs w:val="19"/>
          <w:color w:val="auto"/>
        </w:rPr>
      </w:pPr>
    </w:p>
    <w:p>
      <w:pPr>
        <w:ind w:left="880" w:hanging="324"/>
        <w:spacing w:after="0"/>
        <w:tabs>
          <w:tab w:leader="none" w:pos="88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company's strong Medicare Advantage membership growth,</w:t>
      </w:r>
    </w:p>
    <w:p>
      <w:pPr>
        <w:spacing w:after="0" w:line="214" w:lineRule="exact"/>
        <w:rPr>
          <w:rFonts w:ascii="Arial" w:cs="Arial" w:eastAsia="Arial" w:hAnsi="Arial"/>
          <w:sz w:val="19"/>
          <w:szCs w:val="19"/>
          <w:color w:val="auto"/>
        </w:rPr>
      </w:pPr>
    </w:p>
    <w:p>
      <w:pPr>
        <w:ind w:left="880" w:right="480" w:hanging="324"/>
        <w:spacing w:after="0" w:line="260" w:lineRule="auto"/>
        <w:tabs>
          <w:tab w:leader="none" w:pos="88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 increase in pharmacy revenues as a result of the company allowing early prescription refills to permit members to prepare for extended supply needs in response to COVID-19, and</w:t>
      </w:r>
    </w:p>
    <w:p>
      <w:pPr>
        <w:spacing w:after="0" w:line="183" w:lineRule="exact"/>
        <w:rPr>
          <w:rFonts w:ascii="Arial" w:cs="Arial" w:eastAsia="Arial" w:hAnsi="Arial"/>
          <w:sz w:val="19"/>
          <w:szCs w:val="19"/>
          <w:color w:val="auto"/>
        </w:rPr>
      </w:pPr>
    </w:p>
    <w:p>
      <w:pPr>
        <w:ind w:left="880" w:hanging="324"/>
        <w:spacing w:after="0"/>
        <w:tabs>
          <w:tab w:leader="none" w:pos="88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additional pharmacy revenues associated with the acquisition of Enclara Healthcare in 1Q20.</w:t>
      </w:r>
    </w:p>
    <w:p>
      <w:pPr>
        <w:spacing w:after="0" w:line="215" w:lineRule="exact"/>
        <w:rPr>
          <w:sz w:val="20"/>
          <w:szCs w:val="20"/>
          <w:color w:val="auto"/>
        </w:rPr>
      </w:pPr>
    </w:p>
    <w:p>
      <w:pPr>
        <w:ind w:left="640" w:right="220"/>
        <w:spacing w:after="0" w:line="260" w:lineRule="auto"/>
        <w:rPr>
          <w:sz w:val="20"/>
          <w:szCs w:val="20"/>
          <w:color w:val="auto"/>
        </w:rPr>
      </w:pPr>
      <w:r>
        <w:rPr>
          <w:rFonts w:ascii="Arial" w:cs="Arial" w:eastAsia="Arial" w:hAnsi="Arial"/>
          <w:sz w:val="19"/>
          <w:szCs w:val="19"/>
          <w:color w:val="auto"/>
        </w:rPr>
        <w:t>These increases were partially offset by the loss of intersegment revenues associated with the decline in stand-alone PDP membership as previously discussed.</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operating costs:</w:t>
      </w:r>
    </w:p>
    <w:p>
      <w:pPr>
        <w:spacing w:after="0" w:line="225" w:lineRule="exact"/>
        <w:rPr>
          <w:sz w:val="20"/>
          <w:szCs w:val="20"/>
          <w:color w:val="auto"/>
        </w:rPr>
      </w:pPr>
    </w:p>
    <w:p>
      <w:pPr>
        <w:ind w:left="620" w:right="20" w:hanging="313"/>
        <w:spacing w:after="0" w:line="259" w:lineRule="auto"/>
        <w:tabs>
          <w:tab w:leader="none" w:pos="6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Healthcare Services segment’s operating cost ratio of 96.0 percent in 1Q20 decreased 60 basis points from 96.6 percent in 1Q19 primarily as a result of operational improvements in the company's provider services business, largely related to Conviva, along with significant operating cost efficiencies in 1Q20 driven by previously disclosed productivity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operating statistics:</w:t>
      </w:r>
    </w:p>
    <w:p>
      <w:pPr>
        <w:spacing w:after="0" w:line="225" w:lineRule="exact"/>
        <w:rPr>
          <w:sz w:val="20"/>
          <w:szCs w:val="20"/>
          <w:color w:val="auto"/>
        </w:rPr>
      </w:pPr>
    </w:p>
    <w:p>
      <w:pPr>
        <w:ind w:left="620" w:hanging="313"/>
        <w:spacing w:after="0"/>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Primary care providers in value-based (shared risk and path to risk) relationships of 65,900 at March 31, 2020 increased</w:t>
      </w:r>
    </w:p>
    <w:p>
      <w:pPr>
        <w:spacing w:after="0" w:line="18" w:lineRule="exact"/>
        <w:rPr>
          <w:rFonts w:ascii="Arial" w:cs="Arial" w:eastAsia="Arial" w:hAnsi="Arial"/>
          <w:sz w:val="19"/>
          <w:szCs w:val="19"/>
          <w:color w:val="auto"/>
        </w:rPr>
      </w:pPr>
    </w:p>
    <w:p>
      <w:pPr>
        <w:ind w:left="620" w:right="40"/>
        <w:spacing w:after="0" w:line="248" w:lineRule="auto"/>
        <w:rPr>
          <w:rFonts w:ascii="Arial" w:cs="Arial" w:eastAsia="Arial" w:hAnsi="Arial"/>
          <w:sz w:val="19"/>
          <w:szCs w:val="19"/>
          <w:color w:val="auto"/>
        </w:rPr>
      </w:pPr>
      <w:r>
        <w:rPr>
          <w:rFonts w:ascii="Arial" w:cs="Arial" w:eastAsia="Arial" w:hAnsi="Arial"/>
          <w:sz w:val="19"/>
          <w:szCs w:val="19"/>
          <w:color w:val="auto"/>
        </w:rPr>
        <w:t>14 percent from 57,600 at March 31, 2019, and increased 6 percent from 61,900 at December 31, 2019. The percentage of the company’s individual Medicare Advantage members in value-based relationships was 66 percent as of March 31, 2020, compared to 65 percent at March 31, 2019 and 67 percent at December 31, 2019. The sequential decline was impacted by solid AEP and OEP results that have led to a greater proportion of new individual Medicare Advantage members that are not yet assigned to a primary care provider.</w:t>
      </w:r>
    </w:p>
    <w:p>
      <w:pPr>
        <w:spacing w:after="0" w:line="197" w:lineRule="exact"/>
        <w:rPr>
          <w:rFonts w:ascii="Arial" w:cs="Arial" w:eastAsia="Arial" w:hAnsi="Arial"/>
          <w:sz w:val="19"/>
          <w:szCs w:val="19"/>
          <w:color w:val="auto"/>
        </w:rPr>
      </w:pPr>
    </w:p>
    <w:p>
      <w:pPr>
        <w:ind w:left="620" w:right="140" w:hanging="313"/>
        <w:spacing w:after="0" w:line="226" w:lineRule="auto"/>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Medicare Advantage and dual demonstration program membership enrolled in a Humana chronic care management program </w:t>
      </w:r>
      <w:r>
        <w:rPr>
          <w:rFonts w:ascii="Arial" w:cs="Arial" w:eastAsia="Arial" w:hAnsi="Arial"/>
          <w:sz w:val="26"/>
          <w:szCs w:val="26"/>
          <w:color w:val="auto"/>
          <w:vertAlign w:val="superscript"/>
        </w:rPr>
        <w:t>(h)</w:t>
      </w:r>
      <w:r>
        <w:rPr>
          <w:rFonts w:ascii="Arial" w:cs="Arial" w:eastAsia="Arial" w:hAnsi="Arial"/>
          <w:sz w:val="19"/>
          <w:szCs w:val="19"/>
          <w:color w:val="auto"/>
        </w:rPr>
        <w:t xml:space="preserve"> was 899,700 at March 31, 2020, up 8 percent from 834,700 at March 31, 2019 and up 4 percent from 868,800 at December 31, 2019. These changes were driven by the company's improved process for identifying and enrolling members in the appropriate program at the right time, coupled with growth in Special Needs Plans (SNP) membership.</w:t>
      </w:r>
    </w:p>
    <w:p>
      <w:pPr>
        <w:spacing w:after="0" w:line="190" w:lineRule="exact"/>
        <w:rPr>
          <w:rFonts w:ascii="Arial" w:cs="Arial" w:eastAsia="Arial" w:hAnsi="Arial"/>
          <w:sz w:val="19"/>
          <w:szCs w:val="19"/>
          <w:color w:val="auto"/>
        </w:rPr>
      </w:pPr>
    </w:p>
    <w:p>
      <w:pPr>
        <w:ind w:left="620" w:right="360" w:hanging="313"/>
        <w:spacing w:after="0" w:line="259" w:lineRule="auto"/>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Pharmacy script volume on an adjusted 30-day equivalent basis of 120 million for 1Q20 increased 9 percent compared to 110 million for 1Q19. This increase primarily was driven by higher Medicare Advantage and state-based contracts membership along with the impact of early prescription refills as members prepared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754" w:right="339" w:bottom="1440" w:gutter="0" w:footer="0" w:header="0"/>
        </w:sectPr>
      </w:pPr>
    </w:p>
    <w:bookmarkStart w:id="24" w:name="page25"/>
    <w:bookmarkEnd w:id="24"/>
    <w:p>
      <w:pPr>
        <w:ind w:left="620" w:right="200"/>
        <w:spacing w:after="0" w:line="245" w:lineRule="auto"/>
        <w:rPr>
          <w:sz w:val="20"/>
          <w:szCs w:val="20"/>
          <w:color w:val="auto"/>
        </w:rPr>
      </w:pPr>
      <w:r>
        <w:rPr>
          <w:rFonts w:ascii="Arial" w:cs="Arial" w:eastAsia="Arial" w:hAnsi="Arial"/>
          <w:sz w:val="19"/>
          <w:szCs w:val="19"/>
          <w:color w:val="auto"/>
        </w:rPr>
        <w:t>extended supply needs in response to COVID-19. These increases were partially offset by the decline in stand-alone PDP membership.</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 Services segment results:</w:t>
      </w:r>
    </w:p>
    <w:p>
      <w:pPr>
        <w:spacing w:after="0" w:line="354" w:lineRule="exact"/>
        <w:rPr>
          <w:sz w:val="20"/>
          <w:szCs w:val="20"/>
          <w:color w:val="auto"/>
        </w:rPr>
      </w:pPr>
    </w:p>
    <w:tbl>
      <w:tblPr>
        <w:tblLayout w:type="fixed"/>
        <w:tblInd w:w="1110" w:type="dxa"/>
        <w:tblCellMar>
          <w:top w:w="0" w:type="dxa"/>
          <w:left w:w="0" w:type="dxa"/>
          <w:bottom w:w="0" w:type="dxa"/>
          <w:right w:w="0" w:type="dxa"/>
        </w:tblCellMar>
      </w:tblPr>
      <w:tr>
        <w:trPr>
          <w:trHeight w:val="183"/>
        </w:trPr>
        <w:tc>
          <w:tcPr>
            <w:tcW w:w="6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Healthcare Services segment results</w:t>
            </w:r>
          </w:p>
        </w:tc>
        <w:tc>
          <w:tcPr>
            <w:tcW w:w="1280" w:type="dxa"/>
            <w:vAlign w:val="bottom"/>
            <w:tcBorders>
              <w:top w:val="single" w:sz="8" w:color="auto"/>
              <w:right w:val="single" w:sz="8" w:color="auto"/>
            </w:tcBorders>
            <w:vMerge w:val="restart"/>
            <w:shd w:val="clear" w:color="auto" w:fill="EAEAEA"/>
          </w:tcPr>
          <w:p>
            <w:pPr>
              <w:jc w:val="right"/>
              <w:ind w:right="381"/>
              <w:spacing w:after="0"/>
              <w:rPr>
                <w:sz w:val="20"/>
                <w:szCs w:val="20"/>
                <w:color w:val="auto"/>
              </w:rPr>
            </w:pPr>
            <w:r>
              <w:rPr>
                <w:rFonts w:ascii="Arial" w:cs="Arial" w:eastAsia="Arial" w:hAnsi="Arial"/>
                <w:sz w:val="16"/>
                <w:szCs w:val="16"/>
                <w:b w:val="1"/>
                <w:bCs w:val="1"/>
                <w:color w:val="auto"/>
              </w:rPr>
              <w:t>1Q20</w:t>
            </w:r>
          </w:p>
        </w:tc>
        <w:tc>
          <w:tcPr>
            <w:tcW w:w="12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80" w:type="dxa"/>
            <w:vAlign w:val="bottom"/>
            <w:tcBorders>
              <w:bottom w:val="single" w:sz="8" w:color="auto"/>
              <w:right w:val="single" w:sz="8" w:color="auto"/>
            </w:tcBorders>
            <w:vMerge w:val="continue"/>
            <w:shd w:val="clear" w:color="auto" w:fill="EAEAEA"/>
          </w:tcPr>
          <w:p>
            <w:pPr>
              <w:spacing w:after="0"/>
              <w:rPr>
                <w:sz w:val="18"/>
                <w:szCs w:val="18"/>
                <w:color w:val="auto"/>
              </w:rPr>
            </w:pPr>
          </w:p>
        </w:tc>
        <w:tc>
          <w:tcPr>
            <w:tcW w:w="126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6"/>
                <w:szCs w:val="16"/>
                <w:color w:val="auto"/>
              </w:rPr>
              <w:t>1Q19</w:t>
            </w:r>
          </w:p>
        </w:tc>
        <w:tc>
          <w:tcPr>
            <w:tcW w:w="0" w:type="dxa"/>
            <w:vAlign w:val="bottom"/>
          </w:tcPr>
          <w:p>
            <w:pPr>
              <w:spacing w:after="0"/>
              <w:rPr>
                <w:sz w:val="1"/>
                <w:szCs w:val="1"/>
                <w:color w:val="auto"/>
              </w:rPr>
            </w:pPr>
          </w:p>
        </w:tc>
      </w:tr>
      <w:tr>
        <w:trPr>
          <w:trHeight w:val="256"/>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 segment earnings</w:t>
            </w:r>
          </w:p>
        </w:tc>
        <w:tc>
          <w:tcPr>
            <w:tcW w:w="12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$250</w:t>
            </w:r>
          </w:p>
        </w:tc>
        <w:tc>
          <w:tcPr>
            <w:tcW w:w="12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9"/>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Depreciation and amortization expense</w:t>
            </w:r>
          </w:p>
        </w:tc>
        <w:tc>
          <w:tcPr>
            <w:tcW w:w="12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48</w:t>
            </w:r>
          </w:p>
        </w:tc>
        <w:tc>
          <w:tcPr>
            <w:tcW w:w="12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9"/>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and taxes</w:t>
            </w:r>
          </w:p>
        </w:tc>
        <w:tc>
          <w:tcPr>
            <w:tcW w:w="12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21</w:t>
            </w:r>
          </w:p>
        </w:tc>
        <w:tc>
          <w:tcPr>
            <w:tcW w:w="12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6"/>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 (c)</w:t>
            </w:r>
          </w:p>
        </w:tc>
        <w:tc>
          <w:tcPr>
            <w:tcW w:w="12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$319</w:t>
            </w:r>
          </w:p>
        </w:tc>
        <w:tc>
          <w:tcPr>
            <w:tcW w:w="12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20" w:right="360" w:hanging="313"/>
        <w:spacing w:after="0" w:line="274" w:lineRule="auto"/>
        <w:tabs>
          <w:tab w:leader="none" w:pos="6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Healthcare Services segment’s 1Q20 GAAP segment earnings increased $75 million, or 43 percent, to $250 million compared to GAAP segment earnings of $175 million in 1Q19. The increase primarily resulted from the following factors:</w:t>
      </w:r>
    </w:p>
    <w:p>
      <w:pPr>
        <w:spacing w:after="0" w:line="170" w:lineRule="exact"/>
        <w:rPr>
          <w:rFonts w:ascii="Arial" w:cs="Arial" w:eastAsia="Arial" w:hAnsi="Arial"/>
          <w:sz w:val="19"/>
          <w:szCs w:val="19"/>
          <w:color w:val="auto"/>
        </w:rPr>
      </w:pPr>
    </w:p>
    <w:p>
      <w:pPr>
        <w:ind w:left="960" w:hanging="325"/>
        <w:spacing w:after="0"/>
        <w:tabs>
          <w:tab w:leader="none" w:pos="9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higher earnings from the company's pharmacy operations as a result of previously mentioned factors,</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operational improvement in the provider services business year over year, and</w:t>
      </w:r>
    </w:p>
    <w:p>
      <w:pPr>
        <w:spacing w:after="0" w:line="214" w:lineRule="exact"/>
        <w:rPr>
          <w:rFonts w:ascii="Arial" w:cs="Arial" w:eastAsia="Arial" w:hAnsi="Arial"/>
          <w:sz w:val="19"/>
          <w:szCs w:val="19"/>
          <w:color w:val="auto"/>
        </w:rPr>
      </w:pPr>
    </w:p>
    <w:p>
      <w:pPr>
        <w:ind w:left="960" w:hanging="325"/>
        <w:spacing w:after="0"/>
        <w:tabs>
          <w:tab w:leader="none" w:pos="9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higher earnings from Kindred at Home operations.</w:t>
      </w:r>
    </w:p>
    <w:p>
      <w:pPr>
        <w:spacing w:after="0" w:line="215" w:lineRule="exact"/>
        <w:rPr>
          <w:sz w:val="20"/>
          <w:szCs w:val="20"/>
          <w:color w:val="auto"/>
        </w:rPr>
      </w:pPr>
    </w:p>
    <w:p>
      <w:pPr>
        <w:ind w:left="640" w:right="20"/>
        <w:spacing w:after="0" w:line="250" w:lineRule="auto"/>
        <w:rPr>
          <w:sz w:val="20"/>
          <w:szCs w:val="20"/>
          <w:color w:val="auto"/>
        </w:rPr>
      </w:pPr>
      <w:r>
        <w:rPr>
          <w:rFonts w:ascii="Arial" w:cs="Arial" w:eastAsia="Arial" w:hAnsi="Arial"/>
          <w:sz w:val="19"/>
          <w:szCs w:val="19"/>
          <w:color w:val="auto"/>
        </w:rPr>
        <w:t>Adjusted EBITDA in 1Q20 for the Healthcare Services segment of $319 million was up $81 million, or 34 percent, compared to Adjusted EBITDA of $238 million in 1Q19. The favorable comparison of Adjusted EBITDA year over year primarily resulted from the same factors that impacted the quarterly GAAP segment results comparison while adjusting for the impact of the factors detailed in the table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Conference Call</w:t>
      </w:r>
    </w:p>
    <w:p>
      <w:pPr>
        <w:spacing w:after="0" w:line="248" w:lineRule="exact"/>
        <w:rPr>
          <w:sz w:val="20"/>
          <w:szCs w:val="20"/>
          <w:color w:val="auto"/>
        </w:rPr>
      </w:pPr>
    </w:p>
    <w:p>
      <w:pPr>
        <w:ind w:right="880"/>
        <w:spacing w:after="0" w:line="260" w:lineRule="auto"/>
        <w:rPr>
          <w:sz w:val="20"/>
          <w:szCs w:val="20"/>
          <w:color w:val="auto"/>
        </w:rPr>
      </w:pPr>
      <w:r>
        <w:rPr>
          <w:rFonts w:ascii="Arial" w:cs="Arial" w:eastAsia="Arial" w:hAnsi="Arial"/>
          <w:sz w:val="19"/>
          <w:szCs w:val="19"/>
          <w:color w:val="auto"/>
        </w:rPr>
        <w:t>Humana will host a conference call at 10:00 a.m. Eastern time today to discuss its financial results for the quarter and the company’s expectations for future earnings.</w:t>
      </w:r>
    </w:p>
    <w:p>
      <w:pPr>
        <w:spacing w:after="0" w:line="183"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 xml:space="preserve">All parties interested in the company’s 1Q20 earnings conference call are invited to dial 888-625-7430. No password is required. The audio-only webcast of the 1Q20 earnings call may be accessed via Humana’s Investor Relations page at </w:t>
      </w:r>
      <w:r>
        <w:rPr>
          <w:rFonts w:ascii="Arial" w:cs="Arial" w:eastAsia="Arial" w:hAnsi="Arial"/>
          <w:sz w:val="19"/>
          <w:szCs w:val="19"/>
          <w:u w:val="single" w:color="auto"/>
          <w:color w:val="auto"/>
        </w:rPr>
        <w:t>humana.com.</w:t>
      </w:r>
      <w:r>
        <w:rPr>
          <w:rFonts w:ascii="Arial" w:cs="Arial" w:eastAsia="Arial" w:hAnsi="Arial"/>
          <w:sz w:val="19"/>
          <w:szCs w:val="19"/>
          <w:color w:val="auto"/>
        </w:rPr>
        <w:t xml:space="preserve"> The company suggests participants for both the conference call and those listening via the web dial in or sign on at least 15 minutes in advance of the call.</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9"/>
          <w:szCs w:val="19"/>
          <w:u w:val="single" w:color="auto"/>
          <w:color w:val="auto"/>
        </w:rPr>
        <w:t>humana.com</w:t>
      </w:r>
      <w:r>
        <w:rPr>
          <w:rFonts w:ascii="Arial" w:cs="Arial" w:eastAsia="Arial" w:hAnsi="Arial"/>
          <w:sz w:val="19"/>
          <w:szCs w:val="19"/>
          <w:color w:val="auto"/>
        </w:rPr>
        <w:t>, approximately two hours following the live webcast. Telephone replays will also be available from approximately 1:15 p.m. Eastern time on April 29, 2020 until 10:59 p.m. Eastern time on June 29, 2020 and can be accessed by dialing 855-859-2056 and providing the conference ID #7592196.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b w:val="1"/>
          <w:bCs w:val="1"/>
          <w:u w:val="single" w:color="auto"/>
          <w:color w:val="auto"/>
        </w:rPr>
        <w:t>Footnotes</w:t>
      </w:r>
    </w:p>
    <w:p>
      <w:pPr>
        <w:spacing w:after="0" w:line="248" w:lineRule="exact"/>
        <w:rPr>
          <w:sz w:val="20"/>
          <w:szCs w:val="20"/>
          <w:color w:val="auto"/>
        </w:rPr>
      </w:pPr>
    </w:p>
    <w:p>
      <w:pPr>
        <w:ind w:left="540" w:hanging="299"/>
        <w:spacing w:after="0"/>
        <w:tabs>
          <w:tab w:leader="none" w:pos="540" w:val="left"/>
        </w:tabs>
        <w:numPr>
          <w:ilvl w:val="0"/>
          <w:numId w:val="3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1Q20 Adjusted results exclude the following:</w:t>
      </w:r>
    </w:p>
    <w:p>
      <w:pPr>
        <w:spacing w:after="0" w:line="7" w:lineRule="exact"/>
        <w:rPr>
          <w:rFonts w:ascii="Arial" w:cs="Arial" w:eastAsia="Arial" w:hAnsi="Arial"/>
          <w:sz w:val="19"/>
          <w:szCs w:val="19"/>
          <w:u w:val="single" w:color="auto"/>
          <w:color w:val="auto"/>
        </w:rPr>
      </w:pPr>
    </w:p>
    <w:p>
      <w:pPr>
        <w:ind w:left="980" w:right="100" w:hanging="319"/>
        <w:spacing w:after="0" w:line="257" w:lineRule="auto"/>
        <w:tabs>
          <w:tab w:leader="none" w:pos="9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$21 million pretax income, or $0.12 per diluted common share; GAAP measures affected in this release include consolidated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180"/>
          </w:cols>
          <w:pgMar w:left="320" w:top="779" w:right="399" w:bottom="1440" w:gutter="0" w:footer="0" w:header="0"/>
        </w:sectPr>
      </w:pPr>
    </w:p>
    <w:bookmarkStart w:id="25" w:name="page26"/>
    <w:bookmarkEnd w:id="25"/>
    <w:p>
      <w:pPr>
        <w:jc w:val="center"/>
        <w:ind w:right="-4"/>
        <w:spacing w:after="0"/>
        <w:rPr>
          <w:sz w:val="20"/>
          <w:szCs w:val="20"/>
          <w:color w:val="auto"/>
        </w:rPr>
      </w:pPr>
      <w:r>
        <w:rPr>
          <w:rFonts w:ascii="Arial" w:cs="Arial" w:eastAsia="Arial" w:hAnsi="Arial"/>
          <w:sz w:val="19"/>
          <w:szCs w:val="19"/>
          <w:color w:val="auto"/>
        </w:rPr>
        <w:t>pretax, EPS, and segment earnings (for respective amortization expense for the Retail and Group and Specialty segments).</w:t>
      </w:r>
    </w:p>
    <w:p>
      <w:pPr>
        <w:spacing w:after="0" w:line="5" w:lineRule="exact"/>
        <w:rPr>
          <w:sz w:val="20"/>
          <w:szCs w:val="20"/>
          <w:color w:val="auto"/>
        </w:rPr>
      </w:pPr>
    </w:p>
    <w:p>
      <w:pPr>
        <w:ind w:left="765" w:right="160" w:hanging="319"/>
        <w:spacing w:after="0" w:line="319" w:lineRule="auto"/>
        <w:tabs>
          <w:tab w:leader="none" w:pos="765" w:val="left"/>
        </w:tabs>
        <w:numPr>
          <w:ilvl w:val="3"/>
          <w:numId w:val="37"/>
        </w:numPr>
        <w:rPr>
          <w:rFonts w:ascii="Arial" w:cs="Arial" w:eastAsia="Arial" w:hAnsi="Arial"/>
          <w:sz w:val="17"/>
          <w:szCs w:val="17"/>
          <w:color w:val="auto"/>
        </w:rPr>
      </w:pPr>
      <w:r>
        <w:rPr>
          <w:rFonts w:ascii="Arial" w:cs="Arial" w:eastAsia="Arial" w:hAnsi="Arial"/>
          <w:sz w:val="17"/>
          <w:szCs w:val="17"/>
          <w:color w:val="auto"/>
        </w:rPr>
        <w:t>Put/call valuation adjustments of approximately $297 million, or $1.72 per diluted common share, associated with Humana’s non-consolidating minority interest investments. GAAP measures affected in this release include consolidated pretax and EPS.</w:t>
      </w:r>
    </w:p>
    <w:p>
      <w:pPr>
        <w:spacing w:after="0" w:line="149" w:lineRule="exact"/>
        <w:rPr>
          <w:rFonts w:ascii="Arial" w:cs="Arial" w:eastAsia="Arial" w:hAnsi="Arial"/>
          <w:sz w:val="17"/>
          <w:szCs w:val="17"/>
          <w:color w:val="auto"/>
        </w:rPr>
      </w:pPr>
    </w:p>
    <w:p>
      <w:pPr>
        <w:ind w:left="325" w:hanging="299"/>
        <w:spacing w:after="0"/>
        <w:tabs>
          <w:tab w:leader="none" w:pos="325" w:val="left"/>
        </w:tabs>
        <w:numPr>
          <w:ilvl w:val="1"/>
          <w:numId w:val="3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1Q19 Adjusted results exclude the following:</w:t>
      </w:r>
    </w:p>
    <w:p>
      <w:pPr>
        <w:spacing w:after="0" w:line="7" w:lineRule="exact"/>
        <w:rPr>
          <w:rFonts w:ascii="Arial" w:cs="Arial" w:eastAsia="Arial" w:hAnsi="Arial"/>
          <w:sz w:val="19"/>
          <w:szCs w:val="19"/>
          <w:u w:val="single" w:color="auto"/>
          <w:color w:val="auto"/>
        </w:rPr>
      </w:pPr>
    </w:p>
    <w:p>
      <w:pPr>
        <w:ind w:left="805" w:right="100" w:hanging="319"/>
        <w:spacing w:after="0" w:line="245" w:lineRule="auto"/>
        <w:tabs>
          <w:tab w:leader="none" w:pos="805" w:val="left"/>
        </w:tabs>
        <w:numPr>
          <w:ilvl w:val="4"/>
          <w:numId w:val="37"/>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ind w:left="805" w:right="220" w:hanging="319"/>
        <w:spacing w:after="0" w:line="315" w:lineRule="auto"/>
        <w:tabs>
          <w:tab w:leader="none" w:pos="805" w:val="left"/>
        </w:tabs>
        <w:numPr>
          <w:ilvl w:val="4"/>
          <w:numId w:val="37"/>
        </w:numPr>
        <w:rPr>
          <w:rFonts w:ascii="Arial" w:cs="Arial" w:eastAsia="Arial" w:hAnsi="Arial"/>
          <w:sz w:val="17"/>
          <w:szCs w:val="17"/>
          <w:color w:val="auto"/>
        </w:rPr>
      </w:pPr>
      <w:r>
        <w:rPr>
          <w:rFonts w:ascii="Arial" w:cs="Arial" w:eastAsia="Arial" w:hAnsi="Arial"/>
          <w:sz w:val="17"/>
          <w:szCs w:val="17"/>
          <w:color w:val="auto"/>
        </w:rPr>
        <w:t>Put/call valuation adjustments of approximately $39 million, or $0.22 per diluted common share, associated with Humana’s non-consolidating minority interest investments. GAAP measures affected in this release include consolidated pretax and EPS.</w:t>
      </w:r>
    </w:p>
    <w:p>
      <w:pPr>
        <w:spacing w:after="0" w:line="153" w:lineRule="exact"/>
        <w:rPr>
          <w:rFonts w:ascii="Arial" w:cs="Arial" w:eastAsia="Arial" w:hAnsi="Arial"/>
          <w:sz w:val="17"/>
          <w:szCs w:val="17"/>
          <w:color w:val="auto"/>
        </w:rPr>
      </w:pPr>
    </w:p>
    <w:p>
      <w:pPr>
        <w:ind w:left="345" w:right="120" w:hanging="319"/>
        <w:spacing w:after="0" w:line="248" w:lineRule="auto"/>
        <w:tabs>
          <w:tab w:leader="none" w:pos="308"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10" w:lineRule="exact"/>
        <w:rPr>
          <w:rFonts w:ascii="Arial" w:cs="Arial" w:eastAsia="Arial" w:hAnsi="Arial"/>
          <w:sz w:val="19"/>
          <w:szCs w:val="19"/>
          <w:color w:val="auto"/>
        </w:rPr>
      </w:pPr>
    </w:p>
    <w:p>
      <w:pPr>
        <w:ind w:left="325" w:hanging="299"/>
        <w:spacing w:after="0"/>
        <w:tabs>
          <w:tab w:leader="none" w:pos="325" w:val="left"/>
        </w:tabs>
        <w:numPr>
          <w:ilvl w:val="1"/>
          <w:numId w:val="3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FY 2020 Adjusted EPS projections exclude the following:</w:t>
      </w:r>
    </w:p>
    <w:p>
      <w:pPr>
        <w:spacing w:after="0" w:line="7" w:lineRule="exact"/>
        <w:rPr>
          <w:rFonts w:ascii="Arial" w:cs="Arial" w:eastAsia="Arial" w:hAnsi="Arial"/>
          <w:sz w:val="19"/>
          <w:szCs w:val="19"/>
          <w:u w:val="single" w:color="auto"/>
          <w:color w:val="auto"/>
        </w:rPr>
      </w:pPr>
    </w:p>
    <w:p>
      <w:pPr>
        <w:ind w:left="425" w:hanging="320"/>
        <w:spacing w:after="0"/>
        <w:tabs>
          <w:tab w:leader="none" w:pos="425" w:val="left"/>
        </w:tabs>
        <w:numPr>
          <w:ilvl w:val="2"/>
          <w:numId w:val="37"/>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$0.49 per diluted common share.</w:t>
      </w:r>
    </w:p>
    <w:p>
      <w:pPr>
        <w:spacing w:after="0" w:line="4" w:lineRule="exact"/>
        <w:rPr>
          <w:rFonts w:ascii="Arial" w:cs="Arial" w:eastAsia="Arial" w:hAnsi="Arial"/>
          <w:sz w:val="19"/>
          <w:szCs w:val="19"/>
          <w:color w:val="auto"/>
        </w:rPr>
      </w:pPr>
    </w:p>
    <w:p>
      <w:pPr>
        <w:ind w:left="425" w:right="100" w:hanging="320"/>
        <w:spacing w:after="0" w:line="271" w:lineRule="auto"/>
        <w:tabs>
          <w:tab w:leader="none" w:pos="425" w:val="left"/>
        </w:tabs>
        <w:numPr>
          <w:ilvl w:val="2"/>
          <w:numId w:val="37"/>
        </w:numPr>
        <w:rPr>
          <w:rFonts w:ascii="Arial" w:cs="Arial" w:eastAsia="Arial" w:hAnsi="Arial"/>
          <w:sz w:val="18"/>
          <w:szCs w:val="18"/>
          <w:color w:val="auto"/>
        </w:rPr>
      </w:pPr>
      <w:r>
        <w:rPr>
          <w:rFonts w:ascii="Arial" w:cs="Arial" w:eastAsia="Arial" w:hAnsi="Arial"/>
          <w:sz w:val="18"/>
          <w:szCs w:val="18"/>
          <w:color w:val="auto"/>
        </w:rPr>
        <w:t>Put/call valuation adjustments of $1.72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spacing w:after="0" w:line="188" w:lineRule="exact"/>
        <w:rPr>
          <w:rFonts w:ascii="Arial" w:cs="Arial" w:eastAsia="Arial" w:hAnsi="Arial"/>
          <w:sz w:val="18"/>
          <w:szCs w:val="18"/>
          <w:color w:val="auto"/>
        </w:rPr>
      </w:pPr>
    </w:p>
    <w:p>
      <w:pPr>
        <w:ind w:left="325" w:hanging="299"/>
        <w:spacing w:after="0"/>
        <w:tabs>
          <w:tab w:leader="none" w:pos="325" w:val="left"/>
        </w:tabs>
        <w:numPr>
          <w:ilvl w:val="1"/>
          <w:numId w:val="3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FY 2019 Adjusted results exclude the following:</w:t>
      </w:r>
    </w:p>
    <w:p>
      <w:pPr>
        <w:spacing w:after="0" w:line="7" w:lineRule="exact"/>
        <w:rPr>
          <w:rFonts w:ascii="Arial" w:cs="Arial" w:eastAsia="Arial" w:hAnsi="Arial"/>
          <w:sz w:val="19"/>
          <w:szCs w:val="19"/>
          <w:u w:val="single" w:color="auto"/>
          <w:color w:val="auto"/>
        </w:rPr>
      </w:pPr>
    </w:p>
    <w:p>
      <w:pPr>
        <w:ind w:left="425" w:hanging="320"/>
        <w:spacing w:after="0"/>
        <w:tabs>
          <w:tab w:leader="none" w:pos="425" w:val="left"/>
        </w:tabs>
        <w:numPr>
          <w:ilvl w:val="2"/>
          <w:numId w:val="37"/>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$70 million pretax income, or $0.40 per diluted common share.</w:t>
      </w:r>
    </w:p>
    <w:p>
      <w:pPr>
        <w:spacing w:after="0" w:line="16" w:lineRule="exact"/>
        <w:rPr>
          <w:rFonts w:ascii="Arial" w:cs="Arial" w:eastAsia="Arial" w:hAnsi="Arial"/>
          <w:sz w:val="18"/>
          <w:szCs w:val="18"/>
          <w:color w:val="auto"/>
        </w:rPr>
      </w:pPr>
    </w:p>
    <w:p>
      <w:pPr>
        <w:ind w:left="425" w:right="500" w:hanging="320"/>
        <w:spacing w:after="0" w:line="245" w:lineRule="auto"/>
        <w:tabs>
          <w:tab w:leader="none" w:pos="425" w:val="left"/>
        </w:tabs>
        <w:numPr>
          <w:ilvl w:val="2"/>
          <w:numId w:val="37"/>
        </w:numPr>
        <w:rPr>
          <w:rFonts w:ascii="Arial" w:cs="Arial" w:eastAsia="Arial" w:hAnsi="Arial"/>
          <w:sz w:val="19"/>
          <w:szCs w:val="19"/>
          <w:color w:val="auto"/>
        </w:rPr>
      </w:pPr>
      <w:r>
        <w:rPr>
          <w:rFonts w:ascii="Arial" w:cs="Arial" w:eastAsia="Arial" w:hAnsi="Arial"/>
          <w:sz w:val="19"/>
          <w:szCs w:val="19"/>
          <w:color w:val="auto"/>
        </w:rPr>
        <w:t>Put/call valuation adjustments of approximately $506 million, or $2.89 per diluted common share, associated with Humana’s non-consolidating minority interest investments.</w:t>
      </w:r>
    </w:p>
    <w:p>
      <w:pPr>
        <w:ind w:left="425" w:hanging="320"/>
        <w:spacing w:after="0"/>
        <w:tabs>
          <w:tab w:leader="none" w:pos="425" w:val="left"/>
        </w:tabs>
        <w:numPr>
          <w:ilvl w:val="2"/>
          <w:numId w:val="37"/>
        </w:numPr>
        <w:rPr>
          <w:rFonts w:ascii="Arial" w:cs="Arial" w:eastAsia="Arial" w:hAnsi="Arial"/>
          <w:sz w:val="18"/>
          <w:szCs w:val="18"/>
          <w:color w:val="auto"/>
        </w:rPr>
      </w:pPr>
      <w:r>
        <w:rPr>
          <w:rFonts w:ascii="Arial" w:cs="Arial" w:eastAsia="Arial" w:hAnsi="Arial"/>
          <w:sz w:val="18"/>
          <w:szCs w:val="18"/>
          <w:color w:val="auto"/>
        </w:rPr>
        <w:t>Expense associated with involuntary workforce reduction of approximately $47 million pretax, or $0.26 per diluted common share.</w:t>
      </w:r>
    </w:p>
    <w:p>
      <w:pPr>
        <w:spacing w:after="0" w:line="236" w:lineRule="exact"/>
        <w:rPr>
          <w:rFonts w:ascii="Arial" w:cs="Arial" w:eastAsia="Arial" w:hAnsi="Arial"/>
          <w:sz w:val="18"/>
          <w:szCs w:val="18"/>
          <w:color w:val="auto"/>
        </w:rPr>
      </w:pPr>
    </w:p>
    <w:p>
      <w:pPr>
        <w:ind w:left="265" w:hanging="239"/>
        <w:spacing w:after="0"/>
        <w:tabs>
          <w:tab w:leader="none" w:pos="265" w:val="left"/>
        </w:tabs>
        <w:numPr>
          <w:ilvl w:val="1"/>
          <w:numId w:val="37"/>
        </w:numPr>
        <w:rPr>
          <w:rFonts w:ascii="Arial" w:cs="Arial" w:eastAsia="Arial" w:hAnsi="Arial"/>
          <w:sz w:val="19"/>
          <w:szCs w:val="19"/>
          <w:color w:val="auto"/>
        </w:rPr>
      </w:pPr>
      <w:r>
        <w:rPr>
          <w:rFonts w:ascii="Arial" w:cs="Arial" w:eastAsia="Arial" w:hAnsi="Arial"/>
          <w:sz w:val="19"/>
          <w:szCs w:val="19"/>
          <w:color w:val="auto"/>
        </w:rPr>
        <w:t>Excludes estimates of changes in revenues associated with increased accuracy of risk coding.</w:t>
      </w:r>
    </w:p>
    <w:p>
      <w:pPr>
        <w:spacing w:after="0" w:line="227" w:lineRule="exact"/>
        <w:rPr>
          <w:rFonts w:ascii="Arial" w:cs="Arial" w:eastAsia="Arial" w:hAnsi="Arial"/>
          <w:sz w:val="19"/>
          <w:szCs w:val="19"/>
          <w:color w:val="auto"/>
        </w:rPr>
      </w:pPr>
    </w:p>
    <w:p>
      <w:pPr>
        <w:ind w:left="345" w:hanging="319"/>
        <w:spacing w:after="0" w:line="252" w:lineRule="auto"/>
        <w:tabs>
          <w:tab w:leader="none" w:pos="319"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204" w:lineRule="exact"/>
        <w:rPr>
          <w:rFonts w:ascii="Arial" w:cs="Arial" w:eastAsia="Arial" w:hAnsi="Arial"/>
          <w:sz w:val="19"/>
          <w:szCs w:val="19"/>
          <w:color w:val="auto"/>
        </w:rPr>
      </w:pPr>
    </w:p>
    <w:p>
      <w:pPr>
        <w:ind w:left="325" w:hanging="325"/>
        <w:spacing w:after="0" w:line="248" w:lineRule="auto"/>
        <w:tabs>
          <w:tab w:leader="none" w:pos="299"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5"/>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945"/>
          </w:cols>
          <w:pgMar w:left="535" w:top="556" w:right="41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u w:val="single" w:color="auto"/>
          <w:color w:val="auto"/>
        </w:rPr>
        <w:t>Cautionary Statement</w:t>
      </w:r>
    </w:p>
    <w:p>
      <w:pPr>
        <w:spacing w:after="0" w:line="252" w:lineRule="exact"/>
        <w:rPr>
          <w:sz w:val="20"/>
          <w:szCs w:val="20"/>
          <w:color w:val="auto"/>
        </w:rPr>
      </w:pPr>
    </w:p>
    <w:p>
      <w:pPr>
        <w:ind w:left="300" w:right="60"/>
        <w:spacing w:after="0" w:line="248" w:lineRule="auto"/>
        <w:rPr>
          <w:sz w:val="20"/>
          <w:szCs w:val="20"/>
          <w:color w:val="auto"/>
        </w:rPr>
      </w:pPr>
      <w:r>
        <w:rPr>
          <w:rFonts w:ascii="Arial" w:cs="Arial" w:eastAsia="Arial" w:hAnsi="Arial"/>
          <w:sz w:val="19"/>
          <w:szCs w:val="19"/>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10" w:lineRule="exact"/>
        <w:rPr>
          <w:sz w:val="20"/>
          <w:szCs w:val="20"/>
          <w:color w:val="auto"/>
        </w:rPr>
      </w:pPr>
    </w:p>
    <w:p>
      <w:pPr>
        <w:ind w:left="300" w:right="280"/>
        <w:spacing w:after="0" w:line="252" w:lineRule="auto"/>
        <w:rPr>
          <w:sz w:val="20"/>
          <w:szCs w:val="20"/>
          <w:color w:val="auto"/>
        </w:rPr>
      </w:pPr>
      <w:r>
        <w:rPr>
          <w:rFonts w:ascii="Arial" w:cs="Arial" w:eastAsia="Arial" w:hAnsi="Arial"/>
          <w:sz w:val="19"/>
          <w:szCs w:val="19"/>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31" w:lineRule="exact"/>
        <w:rPr>
          <w:sz w:val="20"/>
          <w:szCs w:val="20"/>
          <w:color w:val="auto"/>
        </w:rPr>
      </w:pPr>
    </w:p>
    <w:p>
      <w:pPr>
        <w:ind w:left="1260" w:hanging="310"/>
        <w:spacing w:after="0" w:line="275"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 w:lineRule="exact"/>
        <w:rPr>
          <w:rFonts w:ascii="Arial" w:cs="Arial" w:eastAsia="Arial" w:hAnsi="Arial"/>
          <w:sz w:val="17"/>
          <w:szCs w:val="17"/>
          <w:color w:val="auto"/>
        </w:rPr>
      </w:pPr>
    </w:p>
    <w:p>
      <w:pPr>
        <w:ind w:left="1260" w:right="20" w:hanging="310"/>
        <w:spacing w:after="0" w:line="245"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ind w:left="1260" w:right="240" w:hanging="310"/>
        <w:spacing w:after="0" w:line="274"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ind w:left="1260" w:right="80" w:hanging="310"/>
        <w:spacing w:after="0" w:line="245"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ind w:left="1260" w:right="120" w:hanging="310"/>
        <w:spacing w:after="0" w:line="247"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860" w:right="339" w:bottom="1440" w:gutter="0" w:footer="0" w:header="0"/>
        </w:sectPr>
      </w:pPr>
    </w:p>
    <w:bookmarkStart w:id="27" w:name="page28"/>
    <w:bookmarkEnd w:id="27"/>
    <w:p>
      <w:pPr>
        <w:ind w:left="310" w:right="140"/>
        <w:spacing w:after="0" w:line="235" w:lineRule="auto"/>
        <w:rPr>
          <w:sz w:val="20"/>
          <w:szCs w:val="20"/>
          <w:color w:val="auto"/>
        </w:rPr>
      </w:pPr>
      <w:r>
        <w:rPr>
          <w:rFonts w:ascii="Arial" w:cs="Arial" w:eastAsia="Arial" w:hAnsi="Arial"/>
          <w:sz w:val="19"/>
          <w:szCs w:val="19"/>
          <w:color w:val="auto"/>
        </w:rPr>
        <w:t>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2" w:lineRule="exact"/>
        <w:rPr>
          <w:sz w:val="20"/>
          <w:szCs w:val="20"/>
          <w:color w:val="auto"/>
        </w:rPr>
      </w:pPr>
    </w:p>
    <w:p>
      <w:pPr>
        <w:ind w:left="310" w:right="40" w:hanging="310"/>
        <w:spacing w:after="0" w:line="259" w:lineRule="auto"/>
        <w:tabs>
          <w:tab w:leader="none" w:pos="3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1" w:lineRule="exact"/>
        <w:rPr>
          <w:rFonts w:ascii="Arial" w:cs="Arial" w:eastAsia="Arial" w:hAnsi="Arial"/>
          <w:sz w:val="18"/>
          <w:szCs w:val="18"/>
          <w:color w:val="auto"/>
        </w:rPr>
      </w:pPr>
    </w:p>
    <w:p>
      <w:pPr>
        <w:ind w:left="310" w:right="20" w:hanging="310"/>
        <w:spacing w:after="0" w:line="245"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Humana’s failure to manage acquisitions, divestitures and other significant transactions successfully may have a material adverse effect on the company’s results of operations, financial position, and cash flows.</w:t>
      </w:r>
    </w:p>
    <w:p>
      <w:pPr>
        <w:ind w:left="310" w:right="480" w:hanging="310"/>
        <w:spacing w:after="0" w:line="245"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Humana fails to develop and maintain satisfactory relationships with the providers of care to its members, the company’s business may be adversely affected.</w:t>
      </w:r>
    </w:p>
    <w:p>
      <w:pPr>
        <w:ind w:left="310" w:right="140" w:hanging="310"/>
        <w:spacing w:after="0" w:line="245"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Humana’s pharmacy business is highly competitive and subjects it to regulations in addition to those the company faces with its core health benefits businesses.</w:t>
      </w:r>
    </w:p>
    <w:p>
      <w:pPr>
        <w:ind w:left="310" w:hanging="310"/>
        <w:spacing w:after="0"/>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spacing w:after="0" w:line="4" w:lineRule="exact"/>
        <w:rPr>
          <w:rFonts w:ascii="Arial" w:cs="Arial" w:eastAsia="Arial" w:hAnsi="Arial"/>
          <w:sz w:val="19"/>
          <w:szCs w:val="19"/>
          <w:color w:val="auto"/>
        </w:rPr>
      </w:pPr>
    </w:p>
    <w:p>
      <w:pPr>
        <w:ind w:left="310" w:right="320" w:hanging="310"/>
        <w:spacing w:after="0" w:line="245"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Humana does not continue to earn and retain purchase discounts and volume rebates from pharmaceutical manufacturers at current levels, Humana’s gross margins may decline.</w:t>
      </w:r>
    </w:p>
    <w:p>
      <w:pPr>
        <w:ind w:left="310" w:hanging="310"/>
        <w:spacing w:after="0"/>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spacing w:after="0" w:line="4" w:lineRule="exact"/>
        <w:rPr>
          <w:rFonts w:ascii="Arial" w:cs="Arial" w:eastAsia="Arial" w:hAnsi="Arial"/>
          <w:sz w:val="19"/>
          <w:szCs w:val="19"/>
          <w:color w:val="auto"/>
        </w:rPr>
      </w:pPr>
    </w:p>
    <w:p>
      <w:pPr>
        <w:ind w:left="310" w:right="200" w:hanging="310"/>
        <w:spacing w:after="0" w:line="245"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Downgrades in Humana’s debt ratings, should they occur, may adversely affect its business, results of operations, and financial condition.</w:t>
      </w:r>
    </w:p>
    <w:p>
      <w:pPr>
        <w:ind w:left="310" w:hanging="310"/>
        <w:spacing w:after="0"/>
        <w:tabs>
          <w:tab w:leader="none" w:pos="3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16" w:lineRule="exact"/>
        <w:rPr>
          <w:rFonts w:ascii="Arial" w:cs="Arial" w:eastAsia="Arial" w:hAnsi="Arial"/>
          <w:sz w:val="18"/>
          <w:szCs w:val="18"/>
          <w:color w:val="auto"/>
        </w:rPr>
      </w:pPr>
    </w:p>
    <w:p>
      <w:pPr>
        <w:ind w:left="310" w:right="280" w:hanging="310"/>
        <w:spacing w:after="0" w:line="251"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04" w:lineRule="exact"/>
        <w:rPr>
          <w:rFonts w:ascii="Arial" w:cs="Arial" w:eastAsia="Arial" w:hAnsi="Arial"/>
          <w:sz w:val="19"/>
          <w:szCs w:val="19"/>
          <w:color w:val="auto"/>
        </w:rPr>
      </w:pPr>
    </w:p>
    <w:p>
      <w:pPr>
        <w:ind w:left="310" w:right="60"/>
        <w:spacing w:after="0" w:line="250" w:lineRule="auto"/>
        <w:rPr>
          <w:rFonts w:ascii="Arial" w:cs="Arial" w:eastAsia="Arial" w:hAnsi="Arial"/>
          <w:sz w:val="19"/>
          <w:szCs w:val="19"/>
          <w:color w:val="auto"/>
        </w:rPr>
      </w:pPr>
      <w:r>
        <w:rPr>
          <w:rFonts w:ascii="Arial" w:cs="Arial" w:eastAsia="Arial" w:hAnsi="Arial"/>
          <w:sz w:val="19"/>
          <w:szCs w:val="19"/>
          <w:color w:val="auto"/>
        </w:rPr>
        <w:t>In December 2019, a novel strain of coronavirus (COVID-19) was reported to have surfaced in Wuhan, China. COVID-19 has since spread to over 200 countries, including every state in the United States. On March 11, 2020 the World Health Organization declared COVID-19 a pandemic, and on March 13, 2020 the United States declared a national emergency with respect to COVID-19.</w:t>
      </w:r>
    </w:p>
    <w:p>
      <w:pPr>
        <w:spacing w:after="0" w:line="113" w:lineRule="exact"/>
        <w:rPr>
          <w:rFonts w:ascii="Arial" w:cs="Arial" w:eastAsia="Arial" w:hAnsi="Arial"/>
          <w:sz w:val="19"/>
          <w:szCs w:val="19"/>
          <w:color w:val="auto"/>
        </w:rPr>
      </w:pPr>
    </w:p>
    <w:p>
      <w:pPr>
        <w:ind w:left="310"/>
        <w:spacing w:after="0" w:line="246" w:lineRule="auto"/>
        <w:rPr>
          <w:rFonts w:ascii="Arial" w:cs="Arial" w:eastAsia="Arial" w:hAnsi="Arial"/>
          <w:sz w:val="19"/>
          <w:szCs w:val="19"/>
          <w:color w:val="auto"/>
        </w:rPr>
      </w:pPr>
      <w:r>
        <w:rPr>
          <w:rFonts w:ascii="Arial" w:cs="Arial" w:eastAsia="Arial" w:hAnsi="Arial"/>
          <w:sz w:val="19"/>
          <w:szCs w:val="19"/>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 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providing full coverage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expand or otherwise modify the services delivered to its members, provide relief for the health care provider community, or in connection with</w:t>
      </w:r>
    </w:p>
    <w:p>
      <w:pPr>
        <w:spacing w:after="0" w:line="318" w:lineRule="exact"/>
        <w:rPr>
          <w:sz w:val="20"/>
          <w:szCs w:val="20"/>
          <w:color w:val="auto"/>
        </w:rPr>
      </w:pPr>
    </w:p>
    <w:p>
      <w:pPr>
        <w:ind w:left="457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290"/>
          </w:cols>
          <w:pgMar w:left="1270" w:top="556" w:right="339" w:bottom="1440" w:gutter="0" w:footer="0" w:header="0"/>
        </w:sectPr>
      </w:pPr>
    </w:p>
    <w:bookmarkStart w:id="28" w:name="page29"/>
    <w:bookmarkEnd w:id="28"/>
    <w:p>
      <w:pPr>
        <w:ind w:left="1260" w:right="80"/>
        <w:spacing w:after="0" w:line="252" w:lineRule="auto"/>
        <w:rPr>
          <w:sz w:val="20"/>
          <w:szCs w:val="20"/>
          <w:color w:val="auto"/>
        </w:rPr>
      </w:pPr>
      <w:r>
        <w:rPr>
          <w:rFonts w:ascii="Arial" w:cs="Arial" w:eastAsia="Arial" w:hAnsi="Arial"/>
          <w:sz w:val="19"/>
          <w:szCs w:val="19"/>
          <w:color w:val="auto"/>
        </w:rPr>
        <w:t>the relaxation of stay-at-home and physical distancing orders and other restrictions on movement and economic activity intended to reduce the spread of COVID-19, including the potential for widespread testing as a component of lifting these measures, could adversely impact the company’s profitability.</w:t>
      </w:r>
    </w:p>
    <w:p>
      <w:pPr>
        <w:spacing w:after="0" w:line="113" w:lineRule="exact"/>
        <w:rPr>
          <w:sz w:val="20"/>
          <w:szCs w:val="20"/>
          <w:color w:val="auto"/>
        </w:rPr>
      </w:pPr>
    </w:p>
    <w:p>
      <w:pPr>
        <w:ind w:left="1260" w:right="80"/>
        <w:spacing w:after="0" w:line="246" w:lineRule="auto"/>
        <w:rPr>
          <w:sz w:val="20"/>
          <w:szCs w:val="20"/>
          <w:color w:val="auto"/>
        </w:rPr>
      </w:pPr>
      <w:r>
        <w:rPr>
          <w:rFonts w:ascii="Arial" w:cs="Arial" w:eastAsia="Arial" w:hAnsi="Arial"/>
          <w:sz w:val="19"/>
          <w:szCs w:val="19"/>
          <w:color w:val="auto"/>
        </w:rPr>
        <w:t>The spread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as well as the value of the company’s investment portfolio.</w:t>
      </w:r>
    </w:p>
    <w:p>
      <w:pPr>
        <w:spacing w:after="0" w:line="121" w:lineRule="exact"/>
        <w:rPr>
          <w:sz w:val="20"/>
          <w:szCs w:val="20"/>
          <w:color w:val="auto"/>
        </w:rPr>
      </w:pPr>
    </w:p>
    <w:p>
      <w:pPr>
        <w:ind w:left="1260" w:right="140"/>
        <w:spacing w:after="0" w:line="247" w:lineRule="auto"/>
        <w:rPr>
          <w:sz w:val="20"/>
          <w:szCs w:val="20"/>
          <w:color w:val="auto"/>
        </w:rPr>
      </w:pPr>
      <w:r>
        <w:rPr>
          <w:rFonts w:ascii="Arial" w:cs="Arial" w:eastAsia="Arial" w:hAnsi="Arial"/>
          <w:sz w:val="19"/>
          <w:szCs w:val="19"/>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associated with lifting restrictions on movement and economic activity and ultimately a vaccine,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200" w:lineRule="exact"/>
        <w:rPr>
          <w:sz w:val="20"/>
          <w:szCs w:val="20"/>
          <w:color w:val="auto"/>
        </w:rPr>
      </w:pPr>
    </w:p>
    <w:p>
      <w:pPr>
        <w:spacing w:after="0" w:line="222" w:lineRule="exact"/>
        <w:rPr>
          <w:sz w:val="20"/>
          <w:szCs w:val="20"/>
          <w:color w:val="auto"/>
        </w:rPr>
      </w:pPr>
    </w:p>
    <w:p>
      <w:pPr>
        <w:ind w:left="320" w:right="40"/>
        <w:spacing w:after="0" w:line="250" w:lineRule="auto"/>
        <w:rPr>
          <w:sz w:val="20"/>
          <w:szCs w:val="20"/>
          <w:color w:val="auto"/>
        </w:rPr>
      </w:pPr>
      <w:r>
        <w:rPr>
          <w:rFonts w:ascii="Arial" w:cs="Arial" w:eastAsia="Arial" w:hAnsi="Arial"/>
          <w:sz w:val="19"/>
          <w:szCs w:val="19"/>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92"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Humana advises investors to read the following documents as filed by the company with the SEC for further discussion both of the risks it faces and its historical performance:</w:t>
      </w:r>
    </w:p>
    <w:p>
      <w:pPr>
        <w:spacing w:after="0" w:line="170" w:lineRule="exact"/>
        <w:rPr>
          <w:sz w:val="20"/>
          <w:szCs w:val="20"/>
          <w:color w:val="auto"/>
        </w:rPr>
      </w:pPr>
    </w:p>
    <w:p>
      <w:pPr>
        <w:ind w:left="620" w:hanging="313"/>
        <w:spacing w:after="0"/>
        <w:tabs>
          <w:tab w:leader="none" w:pos="6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Form 10-K for the year ended December 31, 2019; and</w:t>
      </w:r>
    </w:p>
    <w:p>
      <w:pPr>
        <w:spacing w:after="0" w:line="20" w:lineRule="exact"/>
        <w:rPr>
          <w:rFonts w:ascii="Arial" w:cs="Arial" w:eastAsia="Arial" w:hAnsi="Arial"/>
          <w:sz w:val="19"/>
          <w:szCs w:val="19"/>
          <w:color w:val="auto"/>
        </w:rPr>
      </w:pPr>
    </w:p>
    <w:p>
      <w:pPr>
        <w:ind w:left="620" w:hanging="313"/>
        <w:spacing w:after="0"/>
        <w:tabs>
          <w:tab w:leader="none" w:pos="6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Form 8-Ks filed during 2020.</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About Humana</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92" w:lineRule="exact"/>
        <w:rPr>
          <w:sz w:val="20"/>
          <w:szCs w:val="20"/>
          <w:color w:val="auto"/>
        </w:rPr>
      </w:pPr>
    </w:p>
    <w:p>
      <w:pPr>
        <w:ind w:right="260"/>
        <w:spacing w:after="0" w:line="250" w:lineRule="auto"/>
        <w:rPr>
          <w:sz w:val="20"/>
          <w:szCs w:val="20"/>
          <w:color w:val="auto"/>
        </w:rPr>
      </w:pPr>
      <w:r>
        <w:rPr>
          <w:rFonts w:ascii="Arial" w:cs="Arial" w:eastAsia="Arial" w:hAnsi="Arial"/>
          <w:sz w:val="19"/>
          <w:szCs w:val="19"/>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569" w:right="339" w:bottom="1440" w:gutter="0" w:footer="0" w:header="0"/>
        </w:sectPr>
      </w:pPr>
    </w:p>
    <w:bookmarkStart w:id="29" w:name="page30"/>
    <w:bookmarkEnd w:id="29"/>
    <w:p>
      <w:pPr>
        <w:spacing w:after="0" w:line="260" w:lineRule="auto"/>
        <w:rPr>
          <w:sz w:val="20"/>
          <w:szCs w:val="20"/>
          <w:color w:val="auto"/>
        </w:rPr>
      </w:pPr>
      <w:r>
        <w:rPr>
          <w:rFonts w:ascii="Arial" w:cs="Arial" w:eastAsia="Arial" w:hAnsi="Arial"/>
          <w:sz w:val="19"/>
          <w:szCs w:val="19"/>
          <w:color w:val="auto"/>
        </w:rPr>
        <w:t xml:space="preserve">More information regarding Humana is available to investors via the Investor Relations page of the company’s website at </w:t>
      </w:r>
      <w:r>
        <w:rPr>
          <w:rFonts w:ascii="Arial" w:cs="Arial" w:eastAsia="Arial" w:hAnsi="Arial"/>
          <w:sz w:val="19"/>
          <w:szCs w:val="19"/>
          <w:u w:val="single" w:color="auto"/>
          <w:color w:val="auto"/>
        </w:rPr>
        <w:t>humana.com</w:t>
      </w:r>
      <w:r>
        <w:rPr>
          <w:rFonts w:ascii="Arial" w:cs="Arial" w:eastAsia="Arial" w:hAnsi="Arial"/>
          <w:sz w:val="19"/>
          <w:szCs w:val="19"/>
          <w:color w:val="auto"/>
        </w:rPr>
        <w:t>, including copies of:</w:t>
      </w:r>
    </w:p>
    <w:p>
      <w:pPr>
        <w:spacing w:after="0" w:line="170" w:lineRule="exact"/>
        <w:rPr>
          <w:sz w:val="20"/>
          <w:szCs w:val="20"/>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Annual reports to stockholders</w:t>
      </w:r>
    </w:p>
    <w:p>
      <w:pPr>
        <w:spacing w:after="0" w:line="20" w:lineRule="exact"/>
        <w:rPr>
          <w:rFonts w:ascii="Arial" w:cs="Arial" w:eastAsia="Arial" w:hAnsi="Arial"/>
          <w:sz w:val="19"/>
          <w:szCs w:val="19"/>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Securities and Exchange Commission filings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Most recent investor conference presentations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Quarterly earnings news releases and conference calls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Calendar of events</w:t>
      </w:r>
    </w:p>
    <w:p>
      <w:pPr>
        <w:spacing w:after="0" w:line="4" w:lineRule="exact"/>
        <w:rPr>
          <w:rFonts w:ascii="Arial" w:cs="Arial" w:eastAsia="Arial" w:hAnsi="Arial"/>
          <w:sz w:val="19"/>
          <w:szCs w:val="19"/>
          <w:color w:val="auto"/>
        </w:rPr>
      </w:pPr>
    </w:p>
    <w:p>
      <w:pPr>
        <w:ind w:left="620" w:hanging="313"/>
        <w:spacing w:after="0"/>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Corporate Governance information</w:t>
      </w:r>
    </w:p>
    <w:p>
      <w:pPr>
        <w:spacing w:after="0" w:line="19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260"/>
          </w:cols>
          <w:pgMar w:left="320" w:top="779" w:right="131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70"/>
          <w:szCs w:val="70"/>
          <w:color w:val="auto"/>
        </w:rPr>
        <w:t>Humana Inc.</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70"/>
          <w:szCs w:val="70"/>
          <w:color w:val="auto"/>
        </w:rPr>
        <w:t>Statistical Schedules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70"/>
          <w:szCs w:val="70"/>
          <w:color w:val="auto"/>
        </w:rPr>
        <w:t>And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69"/>
          <w:szCs w:val="69"/>
          <w:color w:val="auto"/>
        </w:rPr>
        <w:t>Supplementary Information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70"/>
          <w:szCs w:val="70"/>
          <w:color w:val="auto"/>
        </w:rPr>
        <w:t>1Q20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9019"/>
          </w:cols>
          <w:pgMar w:left="1440" w:top="1440" w:right="1440" w:bottom="1440" w:gutter="0" w:footer="0" w:header="0"/>
        </w:sectPr>
      </w:pPr>
    </w:p>
    <w:bookmarkStart w:id="31" w:name="page32"/>
    <w:bookmarkEnd w:id="31"/>
    <w:p>
      <w:pPr>
        <w:ind w:left="2200"/>
        <w:spacing w:after="0"/>
        <w:rPr>
          <w:sz w:val="20"/>
          <w:szCs w:val="20"/>
          <w:color w:val="auto"/>
        </w:rPr>
      </w:pPr>
      <w:r>
        <w:rPr>
          <w:rFonts w:ascii="Arial" w:cs="Arial" w:eastAsia="Arial" w:hAnsi="Arial"/>
          <w:sz w:val="26"/>
          <w:szCs w:val="26"/>
          <w:color w:val="auto"/>
        </w:rPr>
        <w:t>Humana Inc.</w:t>
      </w:r>
    </w:p>
    <w:p>
      <w:pPr>
        <w:spacing w:after="0" w:line="3" w:lineRule="exact"/>
        <w:rPr>
          <w:sz w:val="20"/>
          <w:szCs w:val="20"/>
          <w:color w:val="auto"/>
        </w:rPr>
      </w:pPr>
    </w:p>
    <w:p>
      <w:pPr>
        <w:ind w:left="2200"/>
        <w:spacing w:after="0"/>
        <w:rPr>
          <w:sz w:val="20"/>
          <w:szCs w:val="20"/>
          <w:color w:val="auto"/>
        </w:rPr>
      </w:pPr>
      <w:r>
        <w:rPr>
          <w:rFonts w:ascii="Arial" w:cs="Arial" w:eastAsia="Arial" w:hAnsi="Arial"/>
          <w:sz w:val="26"/>
          <w:szCs w:val="26"/>
          <w:color w:val="auto"/>
        </w:rPr>
        <w:t>Statistical Schedules and Supplementary</w:t>
      </w:r>
    </w:p>
    <w:p>
      <w:pPr>
        <w:spacing w:after="0" w:line="3" w:lineRule="exact"/>
        <w:rPr>
          <w:sz w:val="20"/>
          <w:szCs w:val="20"/>
          <w:color w:val="auto"/>
        </w:rPr>
      </w:pPr>
    </w:p>
    <w:p>
      <w:pPr>
        <w:ind w:left="2200"/>
        <w:spacing w:after="0"/>
        <w:rPr>
          <w:sz w:val="20"/>
          <w:szCs w:val="20"/>
          <w:color w:val="auto"/>
        </w:rPr>
      </w:pPr>
      <w:r>
        <w:rPr>
          <w:rFonts w:ascii="Arial" w:cs="Arial" w:eastAsia="Arial" w:hAnsi="Arial"/>
          <w:sz w:val="26"/>
          <w:szCs w:val="26"/>
          <w:color w:val="auto"/>
        </w:rPr>
        <w:t>Information 1Q20 Earnings Release</w:t>
      </w:r>
    </w:p>
    <w:p>
      <w:pPr>
        <w:spacing w:after="0" w:line="55" w:lineRule="exact"/>
        <w:rPr>
          <w:sz w:val="20"/>
          <w:szCs w:val="20"/>
          <w:color w:val="auto"/>
        </w:rPr>
      </w:pPr>
    </w:p>
    <w:p>
      <w:pPr>
        <w:ind w:left="2200"/>
        <w:spacing w:after="0"/>
        <w:rPr>
          <w:sz w:val="20"/>
          <w:szCs w:val="20"/>
          <w:color w:val="auto"/>
        </w:rPr>
      </w:pPr>
      <w:r>
        <w:rPr>
          <w:rFonts w:ascii="Arial" w:cs="Arial" w:eastAsia="Arial" w:hAnsi="Arial"/>
          <w:sz w:val="26"/>
          <w:szCs w:val="26"/>
          <w:color w:val="auto"/>
        </w:rPr>
        <w:t>Contents</w:t>
      </w:r>
    </w:p>
    <w:p>
      <w:pPr>
        <w:spacing w:after="0" w:line="366"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Consolidated Financial Statements</w:t>
      </w:r>
    </w:p>
    <w:p>
      <w:pPr>
        <w:spacing w:after="0" w:line="47" w:lineRule="exact"/>
        <w:rPr>
          <w:sz w:val="20"/>
          <w:szCs w:val="20"/>
          <w:color w:val="auto"/>
        </w:rPr>
      </w:pPr>
    </w:p>
    <w:p>
      <w:pPr>
        <w:ind w:left="2960" w:hanging="233"/>
        <w:spacing w:after="0"/>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Consolidated Statements of Income (S-3)</w:t>
      </w:r>
    </w:p>
    <w:p>
      <w:pPr>
        <w:spacing w:after="0" w:line="47" w:lineRule="exact"/>
        <w:rPr>
          <w:rFonts w:ascii="Arial" w:cs="Arial" w:eastAsia="Arial" w:hAnsi="Arial"/>
          <w:sz w:val="21"/>
          <w:szCs w:val="21"/>
          <w:color w:val="auto"/>
        </w:rPr>
      </w:pPr>
    </w:p>
    <w:p>
      <w:pPr>
        <w:ind w:left="2960" w:hanging="233"/>
        <w:spacing w:after="0"/>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Consolidated Balance Sheets (S-4)</w:t>
      </w:r>
    </w:p>
    <w:p>
      <w:pPr>
        <w:spacing w:after="0" w:line="47" w:lineRule="exact"/>
        <w:rPr>
          <w:rFonts w:ascii="Arial" w:cs="Arial" w:eastAsia="Arial" w:hAnsi="Arial"/>
          <w:sz w:val="21"/>
          <w:szCs w:val="21"/>
          <w:color w:val="auto"/>
        </w:rPr>
      </w:pPr>
    </w:p>
    <w:p>
      <w:pPr>
        <w:ind w:left="2200" w:right="1799" w:firstLine="527"/>
        <w:spacing w:after="0" w:line="287" w:lineRule="auto"/>
        <w:tabs>
          <w:tab w:leader="none" w:pos="2948"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Consolidated Statements of Cash Flows (S-5) Operating Results Detail</w:t>
      </w:r>
    </w:p>
    <w:p>
      <w:pPr>
        <w:ind w:left="2960" w:right="1799" w:hanging="233"/>
        <w:spacing w:after="0" w:line="245" w:lineRule="auto"/>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Consolidating Statements of Income - Quarter (S-6 - S-7)</w:t>
      </w:r>
    </w:p>
    <w:p>
      <w:pPr>
        <w:spacing w:after="0" w:line="32" w:lineRule="exact"/>
        <w:rPr>
          <w:rFonts w:ascii="Arial" w:cs="Arial" w:eastAsia="Arial" w:hAnsi="Arial"/>
          <w:sz w:val="21"/>
          <w:szCs w:val="21"/>
          <w:color w:val="auto"/>
        </w:rPr>
      </w:pPr>
    </w:p>
    <w:p>
      <w:pPr>
        <w:ind w:left="2960" w:hanging="233"/>
        <w:spacing w:after="0"/>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Ending Membership Detail (S-8)</w:t>
      </w:r>
    </w:p>
    <w:p>
      <w:pPr>
        <w:spacing w:after="0" w:line="47" w:lineRule="exact"/>
        <w:rPr>
          <w:rFonts w:ascii="Arial" w:cs="Arial" w:eastAsia="Arial" w:hAnsi="Arial"/>
          <w:sz w:val="21"/>
          <w:szCs w:val="21"/>
          <w:color w:val="auto"/>
        </w:rPr>
      </w:pPr>
    </w:p>
    <w:p>
      <w:pPr>
        <w:ind w:left="2960" w:hanging="233"/>
        <w:spacing w:after="0"/>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Premiums and Services Revenue Detail (S-9)</w:t>
      </w:r>
    </w:p>
    <w:p>
      <w:pPr>
        <w:spacing w:after="0" w:line="47" w:lineRule="exact"/>
        <w:rPr>
          <w:rFonts w:ascii="Arial" w:cs="Arial" w:eastAsia="Arial" w:hAnsi="Arial"/>
          <w:sz w:val="21"/>
          <w:szCs w:val="21"/>
          <w:color w:val="auto"/>
        </w:rPr>
      </w:pPr>
    </w:p>
    <w:p>
      <w:pPr>
        <w:ind w:left="2960" w:right="2219" w:hanging="233"/>
        <w:spacing w:after="0" w:line="245" w:lineRule="auto"/>
        <w:tabs>
          <w:tab w:leader="none" w:pos="2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Healthcare Services Segment Metrics (S-10 - S-11)</w:t>
      </w:r>
    </w:p>
    <w:p>
      <w:pPr>
        <w:spacing w:after="0" w:line="321" w:lineRule="exact"/>
        <w:rPr>
          <w:sz w:val="20"/>
          <w:szCs w:val="20"/>
          <w:color w:val="auto"/>
        </w:rPr>
      </w:pPr>
    </w:p>
    <w:p>
      <w:pPr>
        <w:ind w:left="2960" w:right="1619" w:hanging="233"/>
        <w:spacing w:after="0" w:line="245" w:lineRule="auto"/>
        <w:tabs>
          <w:tab w:leader="none" w:pos="29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Benefits Payable Detail and Statistics (S-12 - S-13)</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Footnotes (S-14)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9019"/>
          </w:cols>
          <w:pgMar w:left="1440" w:top="729" w:right="1440" w:bottom="1440" w:gutter="0" w:footer="0" w:header="0"/>
        </w:sectPr>
      </w:pPr>
    </w:p>
    <w:bookmarkStart w:id="32" w:name="page33"/>
    <w:bookmarkEnd w:id="32"/>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Statements of Income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Dollars in millions, except per common share results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280" w:type="dxa"/>
            <w:vAlign w:val="bottom"/>
            <w:tcBorders>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300" w:type="dxa"/>
            <w:vAlign w:val="bottom"/>
            <w:tcBorders>
              <w:top w:val="single" w:sz="8" w:color="auto"/>
              <w:right w:val="single" w:sz="8" w:color="auto"/>
            </w:tcBorders>
            <w:gridSpan w:val="3"/>
          </w:tcPr>
          <w:p>
            <w:pPr>
              <w:jc w:val="right"/>
              <w:ind w:right="44"/>
              <w:spacing w:after="0"/>
              <w:rPr>
                <w:sz w:val="20"/>
                <w:szCs w:val="20"/>
                <w:color w:val="auto"/>
              </w:rPr>
            </w:pPr>
            <w:r>
              <w:rPr>
                <w:rFonts w:ascii="Arial" w:cs="Arial" w:eastAsia="Arial" w:hAnsi="Arial"/>
                <w:sz w:val="19"/>
                <w:szCs w:val="19"/>
                <w:b w:val="1"/>
                <w:bCs w:val="1"/>
                <w:color w:val="auto"/>
              </w:rPr>
              <w:t>For the three months ended March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8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9"/>
                <w:szCs w:val="19"/>
                <w:b w:val="1"/>
                <w:bCs w:val="1"/>
                <w:color w:val="auto"/>
              </w:rPr>
              <w:t>31,</w:t>
            </w:r>
          </w:p>
        </w:tc>
        <w:tc>
          <w:tcPr>
            <w:tcW w:w="134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4"/>
              <w:spacing w:after="0"/>
              <w:rPr>
                <w:sz w:val="20"/>
                <w:szCs w:val="20"/>
                <w:color w:val="auto"/>
              </w:rPr>
            </w:pPr>
            <w:r>
              <w:rPr>
                <w:rFonts w:ascii="Arial" w:cs="Arial" w:eastAsia="Arial" w:hAnsi="Arial"/>
                <w:sz w:val="19"/>
                <w:szCs w:val="19"/>
                <w:color w:val="auto"/>
              </w:rPr>
              <w:t>Dollar</w:t>
            </w:r>
          </w:p>
        </w:tc>
        <w:tc>
          <w:tcPr>
            <w:tcW w:w="1280" w:type="dxa"/>
            <w:vAlign w:val="bottom"/>
          </w:tcPr>
          <w:p>
            <w:pPr>
              <w:jc w:val="right"/>
              <w:ind w:right="44"/>
              <w:spacing w:after="0"/>
              <w:rPr>
                <w:sz w:val="20"/>
                <w:szCs w:val="20"/>
                <w:color w:val="auto"/>
              </w:rPr>
            </w:pPr>
            <w:r>
              <w:rPr>
                <w:rFonts w:ascii="Arial" w:cs="Arial" w:eastAsia="Arial" w:hAnsi="Arial"/>
                <w:sz w:val="19"/>
                <w:szCs w:val="19"/>
                <w:color w:val="auto"/>
              </w:rPr>
              <w:t>Percentage</w:t>
            </w:r>
          </w:p>
        </w:tc>
        <w:tc>
          <w:tcPr>
            <w:tcW w:w="0" w:type="dxa"/>
            <w:vAlign w:val="bottom"/>
          </w:tcPr>
          <w:p>
            <w:pPr>
              <w:spacing w:after="0"/>
              <w:rPr>
                <w:sz w:val="1"/>
                <w:szCs w:val="1"/>
                <w:color w:val="auto"/>
              </w:rPr>
            </w:pPr>
          </w:p>
        </w:tc>
      </w:tr>
      <w:tr>
        <w:trPr>
          <w:trHeight w:val="253"/>
        </w:trPr>
        <w:tc>
          <w:tcPr>
            <w:tcW w:w="528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564"/>
              <w:spacing w:after="0"/>
              <w:rPr>
                <w:sz w:val="20"/>
                <w:szCs w:val="20"/>
                <w:color w:val="auto"/>
              </w:rPr>
            </w:pPr>
            <w:r>
              <w:rPr>
                <w:rFonts w:ascii="Arial" w:cs="Arial" w:eastAsia="Arial" w:hAnsi="Arial"/>
                <w:sz w:val="19"/>
                <w:szCs w:val="19"/>
                <w:b w:val="1"/>
                <w:bCs w:val="1"/>
                <w:color w:val="00497F"/>
              </w:rPr>
              <w:t>2020</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9"/>
                <w:szCs w:val="19"/>
                <w:color w:val="auto"/>
              </w:rPr>
              <w:t>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9"/>
                <w:szCs w:val="19"/>
                <w:color w:val="auto"/>
              </w:rPr>
              <w:t>Change</w:t>
            </w: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9"/>
                <w:szCs w:val="19"/>
                <w:color w:val="auto"/>
              </w:rPr>
              <w:t>Change</w:t>
            </w:r>
          </w:p>
        </w:tc>
        <w:tc>
          <w:tcPr>
            <w:tcW w:w="0" w:type="dxa"/>
            <w:vAlign w:val="bottom"/>
          </w:tcPr>
          <w:p>
            <w:pPr>
              <w:spacing w:after="0"/>
              <w:rPr>
                <w:sz w:val="1"/>
                <w:szCs w:val="1"/>
                <w:color w:val="auto"/>
              </w:rPr>
            </w:pPr>
          </w:p>
        </w:tc>
      </w:tr>
      <w:tr>
        <w:trPr>
          <w:trHeight w:val="241"/>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Revenues:</w:t>
            </w:r>
          </w:p>
        </w:tc>
        <w:tc>
          <w:tcPr>
            <w:tcW w:w="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Premiums</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00497F"/>
                <w:w w:val="75"/>
              </w:rPr>
              <w:t>$</w:t>
            </w: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18,362</w:t>
            </w:r>
          </w:p>
        </w:tc>
        <w:tc>
          <w:tcPr>
            <w:tcW w:w="380" w:type="dxa"/>
            <w:vAlign w:val="bottom"/>
          </w:tcPr>
          <w:p>
            <w:pPr>
              <w:jc w:val="right"/>
              <w:ind w:right="164"/>
              <w:spacing w:after="0"/>
              <w:rPr>
                <w:sz w:val="20"/>
                <w:szCs w:val="20"/>
                <w:color w:val="auto"/>
              </w:rPr>
            </w:pPr>
            <w:r>
              <w:rPr>
                <w:rFonts w:ascii="Arial" w:cs="Arial" w:eastAsia="Arial" w:hAnsi="Arial"/>
                <w:sz w:val="19"/>
                <w:szCs w:val="19"/>
                <w:color w:val="auto"/>
                <w:w w:val="94"/>
              </w:rPr>
              <w:t>$</w:t>
            </w: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15,651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2,711</w:t>
            </w:r>
          </w:p>
        </w:tc>
        <w:tc>
          <w:tcPr>
            <w:tcW w:w="1280" w:type="dxa"/>
            <w:vAlign w:val="bottom"/>
          </w:tcPr>
          <w:p>
            <w:pPr>
              <w:jc w:val="right"/>
              <w:spacing w:after="0"/>
              <w:rPr>
                <w:sz w:val="20"/>
                <w:szCs w:val="20"/>
                <w:color w:val="auto"/>
              </w:rPr>
            </w:pPr>
            <w:r>
              <w:rPr>
                <w:rFonts w:ascii="Arial" w:cs="Arial" w:eastAsia="Arial" w:hAnsi="Arial"/>
                <w:sz w:val="19"/>
                <w:szCs w:val="19"/>
                <w:color w:val="auto"/>
              </w:rPr>
              <w:t>17.3 %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Services</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424</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69</w:t>
            </w:r>
          </w:p>
        </w:tc>
        <w:tc>
          <w:tcPr>
            <w:tcW w:w="1280" w:type="dxa"/>
            <w:vAlign w:val="bottom"/>
          </w:tcPr>
          <w:p>
            <w:pPr>
              <w:jc w:val="right"/>
              <w:spacing w:after="0"/>
              <w:rPr>
                <w:sz w:val="20"/>
                <w:szCs w:val="20"/>
                <w:color w:val="auto"/>
              </w:rPr>
            </w:pPr>
            <w:r>
              <w:rPr>
                <w:rFonts w:ascii="Arial" w:cs="Arial" w:eastAsia="Arial" w:hAnsi="Arial"/>
                <w:sz w:val="19"/>
                <w:szCs w:val="19"/>
                <w:color w:val="auto"/>
              </w:rPr>
              <w:t>19.4 %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Investment income</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149</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101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48</w:t>
            </w:r>
          </w:p>
        </w:tc>
        <w:tc>
          <w:tcPr>
            <w:tcW w:w="1280" w:type="dxa"/>
            <w:vAlign w:val="bottom"/>
          </w:tcPr>
          <w:p>
            <w:pPr>
              <w:jc w:val="right"/>
              <w:spacing w:after="0"/>
              <w:rPr>
                <w:sz w:val="20"/>
                <w:szCs w:val="20"/>
                <w:color w:val="auto"/>
              </w:rPr>
            </w:pPr>
            <w:r>
              <w:rPr>
                <w:rFonts w:ascii="Arial" w:cs="Arial" w:eastAsia="Arial" w:hAnsi="Arial"/>
                <w:sz w:val="19"/>
                <w:szCs w:val="19"/>
                <w:color w:val="auto"/>
              </w:rPr>
              <w:t>47.5 %</w:t>
            </w:r>
          </w:p>
        </w:tc>
        <w:tc>
          <w:tcPr>
            <w:tcW w:w="0" w:type="dxa"/>
            <w:vAlign w:val="bottom"/>
          </w:tcPr>
          <w:p>
            <w:pPr>
              <w:spacing w:after="0"/>
              <w:rPr>
                <w:sz w:val="1"/>
                <w:szCs w:val="1"/>
                <w:color w:val="auto"/>
              </w:rPr>
            </w:pPr>
          </w:p>
        </w:tc>
      </w:tr>
      <w:tr>
        <w:trPr>
          <w:trHeight w:val="256"/>
        </w:trPr>
        <w:tc>
          <w:tcPr>
            <w:tcW w:w="5280" w:type="dxa"/>
            <w:vAlign w:val="bottom"/>
            <w:tcBorders>
              <w:right w:val="single" w:sz="8" w:color="auto"/>
            </w:tcBorders>
          </w:tcPr>
          <w:p>
            <w:pPr>
              <w:ind w:left="640"/>
              <w:spacing w:after="0"/>
              <w:rPr>
                <w:sz w:val="20"/>
                <w:szCs w:val="20"/>
                <w:color w:val="auto"/>
              </w:rPr>
            </w:pPr>
            <w:r>
              <w:rPr>
                <w:rFonts w:ascii="Arial" w:cs="Arial" w:eastAsia="Arial" w:hAnsi="Arial"/>
                <w:sz w:val="19"/>
                <w:szCs w:val="19"/>
                <w:b w:val="1"/>
                <w:bCs w:val="1"/>
                <w:color w:val="auto"/>
              </w:rPr>
              <w:t>Total revenues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18,935</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16,107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2,828</w:t>
            </w:r>
          </w:p>
        </w:tc>
        <w:tc>
          <w:tcPr>
            <w:tcW w:w="1280" w:type="dxa"/>
            <w:vAlign w:val="bottom"/>
          </w:tcPr>
          <w:p>
            <w:pPr>
              <w:jc w:val="right"/>
              <w:spacing w:after="0"/>
              <w:rPr>
                <w:sz w:val="20"/>
                <w:szCs w:val="20"/>
                <w:color w:val="auto"/>
              </w:rPr>
            </w:pPr>
            <w:r>
              <w:rPr>
                <w:rFonts w:ascii="Arial" w:cs="Arial" w:eastAsia="Arial" w:hAnsi="Arial"/>
                <w:sz w:val="19"/>
                <w:szCs w:val="19"/>
                <w:color w:val="auto"/>
              </w:rPr>
              <w:t>17.6 %</w:t>
            </w:r>
          </w:p>
        </w:tc>
        <w:tc>
          <w:tcPr>
            <w:tcW w:w="0" w:type="dxa"/>
            <w:vAlign w:val="bottom"/>
          </w:tcPr>
          <w:p>
            <w:pPr>
              <w:spacing w:after="0"/>
              <w:rPr>
                <w:sz w:val="1"/>
                <w:szCs w:val="1"/>
                <w:color w:val="auto"/>
              </w:rPr>
            </w:pPr>
          </w:p>
        </w:tc>
      </w:tr>
      <w:tr>
        <w:trPr>
          <w:trHeight w:val="241"/>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Operating expenses:</w:t>
            </w:r>
          </w:p>
        </w:tc>
        <w:tc>
          <w:tcPr>
            <w:tcW w:w="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Benefits</w:t>
            </w:r>
          </w:p>
        </w:tc>
        <w:tc>
          <w:tcPr>
            <w:tcW w:w="120" w:type="dxa"/>
            <w:vAlign w:val="bottom"/>
          </w:tcPr>
          <w:p>
            <w:pPr>
              <w:spacing w:after="0"/>
              <w:rPr>
                <w:sz w:val="23"/>
                <w:szCs w:val="23"/>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15,629</w:t>
            </w:r>
          </w:p>
        </w:tc>
        <w:tc>
          <w:tcPr>
            <w:tcW w:w="380" w:type="dxa"/>
            <w:vAlign w:val="bottom"/>
          </w:tcPr>
          <w:p>
            <w:pPr>
              <w:spacing w:after="0"/>
              <w:rPr>
                <w:sz w:val="23"/>
                <w:szCs w:val="23"/>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13,493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2,136</w:t>
            </w:r>
          </w:p>
        </w:tc>
        <w:tc>
          <w:tcPr>
            <w:tcW w:w="1280" w:type="dxa"/>
            <w:vAlign w:val="bottom"/>
          </w:tcPr>
          <w:p>
            <w:pPr>
              <w:jc w:val="right"/>
              <w:spacing w:after="0"/>
              <w:rPr>
                <w:sz w:val="20"/>
                <w:szCs w:val="20"/>
                <w:color w:val="auto"/>
              </w:rPr>
            </w:pPr>
            <w:r>
              <w:rPr>
                <w:rFonts w:ascii="Arial" w:cs="Arial" w:eastAsia="Arial" w:hAnsi="Arial"/>
                <w:sz w:val="19"/>
                <w:szCs w:val="19"/>
                <w:color w:val="auto"/>
              </w:rPr>
              <w:t>15.8 %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Operating costs</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2,117</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1,660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457</w:t>
            </w:r>
          </w:p>
        </w:tc>
        <w:tc>
          <w:tcPr>
            <w:tcW w:w="1280" w:type="dxa"/>
            <w:vAlign w:val="bottom"/>
          </w:tcPr>
          <w:p>
            <w:pPr>
              <w:jc w:val="right"/>
              <w:spacing w:after="0"/>
              <w:rPr>
                <w:sz w:val="20"/>
                <w:szCs w:val="20"/>
                <w:color w:val="auto"/>
              </w:rPr>
            </w:pPr>
            <w:r>
              <w:rPr>
                <w:rFonts w:ascii="Arial" w:cs="Arial" w:eastAsia="Arial" w:hAnsi="Arial"/>
                <w:sz w:val="19"/>
                <w:szCs w:val="19"/>
                <w:color w:val="auto"/>
              </w:rPr>
              <w:t>27.5 %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115</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107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8</w:t>
            </w:r>
          </w:p>
        </w:tc>
        <w:tc>
          <w:tcPr>
            <w:tcW w:w="1280" w:type="dxa"/>
            <w:vAlign w:val="bottom"/>
          </w:tcPr>
          <w:p>
            <w:pPr>
              <w:jc w:val="right"/>
              <w:spacing w:after="0"/>
              <w:rPr>
                <w:sz w:val="20"/>
                <w:szCs w:val="20"/>
                <w:color w:val="auto"/>
              </w:rPr>
            </w:pPr>
            <w:r>
              <w:rPr>
                <w:rFonts w:ascii="Arial" w:cs="Arial" w:eastAsia="Arial" w:hAnsi="Arial"/>
                <w:sz w:val="19"/>
                <w:szCs w:val="19"/>
                <w:color w:val="auto"/>
              </w:rPr>
              <w:t>7.5 %</w:t>
            </w:r>
          </w:p>
        </w:tc>
        <w:tc>
          <w:tcPr>
            <w:tcW w:w="0" w:type="dxa"/>
            <w:vAlign w:val="bottom"/>
          </w:tcPr>
          <w:p>
            <w:pPr>
              <w:spacing w:after="0"/>
              <w:rPr>
                <w:sz w:val="1"/>
                <w:szCs w:val="1"/>
                <w:color w:val="auto"/>
              </w:rPr>
            </w:pPr>
          </w:p>
        </w:tc>
      </w:tr>
      <w:tr>
        <w:trPr>
          <w:trHeight w:val="256"/>
        </w:trPr>
        <w:tc>
          <w:tcPr>
            <w:tcW w:w="5280" w:type="dxa"/>
            <w:vAlign w:val="bottom"/>
            <w:tcBorders>
              <w:right w:val="single" w:sz="8" w:color="auto"/>
            </w:tcBorders>
          </w:tcPr>
          <w:p>
            <w:pPr>
              <w:ind w:left="640"/>
              <w:spacing w:after="0"/>
              <w:rPr>
                <w:sz w:val="20"/>
                <w:szCs w:val="20"/>
                <w:color w:val="auto"/>
              </w:rPr>
            </w:pPr>
            <w:r>
              <w:rPr>
                <w:rFonts w:ascii="Arial" w:cs="Arial" w:eastAsia="Arial" w:hAnsi="Arial"/>
                <w:sz w:val="19"/>
                <w:szCs w:val="19"/>
                <w:b w:val="1"/>
                <w:bCs w:val="1"/>
                <w:color w:val="auto"/>
              </w:rPr>
              <w:t>Total operating expenses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17,861</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15,260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2,601</w:t>
            </w:r>
          </w:p>
        </w:tc>
        <w:tc>
          <w:tcPr>
            <w:tcW w:w="1280" w:type="dxa"/>
            <w:vAlign w:val="bottom"/>
          </w:tcPr>
          <w:p>
            <w:pPr>
              <w:jc w:val="right"/>
              <w:spacing w:after="0"/>
              <w:rPr>
                <w:sz w:val="20"/>
                <w:szCs w:val="20"/>
                <w:color w:val="auto"/>
              </w:rPr>
            </w:pPr>
            <w:r>
              <w:rPr>
                <w:rFonts w:ascii="Arial" w:cs="Arial" w:eastAsia="Arial" w:hAnsi="Arial"/>
                <w:sz w:val="19"/>
                <w:szCs w:val="19"/>
                <w:color w:val="auto"/>
              </w:rPr>
              <w:t>17.0 %</w:t>
            </w:r>
          </w:p>
        </w:tc>
        <w:tc>
          <w:tcPr>
            <w:tcW w:w="0" w:type="dxa"/>
            <w:vAlign w:val="bottom"/>
          </w:tcPr>
          <w:p>
            <w:pPr>
              <w:spacing w:after="0"/>
              <w:rPr>
                <w:sz w:val="1"/>
                <w:szCs w:val="1"/>
                <w:color w:val="auto"/>
              </w:rPr>
            </w:pPr>
          </w:p>
        </w:tc>
      </w:tr>
      <w:tr>
        <w:trPr>
          <w:trHeight w:val="256"/>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Income from operations</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1,074</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847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227</w:t>
            </w:r>
          </w:p>
        </w:tc>
        <w:tc>
          <w:tcPr>
            <w:tcW w:w="1280" w:type="dxa"/>
            <w:vAlign w:val="bottom"/>
          </w:tcPr>
          <w:p>
            <w:pPr>
              <w:jc w:val="right"/>
              <w:spacing w:after="0"/>
              <w:rPr>
                <w:sz w:val="20"/>
                <w:szCs w:val="20"/>
                <w:color w:val="auto"/>
              </w:rPr>
            </w:pPr>
            <w:r>
              <w:rPr>
                <w:rFonts w:ascii="Arial" w:cs="Arial" w:eastAsia="Arial" w:hAnsi="Arial"/>
                <w:sz w:val="19"/>
                <w:szCs w:val="19"/>
                <w:color w:val="auto"/>
              </w:rPr>
              <w:t>26.8 %</w:t>
            </w:r>
          </w:p>
        </w:tc>
        <w:tc>
          <w:tcPr>
            <w:tcW w:w="0" w:type="dxa"/>
            <w:vAlign w:val="bottom"/>
          </w:tcPr>
          <w:p>
            <w:pPr>
              <w:spacing w:after="0"/>
              <w:rPr>
                <w:sz w:val="1"/>
                <w:szCs w:val="1"/>
                <w:color w:val="auto"/>
              </w:rPr>
            </w:pPr>
          </w:p>
        </w:tc>
      </w:tr>
      <w:tr>
        <w:trPr>
          <w:trHeight w:val="261"/>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Interest expense</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60</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w:t>
            </w:r>
          </w:p>
        </w:tc>
        <w:tc>
          <w:tcPr>
            <w:tcW w:w="1280" w:type="dxa"/>
            <w:vAlign w:val="bottom"/>
          </w:tcPr>
          <w:p>
            <w:pPr>
              <w:jc w:val="right"/>
              <w:spacing w:after="0"/>
              <w:rPr>
                <w:sz w:val="20"/>
                <w:szCs w:val="20"/>
                <w:color w:val="auto"/>
              </w:rPr>
            </w:pPr>
            <w:r>
              <w:rPr>
                <w:rFonts w:ascii="Arial" w:cs="Arial" w:eastAsia="Arial" w:hAnsi="Arial"/>
                <w:sz w:val="19"/>
                <w:szCs w:val="19"/>
                <w:color w:val="auto"/>
              </w:rPr>
              <w:t>-3.2 %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Other expense, net (A)</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297</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39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258</w:t>
            </w:r>
          </w:p>
        </w:tc>
        <w:tc>
          <w:tcPr>
            <w:tcW w:w="1280" w:type="dxa"/>
            <w:vAlign w:val="bottom"/>
          </w:tcPr>
          <w:p>
            <w:pPr>
              <w:jc w:val="right"/>
              <w:spacing w:after="0"/>
              <w:rPr>
                <w:sz w:val="20"/>
                <w:szCs w:val="20"/>
                <w:color w:val="auto"/>
              </w:rPr>
            </w:pPr>
            <w:r>
              <w:rPr>
                <w:rFonts w:ascii="Arial" w:cs="Arial" w:eastAsia="Arial" w:hAnsi="Arial"/>
                <w:sz w:val="19"/>
                <w:szCs w:val="19"/>
                <w:color w:val="auto"/>
              </w:rPr>
              <w:t>661.5 %</w:t>
            </w:r>
          </w:p>
        </w:tc>
        <w:tc>
          <w:tcPr>
            <w:tcW w:w="0" w:type="dxa"/>
            <w:vAlign w:val="bottom"/>
          </w:tcPr>
          <w:p>
            <w:pPr>
              <w:spacing w:after="0"/>
              <w:rPr>
                <w:sz w:val="1"/>
                <w:szCs w:val="1"/>
                <w:color w:val="auto"/>
              </w:rPr>
            </w:pPr>
          </w:p>
        </w:tc>
      </w:tr>
      <w:tr>
        <w:trPr>
          <w:trHeight w:val="256"/>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Income before income taxes and equity in net earnings</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717</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746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(29)</w:t>
            </w:r>
          </w:p>
        </w:tc>
        <w:tc>
          <w:tcPr>
            <w:tcW w:w="1280" w:type="dxa"/>
            <w:vAlign w:val="bottom"/>
          </w:tcPr>
          <w:p>
            <w:pPr>
              <w:jc w:val="right"/>
              <w:spacing w:after="0"/>
              <w:rPr>
                <w:sz w:val="20"/>
                <w:szCs w:val="20"/>
                <w:color w:val="auto"/>
              </w:rPr>
            </w:pPr>
            <w:r>
              <w:rPr>
                <w:rFonts w:ascii="Arial" w:cs="Arial" w:eastAsia="Arial" w:hAnsi="Arial"/>
                <w:sz w:val="19"/>
                <w:szCs w:val="19"/>
                <w:color w:val="auto"/>
              </w:rPr>
              <w:t>-3.9 %</w:t>
            </w:r>
          </w:p>
        </w:tc>
        <w:tc>
          <w:tcPr>
            <w:tcW w:w="0" w:type="dxa"/>
            <w:vAlign w:val="bottom"/>
          </w:tcPr>
          <w:p>
            <w:pPr>
              <w:spacing w:after="0"/>
              <w:rPr>
                <w:sz w:val="1"/>
                <w:szCs w:val="1"/>
                <w:color w:val="auto"/>
              </w:rPr>
            </w:pPr>
          </w:p>
        </w:tc>
      </w:tr>
      <w:tr>
        <w:trPr>
          <w:trHeight w:val="261"/>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Provision for income taxes</w:t>
            </w:r>
          </w:p>
        </w:tc>
        <w:tc>
          <w:tcPr>
            <w:tcW w:w="120" w:type="dxa"/>
            <w:vAlign w:val="bottom"/>
          </w:tcPr>
          <w:p>
            <w:pPr>
              <w:spacing w:after="0"/>
              <w:rPr>
                <w:sz w:val="22"/>
                <w:szCs w:val="22"/>
                <w:color w:val="auto"/>
              </w:rPr>
            </w:pP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252</w:t>
            </w:r>
          </w:p>
        </w:tc>
        <w:tc>
          <w:tcPr>
            <w:tcW w:w="380" w:type="dxa"/>
            <w:vAlign w:val="bottom"/>
          </w:tcPr>
          <w:p>
            <w:pPr>
              <w:spacing w:after="0"/>
              <w:rPr>
                <w:sz w:val="22"/>
                <w:szCs w:val="22"/>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19"/>
                <w:szCs w:val="19"/>
                <w:color w:val="auto"/>
              </w:rPr>
              <w:t>69</w:t>
            </w:r>
          </w:p>
        </w:tc>
        <w:tc>
          <w:tcPr>
            <w:tcW w:w="1280" w:type="dxa"/>
            <w:vAlign w:val="bottom"/>
          </w:tcPr>
          <w:p>
            <w:pPr>
              <w:jc w:val="right"/>
              <w:spacing w:after="0"/>
              <w:rPr>
                <w:sz w:val="20"/>
                <w:szCs w:val="20"/>
                <w:color w:val="auto"/>
              </w:rPr>
            </w:pPr>
            <w:r>
              <w:rPr>
                <w:rFonts w:ascii="Arial" w:cs="Arial" w:eastAsia="Arial" w:hAnsi="Arial"/>
                <w:sz w:val="19"/>
                <w:szCs w:val="19"/>
                <w:color w:val="auto"/>
              </w:rPr>
              <w:t>37.7 %</w:t>
            </w:r>
          </w:p>
        </w:tc>
        <w:tc>
          <w:tcPr>
            <w:tcW w:w="0" w:type="dxa"/>
            <w:vAlign w:val="bottom"/>
          </w:tcPr>
          <w:p>
            <w:pPr>
              <w:spacing w:after="0"/>
              <w:rPr>
                <w:sz w:val="1"/>
                <w:szCs w:val="1"/>
                <w:color w:val="auto"/>
              </w:rPr>
            </w:pPr>
          </w:p>
        </w:tc>
      </w:tr>
      <w:tr>
        <w:trPr>
          <w:trHeight w:val="263"/>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Equity in net earnings (B)</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8</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w:t>
            </w:r>
          </w:p>
        </w:tc>
        <w:tc>
          <w:tcPr>
            <w:tcW w:w="1280" w:type="dxa"/>
            <w:vAlign w:val="bottom"/>
          </w:tcPr>
          <w:p>
            <w:pPr>
              <w:jc w:val="right"/>
              <w:spacing w:after="0"/>
              <w:rPr>
                <w:sz w:val="20"/>
                <w:szCs w:val="20"/>
                <w:color w:val="auto"/>
              </w:rPr>
            </w:pPr>
            <w:r>
              <w:rPr>
                <w:rFonts w:ascii="Arial" w:cs="Arial" w:eastAsia="Arial" w:hAnsi="Arial"/>
                <w:sz w:val="19"/>
                <w:szCs w:val="19"/>
                <w:color w:val="auto"/>
              </w:rPr>
              <w:t>166.7 %</w:t>
            </w:r>
          </w:p>
        </w:tc>
        <w:tc>
          <w:tcPr>
            <w:tcW w:w="0" w:type="dxa"/>
            <w:vAlign w:val="bottom"/>
          </w:tcPr>
          <w:p>
            <w:pPr>
              <w:spacing w:after="0"/>
              <w:rPr>
                <w:sz w:val="1"/>
                <w:szCs w:val="1"/>
                <w:color w:val="auto"/>
              </w:rPr>
            </w:pPr>
          </w:p>
        </w:tc>
      </w:tr>
      <w:tr>
        <w:trPr>
          <w:trHeight w:val="242"/>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Net income</w:t>
            </w:r>
          </w:p>
        </w:tc>
        <w:tc>
          <w:tcPr>
            <w:tcW w:w="120" w:type="dxa"/>
            <w:vAlign w:val="bottom"/>
            <w:vMerge w:val="restart"/>
          </w:tcPr>
          <w:p>
            <w:pPr>
              <w:jc w:val="right"/>
              <w:spacing w:after="0"/>
              <w:rPr>
                <w:sz w:val="20"/>
                <w:szCs w:val="20"/>
                <w:color w:val="auto"/>
              </w:rPr>
            </w:pPr>
            <w:r>
              <w:rPr>
                <w:rFonts w:ascii="Arial" w:cs="Arial" w:eastAsia="Arial" w:hAnsi="Arial"/>
                <w:sz w:val="19"/>
                <w:szCs w:val="19"/>
                <w:b w:val="1"/>
                <w:bCs w:val="1"/>
                <w:color w:val="00497F"/>
                <w:w w:val="75"/>
              </w:rPr>
              <w:t>$</w:t>
            </w:r>
          </w:p>
        </w:tc>
        <w:tc>
          <w:tcPr>
            <w:tcW w:w="158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9"/>
                <w:szCs w:val="19"/>
                <w:b w:val="1"/>
                <w:bCs w:val="1"/>
                <w:color w:val="00497F"/>
              </w:rPr>
              <w:t>473</w:t>
            </w:r>
          </w:p>
        </w:tc>
        <w:tc>
          <w:tcPr>
            <w:tcW w:w="380" w:type="dxa"/>
            <w:vAlign w:val="bottom"/>
            <w:vMerge w:val="restart"/>
          </w:tcPr>
          <w:p>
            <w:pPr>
              <w:jc w:val="right"/>
              <w:ind w:right="164"/>
              <w:spacing w:after="0"/>
              <w:rPr>
                <w:sz w:val="20"/>
                <w:szCs w:val="20"/>
                <w:color w:val="auto"/>
              </w:rPr>
            </w:pPr>
            <w:r>
              <w:rPr>
                <w:rFonts w:ascii="Arial" w:cs="Arial" w:eastAsia="Arial" w:hAnsi="Arial"/>
                <w:sz w:val="19"/>
                <w:szCs w:val="19"/>
                <w:color w:val="auto"/>
                <w:w w:val="94"/>
              </w:rPr>
              <w:t>$</w:t>
            </w:r>
          </w:p>
        </w:tc>
        <w:tc>
          <w:tcPr>
            <w:tcW w:w="1340" w:type="dxa"/>
            <w:vAlign w:val="bottom"/>
            <w:vMerge w:val="restart"/>
          </w:tcPr>
          <w:p>
            <w:pPr>
              <w:jc w:val="right"/>
              <w:ind w:right="24"/>
              <w:spacing w:after="0"/>
              <w:rPr>
                <w:sz w:val="20"/>
                <w:szCs w:val="20"/>
                <w:color w:val="auto"/>
              </w:rPr>
            </w:pPr>
            <w:r>
              <w:rPr>
                <w:rFonts w:ascii="Arial" w:cs="Arial" w:eastAsia="Arial" w:hAnsi="Arial"/>
                <w:sz w:val="19"/>
                <w:szCs w:val="19"/>
                <w:color w:val="auto"/>
              </w:rPr>
              <w:t>566</w:t>
            </w:r>
          </w:p>
        </w:tc>
        <w:tc>
          <w:tcPr>
            <w:tcW w:w="10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(93)</w:t>
            </w:r>
          </w:p>
        </w:tc>
        <w:tc>
          <w:tcPr>
            <w:tcW w:w="1280" w:type="dxa"/>
            <w:vAlign w:val="bottom"/>
            <w:vMerge w:val="restart"/>
          </w:tcPr>
          <w:p>
            <w:pPr>
              <w:jc w:val="right"/>
              <w:spacing w:after="0"/>
              <w:rPr>
                <w:sz w:val="20"/>
                <w:szCs w:val="20"/>
                <w:color w:val="auto"/>
              </w:rPr>
            </w:pPr>
            <w:r>
              <w:rPr>
                <w:rFonts w:ascii="Arial" w:cs="Arial" w:eastAsia="Arial" w:hAnsi="Arial"/>
                <w:sz w:val="19"/>
                <w:szCs w:val="19"/>
                <w:color w:val="auto"/>
              </w:rPr>
              <w:t>-16.4 %</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right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00497F"/>
                <w:w w:val="75"/>
              </w:rPr>
              <w:t>$</w:t>
            </w: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3.58</w:t>
            </w:r>
          </w:p>
        </w:tc>
        <w:tc>
          <w:tcPr>
            <w:tcW w:w="380" w:type="dxa"/>
            <w:vAlign w:val="bottom"/>
          </w:tcPr>
          <w:p>
            <w:pPr>
              <w:jc w:val="right"/>
              <w:ind w:right="164"/>
              <w:spacing w:after="0"/>
              <w:rPr>
                <w:sz w:val="20"/>
                <w:szCs w:val="20"/>
                <w:color w:val="auto"/>
              </w:rPr>
            </w:pPr>
            <w:r>
              <w:rPr>
                <w:rFonts w:ascii="Arial" w:cs="Arial" w:eastAsia="Arial" w:hAnsi="Arial"/>
                <w:sz w:val="19"/>
                <w:szCs w:val="19"/>
                <w:color w:val="auto"/>
                <w:w w:val="94"/>
              </w:rPr>
              <w:t>$</w:t>
            </w: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4.18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(0.60)</w:t>
            </w:r>
          </w:p>
        </w:tc>
        <w:tc>
          <w:tcPr>
            <w:tcW w:w="1280" w:type="dxa"/>
            <w:vAlign w:val="bottom"/>
          </w:tcPr>
          <w:p>
            <w:pPr>
              <w:jc w:val="right"/>
              <w:spacing w:after="0"/>
              <w:rPr>
                <w:sz w:val="20"/>
                <w:szCs w:val="20"/>
                <w:color w:val="auto"/>
              </w:rPr>
            </w:pPr>
            <w:r>
              <w:rPr>
                <w:rFonts w:ascii="Arial" w:cs="Arial" w:eastAsia="Arial" w:hAnsi="Arial"/>
                <w:sz w:val="19"/>
                <w:szCs w:val="19"/>
                <w:color w:val="auto"/>
              </w:rPr>
              <w:t>-14.4 %</w:t>
            </w:r>
          </w:p>
        </w:tc>
        <w:tc>
          <w:tcPr>
            <w:tcW w:w="0" w:type="dxa"/>
            <w:vAlign w:val="bottom"/>
          </w:tcPr>
          <w:p>
            <w:pPr>
              <w:spacing w:after="0"/>
              <w:rPr>
                <w:sz w:val="1"/>
                <w:szCs w:val="1"/>
                <w:color w:val="auto"/>
              </w:rPr>
            </w:pPr>
          </w:p>
        </w:tc>
      </w:tr>
      <w:tr>
        <w:trPr>
          <w:trHeight w:val="261"/>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00497F"/>
                <w:w w:val="75"/>
              </w:rPr>
              <w:t>$</w:t>
            </w:r>
          </w:p>
        </w:tc>
        <w:tc>
          <w:tcPr>
            <w:tcW w:w="1580" w:type="dxa"/>
            <w:vAlign w:val="bottom"/>
            <w:tcBorders>
              <w:right w:val="single" w:sz="8" w:color="auto"/>
            </w:tcBorders>
          </w:tcPr>
          <w:p>
            <w:pPr>
              <w:jc w:val="right"/>
              <w:ind w:right="24"/>
              <w:spacing w:after="0"/>
              <w:rPr>
                <w:sz w:val="20"/>
                <w:szCs w:val="20"/>
                <w:color w:val="auto"/>
              </w:rPr>
            </w:pPr>
            <w:r>
              <w:rPr>
                <w:rFonts w:ascii="Arial" w:cs="Arial" w:eastAsia="Arial" w:hAnsi="Arial"/>
                <w:sz w:val="19"/>
                <w:szCs w:val="19"/>
                <w:b w:val="1"/>
                <w:bCs w:val="1"/>
                <w:color w:val="00497F"/>
              </w:rPr>
              <w:t>3.56</w:t>
            </w:r>
          </w:p>
        </w:tc>
        <w:tc>
          <w:tcPr>
            <w:tcW w:w="380" w:type="dxa"/>
            <w:vAlign w:val="bottom"/>
          </w:tcPr>
          <w:p>
            <w:pPr>
              <w:jc w:val="right"/>
              <w:ind w:right="164"/>
              <w:spacing w:after="0"/>
              <w:rPr>
                <w:sz w:val="20"/>
                <w:szCs w:val="20"/>
                <w:color w:val="auto"/>
              </w:rPr>
            </w:pPr>
            <w:r>
              <w:rPr>
                <w:rFonts w:ascii="Arial" w:cs="Arial" w:eastAsia="Arial" w:hAnsi="Arial"/>
                <w:sz w:val="19"/>
                <w:szCs w:val="19"/>
                <w:color w:val="auto"/>
                <w:w w:val="94"/>
              </w:rPr>
              <w:t>$</w:t>
            </w: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4.16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(0.60)</w:t>
            </w:r>
          </w:p>
        </w:tc>
        <w:tc>
          <w:tcPr>
            <w:tcW w:w="1280" w:type="dxa"/>
            <w:vAlign w:val="bottom"/>
          </w:tcPr>
          <w:p>
            <w:pPr>
              <w:jc w:val="right"/>
              <w:spacing w:after="0"/>
              <w:rPr>
                <w:sz w:val="20"/>
                <w:szCs w:val="20"/>
                <w:color w:val="auto"/>
              </w:rPr>
            </w:pPr>
            <w:r>
              <w:rPr>
                <w:rFonts w:ascii="Arial" w:cs="Arial" w:eastAsia="Arial" w:hAnsi="Arial"/>
                <w:sz w:val="19"/>
                <w:szCs w:val="19"/>
                <w:color w:val="auto"/>
              </w:rPr>
              <w:t>-14.4 %</w:t>
            </w:r>
          </w:p>
        </w:tc>
        <w:tc>
          <w:tcPr>
            <w:tcW w:w="0" w:type="dxa"/>
            <w:vAlign w:val="bottom"/>
          </w:tcPr>
          <w:p>
            <w:pPr>
              <w:spacing w:after="0"/>
              <w:rPr>
                <w:sz w:val="1"/>
                <w:szCs w:val="1"/>
                <w:color w:val="auto"/>
              </w:rPr>
            </w:pPr>
          </w:p>
        </w:tc>
      </w:tr>
      <w:tr>
        <w:trPr>
          <w:trHeight w:val="450"/>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Shares used in computing basic earnings per common share</w:t>
            </w:r>
          </w:p>
        </w:tc>
        <w:tc>
          <w:tcPr>
            <w:tcW w:w="120" w:type="dxa"/>
            <w:vAlign w:val="bottom"/>
          </w:tcPr>
          <w:p>
            <w:pPr>
              <w:spacing w:after="0"/>
              <w:rPr>
                <w:sz w:val="24"/>
                <w:szCs w:val="24"/>
                <w:color w:val="auto"/>
              </w:rPr>
            </w:pPr>
          </w:p>
        </w:tc>
        <w:tc>
          <w:tcPr>
            <w:tcW w:w="158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9"/>
                <w:szCs w:val="19"/>
                <w:b w:val="1"/>
                <w:bCs w:val="1"/>
                <w:color w:val="00497F"/>
              </w:rPr>
              <w:t>132,135</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(000’s)</w:t>
            </w:r>
          </w:p>
        </w:tc>
        <w:tc>
          <w:tcPr>
            <w:tcW w:w="120" w:type="dxa"/>
            <w:vAlign w:val="bottom"/>
          </w:tcPr>
          <w:p>
            <w:pPr>
              <w:spacing w:after="0"/>
              <w:rPr>
                <w:sz w:val="20"/>
                <w:szCs w:val="20"/>
                <w:color w:val="auto"/>
              </w:rPr>
            </w:pPr>
          </w:p>
        </w:tc>
        <w:tc>
          <w:tcPr>
            <w:tcW w:w="1580" w:type="dxa"/>
            <w:vAlign w:val="bottom"/>
            <w:tcBorders>
              <w:righ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135,383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Shares used in computing diluted earnings per common</w:t>
            </w:r>
          </w:p>
        </w:tc>
        <w:tc>
          <w:tcPr>
            <w:tcW w:w="120" w:type="dxa"/>
            <w:vAlign w:val="bottom"/>
          </w:tcPr>
          <w:p>
            <w:pPr>
              <w:spacing w:after="0"/>
              <w:rPr>
                <w:sz w:val="20"/>
                <w:szCs w:val="20"/>
                <w:color w:val="auto"/>
              </w:rPr>
            </w:pPr>
          </w:p>
        </w:tc>
        <w:tc>
          <w:tcPr>
            <w:tcW w:w="1580" w:type="dxa"/>
            <w:vAlign w:val="bottom"/>
            <w:tcBorders>
              <w:right w:val="single" w:sz="8" w:color="auto"/>
            </w:tcBorders>
            <w:vMerge w:val="restart"/>
          </w:tcPr>
          <w:p>
            <w:pPr>
              <w:jc w:val="right"/>
              <w:ind w:right="24"/>
              <w:spacing w:after="0"/>
              <w:rPr>
                <w:sz w:val="20"/>
                <w:szCs w:val="20"/>
                <w:color w:val="auto"/>
              </w:rPr>
            </w:pPr>
            <w:r>
              <w:rPr>
                <w:rFonts w:ascii="Arial" w:cs="Arial" w:eastAsia="Arial" w:hAnsi="Arial"/>
                <w:sz w:val="19"/>
                <w:szCs w:val="19"/>
                <w:b w:val="1"/>
                <w:bCs w:val="1"/>
                <w:color w:val="00497F"/>
              </w:rPr>
              <w:t>132,811</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share (000’s)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24"/>
              <w:spacing w:after="0"/>
              <w:rPr>
                <w:sz w:val="20"/>
                <w:szCs w:val="20"/>
                <w:color w:val="auto"/>
              </w:rPr>
            </w:pPr>
            <w:r>
              <w:rPr>
                <w:rFonts w:ascii="Arial" w:cs="Arial" w:eastAsia="Arial" w:hAnsi="Arial"/>
                <w:sz w:val="19"/>
                <w:szCs w:val="19"/>
                <w:color w:val="auto"/>
              </w:rPr>
              <w:t>135,962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164"/>
              <w:spacing w:after="0"/>
              <w:rPr>
                <w:sz w:val="20"/>
                <w:szCs w:val="20"/>
                <w:color w:val="auto"/>
              </w:rPr>
            </w:pPr>
            <w:r>
              <w:rPr>
                <w:rFonts w:ascii="Arial" w:cs="Arial" w:eastAsia="Arial" w:hAnsi="Arial"/>
                <w:sz w:val="19"/>
                <w:szCs w:val="19"/>
                <w:color w:val="auto"/>
              </w:rPr>
              <w:t>S-3</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1440" w:gutter="0" w:footer="0" w:header="0"/>
        </w:sectPr>
      </w:pPr>
    </w:p>
    <w:bookmarkStart w:id="33" w:name="page34"/>
    <w:bookmarkEnd w:id="33"/>
    <w:p>
      <w:pPr>
        <w:spacing w:after="0"/>
        <w:rPr>
          <w:sz w:val="20"/>
          <w:szCs w:val="20"/>
          <w:color w:val="auto"/>
        </w:rPr>
      </w:pPr>
      <w:r>
        <w:rPr>
          <w:rFonts w:ascii="Arial" w:cs="Arial" w:eastAsia="Arial" w:hAnsi="Arial"/>
          <w:sz w:val="19"/>
          <w:szCs w:val="19"/>
          <w:color w:val="auto"/>
        </w:rPr>
        <w:t>Humana Inc.</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Dollars in millions, except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assets: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 securities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Receivables, net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assets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current assets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net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investment securities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method investments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assets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Stockholders’ Equity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liabilities: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Benefits payable</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Trade accounts payable and accrued expenses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Book overdraft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Unearned revenues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Short-term debt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current liabilities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Future policy benefits payable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liabilities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Total liabilities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 $1 par; 10,000,000 shares authorized, none issued</w:t>
      </w:r>
    </w:p>
    <w:p>
      <w:pPr>
        <w:spacing w:after="0" w:line="102" w:lineRule="exact"/>
        <w:rPr>
          <w:sz w:val="20"/>
          <w:szCs w:val="20"/>
          <w:color w:val="auto"/>
        </w:rPr>
      </w:pPr>
    </w:p>
    <w:p>
      <w:pPr>
        <w:ind w:left="380"/>
        <w:spacing w:after="0" w:line="246" w:lineRule="auto"/>
        <w:rPr>
          <w:sz w:val="20"/>
          <w:szCs w:val="20"/>
          <w:color w:val="auto"/>
        </w:rPr>
      </w:pPr>
      <w:r>
        <w:rPr>
          <w:rFonts w:ascii="Arial" w:cs="Arial" w:eastAsia="Arial" w:hAnsi="Arial"/>
          <w:sz w:val="14"/>
          <w:szCs w:val="14"/>
          <w:color w:val="auto"/>
        </w:rPr>
        <w:t>Common stock, $0.16 2/3 par; 300,000,000 shares authorized; 198,629,992 issued at March 31, 2020</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in excess of par value</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Accumulated other comprehensive income</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Treasury stock, at cost, 66,423,923 shares at March 31, 2020</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Total stockholders’ equity</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liabilities and stockholders’ equity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Debt-to-total capitalization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6"/>
        </w:trPr>
        <w:tc>
          <w:tcPr>
            <w:tcW w:w="160" w:type="dxa"/>
            <w:vAlign w:val="bottom"/>
            <w:tcBorders>
              <w:top w:val="single" w:sz="8" w:color="auto"/>
              <w:lef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4"/>
                <w:szCs w:val="14"/>
                <w:b w:val="1"/>
                <w:bCs w:val="1"/>
                <w:color w:val="00497F"/>
              </w:rPr>
              <w:t>March 31,</w:t>
            </w: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auto"/>
              </w:rPr>
              <w:t>December 31,</w:t>
            </w:r>
          </w:p>
        </w:tc>
        <w:tc>
          <w:tcPr>
            <w:tcW w:w="120" w:type="dxa"/>
            <w:vAlign w:val="bottom"/>
            <w:tcBorders>
              <w:right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Year-to-Date Change</w:t>
            </w:r>
          </w:p>
        </w:tc>
      </w:tr>
      <w:tr>
        <w:trPr>
          <w:trHeight w:val="244"/>
        </w:trPr>
        <w:tc>
          <w:tcPr>
            <w:tcW w:w="16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4"/>
                <w:szCs w:val="14"/>
                <w:b w:val="1"/>
                <w:bCs w:val="1"/>
                <w:color w:val="00497F"/>
              </w:rPr>
              <w:t>2020</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Dollar</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Percent</w:t>
            </w:r>
          </w:p>
        </w:tc>
      </w:tr>
      <w:tr>
        <w:trPr>
          <w:trHeight w:val="776"/>
        </w:trPr>
        <w:tc>
          <w:tcPr>
            <w:tcW w:w="16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6,054</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4,054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11,104</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10,972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2,009</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16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5,384</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3,806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1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24,551</w:t>
            </w:r>
          </w:p>
        </w:tc>
        <w:tc>
          <w:tcPr>
            <w:tcW w:w="2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19,888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4,663</w:t>
            </w:r>
          </w:p>
        </w:tc>
        <w:tc>
          <w:tcPr>
            <w:tcW w:w="94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2,023</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393</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4,443</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3,928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1,093</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16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2,130</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5"/>
        </w:trPr>
        <w:tc>
          <w:tcPr>
            <w:tcW w:w="1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34,633</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29,074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5,559</w:t>
            </w: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57"/>
        </w:trPr>
        <w:tc>
          <w:tcPr>
            <w:tcW w:w="16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7,090</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6,004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5,399</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3,754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169</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274</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16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1,898</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1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14,830</w:t>
            </w:r>
          </w:p>
        </w:tc>
        <w:tc>
          <w:tcPr>
            <w:tcW w:w="2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10,929</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3,901</w:t>
            </w:r>
          </w:p>
        </w:tc>
        <w:tc>
          <w:tcPr>
            <w:tcW w:w="940" w:type="dxa"/>
            <w:vAlign w:val="bottom"/>
          </w:tcPr>
          <w:p>
            <w:pPr>
              <w:jc w:val="right"/>
              <w:spacing w:after="0"/>
              <w:rPr>
                <w:sz w:val="20"/>
                <w:szCs w:val="20"/>
                <w:color w:val="auto"/>
              </w:rPr>
            </w:pPr>
            <w:r>
              <w:rPr>
                <w:rFonts w:ascii="Arial" w:cs="Arial" w:eastAsia="Arial" w:hAnsi="Arial"/>
                <w:sz w:val="14"/>
                <w:szCs w:val="14"/>
                <w:color w:val="auto"/>
              </w:rPr>
              <w:t>35.7%</w:t>
            </w: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6,057</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4,967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205</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16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1,186</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16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22,278</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17,037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5,241</w:t>
            </w:r>
          </w:p>
        </w:tc>
        <w:tc>
          <w:tcPr>
            <w:tcW w:w="94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776"/>
        </w:trPr>
        <w:tc>
          <w:tcPr>
            <w:tcW w:w="16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w:t>
            </w:r>
          </w:p>
        </w:tc>
        <w:tc>
          <w:tcPr>
            <w:tcW w:w="24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8"/>
        </w:trPr>
        <w:tc>
          <w:tcPr>
            <w:tcW w:w="16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33</w:t>
            </w:r>
          </w:p>
        </w:tc>
        <w:tc>
          <w:tcPr>
            <w:tcW w:w="24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2,857</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2,820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17,871</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17,483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48</w:t>
            </w:r>
          </w:p>
        </w:tc>
        <w:tc>
          <w:tcPr>
            <w:tcW w:w="240" w:type="dxa"/>
            <w:vAlign w:val="bottom"/>
          </w:tcPr>
          <w:p>
            <w:pPr>
              <w:spacing w:after="0"/>
              <w:rPr>
                <w:sz w:val="22"/>
                <w:szCs w:val="22"/>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16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b w:val="1"/>
                <w:bCs w:val="1"/>
                <w:color w:val="00497F"/>
              </w:rPr>
              <w:t>(8,454)</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(8,455)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16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12,355</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12,037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318</w:t>
            </w: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5"/>
        </w:trPr>
        <w:tc>
          <w:tcPr>
            <w:tcW w:w="1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34,633</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29,074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5,559</w:t>
            </w: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5520" w:space="140"/>
            <w:col w:w="4479"/>
          </w:cols>
          <w:pgMar w:left="320" w:top="569" w:right="1440" w:bottom="1440" w:gutter="0" w:footer="0" w:header="0"/>
        </w:sectPr>
      </w:pPr>
    </w:p>
    <w:p>
      <w:pPr>
        <w:spacing w:after="0" w:line="2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139"/>
          </w:cols>
          <w:pgMar w:left="320" w:top="569"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9"/>
          <w:szCs w:val="19"/>
          <w:color w:val="auto"/>
        </w:rPr>
        <w:t>Humana Inc.</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40" w:type="dxa"/>
            <w:vAlign w:val="bottom"/>
            <w:tcBorders>
              <w:right w:val="single" w:sz="8" w:color="auto"/>
            </w:tcBorders>
          </w:tcPr>
          <w:p>
            <w:pPr>
              <w:spacing w:after="0"/>
              <w:rPr>
                <w:sz w:val="16"/>
                <w:szCs w:val="16"/>
                <w:color w:val="auto"/>
              </w:rPr>
            </w:pPr>
          </w:p>
        </w:tc>
        <w:tc>
          <w:tcPr>
            <w:tcW w:w="2380" w:type="dxa"/>
            <w:vAlign w:val="bottom"/>
            <w:tcBorders>
              <w:top w:val="single" w:sz="8" w:color="auto"/>
              <w:right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5540" w:type="dxa"/>
            <w:vAlign w:val="bottom"/>
            <w:tcBorders>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31,</w:t>
            </w:r>
          </w:p>
        </w:tc>
        <w:tc>
          <w:tcPr>
            <w:tcW w:w="940" w:type="dxa"/>
            <w:vAlign w:val="bottom"/>
            <w:tcBorders>
              <w:bottom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7"/>
        </w:trPr>
        <w:tc>
          <w:tcPr>
            <w:tcW w:w="5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50"/>
              <w:spacing w:after="0"/>
              <w:rPr>
                <w:sz w:val="20"/>
                <w:szCs w:val="20"/>
                <w:color w:val="auto"/>
              </w:rPr>
            </w:pPr>
            <w:r>
              <w:rPr>
                <w:rFonts w:ascii="Arial" w:cs="Arial" w:eastAsia="Arial" w:hAnsi="Arial"/>
                <w:sz w:val="14"/>
                <w:szCs w:val="14"/>
                <w:color w:val="auto"/>
              </w:rPr>
              <w:t>Dollar</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Percentage</w:t>
            </w:r>
          </w:p>
        </w:tc>
      </w:tr>
      <w:tr>
        <w:trPr>
          <w:trHeight w:val="241"/>
        </w:trPr>
        <w:tc>
          <w:tcPr>
            <w:tcW w:w="55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4"/>
                <w:szCs w:val="14"/>
                <w:b w:val="1"/>
                <w:bCs w:val="1"/>
                <w:color w:val="00497F"/>
              </w:rPr>
              <w:t>2020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Change</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Change</w:t>
            </w:r>
          </w:p>
        </w:tc>
      </w:tr>
      <w:tr>
        <w:trPr>
          <w:trHeight w:val="186"/>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8"/>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122"/>
              <w:spacing w:after="0"/>
              <w:rPr>
                <w:sz w:val="20"/>
                <w:szCs w:val="20"/>
                <w:color w:val="auto"/>
              </w:rPr>
            </w:pPr>
            <w:r>
              <w:rPr>
                <w:rFonts w:ascii="Arial" w:cs="Arial" w:eastAsia="Arial" w:hAnsi="Arial"/>
                <w:sz w:val="10"/>
                <w:szCs w:val="10"/>
                <w:b w:val="1"/>
                <w:bCs w:val="1"/>
                <w:color w:val="00497F"/>
                <w:w w:val="71"/>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473</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566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9"/>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Adjustments to reconcile net income to net cash provided by (used in) operating</w:t>
            </w:r>
          </w:p>
        </w:tc>
        <w:tc>
          <w:tcPr>
            <w:tcW w:w="2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activities:</w:t>
            </w:r>
          </w:p>
        </w:tc>
        <w:tc>
          <w:tcPr>
            <w:tcW w:w="2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63"/>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124</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21</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Net realized capital (gains) losses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(49)</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Equity in net earnings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(8)</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36</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Benefit for deferred income taxes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99"/>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Changes in operating assets and liabilities, net of effect of businesses</w:t>
            </w:r>
          </w:p>
        </w:tc>
        <w:tc>
          <w:tcPr>
            <w:tcW w:w="2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acquired and dispositions:</w:t>
            </w:r>
          </w:p>
        </w:tc>
        <w:tc>
          <w:tcPr>
            <w:tcW w:w="2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63"/>
        </w:trPr>
        <w:tc>
          <w:tcPr>
            <w:tcW w:w="554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Receivables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(953)</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(1,470)</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Benefits payable</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1,086</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1,162</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1,203</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Unearned revenues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27</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55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1"/>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474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896</w:t>
            </w:r>
          </w:p>
        </w:tc>
        <w:tc>
          <w:tcPr>
            <w:tcW w:w="1120" w:type="dxa"/>
            <w:vAlign w:val="bottom"/>
            <w:gridSpan w:val="2"/>
          </w:tcPr>
          <w:p>
            <w:pPr>
              <w:jc w:val="right"/>
              <w:ind w:right="30"/>
              <w:spacing w:after="0"/>
              <w:rPr>
                <w:sz w:val="20"/>
                <w:szCs w:val="20"/>
                <w:color w:val="auto"/>
              </w:rPr>
            </w:pPr>
            <w:r>
              <w:rPr>
                <w:rFonts w:ascii="Arial" w:cs="Arial" w:eastAsia="Arial" w:hAnsi="Arial"/>
                <w:sz w:val="14"/>
                <w:szCs w:val="14"/>
                <w:color w:val="auto"/>
              </w:rPr>
              <w:t>($422)</w:t>
            </w:r>
          </w:p>
        </w:tc>
        <w:tc>
          <w:tcPr>
            <w:tcW w:w="940" w:type="dxa"/>
            <w:vAlign w:val="bottom"/>
          </w:tcPr>
          <w:p>
            <w:pPr>
              <w:jc w:val="right"/>
              <w:spacing w:after="0"/>
              <w:rPr>
                <w:sz w:val="20"/>
                <w:szCs w:val="20"/>
                <w:color w:val="auto"/>
              </w:rPr>
            </w:pPr>
            <w:r>
              <w:rPr>
                <w:rFonts w:ascii="Arial" w:cs="Arial" w:eastAsia="Arial" w:hAnsi="Arial"/>
                <w:sz w:val="14"/>
                <w:szCs w:val="14"/>
                <w:color w:val="auto"/>
              </w:rPr>
              <w:t>-47.1 %</w:t>
            </w:r>
          </w:p>
        </w:tc>
      </w:tr>
      <w:tr>
        <w:trPr>
          <w:trHeight w:val="186"/>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8"/>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Acquisitions, net of cash acquired</w:t>
            </w:r>
          </w:p>
        </w:tc>
        <w:tc>
          <w:tcPr>
            <w:tcW w:w="2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(709)</w:t>
            </w:r>
          </w:p>
        </w:tc>
        <w:tc>
          <w:tcPr>
            <w:tcW w:w="2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property and equipment, net</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(192)</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investment securities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(2,459)</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(2,175)</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Maturities of investment securities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735</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397</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sales of investment securities</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1,415</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2,062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1"/>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(1,210)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145</w:t>
            </w:r>
          </w:p>
        </w:tc>
        <w:tc>
          <w:tcPr>
            <w:tcW w:w="1120" w:type="dxa"/>
            <w:vAlign w:val="bottom"/>
            <w:gridSpan w:val="2"/>
          </w:tcPr>
          <w:p>
            <w:pPr>
              <w:jc w:val="right"/>
              <w:ind w:right="30"/>
              <w:spacing w:after="0"/>
              <w:rPr>
                <w:sz w:val="20"/>
                <w:szCs w:val="20"/>
                <w:color w:val="auto"/>
              </w:rPr>
            </w:pPr>
            <w:r>
              <w:rPr>
                <w:rFonts w:ascii="Arial" w:cs="Arial" w:eastAsia="Arial" w:hAnsi="Arial"/>
                <w:sz w:val="14"/>
                <w:szCs w:val="14"/>
                <w:color w:val="auto"/>
              </w:rPr>
              <w:t>($1,355)</w:t>
            </w:r>
          </w:p>
        </w:tc>
        <w:tc>
          <w:tcPr>
            <w:tcW w:w="940" w:type="dxa"/>
            <w:vAlign w:val="bottom"/>
          </w:tcPr>
          <w:p>
            <w:pPr>
              <w:jc w:val="right"/>
              <w:spacing w:after="0"/>
              <w:rPr>
                <w:sz w:val="20"/>
                <w:szCs w:val="20"/>
                <w:color w:val="auto"/>
              </w:rPr>
            </w:pPr>
            <w:r>
              <w:rPr>
                <w:rFonts w:ascii="Arial" w:cs="Arial" w:eastAsia="Arial" w:hAnsi="Arial"/>
                <w:sz w:val="14"/>
                <w:szCs w:val="14"/>
                <w:color w:val="auto"/>
              </w:rPr>
              <w:t>-934.5 %</w:t>
            </w:r>
          </w:p>
        </w:tc>
      </w:tr>
      <w:tr>
        <w:trPr>
          <w:trHeight w:val="186"/>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8"/>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Receipts from contract deposits, net</w:t>
            </w:r>
          </w:p>
        </w:tc>
        <w:tc>
          <w:tcPr>
            <w:tcW w:w="240" w:type="dxa"/>
            <w:vAlign w:val="bottom"/>
          </w:tcPr>
          <w:p>
            <w:pPr>
              <w:spacing w:after="0"/>
              <w:rPr>
                <w:sz w:val="24"/>
                <w:szCs w:val="24"/>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574</w:t>
            </w:r>
          </w:p>
        </w:tc>
        <w:tc>
          <w:tcPr>
            <w:tcW w:w="2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554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issuance of commercial paper, net</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198</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issuance of senior notes, net</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1,090</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issuance of term loan</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1,000</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Change in book overdraft</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(55)</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Common stock repurchases</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(17)</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Dividends paid</w:t>
            </w:r>
          </w:p>
        </w:tc>
        <w:tc>
          <w:tcPr>
            <w:tcW w:w="240" w:type="dxa"/>
            <w:vAlign w:val="bottom"/>
          </w:tcPr>
          <w:p>
            <w:pPr>
              <w:spacing w:after="0"/>
              <w:rPr>
                <w:sz w:val="22"/>
                <w:szCs w:val="22"/>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(73)</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55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stock option exercises and other</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19</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2,736</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493</w:t>
            </w:r>
          </w:p>
        </w:tc>
        <w:tc>
          <w:tcPr>
            <w:tcW w:w="1120" w:type="dxa"/>
            <w:vAlign w:val="bottom"/>
            <w:gridSpan w:val="2"/>
          </w:tcPr>
          <w:p>
            <w:pPr>
              <w:jc w:val="right"/>
              <w:ind w:right="70"/>
              <w:spacing w:after="0"/>
              <w:rPr>
                <w:sz w:val="20"/>
                <w:szCs w:val="20"/>
                <w:color w:val="auto"/>
              </w:rPr>
            </w:pPr>
            <w:r>
              <w:rPr>
                <w:rFonts w:ascii="Arial" w:cs="Arial" w:eastAsia="Arial" w:hAnsi="Arial"/>
                <w:sz w:val="14"/>
                <w:szCs w:val="14"/>
                <w:color w:val="auto"/>
              </w:rPr>
              <w:t>$2,243</w:t>
            </w:r>
          </w:p>
        </w:tc>
        <w:tc>
          <w:tcPr>
            <w:tcW w:w="940" w:type="dxa"/>
            <w:vAlign w:val="bottom"/>
          </w:tcPr>
          <w:p>
            <w:pPr>
              <w:jc w:val="right"/>
              <w:spacing w:after="0"/>
              <w:rPr>
                <w:sz w:val="20"/>
                <w:szCs w:val="20"/>
                <w:color w:val="auto"/>
              </w:rPr>
            </w:pPr>
            <w:r>
              <w:rPr>
                <w:rFonts w:ascii="Arial" w:cs="Arial" w:eastAsia="Arial" w:hAnsi="Arial"/>
                <w:sz w:val="14"/>
                <w:szCs w:val="14"/>
                <w:color w:val="auto"/>
              </w:rPr>
              <w:t>455.0 %</w:t>
            </w:r>
          </w:p>
        </w:tc>
      </w:tr>
      <w:tr>
        <w:trPr>
          <w:trHeight w:val="237"/>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240" w:type="dxa"/>
            <w:vAlign w:val="bottom"/>
          </w:tcPr>
          <w:p>
            <w:pPr>
              <w:spacing w:after="0"/>
              <w:rPr>
                <w:sz w:val="20"/>
                <w:szCs w:val="20"/>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2,000</w:t>
            </w: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1,534</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8"/>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4,054</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2,343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5"/>
        </w:trPr>
        <w:tc>
          <w:tcPr>
            <w:tcW w:w="5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00497F"/>
                <w:w w:val="71"/>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6,054</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3,877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S-5</w:t>
      </w:r>
    </w:p>
    <w:p>
      <w:pPr>
        <w:sectPr>
          <w:pgSz w:w="11900" w:h="16838" w:orient="portrait"/>
          <w:cols w:equalWidth="0" w:num="1">
            <w:col w:w="10139"/>
          </w:cols>
          <w:pgMar w:left="320" w:top="569" w:right="1440" w:bottom="1440" w:gutter="0" w:footer="0" w:header="0"/>
        </w:sectPr>
      </w:pPr>
    </w:p>
    <w:bookmarkStart w:id="35" w:name="page36"/>
    <w:bookmarkEnd w:id="35"/>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three months ended March 31, 2020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Group and</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Healthcare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Retail</w:t>
            </w: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Specialty</w:t>
            </w: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Services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tcPr>
          <w:p>
            <w:pPr>
              <w:ind w:left="220"/>
              <w:spacing w:after="0"/>
              <w:rPr>
                <w:sz w:val="20"/>
                <w:szCs w:val="20"/>
                <w:color w:val="auto"/>
              </w:rPr>
            </w:pPr>
            <w:r>
              <w:rPr>
                <w:rFonts w:ascii="Arial" w:cs="Arial" w:eastAsia="Arial" w:hAnsi="Arial"/>
                <w:sz w:val="14"/>
                <w:szCs w:val="14"/>
                <w:color w:val="auto"/>
              </w:rPr>
              <w:t>Individual Medicare Advantage</w:t>
            </w:r>
          </w:p>
        </w:tc>
        <w:tc>
          <w:tcPr>
            <w:tcW w:w="2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12,794</w:t>
            </w:r>
          </w:p>
        </w:tc>
        <w:tc>
          <w:tcPr>
            <w:tcW w:w="12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12,794</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Group Medicare Advantage</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Medicare stand-alone PDP</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340"/>
              <w:spacing w:after="0"/>
              <w:rPr>
                <w:sz w:val="20"/>
                <w:szCs w:val="20"/>
                <w:color w:val="auto"/>
              </w:rPr>
            </w:pPr>
            <w:r>
              <w:rPr>
                <w:rFonts w:ascii="Arial" w:cs="Arial" w:eastAsia="Arial" w:hAnsi="Arial"/>
                <w:sz w:val="14"/>
                <w:szCs w:val="14"/>
                <w:b w:val="1"/>
                <w:bCs w:val="1"/>
                <w:color w:val="auto"/>
              </w:rPr>
              <w:t>Total Medicare</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15,560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15,560</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Arial" w:cs="Arial" w:eastAsia="Arial" w:hAnsi="Arial"/>
                <w:sz w:val="14"/>
                <w:szCs w:val="14"/>
                <w:color w:val="auto"/>
              </w:rPr>
              <w:t>Fully-insured</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Specialty</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Medicaid and other (C)</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340"/>
              <w:spacing w:after="0"/>
              <w:rPr>
                <w:sz w:val="20"/>
                <w:szCs w:val="20"/>
                <w:color w:val="auto"/>
              </w:rPr>
            </w:pPr>
            <w:r>
              <w:rPr>
                <w:rFonts w:ascii="Arial" w:cs="Arial" w:eastAsia="Arial" w:hAnsi="Arial"/>
                <w:sz w:val="14"/>
                <w:szCs w:val="14"/>
                <w:b w:val="1"/>
                <w:bCs w:val="1"/>
                <w:color w:val="auto"/>
              </w:rPr>
              <w:t>Total premiums</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16,704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18,362</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120"/>
              <w:spacing w:after="0"/>
              <w:rPr>
                <w:sz w:val="20"/>
                <w:szCs w:val="20"/>
                <w:color w:val="auto"/>
              </w:rPr>
            </w:pPr>
            <w:r>
              <w:rPr>
                <w:rFonts w:ascii="Arial" w:cs="Arial" w:eastAsia="Arial" w:hAnsi="Arial"/>
                <w:sz w:val="14"/>
                <w:szCs w:val="14"/>
                <w:b w:val="1"/>
                <w:bCs w:val="1"/>
                <w:color w:val="auto"/>
              </w:rPr>
              <w:t>Services revenue:</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tcPr>
          <w:p>
            <w:pPr>
              <w:ind w:left="220"/>
              <w:spacing w:after="0"/>
              <w:rPr>
                <w:sz w:val="20"/>
                <w:szCs w:val="20"/>
                <w:color w:val="auto"/>
              </w:rPr>
            </w:pPr>
            <w:r>
              <w:rPr>
                <w:rFonts w:ascii="Arial" w:cs="Arial" w:eastAsia="Arial" w:hAnsi="Arial"/>
                <w:sz w:val="14"/>
                <w:szCs w:val="14"/>
                <w:color w:val="auto"/>
              </w:rPr>
              <w:t>Provider</w:t>
            </w:r>
          </w:p>
        </w:tc>
        <w:tc>
          <w:tcPr>
            <w:tcW w:w="200" w:type="dxa"/>
            <w:vAlign w:val="bottom"/>
          </w:tcPr>
          <w:p>
            <w:pPr>
              <w:spacing w:after="0"/>
              <w:rPr>
                <w:sz w:val="23"/>
                <w:szCs w:val="23"/>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ASO and other (D)</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Pharmacy</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340"/>
              <w:spacing w:after="0"/>
              <w:rPr>
                <w:sz w:val="20"/>
                <w:szCs w:val="20"/>
                <w:color w:val="auto"/>
              </w:rPr>
            </w:pPr>
            <w:r>
              <w:rPr>
                <w:rFonts w:ascii="Arial" w:cs="Arial" w:eastAsia="Arial" w:hAnsi="Arial"/>
                <w:sz w:val="14"/>
                <w:szCs w:val="14"/>
                <w:b w:val="1"/>
                <w:bCs w:val="1"/>
                <w:color w:val="auto"/>
              </w:rPr>
              <w:t>Total services revenue</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16,708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tcPr>
          <w:p>
            <w:pPr>
              <w:ind w:left="220"/>
              <w:spacing w:after="0"/>
              <w:rPr>
                <w:sz w:val="20"/>
                <w:szCs w:val="20"/>
                <w:color w:val="auto"/>
              </w:rPr>
            </w:pPr>
            <w:r>
              <w:rPr>
                <w:rFonts w:ascii="Arial" w:cs="Arial" w:eastAsia="Arial" w:hAnsi="Arial"/>
                <w:sz w:val="14"/>
                <w:szCs w:val="14"/>
                <w:color w:val="auto"/>
              </w:rPr>
              <w:t>Services</w:t>
            </w:r>
          </w:p>
        </w:tc>
        <w:tc>
          <w:tcPr>
            <w:tcW w:w="200" w:type="dxa"/>
            <w:vAlign w:val="bottom"/>
          </w:tcPr>
          <w:p>
            <w:pPr>
              <w:spacing w:after="0"/>
              <w:rPr>
                <w:sz w:val="23"/>
                <w:szCs w:val="23"/>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4,950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(4,957)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6,860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Investment income</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16,762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7,085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rPr>
              <w:t>18,935</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tcPr>
          <w:p>
            <w:pPr>
              <w:ind w:left="120"/>
              <w:spacing w:after="0"/>
              <w:rPr>
                <w:sz w:val="20"/>
                <w:szCs w:val="20"/>
                <w:color w:val="auto"/>
              </w:rPr>
            </w:pPr>
            <w:r>
              <w:rPr>
                <w:rFonts w:ascii="Arial" w:cs="Arial" w:eastAsia="Arial" w:hAnsi="Arial"/>
                <w:sz w:val="14"/>
                <w:szCs w:val="14"/>
                <w:color w:val="auto"/>
              </w:rPr>
              <w:t>Benefits</w:t>
            </w:r>
          </w:p>
        </w:tc>
        <w:tc>
          <w:tcPr>
            <w:tcW w:w="200" w:type="dxa"/>
            <w:vAlign w:val="bottom"/>
          </w:tcPr>
          <w:p>
            <w:pPr>
              <w:spacing w:after="0"/>
              <w:rPr>
                <w:sz w:val="23"/>
                <w:szCs w:val="23"/>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14,464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15,629</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120"/>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6,800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16,077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6,843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17,861</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4"/>
                <w:szCs w:val="14"/>
                <w:color w:val="auto"/>
              </w:rPr>
              <w:t>Other expense, net (A)</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Arial" w:cs="Arial" w:eastAsia="Arial" w:hAnsi="Arial"/>
                <w:sz w:val="14"/>
                <w:szCs w:val="14"/>
                <w:b w:val="1"/>
                <w:bCs w:val="1"/>
                <w:color w:val="auto"/>
              </w:rPr>
              <w:t>Income (loss) before income taxes and equity in</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86"/>
        </w:trPr>
        <w:tc>
          <w:tcPr>
            <w:tcW w:w="3320" w:type="dxa"/>
            <w:vAlign w:val="bottom"/>
          </w:tcPr>
          <w:p>
            <w:pPr>
              <w:ind w:left="340"/>
              <w:spacing w:after="0"/>
              <w:rPr>
                <w:sz w:val="20"/>
                <w:szCs w:val="20"/>
                <w:color w:val="auto"/>
              </w:rPr>
            </w:pPr>
            <w:r>
              <w:rPr>
                <w:rFonts w:ascii="Arial" w:cs="Arial" w:eastAsia="Arial" w:hAnsi="Arial"/>
                <w:sz w:val="14"/>
                <w:szCs w:val="14"/>
                <w:color w:val="auto"/>
              </w:rPr>
              <w:t>Equity in net earnings (B)</w:t>
            </w:r>
          </w:p>
        </w:tc>
        <w:tc>
          <w:tcPr>
            <w:tcW w:w="20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S-6</w:t>
      </w:r>
    </w:p>
    <w:p>
      <w:pPr>
        <w:sectPr>
          <w:pgSz w:w="11900" w:h="16838" w:orient="portrait"/>
          <w:cols w:equalWidth="0" w:num="1">
            <w:col w:w="10139"/>
          </w:cols>
          <w:pgMar w:left="320" w:top="574" w:right="1440" w:bottom="1440" w:gutter="0" w:footer="0" w:header="0"/>
        </w:sectPr>
      </w:pPr>
    </w:p>
    <w:bookmarkStart w:id="36" w:name="page37"/>
    <w:bookmarkEnd w:id="36"/>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Consolidating Statements of Income—For the three months ended March 31, 2019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Group and</w:t>
            </w:r>
          </w:p>
        </w:tc>
        <w:tc>
          <w:tcPr>
            <w:tcW w:w="1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Healthcare</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Specialty</w:t>
            </w: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Services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ind w:left="340"/>
              <w:spacing w:after="0"/>
              <w:rPr>
                <w:sz w:val="20"/>
                <w:szCs w:val="20"/>
                <w:color w:val="auto"/>
              </w:rPr>
            </w:pPr>
            <w:r>
              <w:rPr>
                <w:rFonts w:ascii="Arial" w:cs="Arial" w:eastAsia="Arial" w:hAnsi="Arial"/>
                <w:sz w:val="14"/>
                <w:szCs w:val="14"/>
                <w:color w:val="auto"/>
              </w:rPr>
              <w:t>Individual Medicare Advantage</w:t>
            </w:r>
          </w:p>
        </w:tc>
        <w:tc>
          <w:tcPr>
            <w:tcW w:w="2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10,709</w:t>
            </w:r>
          </w:p>
        </w:tc>
        <w:tc>
          <w:tcPr>
            <w:tcW w:w="10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10,709</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Medicare stand-alone PDP</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13,150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13,150</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34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8"/>
                <w:szCs w:val="18"/>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Medicaid and other (C)</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13,967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15,651</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12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ind w:left="34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23"/>
                <w:szCs w:val="2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ASO and other (D)</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Pharmacy</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13,972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16,006</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ind w:left="12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23"/>
                <w:szCs w:val="2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4,306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1,636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5,942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rPr>
              <w:t>14,013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1,887</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6,098</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(5,891)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rPr>
              <w:t>16,107</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ind w:left="12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23"/>
                <w:szCs w:val="23"/>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12,327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13,493</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2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5,888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8"/>
                <w:szCs w:val="18"/>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22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13,548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1,722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5,926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15,260</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6"/>
                <w:szCs w:val="16"/>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8"/>
                <w:szCs w:val="18"/>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4"/>
                <w:szCs w:val="14"/>
                <w:color w:val="auto"/>
              </w:rPr>
              <w:t>Other expense, net (A)</w:t>
            </w:r>
          </w:p>
        </w:tc>
        <w:tc>
          <w:tcPr>
            <w:tcW w:w="220" w:type="dxa"/>
            <w:vAlign w:val="bottom"/>
          </w:tcPr>
          <w:p>
            <w:pPr>
              <w:spacing w:after="0"/>
              <w:rPr>
                <w:sz w:val="18"/>
                <w:szCs w:val="18"/>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line="159" w:lineRule="exact"/>
              <w:rPr>
                <w:sz w:val="20"/>
                <w:szCs w:val="20"/>
                <w:color w:val="auto"/>
              </w:rPr>
            </w:pPr>
            <w:r>
              <w:rPr>
                <w:rFonts w:ascii="Arial" w:cs="Arial" w:eastAsia="Arial" w:hAnsi="Arial"/>
                <w:sz w:val="14"/>
                <w:szCs w:val="14"/>
                <w:b w:val="1"/>
                <w:bCs w:val="1"/>
                <w:color w:val="auto"/>
              </w:rPr>
              <w:t>Income (loss) before income taxes and equity in</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10"/>
        </w:trPr>
        <w:tc>
          <w:tcPr>
            <w:tcW w:w="3260" w:type="dxa"/>
            <w:vAlign w:val="bottom"/>
          </w:tcPr>
          <w:p>
            <w:pPr>
              <w:ind w:left="340"/>
              <w:spacing w:after="0"/>
              <w:rPr>
                <w:sz w:val="20"/>
                <w:szCs w:val="20"/>
                <w:color w:val="auto"/>
              </w:rPr>
            </w:pPr>
            <w:r>
              <w:rPr>
                <w:rFonts w:ascii="Arial" w:cs="Arial" w:eastAsia="Arial" w:hAnsi="Arial"/>
                <w:sz w:val="14"/>
                <w:szCs w:val="14"/>
                <w:color w:val="auto"/>
              </w:rPr>
              <w:t>Equity in net earnings (B)</w:t>
            </w:r>
          </w:p>
        </w:tc>
        <w:tc>
          <w:tcPr>
            <w:tcW w:w="220" w:type="dxa"/>
            <w:vAlign w:val="bottom"/>
          </w:tcPr>
          <w:p>
            <w:pPr>
              <w:spacing w:after="0"/>
              <w:rPr>
                <w:sz w:val="18"/>
                <w:szCs w:val="18"/>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6"/>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79"/>
        </w:trPr>
        <w:tc>
          <w:tcPr>
            <w:tcW w:w="3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S-7</w:t>
      </w:r>
    </w:p>
    <w:p>
      <w:pPr>
        <w:sectPr>
          <w:pgSz w:w="11900" w:h="16838" w:orient="portrait"/>
          <w:cols w:equalWidth="0" w:num="1">
            <w:col w:w="10139"/>
          </w:cols>
          <w:pgMar w:left="320" w:top="574" w:right="1440" w:bottom="1440" w:gutter="0" w:footer="0" w:header="0"/>
        </w:sectPr>
      </w:pPr>
    </w:p>
    <w:bookmarkStart w:id="37" w:name="page38"/>
    <w:bookmarkEnd w:id="37"/>
    <w:p>
      <w:pPr>
        <w:spacing w:after="0"/>
        <w:rPr>
          <w:sz w:val="20"/>
          <w:szCs w:val="20"/>
          <w:color w:val="auto"/>
        </w:rPr>
      </w:pPr>
      <w:r>
        <w:rPr>
          <w:rFonts w:ascii="Arial" w:cs="Arial" w:eastAsia="Arial" w:hAnsi="Arial"/>
          <w:sz w:val="21"/>
          <w:szCs w:val="21"/>
          <w:color w:val="auto"/>
        </w:rPr>
        <w:t>Humana Inc.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Ending Membership Detail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400" w:type="dxa"/>
            <w:vAlign w:val="bottom"/>
          </w:tcPr>
          <w:p>
            <w:pPr>
              <w:spacing w:after="0"/>
              <w:rPr>
                <w:sz w:val="22"/>
                <w:szCs w:val="22"/>
                <w:color w:val="auto"/>
              </w:rPr>
            </w:pPr>
          </w:p>
        </w:tc>
        <w:tc>
          <w:tcPr>
            <w:tcW w:w="1180" w:type="dxa"/>
            <w:vAlign w:val="bottom"/>
            <w:tcBorders>
              <w:top w:val="single" w:sz="8" w:color="auto"/>
              <w:left w:val="single" w:sz="8" w:color="auto"/>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020" w:type="dxa"/>
            <w:vAlign w:val="bottom"/>
            <w:tcBorders>
              <w:top w:val="single" w:sz="8" w:color="auto"/>
              <w:bottom w:val="single" w:sz="8" w:color="auto"/>
              <w:right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1180" w:type="dxa"/>
            <w:vAlign w:val="bottom"/>
            <w:tcBorders>
              <w:left w:val="single" w:sz="8" w:color="auto"/>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1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4"/>
                <w:szCs w:val="14"/>
                <w:b w:val="1"/>
                <w:bCs w:val="1"/>
                <w:color w:val="00497F"/>
              </w:rPr>
              <w:t>March 31, 2020</w:t>
            </w: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00497F"/>
              </w:rPr>
              <w:t>Average 1Q20</w:t>
            </w: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March 31, 2019</w:t>
            </w:r>
          </w:p>
        </w:tc>
        <w:tc>
          <w:tcPr>
            <w:tcW w:w="1060" w:type="dxa"/>
            <w:vAlign w:val="bottom"/>
          </w:tcPr>
          <w:p>
            <w:pPr>
              <w:jc w:val="right"/>
              <w:ind w:right="21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960" w:type="dxa"/>
            <w:vAlign w:val="bottom"/>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20"/>
                <w:szCs w:val="20"/>
                <w:color w:val="auto"/>
              </w:rPr>
            </w:pPr>
            <w:r>
              <w:rPr>
                <w:rFonts w:ascii="Arial" w:cs="Arial" w:eastAsia="Arial" w:hAnsi="Arial"/>
                <w:sz w:val="14"/>
                <w:szCs w:val="14"/>
                <w:b w:val="1"/>
                <w:bCs w:val="1"/>
                <w:color w:val="auto"/>
              </w:rPr>
              <w:t>Medical Membership:</w:t>
            </w:r>
          </w:p>
        </w:tc>
        <w:tc>
          <w:tcPr>
            <w:tcW w:w="1180" w:type="dxa"/>
            <w:vAlign w:val="bottom"/>
            <w:tcBorders>
              <w:top w:val="single" w:sz="8" w:color="auto"/>
              <w:left w:val="single" w:sz="8" w:color="auto"/>
              <w:right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180" w:type="dxa"/>
            <w:vAlign w:val="bottom"/>
            <w:tcBorders>
              <w:left w:val="single" w:sz="8" w:color="auto"/>
              <w:right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400" w:type="dxa"/>
            <w:vAlign w:val="bottom"/>
          </w:tcPr>
          <w:p>
            <w:pPr>
              <w:ind w:left="220"/>
              <w:spacing w:after="0"/>
              <w:rPr>
                <w:sz w:val="20"/>
                <w:szCs w:val="20"/>
                <w:color w:val="auto"/>
              </w:rPr>
            </w:pPr>
            <w:r>
              <w:rPr>
                <w:rFonts w:ascii="Arial" w:cs="Arial" w:eastAsia="Arial" w:hAnsi="Arial"/>
                <w:sz w:val="14"/>
                <w:szCs w:val="14"/>
                <w:color w:val="auto"/>
              </w:rPr>
              <w:t>Individual Medicare Advantage</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3,838.1</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3,829.0</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3,433.3</w:t>
            </w:r>
          </w:p>
        </w:tc>
        <w:tc>
          <w:tcPr>
            <w:tcW w:w="12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404.8</w:t>
            </w:r>
          </w:p>
        </w:tc>
        <w:tc>
          <w:tcPr>
            <w:tcW w:w="96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3,587.2</w:t>
            </w: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color w:val="auto"/>
              </w:rPr>
              <w:t>Group Medicare Advantage</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607.4</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604.5</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517.9</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89.5</w:t>
            </w:r>
          </w:p>
        </w:tc>
        <w:tc>
          <w:tcPr>
            <w:tcW w:w="960" w:type="dxa"/>
            <w:vAlign w:val="bottom"/>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266"/>
        </w:trPr>
        <w:tc>
          <w:tcPr>
            <w:tcW w:w="2400" w:type="dxa"/>
            <w:vAlign w:val="bottom"/>
          </w:tcPr>
          <w:p>
            <w:pPr>
              <w:ind w:left="220"/>
              <w:spacing w:after="0"/>
              <w:rPr>
                <w:sz w:val="20"/>
                <w:szCs w:val="20"/>
                <w:color w:val="auto"/>
              </w:rPr>
            </w:pPr>
            <w:r>
              <w:rPr>
                <w:rFonts w:ascii="Arial" w:cs="Arial" w:eastAsia="Arial" w:hAnsi="Arial"/>
                <w:sz w:val="14"/>
                <w:szCs w:val="14"/>
                <w:color w:val="auto"/>
              </w:rPr>
              <w:t>Medicare stand-alone PDP</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3,895.1</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3,916.9</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4,448.4</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(553.3)</w:t>
            </w:r>
          </w:p>
        </w:tc>
        <w:tc>
          <w:tcPr>
            <w:tcW w:w="960" w:type="dxa"/>
            <w:vAlign w:val="bottom"/>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4,365.2</w:t>
            </w:r>
          </w:p>
        </w:tc>
        <w:tc>
          <w:tcPr>
            <w:tcW w:w="0" w:type="dxa"/>
            <w:vAlign w:val="bottom"/>
          </w:tcPr>
          <w:p>
            <w:pPr>
              <w:spacing w:after="0"/>
              <w:rPr>
                <w:sz w:val="1"/>
                <w:szCs w:val="1"/>
                <w:color w:val="auto"/>
              </w:rPr>
            </w:pPr>
          </w:p>
        </w:tc>
      </w:tr>
      <w:tr>
        <w:trPr>
          <w:trHeight w:val="186"/>
        </w:trPr>
        <w:tc>
          <w:tcPr>
            <w:tcW w:w="2400" w:type="dxa"/>
            <w:vAlign w:val="bottom"/>
          </w:tcPr>
          <w:p>
            <w:pPr>
              <w:ind w:left="640"/>
              <w:spacing w:after="0"/>
              <w:rPr>
                <w:sz w:val="20"/>
                <w:szCs w:val="20"/>
                <w:color w:val="auto"/>
              </w:rPr>
            </w:pPr>
            <w:r>
              <w:rPr>
                <w:rFonts w:ascii="Arial" w:cs="Arial" w:eastAsia="Arial" w:hAnsi="Arial"/>
                <w:sz w:val="14"/>
                <w:szCs w:val="14"/>
                <w:color w:val="auto"/>
              </w:rPr>
              <w:t>Total Medicare</w:t>
            </w:r>
          </w:p>
        </w:tc>
        <w:tc>
          <w:tcPr>
            <w:tcW w:w="118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4"/>
                <w:szCs w:val="14"/>
                <w:b w:val="1"/>
                <w:bCs w:val="1"/>
                <w:color w:val="00497F"/>
              </w:rPr>
              <w:t>8,340.6</w:t>
            </w:r>
          </w:p>
        </w:tc>
        <w:tc>
          <w:tcPr>
            <w:tcW w:w="11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00497F"/>
              </w:rPr>
              <w:t>8,350.4</w:t>
            </w: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8,399.6</w:t>
            </w:r>
          </w:p>
        </w:tc>
        <w:tc>
          <w:tcPr>
            <w:tcW w:w="120" w:type="dxa"/>
            <w:vAlign w:val="bottom"/>
          </w:tcPr>
          <w:p>
            <w:pPr>
              <w:spacing w:after="0"/>
              <w:rPr>
                <w:sz w:val="16"/>
                <w:szCs w:val="16"/>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(59.0)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8,477.7</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1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Arial" w:cs="Arial" w:eastAsia="Arial" w:hAnsi="Arial"/>
                <w:sz w:val="14"/>
                <w:szCs w:val="14"/>
                <w:color w:val="auto"/>
              </w:rPr>
              <w:t>State-based contracts (E)</w:t>
            </w:r>
          </w:p>
        </w:tc>
        <w:tc>
          <w:tcPr>
            <w:tcW w:w="118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4"/>
                <w:szCs w:val="14"/>
                <w:b w:val="1"/>
                <w:bCs w:val="1"/>
                <w:color w:val="00497F"/>
              </w:rPr>
              <w:t>617.3</w:t>
            </w:r>
          </w:p>
        </w:tc>
        <w:tc>
          <w:tcPr>
            <w:tcW w:w="11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00497F"/>
              </w:rPr>
              <w:t>614.8</w:t>
            </w: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461.3</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156.0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33.8 %</w:t>
            </w:r>
          </w:p>
        </w:tc>
        <w:tc>
          <w:tcPr>
            <w:tcW w:w="10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66"/>
        </w:trPr>
        <w:tc>
          <w:tcPr>
            <w:tcW w:w="2400" w:type="dxa"/>
            <w:vAlign w:val="bottom"/>
          </w:tcPr>
          <w:p>
            <w:pPr>
              <w:spacing w:after="0"/>
              <w:rPr>
                <w:sz w:val="5"/>
                <w:szCs w:val="5"/>
                <w:color w:val="auto"/>
              </w:rPr>
            </w:pPr>
          </w:p>
        </w:tc>
        <w:tc>
          <w:tcPr>
            <w:tcW w:w="118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400" w:type="dxa"/>
            <w:vAlign w:val="bottom"/>
          </w:tcPr>
          <w:p>
            <w:pPr>
              <w:ind w:left="220"/>
              <w:spacing w:after="0"/>
              <w:rPr>
                <w:sz w:val="20"/>
                <w:szCs w:val="20"/>
                <w:color w:val="auto"/>
              </w:rPr>
            </w:pPr>
            <w:r>
              <w:rPr>
                <w:rFonts w:ascii="Arial" w:cs="Arial" w:eastAsia="Arial" w:hAnsi="Arial"/>
                <w:sz w:val="14"/>
                <w:szCs w:val="14"/>
                <w:color w:val="auto"/>
              </w:rPr>
              <w:t>Medicare Supplement</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314.0</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311.9</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46.7</w:t>
            </w:r>
          </w:p>
        </w:tc>
        <w:tc>
          <w:tcPr>
            <w:tcW w:w="960" w:type="dxa"/>
            <w:vAlign w:val="bottom"/>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86"/>
        </w:trPr>
        <w:tc>
          <w:tcPr>
            <w:tcW w:w="2400" w:type="dxa"/>
            <w:vAlign w:val="bottom"/>
          </w:tcPr>
          <w:p>
            <w:pPr>
              <w:ind w:left="540"/>
              <w:spacing w:after="0"/>
              <w:rPr>
                <w:sz w:val="20"/>
                <w:szCs w:val="20"/>
                <w:color w:val="auto"/>
              </w:rPr>
            </w:pPr>
            <w:r>
              <w:rPr>
                <w:rFonts w:ascii="Arial" w:cs="Arial" w:eastAsia="Arial" w:hAnsi="Arial"/>
                <w:sz w:val="14"/>
                <w:szCs w:val="14"/>
                <w:b w:val="1"/>
                <w:bCs w:val="1"/>
                <w:color w:val="auto"/>
              </w:rPr>
              <w:t>Total Retail</w:t>
            </w:r>
          </w:p>
        </w:tc>
        <w:tc>
          <w:tcPr>
            <w:tcW w:w="118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4"/>
                <w:szCs w:val="14"/>
                <w:b w:val="1"/>
                <w:bCs w:val="1"/>
                <w:color w:val="00497F"/>
              </w:rPr>
              <w:t>9,271.9</w:t>
            </w:r>
          </w:p>
        </w:tc>
        <w:tc>
          <w:tcPr>
            <w:tcW w:w="11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00497F"/>
              </w:rPr>
              <w:t>9,277.1</w:t>
            </w: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9,128.2</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143.7</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9,245.1</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1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20"/>
                <w:szCs w:val="20"/>
                <w:color w:val="auto"/>
              </w:rPr>
            </w:pPr>
            <w:r>
              <w:rPr>
                <w:rFonts w:ascii="Arial" w:cs="Arial" w:eastAsia="Arial" w:hAnsi="Arial"/>
                <w:sz w:val="14"/>
                <w:szCs w:val="14"/>
                <w:b w:val="1"/>
                <w:bCs w:val="1"/>
                <w:color w:val="auto"/>
              </w:rPr>
              <w:t>Group and Specialty</w:t>
            </w:r>
          </w:p>
        </w:tc>
        <w:tc>
          <w:tcPr>
            <w:tcW w:w="118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400" w:type="dxa"/>
            <w:vAlign w:val="bottom"/>
          </w:tcPr>
          <w:p>
            <w:pPr>
              <w:ind w:left="220"/>
              <w:spacing w:after="0"/>
              <w:rPr>
                <w:sz w:val="20"/>
                <w:szCs w:val="20"/>
                <w:color w:val="auto"/>
              </w:rPr>
            </w:pPr>
            <w:r>
              <w:rPr>
                <w:rFonts w:ascii="Arial" w:cs="Arial" w:eastAsia="Arial" w:hAnsi="Arial"/>
                <w:sz w:val="14"/>
                <w:szCs w:val="14"/>
                <w:color w:val="auto"/>
              </w:rPr>
              <w:t>Fully-insured commercial medical</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861.6</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868.5</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958.2</w:t>
            </w:r>
          </w:p>
        </w:tc>
        <w:tc>
          <w:tcPr>
            <w:tcW w:w="1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(96.6)</w:t>
            </w:r>
          </w:p>
        </w:tc>
        <w:tc>
          <w:tcPr>
            <w:tcW w:w="960" w:type="dxa"/>
            <w:vAlign w:val="bottom"/>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color w:val="auto"/>
              </w:rPr>
              <w:t>ASO commercial</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506.1</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504.6</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27.5</w:t>
            </w:r>
          </w:p>
        </w:tc>
        <w:tc>
          <w:tcPr>
            <w:tcW w:w="96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266"/>
        </w:trPr>
        <w:tc>
          <w:tcPr>
            <w:tcW w:w="2400" w:type="dxa"/>
            <w:vAlign w:val="bottom"/>
          </w:tcPr>
          <w:p>
            <w:pPr>
              <w:ind w:left="220"/>
              <w:spacing w:after="0"/>
              <w:rPr>
                <w:sz w:val="20"/>
                <w:szCs w:val="20"/>
                <w:color w:val="auto"/>
              </w:rPr>
            </w:pPr>
            <w:r>
              <w:rPr>
                <w:rFonts w:ascii="Arial" w:cs="Arial" w:eastAsia="Arial" w:hAnsi="Arial"/>
                <w:sz w:val="14"/>
                <w:szCs w:val="14"/>
                <w:color w:val="auto"/>
              </w:rPr>
              <w:t>Military services</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5,999.2</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6,001.9</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5,942.5</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56.7</w:t>
            </w: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5,984.3</w:t>
            </w:r>
          </w:p>
        </w:tc>
        <w:tc>
          <w:tcPr>
            <w:tcW w:w="0" w:type="dxa"/>
            <w:vAlign w:val="bottom"/>
          </w:tcPr>
          <w:p>
            <w:pPr>
              <w:spacing w:after="0"/>
              <w:rPr>
                <w:sz w:val="1"/>
                <w:szCs w:val="1"/>
                <w:color w:val="auto"/>
              </w:rPr>
            </w:pPr>
          </w:p>
        </w:tc>
      </w:tr>
      <w:tr>
        <w:trPr>
          <w:trHeight w:val="186"/>
        </w:trPr>
        <w:tc>
          <w:tcPr>
            <w:tcW w:w="2400" w:type="dxa"/>
            <w:vAlign w:val="bottom"/>
          </w:tcPr>
          <w:p>
            <w:pPr>
              <w:ind w:left="540"/>
              <w:spacing w:after="0"/>
              <w:rPr>
                <w:sz w:val="20"/>
                <w:szCs w:val="20"/>
                <w:color w:val="auto"/>
              </w:rPr>
            </w:pPr>
            <w:r>
              <w:rPr>
                <w:rFonts w:ascii="Arial" w:cs="Arial" w:eastAsia="Arial" w:hAnsi="Arial"/>
                <w:sz w:val="14"/>
                <w:szCs w:val="14"/>
                <w:b w:val="1"/>
                <w:bCs w:val="1"/>
                <w:color w:val="auto"/>
              </w:rPr>
              <w:t>Total Group and Specialty</w:t>
            </w:r>
          </w:p>
        </w:tc>
        <w:tc>
          <w:tcPr>
            <w:tcW w:w="1180" w:type="dxa"/>
            <w:vAlign w:val="bottom"/>
            <w:tcBorders>
              <w:left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4"/>
                <w:szCs w:val="14"/>
                <w:b w:val="1"/>
                <w:bCs w:val="1"/>
                <w:color w:val="00497F"/>
              </w:rPr>
              <w:t>7,366.9</w:t>
            </w:r>
          </w:p>
        </w:tc>
        <w:tc>
          <w:tcPr>
            <w:tcW w:w="11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00497F"/>
              </w:rPr>
              <w:t>7,375.0</w:t>
            </w:r>
          </w:p>
        </w:tc>
        <w:tc>
          <w:tcPr>
            <w:tcW w:w="1120" w:type="dxa"/>
            <w:vAlign w:val="bottom"/>
            <w:vMerge w:val="restart"/>
          </w:tcPr>
          <w:p>
            <w:pPr>
              <w:jc w:val="right"/>
              <w:ind w:right="50"/>
              <w:spacing w:after="0"/>
              <w:rPr>
                <w:sz w:val="20"/>
                <w:szCs w:val="20"/>
                <w:color w:val="auto"/>
              </w:rPr>
            </w:pPr>
            <w:r>
              <w:rPr>
                <w:rFonts w:ascii="Arial" w:cs="Arial" w:eastAsia="Arial" w:hAnsi="Arial"/>
                <w:sz w:val="14"/>
                <w:szCs w:val="14"/>
                <w:color w:val="auto"/>
              </w:rPr>
              <w:t>7,379.3</w:t>
            </w:r>
          </w:p>
        </w:tc>
        <w:tc>
          <w:tcPr>
            <w:tcW w:w="120" w:type="dxa"/>
            <w:vAlign w:val="bottom"/>
          </w:tcPr>
          <w:p>
            <w:pPr>
              <w:spacing w:after="0"/>
              <w:rPr>
                <w:sz w:val="16"/>
                <w:szCs w:val="16"/>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(12.4)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7,422.1</w:t>
            </w: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11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Medical Membership</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16,638.8</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16,652.1</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16,507.5</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131.3</w:t>
            </w:r>
          </w:p>
        </w:tc>
        <w:tc>
          <w:tcPr>
            <w:tcW w:w="96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16,667.2</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Specialty Membership (included in</w:t>
            </w: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400" w:type="dxa"/>
            <w:vAlign w:val="bottom"/>
            <w:vMerge w:val="continue"/>
          </w:tcPr>
          <w:p>
            <w:pPr>
              <w:spacing w:after="0"/>
              <w:rPr>
                <w:sz w:val="24"/>
                <w:szCs w:val="24"/>
                <w:color w:val="auto"/>
              </w:rPr>
            </w:pPr>
          </w:p>
        </w:tc>
        <w:tc>
          <w:tcPr>
            <w:tcW w:w="118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rPr>
                <w:sz w:val="20"/>
                <w:szCs w:val="20"/>
                <w:color w:val="auto"/>
              </w:rPr>
            </w:pPr>
            <w:r>
              <w:rPr>
                <w:rFonts w:ascii="Arial" w:cs="Arial" w:eastAsia="Arial" w:hAnsi="Arial"/>
                <w:sz w:val="14"/>
                <w:szCs w:val="14"/>
                <w:b w:val="1"/>
                <w:bCs w:val="1"/>
                <w:color w:val="auto"/>
              </w:rPr>
              <w:t>Group and Specialty segment):</w:t>
            </w:r>
          </w:p>
        </w:tc>
        <w:tc>
          <w:tcPr>
            <w:tcW w:w="118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color w:val="auto"/>
              </w:rPr>
              <w:t>Dental—fully-insured (F)</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2,689.1</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2,696.2</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2,733.4</w:t>
            </w:r>
          </w:p>
        </w:tc>
        <w:tc>
          <w:tcPr>
            <w:tcW w:w="1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(44.3)</w:t>
            </w:r>
          </w:p>
        </w:tc>
        <w:tc>
          <w:tcPr>
            <w:tcW w:w="9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2,646.4</w:t>
            </w: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color w:val="auto"/>
              </w:rPr>
              <w:t>Dental—ASO</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287.3</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287.3</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611.5</w:t>
            </w:r>
          </w:p>
        </w:tc>
        <w:tc>
          <w:tcPr>
            <w:tcW w:w="1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(324.2)</w:t>
            </w:r>
          </w:p>
        </w:tc>
        <w:tc>
          <w:tcPr>
            <w:tcW w:w="960" w:type="dxa"/>
            <w:vAlign w:val="bottom"/>
          </w:tcPr>
          <w:p>
            <w:pPr>
              <w:jc w:val="right"/>
              <w:spacing w:after="0"/>
              <w:rPr>
                <w:sz w:val="20"/>
                <w:szCs w:val="20"/>
                <w:color w:val="auto"/>
              </w:rPr>
            </w:pPr>
            <w:r>
              <w:rPr>
                <w:rFonts w:ascii="Arial" w:cs="Arial" w:eastAsia="Arial" w:hAnsi="Arial"/>
                <w:sz w:val="14"/>
                <w:szCs w:val="14"/>
                <w:color w:val="auto"/>
              </w:rPr>
              <w:t>-53.0 %</w:t>
            </w: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color w:val="auto"/>
              </w:rPr>
              <w:t>Vision</w:t>
            </w:r>
          </w:p>
        </w:tc>
        <w:tc>
          <w:tcPr>
            <w:tcW w:w="118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2,082.6</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00497F"/>
              </w:rPr>
              <w:t>2,087.7</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2,065.5</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17.1</w:t>
            </w:r>
          </w:p>
        </w:tc>
        <w:tc>
          <w:tcPr>
            <w:tcW w:w="96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2,082.5</w:t>
            </w:r>
          </w:p>
        </w:tc>
        <w:tc>
          <w:tcPr>
            <w:tcW w:w="0" w:type="dxa"/>
            <w:vAlign w:val="bottom"/>
          </w:tcPr>
          <w:p>
            <w:pPr>
              <w:spacing w:after="0"/>
              <w:rPr>
                <w:sz w:val="1"/>
                <w:szCs w:val="1"/>
                <w:color w:val="auto"/>
              </w:rPr>
            </w:pPr>
          </w:p>
        </w:tc>
      </w:tr>
      <w:tr>
        <w:trPr>
          <w:trHeight w:val="268"/>
        </w:trPr>
        <w:tc>
          <w:tcPr>
            <w:tcW w:w="2400" w:type="dxa"/>
            <w:vAlign w:val="bottom"/>
          </w:tcPr>
          <w:p>
            <w:pPr>
              <w:ind w:left="220"/>
              <w:spacing w:after="0"/>
              <w:rPr>
                <w:sz w:val="20"/>
                <w:szCs w:val="20"/>
                <w:color w:val="auto"/>
              </w:rPr>
            </w:pPr>
            <w:r>
              <w:rPr>
                <w:rFonts w:ascii="Arial" w:cs="Arial" w:eastAsia="Arial" w:hAnsi="Arial"/>
                <w:sz w:val="14"/>
                <w:szCs w:val="14"/>
                <w:color w:val="auto"/>
              </w:rPr>
              <w:t>Other supplemental benefits (G)</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411.7</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414.1</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424.8</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(13.1)</w:t>
            </w:r>
          </w:p>
        </w:tc>
        <w:tc>
          <w:tcPr>
            <w:tcW w:w="96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261"/>
        </w:trPr>
        <w:tc>
          <w:tcPr>
            <w:tcW w:w="2400" w:type="dxa"/>
            <w:vAlign w:val="bottom"/>
          </w:tcPr>
          <w:p>
            <w:pPr>
              <w:spacing w:after="0"/>
              <w:rPr>
                <w:sz w:val="20"/>
                <w:szCs w:val="20"/>
                <w:color w:val="auto"/>
              </w:rPr>
            </w:pPr>
            <w:r>
              <w:rPr>
                <w:rFonts w:ascii="Arial" w:cs="Arial" w:eastAsia="Arial" w:hAnsi="Arial"/>
                <w:sz w:val="14"/>
                <w:szCs w:val="14"/>
                <w:b w:val="1"/>
                <w:bCs w:val="1"/>
                <w:color w:val="auto"/>
              </w:rPr>
              <w:t>Total Specialty Membership</w:t>
            </w:r>
          </w:p>
        </w:tc>
        <w:tc>
          <w:tcPr>
            <w:tcW w:w="118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b w:val="1"/>
                <w:bCs w:val="1"/>
                <w:color w:val="00497F"/>
              </w:rPr>
              <w:t>5,470.7</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00497F"/>
              </w:rPr>
              <w:t>5,485.3</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5,835.2</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(364.5)</w:t>
            </w:r>
          </w:p>
        </w:tc>
        <w:tc>
          <w:tcPr>
            <w:tcW w:w="960" w:type="dxa"/>
            <w:vAlign w:val="bottom"/>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5,425.9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400" w:type="dxa"/>
            <w:vAlign w:val="bottom"/>
          </w:tcPr>
          <w:p>
            <w:pPr>
              <w:spacing w:after="0"/>
              <w:rPr>
                <w:sz w:val="11"/>
                <w:szCs w:val="11"/>
                <w:color w:val="auto"/>
              </w:rPr>
            </w:pPr>
          </w:p>
        </w:tc>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74930</wp:posOffset>
            </wp:positionV>
            <wp:extent cx="666750" cy="2184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0" cy="2184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Sequential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100012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0125" cy="175260"/>
                    </a:xfrm>
                    <a:prstGeom prst="rect">
                      <a:avLst/>
                    </a:prstGeom>
                    <a:noFill/>
                  </pic:spPr>
                </pic:pic>
              </a:graphicData>
            </a:graphic>
          </wp:anchor>
        </w:drawing>
      </w:r>
    </w:p>
    <w:p>
      <w:pPr>
        <w:spacing w:after="0" w:line="187"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991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80" w:type="dxa"/>
        <w:tblCellMar>
          <w:top w:w="0" w:type="dxa"/>
          <w:left w:w="0" w:type="dxa"/>
          <w:bottom w:w="0" w:type="dxa"/>
          <w:right w:w="0" w:type="dxa"/>
        </w:tblCellMar>
      </w:tblPr>
      <w:tr>
        <w:trPr>
          <w:trHeight w:val="169"/>
        </w:trPr>
        <w:tc>
          <w:tcPr>
            <w:tcW w:w="580" w:type="dxa"/>
            <w:vAlign w:val="bottom"/>
          </w:tcPr>
          <w:p>
            <w:pPr>
              <w:jc w:val="right"/>
              <w:ind w:right="150"/>
              <w:spacing w:after="0"/>
              <w:rPr>
                <w:sz w:val="20"/>
                <w:szCs w:val="20"/>
                <w:color w:val="auto"/>
              </w:rPr>
            </w:pPr>
            <w:r>
              <w:rPr>
                <w:rFonts w:ascii="Arial" w:cs="Arial" w:eastAsia="Arial" w:hAnsi="Arial"/>
                <w:sz w:val="14"/>
                <w:szCs w:val="14"/>
                <w:color w:val="auto"/>
                <w:w w:val="96"/>
              </w:rPr>
              <w:t>250.9</w:t>
            </w:r>
          </w:p>
        </w:tc>
        <w:tc>
          <w:tcPr>
            <w:tcW w:w="68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263"/>
        </w:trPr>
        <w:tc>
          <w:tcPr>
            <w:tcW w:w="580" w:type="dxa"/>
            <w:vAlign w:val="bottom"/>
          </w:tcPr>
          <w:p>
            <w:pPr>
              <w:jc w:val="right"/>
              <w:ind w:right="150"/>
              <w:spacing w:after="0"/>
              <w:rPr>
                <w:sz w:val="20"/>
                <w:szCs w:val="20"/>
                <w:color w:val="auto"/>
              </w:rPr>
            </w:pPr>
            <w:r>
              <w:rPr>
                <w:rFonts w:ascii="Arial" w:cs="Arial" w:eastAsia="Arial" w:hAnsi="Arial"/>
                <w:sz w:val="14"/>
                <w:szCs w:val="14"/>
                <w:color w:val="auto"/>
              </w:rPr>
              <w:t>82.1</w:t>
            </w:r>
          </w:p>
        </w:tc>
        <w:tc>
          <w:tcPr>
            <w:tcW w:w="680" w:type="dxa"/>
            <w:vAlign w:val="bottom"/>
          </w:tcPr>
          <w:p>
            <w:pPr>
              <w:jc w:val="right"/>
              <w:spacing w:after="0"/>
              <w:rPr>
                <w:sz w:val="20"/>
                <w:szCs w:val="20"/>
                <w:color w:val="auto"/>
              </w:rPr>
            </w:pPr>
            <w:r>
              <w:rPr>
                <w:rFonts w:ascii="Arial" w:cs="Arial" w:eastAsia="Arial" w:hAnsi="Arial"/>
                <w:sz w:val="14"/>
                <w:szCs w:val="14"/>
                <w:color w:val="auto"/>
              </w:rPr>
              <w:t>15.6 %</w:t>
            </w:r>
          </w:p>
        </w:tc>
      </w:tr>
    </w:tbl>
    <w:p>
      <w:pPr>
        <w:spacing w:after="0" w:line="9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4"/>
          <w:szCs w:val="14"/>
          <w:color w:val="auto"/>
        </w:rPr>
        <w:t>(470.1)</w:t>
      </w:r>
      <w:r>
        <w:rPr>
          <w:sz w:val="20"/>
          <w:szCs w:val="20"/>
          <w:color w:val="auto"/>
        </w:rPr>
        <w:tab/>
      </w:r>
      <w:r>
        <w:rPr>
          <w:rFonts w:ascii="Arial" w:cs="Arial" w:eastAsia="Arial" w:hAnsi="Arial"/>
          <w:sz w:val="14"/>
          <w:szCs w:val="14"/>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466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w:t>
            </w:r>
          </w:p>
        </w:tc>
        <w:tc>
          <w:tcPr>
            <w:tcW w:w="80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50"/>
        </w:trPr>
        <w:tc>
          <w:tcPr>
            <w:tcW w:w="740" w:type="dxa"/>
            <w:vAlign w:val="bottom"/>
          </w:tcPr>
          <w:p>
            <w:pPr>
              <w:jc w:val="right"/>
              <w:ind w:right="30"/>
              <w:spacing w:after="0"/>
              <w:rPr>
                <w:sz w:val="20"/>
                <w:szCs w:val="20"/>
                <w:color w:val="auto"/>
              </w:rPr>
            </w:pPr>
            <w:r>
              <w:rPr>
                <w:rFonts w:ascii="Arial" w:cs="Arial" w:eastAsia="Arial" w:hAnsi="Arial"/>
                <w:sz w:val="14"/>
                <w:szCs w:val="14"/>
                <w:color w:val="auto"/>
              </w:rPr>
              <w:t>148.3</w:t>
            </w:r>
          </w:p>
        </w:tc>
        <w:tc>
          <w:tcPr>
            <w:tcW w:w="800" w:type="dxa"/>
            <w:vAlign w:val="bottom"/>
          </w:tcPr>
          <w:p>
            <w:pPr>
              <w:jc w:val="right"/>
              <w:spacing w:after="0"/>
              <w:rPr>
                <w:sz w:val="20"/>
                <w:szCs w:val="20"/>
                <w:color w:val="auto"/>
              </w:rPr>
            </w:pPr>
            <w:r>
              <w:rPr>
                <w:rFonts w:ascii="Arial" w:cs="Arial" w:eastAsia="Arial" w:hAnsi="Arial"/>
                <w:sz w:val="14"/>
                <w:szCs w:val="14"/>
                <w:color w:val="auto"/>
              </w:rPr>
              <w:t>31.6 %</w:t>
            </w:r>
          </w:p>
        </w:tc>
      </w:tr>
      <w:tr>
        <w:trPr>
          <w:trHeight w:val="268"/>
        </w:trPr>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15.6</w:t>
            </w: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r>
      <w:tr>
        <w:trPr>
          <w:trHeight w:val="256"/>
        </w:trPr>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26.8</w:t>
            </w:r>
          </w:p>
        </w:tc>
        <w:tc>
          <w:tcPr>
            <w:tcW w:w="80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513"/>
        </w:trPr>
        <w:tc>
          <w:tcPr>
            <w:tcW w:w="740" w:type="dxa"/>
            <w:vAlign w:val="bottom"/>
          </w:tcPr>
          <w:p>
            <w:pPr>
              <w:jc w:val="right"/>
              <w:spacing w:after="0"/>
              <w:rPr>
                <w:sz w:val="20"/>
                <w:szCs w:val="20"/>
                <w:color w:val="auto"/>
              </w:rPr>
            </w:pPr>
            <w:r>
              <w:rPr>
                <w:rFonts w:ascii="Arial" w:cs="Arial" w:eastAsia="Arial" w:hAnsi="Arial"/>
                <w:sz w:val="14"/>
                <w:szCs w:val="14"/>
                <w:color w:val="auto"/>
              </w:rPr>
              <w:t>(47.0)</w:t>
            </w: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r>
      <w:tr>
        <w:trPr>
          <w:trHeight w:val="263"/>
        </w:trPr>
        <w:tc>
          <w:tcPr>
            <w:tcW w:w="740" w:type="dxa"/>
            <w:vAlign w:val="bottom"/>
          </w:tcPr>
          <w:p>
            <w:pPr>
              <w:jc w:val="right"/>
              <w:spacing w:after="0"/>
              <w:rPr>
                <w:sz w:val="20"/>
                <w:szCs w:val="20"/>
                <w:color w:val="auto"/>
              </w:rPr>
            </w:pPr>
            <w:r>
              <w:rPr>
                <w:rFonts w:ascii="Arial" w:cs="Arial" w:eastAsia="Arial" w:hAnsi="Arial"/>
                <w:sz w:val="14"/>
                <w:szCs w:val="14"/>
                <w:color w:val="auto"/>
              </w:rPr>
              <w:t>(23.1)</w:t>
            </w:r>
          </w:p>
        </w:tc>
        <w:tc>
          <w:tcPr>
            <w:tcW w:w="800" w:type="dxa"/>
            <w:vAlign w:val="bottom"/>
          </w:tcPr>
          <w:p>
            <w:pPr>
              <w:jc w:val="right"/>
              <w:spacing w:after="0"/>
              <w:rPr>
                <w:sz w:val="20"/>
                <w:szCs w:val="20"/>
                <w:color w:val="auto"/>
              </w:rPr>
            </w:pPr>
            <w:r>
              <w:rPr>
                <w:rFonts w:ascii="Arial" w:cs="Arial" w:eastAsia="Arial" w:hAnsi="Arial"/>
                <w:sz w:val="14"/>
                <w:szCs w:val="14"/>
                <w:color w:val="auto"/>
              </w:rPr>
              <w:t>-4.4 %</w:t>
            </w:r>
          </w:p>
        </w:tc>
      </w:tr>
      <w:tr>
        <w:trPr>
          <w:trHeight w:val="268"/>
        </w:trPr>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14.9</w:t>
            </w: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25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80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261"/>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757"/>
        </w:trPr>
        <w:tc>
          <w:tcPr>
            <w:tcW w:w="740" w:type="dxa"/>
            <w:vAlign w:val="bottom"/>
          </w:tcPr>
          <w:p>
            <w:pPr>
              <w:jc w:val="right"/>
              <w:ind w:right="30"/>
              <w:spacing w:after="0"/>
              <w:rPr>
                <w:sz w:val="20"/>
                <w:szCs w:val="20"/>
                <w:color w:val="auto"/>
              </w:rPr>
            </w:pPr>
            <w:r>
              <w:rPr>
                <w:rFonts w:ascii="Arial" w:cs="Arial" w:eastAsia="Arial" w:hAnsi="Arial"/>
                <w:sz w:val="14"/>
                <w:szCs w:val="14"/>
                <w:color w:val="auto"/>
              </w:rPr>
              <w:t>42.7</w:t>
            </w:r>
          </w:p>
        </w:tc>
        <w:tc>
          <w:tcPr>
            <w:tcW w:w="80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63"/>
        </w:trPr>
        <w:tc>
          <w:tcPr>
            <w:tcW w:w="740" w:type="dxa"/>
            <w:vAlign w:val="bottom"/>
          </w:tcPr>
          <w:p>
            <w:pPr>
              <w:jc w:val="right"/>
              <w:ind w:right="30"/>
              <w:spacing w:after="0"/>
              <w:rPr>
                <w:sz w:val="20"/>
                <w:szCs w:val="20"/>
                <w:color w:val="auto"/>
              </w:rPr>
            </w:pPr>
            <w:r>
              <w:rPr>
                <w:rFonts w:ascii="Arial" w:cs="Arial" w:eastAsia="Arial" w:hAnsi="Arial"/>
                <w:sz w:val="14"/>
                <w:szCs w:val="14"/>
                <w:color w:val="auto"/>
              </w:rPr>
              <w:t>8.4</w:t>
            </w:r>
          </w:p>
        </w:tc>
        <w:tc>
          <w:tcPr>
            <w:tcW w:w="8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63"/>
        </w:trPr>
        <w:tc>
          <w:tcPr>
            <w:tcW w:w="7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68"/>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61"/>
        </w:trPr>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44.8</w:t>
            </w:r>
          </w:p>
        </w:tc>
        <w:tc>
          <w:tcPr>
            <w:tcW w:w="80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13" w:lineRule="exact"/>
        <w:rPr>
          <w:sz w:val="20"/>
          <w:szCs w:val="20"/>
          <w:color w:val="auto"/>
        </w:rPr>
      </w:pPr>
    </w:p>
    <w:p>
      <w:pPr>
        <w:sectPr>
          <w:pgSz w:w="11900" w:h="16838" w:orient="portrait"/>
          <w:cols w:equalWidth="0" w:num="2">
            <w:col w:w="9040" w:space="100"/>
            <w:col w:w="1540"/>
          </w:cols>
          <w:pgMar w:left="320" w:top="580" w:right="899" w:bottom="1440" w:gutter="0" w:footer="0" w:header="0"/>
        </w:sectPr>
      </w:pPr>
    </w:p>
    <w:p>
      <w:pPr>
        <w:spacing w:after="0" w:line="387" w:lineRule="exact"/>
        <w:rPr>
          <w:sz w:val="20"/>
          <w:szCs w:val="20"/>
          <w:color w:val="auto"/>
        </w:rPr>
      </w:pPr>
    </w:p>
    <w:p>
      <w:pPr>
        <w:ind w:left="40" w:right="40"/>
        <w:spacing w:after="0" w:line="246" w:lineRule="auto"/>
        <w:rPr>
          <w:sz w:val="20"/>
          <w:szCs w:val="20"/>
          <w:color w:val="auto"/>
        </w:rPr>
      </w:pPr>
      <w:r>
        <w:rPr>
          <w:rFonts w:ascii="Arial" w:cs="Arial" w:eastAsia="Arial" w:hAnsi="Arial"/>
          <w:sz w:val="14"/>
          <w:szCs w:val="14"/>
          <w:color w:val="auto"/>
        </w:rPr>
        <w:t>Individual Medicare Advantage Membership</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HMO</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PPO</w:t>
      </w:r>
    </w:p>
    <w:p>
      <w:pPr>
        <w:spacing w:after="0" w:line="86" w:lineRule="exact"/>
        <w:rPr>
          <w:sz w:val="20"/>
          <w:szCs w:val="20"/>
          <w:color w:val="auto"/>
        </w:rPr>
      </w:pPr>
    </w:p>
    <w:p>
      <w:pPr>
        <w:ind w:left="40" w:right="280"/>
        <w:spacing w:after="0" w:line="270" w:lineRule="auto"/>
        <w:rPr>
          <w:sz w:val="20"/>
          <w:szCs w:val="20"/>
          <w:color w:val="auto"/>
        </w:rPr>
      </w:pPr>
      <w:r>
        <w:rPr>
          <w:rFonts w:ascii="Arial" w:cs="Arial" w:eastAsia="Arial" w:hAnsi="Arial"/>
          <w:sz w:val="14"/>
          <w:szCs w:val="14"/>
          <w:b w:val="1"/>
          <w:bCs w:val="1"/>
          <w:color w:val="auto"/>
        </w:rPr>
        <w:t>Total Individual Medicare Advantage</w:t>
      </w:r>
    </w:p>
    <w:p>
      <w:pPr>
        <w:spacing w:after="0" w:line="21" w:lineRule="exact"/>
        <w:rPr>
          <w:sz w:val="20"/>
          <w:szCs w:val="20"/>
          <w:color w:val="auto"/>
        </w:rPr>
      </w:pPr>
    </w:p>
    <w:p>
      <w:pPr>
        <w:ind w:left="40" w:right="40"/>
        <w:spacing w:after="0" w:line="246" w:lineRule="auto"/>
        <w:rPr>
          <w:sz w:val="20"/>
          <w:szCs w:val="20"/>
          <w:color w:val="auto"/>
        </w:rPr>
      </w:pPr>
      <w:r>
        <w:rPr>
          <w:rFonts w:ascii="Arial" w:cs="Arial" w:eastAsia="Arial" w:hAnsi="Arial"/>
          <w:sz w:val="14"/>
          <w:szCs w:val="14"/>
          <w:color w:val="auto"/>
        </w:rPr>
        <w:t>Individual Medicare Advantage Membership</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Shared Risk (H)</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Path to Risk (I)</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Total Value-based</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w:t>
      </w:r>
    </w:p>
    <w:p>
      <w:pPr>
        <w:spacing w:after="0" w:line="86" w:lineRule="exact"/>
        <w:rPr>
          <w:sz w:val="20"/>
          <w:szCs w:val="20"/>
          <w:color w:val="auto"/>
        </w:rPr>
      </w:pPr>
    </w:p>
    <w:p>
      <w:pPr>
        <w:ind w:left="40" w:right="280"/>
        <w:spacing w:after="0" w:line="270" w:lineRule="auto"/>
        <w:rPr>
          <w:sz w:val="20"/>
          <w:szCs w:val="20"/>
          <w:color w:val="auto"/>
        </w:rPr>
      </w:pPr>
      <w:r>
        <w:rPr>
          <w:rFonts w:ascii="Arial" w:cs="Arial" w:eastAsia="Arial" w:hAnsi="Arial"/>
          <w:sz w:val="14"/>
          <w:szCs w:val="14"/>
          <w:b w:val="1"/>
          <w:bCs w:val="1"/>
          <w:color w:val="auto"/>
        </w:rPr>
        <w:t>Total Individual Medicare Advantage</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4"/>
          <w:szCs w:val="14"/>
          <w:b w:val="1"/>
          <w:bCs w:val="1"/>
          <w:color w:val="00497F"/>
        </w:rPr>
        <w:t>March</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00497F"/>
        </w:rPr>
        <w:t>31, 2020</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2,269.5</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1,568.6</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3,838.1</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1,179.7</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1,334.3</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2,514.0</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1,324.1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97F"/>
        </w:rPr>
        <w:t>3,838.1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Member Mix</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Member Mix</w:t>
            </w:r>
          </w:p>
        </w:tc>
      </w:tr>
      <w:tr>
        <w:trPr>
          <w:trHeight w:val="190"/>
        </w:trPr>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 2020</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080" w:type="dxa"/>
            <w:vAlign w:val="bottom"/>
          </w:tcPr>
          <w:p>
            <w:pPr>
              <w:jc w:val="right"/>
              <w:spacing w:after="0"/>
              <w:rPr>
                <w:sz w:val="20"/>
                <w:szCs w:val="20"/>
                <w:color w:val="auto"/>
              </w:rPr>
            </w:pPr>
            <w:r>
              <w:rPr>
                <w:rFonts w:ascii="Arial" w:cs="Arial" w:eastAsia="Arial" w:hAnsi="Arial"/>
                <w:sz w:val="14"/>
                <w:szCs w:val="14"/>
                <w:color w:val="auto"/>
              </w:rPr>
              <w:t>March 31, 2019</w:t>
            </w:r>
          </w:p>
        </w:tc>
      </w:tr>
      <w:tr>
        <w:trPr>
          <w:trHeight w:val="605"/>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2,016.9</w:t>
            </w:r>
          </w:p>
        </w:tc>
        <w:tc>
          <w:tcPr>
            <w:tcW w:w="100" w:type="dxa"/>
            <w:vAlign w:val="bottom"/>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68"/>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348"/>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3,433.3</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605"/>
        </w:trPr>
        <w:tc>
          <w:tcPr>
            <w:tcW w:w="11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68"/>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1,198.6</w:t>
            </w:r>
          </w:p>
        </w:tc>
        <w:tc>
          <w:tcPr>
            <w:tcW w:w="10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37"/>
        </w:trPr>
        <w:tc>
          <w:tcPr>
            <w:tcW w:w="11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2,223.3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68"/>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1,210.0</w:t>
            </w:r>
          </w:p>
        </w:tc>
        <w:tc>
          <w:tcPr>
            <w:tcW w:w="10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348"/>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3,433.3</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bl>
    <w:p>
      <w:pPr>
        <w:spacing w:after="0" w:line="193" w:lineRule="exact"/>
        <w:rPr>
          <w:sz w:val="20"/>
          <w:szCs w:val="20"/>
          <w:color w:val="auto"/>
        </w:rPr>
      </w:pPr>
    </w:p>
    <w:p>
      <w:pPr>
        <w:sectPr>
          <w:pgSz w:w="11900" w:h="16838" w:orient="portrait"/>
          <w:cols w:equalWidth="0" w:num="3">
            <w:col w:w="1980" w:space="720"/>
            <w:col w:w="680" w:space="220"/>
            <w:col w:w="7080"/>
          </w:cols>
          <w:pgMar w:left="320" w:top="580" w:right="899" w:bottom="1440" w:gutter="0" w:footer="0" w:header="0"/>
          <w:type w:val="continuous"/>
        </w:sectPr>
      </w:pPr>
    </w:p>
    <w:p>
      <w:pPr>
        <w:ind w:left="5500"/>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0680"/>
          </w:cols>
          <w:pgMar w:left="320" w:top="580" w:right="8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Premiums and Services Revenue Detail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610"/>
        </w:trPr>
        <w:tc>
          <w:tcPr>
            <w:tcW w:w="2840" w:type="dxa"/>
            <w:vAlign w:val="bottom"/>
            <w:tcBorders>
              <w:right w:val="single" w:sz="8" w:color="auto"/>
            </w:tcBorders>
          </w:tcPr>
          <w:p>
            <w:pPr>
              <w:spacing w:after="0"/>
              <w:rPr>
                <w:sz w:val="24"/>
                <w:szCs w:val="24"/>
                <w:color w:val="auto"/>
              </w:rPr>
            </w:pPr>
          </w:p>
        </w:tc>
        <w:tc>
          <w:tcPr>
            <w:tcW w:w="2720" w:type="dxa"/>
            <w:vAlign w:val="bottom"/>
            <w:tcBorders>
              <w:top w:val="single" w:sz="8" w:color="auto"/>
              <w:bottom w:val="single" w:sz="8" w:color="auto"/>
              <w:right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color w:val="auto"/>
              </w:rPr>
              <w:t>Dollar</w:t>
            </w:r>
          </w:p>
        </w:tc>
        <w:tc>
          <w:tcPr>
            <w:tcW w:w="1440" w:type="dxa"/>
            <w:vAlign w:val="bottom"/>
          </w:tcPr>
          <w:p>
            <w:pPr>
              <w:jc w:val="right"/>
              <w:ind w:right="282"/>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241"/>
        </w:trPr>
        <w:tc>
          <w:tcPr>
            <w:tcW w:w="284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462"/>
              <w:spacing w:after="0"/>
              <w:rPr>
                <w:sz w:val="20"/>
                <w:szCs w:val="20"/>
                <w:color w:val="auto"/>
              </w:rPr>
            </w:pPr>
            <w:r>
              <w:rPr>
                <w:rFonts w:ascii="Arial" w:cs="Arial" w:eastAsia="Arial" w:hAnsi="Arial"/>
                <w:sz w:val="14"/>
                <w:szCs w:val="14"/>
                <w:b w:val="1"/>
                <w:bCs w:val="1"/>
                <w:color w:val="366092"/>
              </w:rPr>
              <w:t>2020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Change</w:t>
            </w:r>
          </w:p>
        </w:tc>
        <w:tc>
          <w:tcPr>
            <w:tcW w:w="14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28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Premiums and Services Revenue</w:t>
            </w:r>
          </w:p>
        </w:tc>
        <w:tc>
          <w:tcPr>
            <w:tcW w:w="3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4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Retail</w:t>
            </w:r>
          </w:p>
        </w:tc>
        <w:tc>
          <w:tcPr>
            <w:tcW w:w="3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Individual Medicare Advantage</w:t>
            </w:r>
          </w:p>
        </w:tc>
        <w:tc>
          <w:tcPr>
            <w:tcW w:w="320" w:type="dxa"/>
            <w:vAlign w:val="bottom"/>
          </w:tcPr>
          <w:p>
            <w:pPr>
              <w:jc w:val="right"/>
              <w:ind w:right="126"/>
              <w:spacing w:after="0"/>
              <w:rPr>
                <w:sz w:val="20"/>
                <w:szCs w:val="20"/>
                <w:color w:val="auto"/>
              </w:rPr>
            </w:pPr>
            <w:r>
              <w:rPr>
                <w:rFonts w:ascii="Arial" w:cs="Arial" w:eastAsia="Arial" w:hAnsi="Arial"/>
                <w:sz w:val="16"/>
                <w:szCs w:val="16"/>
                <w:b w:val="1"/>
                <w:bCs w:val="1"/>
                <w:color w:val="366092"/>
              </w:rPr>
              <w:t>$</w:t>
            </w: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12,794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10,709</w:t>
            </w:r>
          </w:p>
        </w:tc>
        <w:tc>
          <w:tcPr>
            <w:tcW w:w="8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2,085</w:t>
            </w:r>
          </w:p>
        </w:tc>
        <w:tc>
          <w:tcPr>
            <w:tcW w:w="1440" w:type="dxa"/>
            <w:vAlign w:val="bottom"/>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Group Medicare Advantage</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2,011</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1,632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379</w:t>
            </w:r>
          </w:p>
        </w:tc>
        <w:tc>
          <w:tcPr>
            <w:tcW w:w="1440" w:type="dxa"/>
            <w:vAlign w:val="bottom"/>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stand-alone PDP</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755</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144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State-based contracts (E)</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981</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677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304</w:t>
            </w:r>
          </w:p>
        </w:tc>
        <w:tc>
          <w:tcPr>
            <w:tcW w:w="1440" w:type="dxa"/>
            <w:vAlign w:val="bottom"/>
          </w:tcPr>
          <w:p>
            <w:pPr>
              <w:jc w:val="right"/>
              <w:spacing w:after="0"/>
              <w:rPr>
                <w:sz w:val="20"/>
                <w:szCs w:val="20"/>
                <w:color w:val="auto"/>
              </w:rPr>
            </w:pPr>
            <w:r>
              <w:rPr>
                <w:rFonts w:ascii="Arial" w:cs="Arial" w:eastAsia="Arial" w:hAnsi="Arial"/>
                <w:sz w:val="16"/>
                <w:szCs w:val="16"/>
                <w:color w:val="auto"/>
              </w:rPr>
              <w:t>44.9 %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Supplement</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163</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1440" w:type="dxa"/>
            <w:vAlign w:val="bottom"/>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75"/>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Other services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4</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40" w:type="dxa"/>
            <w:vAlign w:val="bottom"/>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43"/>
        </w:trPr>
        <w:tc>
          <w:tcPr>
            <w:tcW w:w="28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Retail</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16,708</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13,972</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2,736</w:t>
            </w:r>
          </w:p>
        </w:tc>
        <w:tc>
          <w:tcPr>
            <w:tcW w:w="144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04"/>
        </w:trPr>
        <w:tc>
          <w:tcPr>
            <w:tcW w:w="284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Group and Specialty</w:t>
            </w:r>
          </w:p>
        </w:tc>
        <w:tc>
          <w:tcPr>
            <w:tcW w:w="3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Fully-insured commercial medical</w:t>
            </w:r>
          </w:p>
        </w:tc>
        <w:tc>
          <w:tcPr>
            <w:tcW w:w="320" w:type="dxa"/>
            <w:vAlign w:val="bottom"/>
          </w:tcPr>
          <w:p>
            <w:pPr>
              <w:spacing w:after="0"/>
              <w:rPr>
                <w:sz w:val="24"/>
                <w:szCs w:val="24"/>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1,229</w:t>
            </w:r>
          </w:p>
        </w:tc>
        <w:tc>
          <w:tcPr>
            <w:tcW w:w="300" w:type="dxa"/>
            <w:vAlign w:val="bottom"/>
          </w:tcPr>
          <w:p>
            <w:pPr>
              <w:spacing w:after="0"/>
              <w:rPr>
                <w:sz w:val="24"/>
                <w:szCs w:val="24"/>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1,311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44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Specialty (J)</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429</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56</w:t>
            </w:r>
          </w:p>
        </w:tc>
        <w:tc>
          <w:tcPr>
            <w:tcW w:w="1440" w:type="dxa"/>
            <w:vAlign w:val="bottom"/>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32"/>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Commercial ASO &amp; other services</w:t>
            </w:r>
          </w:p>
        </w:tc>
        <w:tc>
          <w:tcPr>
            <w:tcW w:w="320" w:type="dxa"/>
            <w:vAlign w:val="bottom"/>
          </w:tcPr>
          <w:p>
            <w:pPr>
              <w:spacing w:after="0"/>
              <w:rPr>
                <w:sz w:val="20"/>
                <w:szCs w:val="20"/>
                <w:color w:val="auto"/>
              </w:rPr>
            </w:pPr>
          </w:p>
        </w:tc>
        <w:tc>
          <w:tcPr>
            <w:tcW w:w="1040" w:type="dxa"/>
            <w:vAlign w:val="bottom"/>
            <w:tcBorders>
              <w:right w:val="single" w:sz="8" w:color="auto"/>
            </w:tcBorders>
            <w:vMerge w:val="restart"/>
          </w:tcPr>
          <w:p>
            <w:pPr>
              <w:jc w:val="right"/>
              <w:ind w:right="42"/>
              <w:spacing w:after="0"/>
              <w:rPr>
                <w:sz w:val="20"/>
                <w:szCs w:val="20"/>
                <w:color w:val="auto"/>
              </w:rPr>
            </w:pPr>
            <w:r>
              <w:rPr>
                <w:rFonts w:ascii="Arial" w:cs="Arial" w:eastAsia="Arial" w:hAnsi="Arial"/>
                <w:sz w:val="16"/>
                <w:szCs w:val="16"/>
                <w:b w:val="1"/>
                <w:bCs w:val="1"/>
                <w:color w:val="366092"/>
              </w:rPr>
              <w:t>81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(D)</w:t>
            </w:r>
          </w:p>
        </w:tc>
        <w:tc>
          <w:tcPr>
            <w:tcW w:w="320" w:type="dxa"/>
            <w:vAlign w:val="bottom"/>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44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75"/>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Military services (K)</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121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28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Group and Specialty</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1,860</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1,882</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4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4"/>
        </w:trPr>
        <w:tc>
          <w:tcPr>
            <w:tcW w:w="284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Healthcare Services</w:t>
            </w:r>
          </w:p>
        </w:tc>
        <w:tc>
          <w:tcPr>
            <w:tcW w:w="3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Pharmacy solutions</w:t>
            </w:r>
          </w:p>
        </w:tc>
        <w:tc>
          <w:tcPr>
            <w:tcW w:w="320" w:type="dxa"/>
            <w:vAlign w:val="bottom"/>
          </w:tcPr>
          <w:p>
            <w:pPr>
              <w:spacing w:after="0"/>
              <w:rPr>
                <w:sz w:val="24"/>
                <w:szCs w:val="24"/>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6,261</w:t>
            </w:r>
          </w:p>
        </w:tc>
        <w:tc>
          <w:tcPr>
            <w:tcW w:w="300" w:type="dxa"/>
            <w:vAlign w:val="bottom"/>
          </w:tcPr>
          <w:p>
            <w:pPr>
              <w:spacing w:after="0"/>
              <w:rPr>
                <w:sz w:val="24"/>
                <w:szCs w:val="24"/>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5,233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1,028</w:t>
            </w:r>
          </w:p>
        </w:tc>
        <w:tc>
          <w:tcPr>
            <w:tcW w:w="144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63"/>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Provider services</w:t>
            </w:r>
          </w:p>
        </w:tc>
        <w:tc>
          <w:tcPr>
            <w:tcW w:w="320" w:type="dxa"/>
            <w:vAlign w:val="bottom"/>
          </w:tcPr>
          <w:p>
            <w:pPr>
              <w:spacing w:after="0"/>
              <w:rPr>
                <w:sz w:val="22"/>
                <w:szCs w:val="22"/>
                <w:color w:val="auto"/>
              </w:rPr>
            </w:pPr>
          </w:p>
        </w:tc>
        <w:tc>
          <w:tcPr>
            <w:tcW w:w="104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652</w:t>
            </w:r>
          </w:p>
        </w:tc>
        <w:tc>
          <w:tcPr>
            <w:tcW w:w="300" w:type="dxa"/>
            <w:vAlign w:val="bottom"/>
          </w:tcPr>
          <w:p>
            <w:pPr>
              <w:spacing w:after="0"/>
              <w:rPr>
                <w:sz w:val="22"/>
                <w:szCs w:val="22"/>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678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44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75"/>
        </w:trPr>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Clinical programs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172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4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43"/>
        </w:trPr>
        <w:tc>
          <w:tcPr>
            <w:tcW w:w="28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Healthcare Services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b w:val="1"/>
                <w:bCs w:val="1"/>
                <w:color w:val="366092"/>
              </w:rPr>
              <w:t>7,085</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6,098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987</w:t>
            </w:r>
          </w:p>
        </w:tc>
        <w:tc>
          <w:tcPr>
            <w:tcW w:w="1440" w:type="dxa"/>
            <w:vAlign w:val="bottom"/>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19"/>
        <w:spacing w:after="0" w:line="261" w:lineRule="auto"/>
        <w:rPr>
          <w:sz w:val="20"/>
          <w:szCs w:val="20"/>
          <w:color w:val="auto"/>
        </w:rPr>
      </w:pPr>
      <w:r>
        <w:rPr>
          <w:rFonts w:ascii="Arial" w:cs="Arial" w:eastAsia="Arial" w:hAnsi="Arial"/>
          <w:sz w:val="16"/>
          <w:szCs w:val="16"/>
          <w:b w:val="1"/>
          <w:bCs w:val="1"/>
          <w:color w:val="auto"/>
        </w:rPr>
        <w:t>Per Member per Month (L)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-266700</wp:posOffset>
            </wp:positionV>
            <wp:extent cx="1708785" cy="400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8785" cy="4000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80"/>
        <w:spacing w:after="0"/>
        <w:tabs>
          <w:tab w:leader="none" w:pos="1800" w:val="left"/>
        </w:tabs>
        <w:rPr>
          <w:sz w:val="20"/>
          <w:szCs w:val="20"/>
          <w:color w:val="auto"/>
        </w:rPr>
      </w:pPr>
      <w:r>
        <w:rPr>
          <w:rFonts w:ascii="Arial" w:cs="Arial" w:eastAsia="Arial" w:hAnsi="Arial"/>
          <w:sz w:val="14"/>
          <w:szCs w:val="14"/>
          <w:b w:val="1"/>
          <w:bCs w:val="1"/>
          <w:color w:val="366092"/>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21590</wp:posOffset>
            </wp:positionV>
            <wp:extent cx="1700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05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 w:type="dxa"/>
            <w:vAlign w:val="bottom"/>
          </w:tcPr>
          <w:p>
            <w:pPr>
              <w:jc w:val="right"/>
              <w:ind w:right="287"/>
              <w:spacing w:after="0"/>
              <w:rPr>
                <w:sz w:val="20"/>
                <w:szCs w:val="20"/>
                <w:color w:val="auto"/>
              </w:rPr>
            </w:pPr>
            <w:r>
              <w:rPr>
                <w:rFonts w:ascii="Arial" w:cs="Arial" w:eastAsia="Arial" w:hAnsi="Arial"/>
                <w:sz w:val="15"/>
                <w:szCs w:val="15"/>
                <w:b w:val="1"/>
                <w:bCs w:val="1"/>
                <w:color w:val="366092"/>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366092"/>
              </w:rPr>
              <w:t>1,114</w:t>
            </w:r>
          </w:p>
        </w:tc>
        <w:tc>
          <w:tcPr>
            <w:tcW w:w="5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263"/>
        </w:trPr>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66092"/>
              </w:rPr>
              <w:t>1,109</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63"/>
        </w:trPr>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66092"/>
              </w:rPr>
              <w:t>64</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63"/>
        </w:trPr>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66092"/>
              </w:rPr>
              <w:t>532</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63"/>
        </w:trPr>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66092"/>
              </w:rPr>
              <w:t>174</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80" w:hanging="1344"/>
        <w:spacing w:after="0"/>
        <w:tabs>
          <w:tab w:leader="none" w:pos="2280" w:val="left"/>
        </w:tabs>
        <w:numPr>
          <w:ilvl w:val="0"/>
          <w:numId w:val="45"/>
        </w:numPr>
        <w:rPr>
          <w:rFonts w:ascii="Arial" w:cs="Arial" w:eastAsia="Arial" w:hAnsi="Arial"/>
          <w:sz w:val="16"/>
          <w:szCs w:val="16"/>
          <w:b w:val="1"/>
          <w:bCs w:val="1"/>
          <w:color w:val="366092"/>
        </w:rPr>
      </w:pPr>
      <w:r>
        <w:rPr>
          <w:rFonts w:ascii="Arial" w:cs="Arial" w:eastAsia="Arial" w:hAnsi="Arial"/>
          <w:sz w:val="16"/>
          <w:szCs w:val="16"/>
          <w:color w:val="auto"/>
        </w:rPr>
        <w:t>454</w:t>
      </w:r>
    </w:p>
    <w:p>
      <w:pPr>
        <w:spacing w:after="0" w:line="78" w:lineRule="exact"/>
        <w:rPr>
          <w:rFonts w:ascii="Arial" w:cs="Arial" w:eastAsia="Arial" w:hAnsi="Arial"/>
          <w:sz w:val="16"/>
          <w:szCs w:val="16"/>
          <w:b w:val="1"/>
          <w:bCs w:val="1"/>
          <w:color w:val="366092"/>
        </w:rPr>
      </w:pPr>
    </w:p>
    <w:p>
      <w:pPr>
        <w:ind w:left="2360" w:hanging="1336"/>
        <w:spacing w:after="0"/>
        <w:tabs>
          <w:tab w:leader="none" w:pos="2360" w:val="left"/>
        </w:tabs>
        <w:numPr>
          <w:ilvl w:val="0"/>
          <w:numId w:val="46"/>
        </w:numPr>
        <w:rPr>
          <w:rFonts w:ascii="Arial" w:cs="Arial" w:eastAsia="Arial" w:hAnsi="Arial"/>
          <w:sz w:val="16"/>
          <w:szCs w:val="16"/>
          <w:b w:val="1"/>
          <w:bCs w:val="1"/>
          <w:color w:val="366092"/>
        </w:rPr>
      </w:pPr>
      <w:r>
        <w:rPr>
          <w:rFonts w:ascii="Arial" w:cs="Arial" w:eastAsia="Arial" w:hAnsi="Arial"/>
          <w:sz w:val="16"/>
          <w:szCs w:val="16"/>
          <w:color w:val="auto"/>
        </w:rPr>
        <w:t>24</w:t>
      </w:r>
    </w:p>
    <w:p>
      <w:pPr>
        <w:spacing w:after="0" w:line="2508" w:lineRule="exact"/>
        <w:rPr>
          <w:sz w:val="20"/>
          <w:szCs w:val="20"/>
          <w:color w:val="auto"/>
        </w:rPr>
      </w:pPr>
    </w:p>
    <w:p>
      <w:pPr>
        <w:sectPr>
          <w:pgSz w:w="11900" w:h="16838" w:orient="portrait"/>
          <w:cols w:equalWidth="0" w:num="2">
            <w:col w:w="8460" w:space="140"/>
            <w:col w:w="2620"/>
          </w:cols>
          <w:pgMar w:left="320" w:top="574"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220"/>
          </w:cols>
          <w:pgMar w:left="320" w:top="574"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Healthcare Services Segment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90805</wp:posOffset>
            </wp:positionV>
            <wp:extent cx="1534160" cy="207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160" cy="207581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Care Providers: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Shared Risk (H)</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Proprietary</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Contracted</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Path to Risk (I)</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Total Value-based</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Care Management Statistics:</w:t>
      </w:r>
    </w:p>
    <w:p>
      <w:pPr>
        <w:spacing w:after="0" w:line="93" w:lineRule="exact"/>
        <w:rPr>
          <w:sz w:val="20"/>
          <w:szCs w:val="20"/>
          <w:color w:val="auto"/>
        </w:rPr>
      </w:pPr>
    </w:p>
    <w:p>
      <w:pPr>
        <w:ind w:left="380" w:right="40"/>
        <w:spacing w:after="0" w:line="278" w:lineRule="auto"/>
        <w:rPr>
          <w:sz w:val="20"/>
          <w:szCs w:val="20"/>
          <w:color w:val="auto"/>
        </w:rPr>
      </w:pPr>
      <w:r>
        <w:rPr>
          <w:rFonts w:ascii="Arial" w:cs="Arial" w:eastAsia="Arial" w:hAnsi="Arial"/>
          <w:sz w:val="15"/>
          <w:szCs w:val="15"/>
          <w:color w:val="auto"/>
        </w:rPr>
        <w:t>Members enrolled in a Humana chronic care management program (M)</w:t>
      </w:r>
    </w:p>
    <w:p>
      <w:pPr>
        <w:spacing w:after="0" w:line="21" w:lineRule="exact"/>
        <w:rPr>
          <w:sz w:val="20"/>
          <w:szCs w:val="20"/>
          <w:color w:val="auto"/>
        </w:rPr>
      </w:pPr>
    </w:p>
    <w:p>
      <w:pPr>
        <w:ind w:left="380"/>
        <w:spacing w:after="0" w:line="242" w:lineRule="auto"/>
        <w:rPr>
          <w:sz w:val="20"/>
          <w:szCs w:val="20"/>
          <w:color w:val="auto"/>
        </w:rPr>
      </w:pPr>
      <w:r>
        <w:rPr>
          <w:rFonts w:ascii="Arial" w:cs="Arial" w:eastAsia="Arial" w:hAnsi="Arial"/>
          <w:sz w:val="16"/>
          <w:szCs w:val="16"/>
          <w:color w:val="auto"/>
        </w:rPr>
        <w:t>Number of high-risk discharges enrolled in a post-discharge care management program (N)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366092"/>
              </w:rPr>
              <w:t xml:space="preserve">March 31, 2020   </w:t>
            </w:r>
            <w:r>
              <w:rPr>
                <w:rFonts w:ascii="Arial" w:cs="Arial" w:eastAsia="Arial" w:hAnsi="Arial"/>
                <w:sz w:val="14"/>
                <w:szCs w:val="14"/>
                <w:color w:val="000000"/>
              </w:rPr>
              <w:t>March 31, 2019</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December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vMerge w:val="continue"/>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Difference</w:t>
            </w:r>
          </w:p>
        </w:tc>
        <w:tc>
          <w:tcPr>
            <w:tcW w:w="900" w:type="dxa"/>
            <w:vAlign w:val="bottom"/>
          </w:tcPr>
          <w:p>
            <w:pPr>
              <w:spacing w:after="0"/>
              <w:rPr>
                <w:sz w:val="15"/>
                <w:szCs w:val="15"/>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31, 2019</w:t>
            </w:r>
          </w:p>
        </w:tc>
        <w:tc>
          <w:tcPr>
            <w:tcW w:w="100" w:type="dxa"/>
            <w:vAlign w:val="bottom"/>
          </w:tcPr>
          <w:p>
            <w:pPr>
              <w:spacing w:after="0"/>
              <w:rPr>
                <w:sz w:val="15"/>
                <w:szCs w:val="15"/>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20" w:type="dxa"/>
            <w:vAlign w:val="bottom"/>
          </w:tcPr>
          <w:p>
            <w:pPr>
              <w:jc w:val="right"/>
              <w:ind w:right="241"/>
              <w:spacing w:after="0"/>
              <w:rPr>
                <w:sz w:val="20"/>
                <w:szCs w:val="20"/>
                <w:color w:val="auto"/>
              </w:rPr>
            </w:pPr>
            <w:r>
              <w:rPr>
                <w:rFonts w:ascii="Arial" w:cs="Arial" w:eastAsia="Arial" w:hAnsi="Arial"/>
                <w:sz w:val="16"/>
                <w:szCs w:val="16"/>
                <w:b w:val="1"/>
                <w:bCs w:val="1"/>
                <w:color w:val="00497F"/>
              </w:rPr>
              <w:t>1,000</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900" w:type="dxa"/>
            <w:vAlign w:val="bottom"/>
          </w:tcPr>
          <w:p>
            <w:pPr>
              <w:jc w:val="right"/>
              <w:spacing w:after="0"/>
              <w:rPr>
                <w:sz w:val="20"/>
                <w:szCs w:val="20"/>
                <w:color w:val="auto"/>
              </w:rPr>
            </w:pPr>
            <w:r>
              <w:rPr>
                <w:rFonts w:ascii="Arial" w:cs="Arial" w:eastAsia="Arial" w:hAnsi="Arial"/>
                <w:sz w:val="16"/>
                <w:szCs w:val="16"/>
                <w:color w:val="auto"/>
              </w:rPr>
              <w:t>-33.3 %</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84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63"/>
        </w:trPr>
        <w:tc>
          <w:tcPr>
            <w:tcW w:w="1420" w:type="dxa"/>
            <w:vAlign w:val="bottom"/>
          </w:tcPr>
          <w:p>
            <w:pPr>
              <w:jc w:val="right"/>
              <w:ind w:right="241"/>
              <w:spacing w:after="0"/>
              <w:rPr>
                <w:sz w:val="20"/>
                <w:szCs w:val="20"/>
                <w:color w:val="auto"/>
              </w:rPr>
            </w:pPr>
            <w:r>
              <w:rPr>
                <w:rFonts w:ascii="Arial" w:cs="Arial" w:eastAsia="Arial" w:hAnsi="Arial"/>
                <w:sz w:val="16"/>
                <w:szCs w:val="16"/>
                <w:b w:val="1"/>
                <w:bCs w:val="1"/>
                <w:color w:val="00497F"/>
              </w:rPr>
              <w:t>21,200</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17,300</w:t>
            </w:r>
          </w:p>
        </w:tc>
        <w:tc>
          <w:tcPr>
            <w:tcW w:w="1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3,900</w:t>
            </w:r>
          </w:p>
        </w:tc>
        <w:tc>
          <w:tcPr>
            <w:tcW w:w="900" w:type="dxa"/>
            <w:vAlign w:val="bottom"/>
          </w:tcPr>
          <w:p>
            <w:pPr>
              <w:jc w:val="right"/>
              <w:spacing w:after="0"/>
              <w:rPr>
                <w:sz w:val="20"/>
                <w:szCs w:val="20"/>
                <w:color w:val="auto"/>
              </w:rPr>
            </w:pPr>
            <w:r>
              <w:rPr>
                <w:rFonts w:ascii="Arial" w:cs="Arial" w:eastAsia="Arial" w:hAnsi="Arial"/>
                <w:sz w:val="16"/>
                <w:szCs w:val="16"/>
                <w:color w:val="auto"/>
              </w:rPr>
              <w:t>22.5 %</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18,700</w:t>
            </w:r>
          </w:p>
        </w:tc>
        <w:tc>
          <w:tcPr>
            <w:tcW w:w="10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84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75"/>
        </w:trPr>
        <w:tc>
          <w:tcPr>
            <w:tcW w:w="1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00497F"/>
              </w:rPr>
              <w:t>43,700</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38,800</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4,900</w:t>
            </w:r>
          </w:p>
        </w:tc>
        <w:tc>
          <w:tcPr>
            <w:tcW w:w="900" w:type="dxa"/>
            <w:vAlign w:val="bottom"/>
          </w:tcPr>
          <w:p>
            <w:pPr>
              <w:jc w:val="right"/>
              <w:spacing w:after="0"/>
              <w:rPr>
                <w:sz w:val="20"/>
                <w:szCs w:val="20"/>
                <w:color w:val="auto"/>
              </w:rPr>
            </w:pPr>
            <w:r>
              <w:rPr>
                <w:rFonts w:ascii="Arial" w:cs="Arial" w:eastAsia="Arial" w:hAnsi="Arial"/>
                <w:sz w:val="16"/>
                <w:szCs w:val="16"/>
                <w:color w:val="auto"/>
              </w:rPr>
              <w:t>12.6 %</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1,700</w:t>
            </w:r>
          </w:p>
        </w:tc>
        <w:tc>
          <w:tcPr>
            <w:tcW w:w="84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43"/>
        </w:trPr>
        <w:tc>
          <w:tcPr>
            <w:tcW w:w="1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00497F"/>
              </w:rPr>
              <w:t>65,900</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57,600</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8,300</w:t>
            </w:r>
          </w:p>
        </w:tc>
        <w:tc>
          <w:tcPr>
            <w:tcW w:w="900" w:type="dxa"/>
            <w:vAlign w:val="bottom"/>
          </w:tcPr>
          <w:p>
            <w:pPr>
              <w:jc w:val="right"/>
              <w:spacing w:after="0"/>
              <w:rPr>
                <w:sz w:val="20"/>
                <w:szCs w:val="20"/>
                <w:color w:val="auto"/>
              </w:rPr>
            </w:pPr>
            <w:r>
              <w:rPr>
                <w:rFonts w:ascii="Arial" w:cs="Arial" w:eastAsia="Arial" w:hAnsi="Arial"/>
                <w:sz w:val="16"/>
                <w:szCs w:val="16"/>
                <w:color w:val="auto"/>
              </w:rPr>
              <w:t>14.4 %</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61,900</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4,000</w:t>
            </w:r>
          </w:p>
        </w:tc>
        <w:tc>
          <w:tcPr>
            <w:tcW w:w="8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663"/>
        </w:trPr>
        <w:tc>
          <w:tcPr>
            <w:tcW w:w="1420" w:type="dxa"/>
            <w:vAlign w:val="bottom"/>
          </w:tcPr>
          <w:p>
            <w:pPr>
              <w:jc w:val="right"/>
              <w:ind w:right="241"/>
              <w:spacing w:after="0"/>
              <w:rPr>
                <w:sz w:val="20"/>
                <w:szCs w:val="20"/>
                <w:color w:val="auto"/>
              </w:rPr>
            </w:pPr>
            <w:r>
              <w:rPr>
                <w:rFonts w:ascii="Arial" w:cs="Arial" w:eastAsia="Arial" w:hAnsi="Arial"/>
                <w:sz w:val="16"/>
                <w:szCs w:val="16"/>
                <w:b w:val="1"/>
                <w:bCs w:val="1"/>
                <w:color w:val="00497F"/>
              </w:rPr>
              <w:t>899,700</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834,700</w:t>
            </w:r>
          </w:p>
        </w:tc>
        <w:tc>
          <w:tcPr>
            <w:tcW w:w="100" w:type="dxa"/>
            <w:vAlign w:val="bottom"/>
          </w:tcPr>
          <w:p>
            <w:pPr>
              <w:spacing w:after="0"/>
              <w:rPr>
                <w:sz w:val="24"/>
                <w:szCs w:val="24"/>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65,000</w:t>
            </w:r>
          </w:p>
        </w:tc>
        <w:tc>
          <w:tcPr>
            <w:tcW w:w="900" w:type="dxa"/>
            <w:vAlign w:val="bottom"/>
          </w:tcPr>
          <w:p>
            <w:pPr>
              <w:jc w:val="right"/>
              <w:spacing w:after="0"/>
              <w:rPr>
                <w:sz w:val="20"/>
                <w:szCs w:val="20"/>
                <w:color w:val="auto"/>
              </w:rPr>
            </w:pPr>
            <w:r>
              <w:rPr>
                <w:rFonts w:ascii="Arial" w:cs="Arial" w:eastAsia="Arial" w:hAnsi="Arial"/>
                <w:sz w:val="16"/>
                <w:szCs w:val="16"/>
                <w:color w:val="auto"/>
              </w:rPr>
              <w:t>7.8 %</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868,800</w:t>
            </w:r>
          </w:p>
        </w:tc>
        <w:tc>
          <w:tcPr>
            <w:tcW w:w="100" w:type="dxa"/>
            <w:vAlign w:val="bottom"/>
          </w:tcPr>
          <w:p>
            <w:pPr>
              <w:spacing w:after="0"/>
              <w:rPr>
                <w:sz w:val="24"/>
                <w:szCs w:val="24"/>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30,900</w:t>
            </w:r>
          </w:p>
        </w:tc>
        <w:tc>
          <w:tcPr>
            <w:tcW w:w="8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604"/>
        </w:trPr>
        <w:tc>
          <w:tcPr>
            <w:tcW w:w="1420" w:type="dxa"/>
            <w:vAlign w:val="bottom"/>
          </w:tcPr>
          <w:p>
            <w:pPr>
              <w:jc w:val="right"/>
              <w:ind w:right="241"/>
              <w:spacing w:after="0"/>
              <w:rPr>
                <w:sz w:val="20"/>
                <w:szCs w:val="20"/>
                <w:color w:val="auto"/>
              </w:rPr>
            </w:pPr>
            <w:r>
              <w:rPr>
                <w:rFonts w:ascii="Arial" w:cs="Arial" w:eastAsia="Arial" w:hAnsi="Arial"/>
                <w:sz w:val="16"/>
                <w:szCs w:val="16"/>
                <w:b w:val="1"/>
                <w:bCs w:val="1"/>
                <w:color w:val="00497F"/>
              </w:rPr>
              <w:t>64,700</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74,600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(9,900)</w:t>
            </w:r>
          </w:p>
        </w:tc>
        <w:tc>
          <w:tcPr>
            <w:tcW w:w="900" w:type="dxa"/>
            <w:vAlign w:val="bottom"/>
          </w:tcPr>
          <w:p>
            <w:pPr>
              <w:jc w:val="right"/>
              <w:spacing w:after="0"/>
              <w:rPr>
                <w:sz w:val="20"/>
                <w:szCs w:val="20"/>
                <w:color w:val="auto"/>
              </w:rPr>
            </w:pPr>
            <w:r>
              <w:rPr>
                <w:rFonts w:ascii="Arial" w:cs="Arial" w:eastAsia="Arial" w:hAnsi="Arial"/>
                <w:sz w:val="16"/>
                <w:szCs w:val="16"/>
                <w:color w:val="auto"/>
              </w:rPr>
              <w:t>-13.3 %</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61,500</w:t>
            </w:r>
          </w:p>
        </w:tc>
        <w:tc>
          <w:tcPr>
            <w:tcW w:w="100" w:type="dxa"/>
            <w:vAlign w:val="bottom"/>
          </w:tcPr>
          <w:p>
            <w:pPr>
              <w:spacing w:after="0"/>
              <w:rPr>
                <w:sz w:val="24"/>
                <w:szCs w:val="24"/>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3,200</w:t>
            </w:r>
          </w:p>
        </w:tc>
        <w:tc>
          <w:tcPr>
            <w:tcW w:w="840" w:type="dxa"/>
            <w:vAlign w:val="bottom"/>
          </w:tcPr>
          <w:p>
            <w:pPr>
              <w:jc w:val="right"/>
              <w:spacing w:after="0"/>
              <w:rPr>
                <w:sz w:val="20"/>
                <w:szCs w:val="20"/>
                <w:color w:val="auto"/>
              </w:rPr>
            </w:pPr>
            <w:r>
              <w:rPr>
                <w:rFonts w:ascii="Arial" w:cs="Arial" w:eastAsia="Arial" w:hAnsi="Arial"/>
                <w:sz w:val="16"/>
                <w:szCs w:val="16"/>
                <w:color w:val="auto"/>
              </w:rPr>
              <w:t>5.2 %</w:t>
            </w:r>
          </w:p>
        </w:tc>
      </w:tr>
    </w:tbl>
    <w:p>
      <w:pPr>
        <w:spacing w:after="0" w:line="200" w:lineRule="exact"/>
        <w:rPr>
          <w:sz w:val="20"/>
          <w:szCs w:val="20"/>
          <w:color w:val="auto"/>
        </w:rPr>
      </w:pPr>
    </w:p>
    <w:p>
      <w:pPr>
        <w:sectPr>
          <w:pgSz w:w="11900" w:h="16838" w:orient="portrait"/>
          <w:cols w:equalWidth="0" w:num="2">
            <w:col w:w="3160" w:space="40"/>
            <w:col w:w="8000"/>
          </w:cols>
          <w:pgMar w:left="320" w:top="574" w:right="37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S-10</w:t>
      </w:r>
    </w:p>
    <w:p>
      <w:pPr>
        <w:sectPr>
          <w:pgSz w:w="11900" w:h="16838" w:orient="portrait"/>
          <w:cols w:equalWidth="0" w:num="1">
            <w:col w:w="11200"/>
          </w:cols>
          <w:pgMar w:left="320" w:top="574" w:right="3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Healthcare Services Segment Metrics (Continued)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85725</wp:posOffset>
            </wp:positionV>
            <wp:extent cx="2776220" cy="3034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6220" cy="3034665"/>
                    </a:xfrm>
                    <a:prstGeom prst="rect">
                      <a:avLst/>
                    </a:prstGeom>
                    <a:noFill/>
                  </pic:spPr>
                </pic:pic>
              </a:graphicData>
            </a:graphic>
          </wp:anchor>
        </w:drawing>
      </w:r>
    </w:p>
    <w:p>
      <w:pPr>
        <w:sectPr>
          <w:pgSz w:w="11900" w:h="16838" w:orient="portrait"/>
          <w:cols w:equalWidth="0" w:num="1">
            <w:col w:w="11340"/>
          </w:cols>
          <w:pgMar w:left="32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Pharmacy:</w:t>
      </w:r>
    </w:p>
    <w:p>
      <w:pPr>
        <w:spacing w:after="0" w:line="73" w:lineRule="exact"/>
        <w:rPr>
          <w:sz w:val="20"/>
          <w:szCs w:val="20"/>
          <w:color w:val="auto"/>
        </w:rPr>
      </w:pPr>
    </w:p>
    <w:p>
      <w:pPr>
        <w:ind w:left="160" w:right="260"/>
        <w:spacing w:after="0" w:line="280" w:lineRule="auto"/>
        <w:rPr>
          <w:sz w:val="20"/>
          <w:szCs w:val="20"/>
          <w:color w:val="auto"/>
        </w:rPr>
      </w:pPr>
      <w:r>
        <w:rPr>
          <w:rFonts w:ascii="Arial" w:cs="Arial" w:eastAsia="Arial" w:hAnsi="Arial"/>
          <w:sz w:val="15"/>
          <w:szCs w:val="15"/>
          <w:b w:val="1"/>
          <w:bCs w:val="1"/>
          <w:color w:val="auto"/>
        </w:rPr>
        <w:t>Generic Dispense Rate</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Retail</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Group</w:t>
      </w:r>
    </w:p>
    <w:p>
      <w:pPr>
        <w:ind w:left="480"/>
        <w:spacing w:after="0"/>
        <w:rPr>
          <w:sz w:val="20"/>
          <w:szCs w:val="20"/>
          <w:color w:val="auto"/>
        </w:rPr>
      </w:pPr>
      <w:r>
        <w:rPr>
          <w:rFonts w:ascii="Arial" w:cs="Arial" w:eastAsia="Arial" w:hAnsi="Arial"/>
          <w:sz w:val="16"/>
          <w:szCs w:val="16"/>
          <w:color w:val="auto"/>
        </w:rPr>
        <w:t>and</w:t>
      </w:r>
    </w:p>
    <w:p>
      <w:pPr>
        <w:ind w:left="480"/>
        <w:spacing w:after="0"/>
        <w:rPr>
          <w:sz w:val="20"/>
          <w:szCs w:val="20"/>
          <w:color w:val="auto"/>
        </w:rPr>
      </w:pPr>
      <w:r>
        <w:rPr>
          <w:rFonts w:ascii="Arial" w:cs="Arial" w:eastAsia="Arial" w:hAnsi="Arial"/>
          <w:sz w:val="15"/>
          <w:szCs w:val="15"/>
          <w:color w:val="auto"/>
        </w:rPr>
        <w:t>Specialty</w:t>
      </w:r>
    </w:p>
    <w:p>
      <w:pPr>
        <w:spacing w:after="0" w:line="44" w:lineRule="exact"/>
        <w:rPr>
          <w:sz w:val="20"/>
          <w:szCs w:val="20"/>
          <w:color w:val="auto"/>
        </w:rPr>
      </w:pPr>
    </w:p>
    <w:p>
      <w:pPr>
        <w:ind w:left="160" w:right="100"/>
        <w:spacing w:after="0" w:line="305" w:lineRule="auto"/>
        <w:rPr>
          <w:sz w:val="20"/>
          <w:szCs w:val="20"/>
          <w:color w:val="auto"/>
        </w:rPr>
      </w:pPr>
      <w:r>
        <w:rPr>
          <w:rFonts w:ascii="Arial" w:cs="Arial" w:eastAsia="Arial" w:hAnsi="Arial"/>
          <w:sz w:val="15"/>
          <w:szCs w:val="15"/>
          <w:b w:val="1"/>
          <w:bCs w:val="1"/>
          <w:color w:val="auto"/>
        </w:rPr>
        <w:t>Mail-Order Penetration</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Retail</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Group</w:t>
      </w:r>
    </w:p>
    <w:p>
      <w:pPr>
        <w:ind w:left="480"/>
        <w:spacing w:after="0"/>
        <w:rPr>
          <w:sz w:val="20"/>
          <w:szCs w:val="20"/>
          <w:color w:val="auto"/>
        </w:rPr>
      </w:pPr>
      <w:r>
        <w:rPr>
          <w:rFonts w:ascii="Arial" w:cs="Arial" w:eastAsia="Arial" w:hAnsi="Arial"/>
          <w:sz w:val="16"/>
          <w:szCs w:val="16"/>
          <w:color w:val="auto"/>
        </w:rPr>
        <w:t>and</w:t>
      </w:r>
    </w:p>
    <w:p>
      <w:pPr>
        <w:ind w:left="480"/>
        <w:spacing w:after="0"/>
        <w:rPr>
          <w:sz w:val="20"/>
          <w:szCs w:val="20"/>
          <w:color w:val="auto"/>
        </w:rPr>
      </w:pPr>
      <w:r>
        <w:rPr>
          <w:rFonts w:ascii="Arial" w:cs="Arial" w:eastAsia="Arial" w:hAnsi="Arial"/>
          <w:sz w:val="15"/>
          <w:szCs w:val="15"/>
          <w:color w:val="auto"/>
        </w:rPr>
        <w:t>Specialty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right="40"/>
        <w:spacing w:after="0" w:line="271" w:lineRule="auto"/>
        <w:rPr>
          <w:sz w:val="20"/>
          <w:szCs w:val="20"/>
          <w:color w:val="auto"/>
        </w:rPr>
      </w:pPr>
      <w:r>
        <w:rPr>
          <w:rFonts w:ascii="Arial" w:cs="Arial" w:eastAsia="Arial" w:hAnsi="Arial"/>
          <w:sz w:val="16"/>
          <w:szCs w:val="16"/>
          <w:b w:val="1"/>
          <w:bCs w:val="1"/>
          <w:color w:val="auto"/>
        </w:rPr>
        <w:t>Script volume (O)</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366092"/>
                <w:w w:val="98"/>
              </w:rPr>
              <w:t>For the three months ended</w:t>
            </w:r>
          </w:p>
        </w:tc>
        <w:tc>
          <w:tcPr>
            <w:tcW w:w="228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366092"/>
                <w:w w:val="99"/>
              </w:rPr>
              <w:t>For the three months ended</w:t>
            </w:r>
          </w:p>
        </w:tc>
        <w:tc>
          <w:tcPr>
            <w:tcW w:w="1820" w:type="dxa"/>
            <w:vAlign w:val="bottom"/>
            <w:gridSpan w:val="2"/>
          </w:tcPr>
          <w:p>
            <w:pPr>
              <w:jc w:val="center"/>
              <w:ind w:right="920"/>
              <w:spacing w:after="0"/>
              <w:rPr>
                <w:sz w:val="20"/>
                <w:szCs w:val="20"/>
                <w:color w:val="auto"/>
              </w:rPr>
            </w:pPr>
            <w:r>
              <w:rPr>
                <w:rFonts w:ascii="Arial" w:cs="Arial" w:eastAsia="Arial" w:hAnsi="Arial"/>
                <w:sz w:val="16"/>
                <w:szCs w:val="16"/>
                <w:color w:val="auto"/>
                <w:w w:val="97"/>
              </w:rPr>
              <w:t>Year-over-</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820" w:type="dxa"/>
            <w:vAlign w:val="bottom"/>
            <w:gridSpan w:val="2"/>
          </w:tcPr>
          <w:p>
            <w:pPr>
              <w:jc w:val="center"/>
              <w:ind w:right="920"/>
              <w:spacing w:after="0" w:line="164" w:lineRule="exact"/>
              <w:rPr>
                <w:sz w:val="20"/>
                <w:szCs w:val="20"/>
                <w:color w:val="auto"/>
              </w:rPr>
            </w:pPr>
            <w:r>
              <w:rPr>
                <w:rFonts w:ascii="Arial" w:cs="Arial" w:eastAsia="Arial" w:hAnsi="Arial"/>
                <w:sz w:val="16"/>
                <w:szCs w:val="16"/>
                <w:color w:val="auto"/>
                <w:w w:val="88"/>
              </w:rPr>
              <w:t>Year</w:t>
            </w:r>
          </w:p>
        </w:tc>
        <w:tc>
          <w:tcPr>
            <w:tcW w:w="21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w w:val="98"/>
              </w:rPr>
              <w:t>For the three months ended</w:t>
            </w:r>
          </w:p>
        </w:tc>
        <w:tc>
          <w:tcPr>
            <w:tcW w:w="820" w:type="dxa"/>
            <w:vAlign w:val="bottom"/>
          </w:tcPr>
          <w:p>
            <w:pPr>
              <w:ind w:left="40"/>
              <w:spacing w:after="0" w:line="164" w:lineRule="exact"/>
              <w:rPr>
                <w:sz w:val="20"/>
                <w:szCs w:val="20"/>
                <w:color w:val="auto"/>
              </w:rPr>
            </w:pPr>
            <w:r>
              <w:rPr>
                <w:rFonts w:ascii="Arial" w:cs="Arial" w:eastAsia="Arial" w:hAnsi="Arial"/>
                <w:sz w:val="16"/>
                <w:szCs w:val="16"/>
                <w:color w:val="auto"/>
              </w:rPr>
              <w:t>Sequential</w:t>
            </w:r>
          </w:p>
        </w:tc>
        <w:tc>
          <w:tcPr>
            <w:tcW w:w="0" w:type="dxa"/>
            <w:vAlign w:val="bottom"/>
          </w:tcPr>
          <w:p>
            <w:pPr>
              <w:spacing w:after="0"/>
              <w:rPr>
                <w:sz w:val="1"/>
                <w:szCs w:val="1"/>
                <w:color w:val="auto"/>
              </w:rPr>
            </w:pPr>
          </w:p>
        </w:tc>
      </w:tr>
      <w:tr>
        <w:trPr>
          <w:trHeight w:val="221"/>
        </w:trPr>
        <w:tc>
          <w:tcPr>
            <w:tcW w:w="2140" w:type="dxa"/>
            <w:vAlign w:val="bottom"/>
          </w:tcPr>
          <w:p>
            <w:pPr>
              <w:jc w:val="center"/>
              <w:spacing w:after="0"/>
              <w:rPr>
                <w:sz w:val="20"/>
                <w:szCs w:val="20"/>
                <w:color w:val="auto"/>
              </w:rPr>
            </w:pPr>
            <w:r>
              <w:rPr>
                <w:rFonts w:ascii="Arial" w:cs="Arial" w:eastAsia="Arial" w:hAnsi="Arial"/>
                <w:sz w:val="16"/>
                <w:szCs w:val="16"/>
                <w:b w:val="1"/>
                <w:bCs w:val="1"/>
                <w:color w:val="366092"/>
                <w:w w:val="98"/>
              </w:rPr>
              <w:t>March 31, 2020</w:t>
            </w:r>
          </w:p>
        </w:tc>
        <w:tc>
          <w:tcPr>
            <w:tcW w:w="2280" w:type="dxa"/>
            <w:vAlign w:val="bottom"/>
          </w:tcPr>
          <w:p>
            <w:pPr>
              <w:jc w:val="center"/>
              <w:ind w:right="41"/>
              <w:spacing w:after="0"/>
              <w:rPr>
                <w:sz w:val="20"/>
                <w:szCs w:val="20"/>
                <w:color w:val="auto"/>
              </w:rPr>
            </w:pPr>
            <w:r>
              <w:rPr>
                <w:rFonts w:ascii="Arial" w:cs="Arial" w:eastAsia="Arial" w:hAnsi="Arial"/>
                <w:sz w:val="16"/>
                <w:szCs w:val="16"/>
                <w:b w:val="1"/>
                <w:bCs w:val="1"/>
                <w:color w:val="366092"/>
                <w:w w:val="98"/>
              </w:rPr>
              <w:t>March 31, 2019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Difference</w:t>
            </w:r>
          </w:p>
        </w:tc>
        <w:tc>
          <w:tcPr>
            <w:tcW w:w="9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December 31, 2019</w:t>
            </w:r>
          </w:p>
        </w:tc>
        <w:tc>
          <w:tcPr>
            <w:tcW w:w="100" w:type="dxa"/>
            <w:vAlign w:val="bottom"/>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1460" w:type="dxa"/>
            <w:vAlign w:val="bottom"/>
          </w:tcPr>
          <w:p>
            <w:pPr>
              <w:jc w:val="right"/>
              <w:ind w:right="661"/>
              <w:spacing w:after="0"/>
              <w:rPr>
                <w:sz w:val="20"/>
                <w:szCs w:val="20"/>
                <w:color w:val="auto"/>
              </w:rPr>
            </w:pPr>
            <w:r>
              <w:rPr>
                <w:rFonts w:ascii="Arial" w:cs="Arial" w:eastAsia="Arial" w:hAnsi="Arial"/>
                <w:sz w:val="16"/>
                <w:szCs w:val="16"/>
                <w:b w:val="1"/>
                <w:bCs w:val="1"/>
                <w:color w:val="00497F"/>
              </w:rPr>
              <w:t>91.9%</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91.8%</w:t>
            </w:r>
          </w:p>
        </w:tc>
        <w:tc>
          <w:tcPr>
            <w:tcW w:w="900" w:type="dxa"/>
            <w:vAlign w:val="bottom"/>
          </w:tcPr>
          <w:p>
            <w:pPr>
              <w:jc w:val="right"/>
              <w:spacing w:after="0"/>
              <w:rPr>
                <w:sz w:val="20"/>
                <w:szCs w:val="20"/>
                <w:color w:val="auto"/>
              </w:rPr>
            </w:pPr>
            <w:r>
              <w:rPr>
                <w:rFonts w:ascii="Arial" w:cs="Arial" w:eastAsia="Arial" w:hAnsi="Arial"/>
                <w:sz w:val="16"/>
                <w:szCs w:val="16"/>
                <w:color w:val="auto"/>
              </w:rPr>
              <w:t>0.1 %</w:t>
            </w:r>
          </w:p>
        </w:tc>
        <w:tc>
          <w:tcPr>
            <w:tcW w:w="920" w:type="dxa"/>
            <w:vAlign w:val="bottom"/>
          </w:tcPr>
          <w:p>
            <w:pPr>
              <w:spacing w:after="0"/>
              <w:rPr>
                <w:sz w:val="18"/>
                <w:szCs w:val="18"/>
                <w:color w:val="auto"/>
              </w:rPr>
            </w:pPr>
          </w:p>
        </w:tc>
        <w:tc>
          <w:tcPr>
            <w:tcW w:w="2160" w:type="dxa"/>
            <w:vAlign w:val="bottom"/>
          </w:tcPr>
          <w:p>
            <w:pPr>
              <w:jc w:val="right"/>
              <w:ind w:right="61"/>
              <w:spacing w:after="0"/>
              <w:rPr>
                <w:sz w:val="20"/>
                <w:szCs w:val="20"/>
                <w:color w:val="auto"/>
              </w:rPr>
            </w:pPr>
            <w:r>
              <w:rPr>
                <w:rFonts w:ascii="Arial" w:cs="Arial" w:eastAsia="Arial" w:hAnsi="Arial"/>
                <w:sz w:val="16"/>
                <w:szCs w:val="16"/>
                <w:color w:val="auto"/>
              </w:rPr>
              <w:t>91.8%</w:t>
            </w: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c>
          <w:tcPr>
            <w:tcW w:w="900" w:type="dxa"/>
            <w:vAlign w:val="bottom"/>
          </w:tcPr>
          <w:p>
            <w:pPr>
              <w:spacing w:after="0"/>
              <w:rPr>
                <w:sz w:val="18"/>
                <w:szCs w:val="18"/>
                <w:color w:val="auto"/>
              </w:rPr>
            </w:pPr>
          </w:p>
        </w:tc>
      </w:tr>
      <w:tr>
        <w:trPr>
          <w:trHeight w:val="604"/>
        </w:trPr>
        <w:tc>
          <w:tcPr>
            <w:tcW w:w="1460" w:type="dxa"/>
            <w:vAlign w:val="bottom"/>
          </w:tcPr>
          <w:p>
            <w:pPr>
              <w:jc w:val="right"/>
              <w:ind w:right="661"/>
              <w:spacing w:after="0"/>
              <w:rPr>
                <w:sz w:val="20"/>
                <w:szCs w:val="20"/>
                <w:color w:val="auto"/>
              </w:rPr>
            </w:pPr>
            <w:r>
              <w:rPr>
                <w:rFonts w:ascii="Arial" w:cs="Arial" w:eastAsia="Arial" w:hAnsi="Arial"/>
                <w:sz w:val="16"/>
                <w:szCs w:val="16"/>
                <w:b w:val="1"/>
                <w:bCs w:val="1"/>
                <w:color w:val="00497F"/>
              </w:rPr>
              <w:t>88.0%</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87.5%</w:t>
            </w:r>
          </w:p>
        </w:tc>
        <w:tc>
          <w:tcPr>
            <w:tcW w:w="900" w:type="dxa"/>
            <w:vAlign w:val="bottom"/>
          </w:tcPr>
          <w:p>
            <w:pPr>
              <w:jc w:val="right"/>
              <w:spacing w:after="0"/>
              <w:rPr>
                <w:sz w:val="20"/>
                <w:szCs w:val="20"/>
                <w:color w:val="auto"/>
              </w:rPr>
            </w:pPr>
            <w:r>
              <w:rPr>
                <w:rFonts w:ascii="Arial" w:cs="Arial" w:eastAsia="Arial" w:hAnsi="Arial"/>
                <w:sz w:val="16"/>
                <w:szCs w:val="16"/>
                <w:color w:val="auto"/>
              </w:rPr>
              <w:t>0.5 %</w:t>
            </w:r>
          </w:p>
        </w:tc>
        <w:tc>
          <w:tcPr>
            <w:tcW w:w="920" w:type="dxa"/>
            <w:vAlign w:val="bottom"/>
          </w:tcPr>
          <w:p>
            <w:pPr>
              <w:spacing w:after="0"/>
              <w:rPr>
                <w:sz w:val="24"/>
                <w:szCs w:val="24"/>
                <w:color w:val="auto"/>
              </w:rPr>
            </w:pPr>
          </w:p>
        </w:tc>
        <w:tc>
          <w:tcPr>
            <w:tcW w:w="2160" w:type="dxa"/>
            <w:vAlign w:val="bottom"/>
          </w:tcPr>
          <w:p>
            <w:pPr>
              <w:jc w:val="right"/>
              <w:ind w:right="61"/>
              <w:spacing w:after="0"/>
              <w:rPr>
                <w:sz w:val="20"/>
                <w:szCs w:val="20"/>
                <w:color w:val="auto"/>
              </w:rPr>
            </w:pPr>
            <w:r>
              <w:rPr>
                <w:rFonts w:ascii="Arial" w:cs="Arial" w:eastAsia="Arial" w:hAnsi="Arial"/>
                <w:sz w:val="16"/>
                <w:szCs w:val="16"/>
                <w:color w:val="auto"/>
              </w:rPr>
              <w:t>87.1%</w:t>
            </w: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900" w:type="dxa"/>
            <w:vAlign w:val="bottom"/>
          </w:tcPr>
          <w:p>
            <w:pPr>
              <w:spacing w:after="0"/>
              <w:rPr>
                <w:sz w:val="24"/>
                <w:szCs w:val="24"/>
                <w:color w:val="auto"/>
              </w:rPr>
            </w:pPr>
          </w:p>
        </w:tc>
      </w:tr>
      <w:tr>
        <w:trPr>
          <w:trHeight w:val="683"/>
        </w:trPr>
        <w:tc>
          <w:tcPr>
            <w:tcW w:w="1460" w:type="dxa"/>
            <w:vAlign w:val="bottom"/>
          </w:tcPr>
          <w:p>
            <w:pPr>
              <w:jc w:val="right"/>
              <w:ind w:right="661"/>
              <w:spacing w:after="0"/>
              <w:rPr>
                <w:sz w:val="20"/>
                <w:szCs w:val="20"/>
                <w:color w:val="auto"/>
              </w:rPr>
            </w:pPr>
            <w:r>
              <w:rPr>
                <w:rFonts w:ascii="Arial" w:cs="Arial" w:eastAsia="Arial" w:hAnsi="Arial"/>
                <w:sz w:val="16"/>
                <w:szCs w:val="16"/>
                <w:b w:val="1"/>
                <w:bCs w:val="1"/>
                <w:color w:val="00497F"/>
              </w:rPr>
              <w:t>28.7%</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28.5%</w:t>
            </w:r>
          </w:p>
        </w:tc>
        <w:tc>
          <w:tcPr>
            <w:tcW w:w="900" w:type="dxa"/>
            <w:vAlign w:val="bottom"/>
          </w:tcPr>
          <w:p>
            <w:pPr>
              <w:jc w:val="right"/>
              <w:spacing w:after="0"/>
              <w:rPr>
                <w:sz w:val="20"/>
                <w:szCs w:val="20"/>
                <w:color w:val="auto"/>
              </w:rPr>
            </w:pPr>
            <w:r>
              <w:rPr>
                <w:rFonts w:ascii="Arial" w:cs="Arial" w:eastAsia="Arial" w:hAnsi="Arial"/>
                <w:sz w:val="16"/>
                <w:szCs w:val="16"/>
                <w:color w:val="auto"/>
              </w:rPr>
              <w:t>0.2 %</w:t>
            </w:r>
          </w:p>
        </w:tc>
        <w:tc>
          <w:tcPr>
            <w:tcW w:w="920" w:type="dxa"/>
            <w:vAlign w:val="bottom"/>
          </w:tcPr>
          <w:p>
            <w:pPr>
              <w:spacing w:after="0"/>
              <w:rPr>
                <w:sz w:val="24"/>
                <w:szCs w:val="24"/>
                <w:color w:val="auto"/>
              </w:rPr>
            </w:pPr>
          </w:p>
        </w:tc>
        <w:tc>
          <w:tcPr>
            <w:tcW w:w="2160" w:type="dxa"/>
            <w:vAlign w:val="bottom"/>
          </w:tcPr>
          <w:p>
            <w:pPr>
              <w:jc w:val="right"/>
              <w:ind w:right="61"/>
              <w:spacing w:after="0"/>
              <w:rPr>
                <w:sz w:val="20"/>
                <w:szCs w:val="20"/>
                <w:color w:val="auto"/>
              </w:rPr>
            </w:pPr>
            <w:r>
              <w:rPr>
                <w:rFonts w:ascii="Arial" w:cs="Arial" w:eastAsia="Arial" w:hAnsi="Arial"/>
                <w:sz w:val="16"/>
                <w:szCs w:val="16"/>
                <w:color w:val="auto"/>
              </w:rPr>
              <w:t>29.2%</w:t>
            </w:r>
          </w:p>
        </w:tc>
        <w:tc>
          <w:tcPr>
            <w:tcW w:w="840" w:type="dxa"/>
            <w:vAlign w:val="bottom"/>
          </w:tcPr>
          <w:p>
            <w:pPr>
              <w:jc w:val="right"/>
              <w:spacing w:after="0"/>
              <w:rPr>
                <w:sz w:val="20"/>
                <w:szCs w:val="20"/>
                <w:color w:val="auto"/>
              </w:rPr>
            </w:pPr>
            <w:r>
              <w:rPr>
                <w:rFonts w:ascii="Arial" w:cs="Arial" w:eastAsia="Arial" w:hAnsi="Arial"/>
                <w:sz w:val="16"/>
                <w:szCs w:val="16"/>
                <w:color w:val="auto"/>
              </w:rPr>
              <w:t>-0.5 %</w:t>
            </w:r>
          </w:p>
        </w:tc>
        <w:tc>
          <w:tcPr>
            <w:tcW w:w="900" w:type="dxa"/>
            <w:vAlign w:val="bottom"/>
          </w:tcPr>
          <w:p>
            <w:pPr>
              <w:spacing w:after="0"/>
              <w:rPr>
                <w:sz w:val="24"/>
                <w:szCs w:val="24"/>
                <w:color w:val="auto"/>
              </w:rPr>
            </w:pPr>
          </w:p>
        </w:tc>
      </w:tr>
      <w:tr>
        <w:trPr>
          <w:trHeight w:val="604"/>
        </w:trPr>
        <w:tc>
          <w:tcPr>
            <w:tcW w:w="1460" w:type="dxa"/>
            <w:vAlign w:val="bottom"/>
          </w:tcPr>
          <w:p>
            <w:pPr>
              <w:jc w:val="right"/>
              <w:ind w:right="661"/>
              <w:spacing w:after="0"/>
              <w:rPr>
                <w:sz w:val="20"/>
                <w:szCs w:val="20"/>
                <w:color w:val="auto"/>
              </w:rPr>
            </w:pPr>
            <w:r>
              <w:rPr>
                <w:rFonts w:ascii="Arial" w:cs="Arial" w:eastAsia="Arial" w:hAnsi="Arial"/>
                <w:sz w:val="16"/>
                <w:szCs w:val="16"/>
                <w:b w:val="1"/>
                <w:bCs w:val="1"/>
                <w:color w:val="00497F"/>
              </w:rPr>
              <w:t>6.0%</w:t>
            </w:r>
          </w:p>
        </w:tc>
        <w:tc>
          <w:tcPr>
            <w:tcW w:w="158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900" w:type="dxa"/>
            <w:vAlign w:val="bottom"/>
          </w:tcPr>
          <w:p>
            <w:pPr>
              <w:jc w:val="right"/>
              <w:spacing w:after="0"/>
              <w:rPr>
                <w:sz w:val="20"/>
                <w:szCs w:val="20"/>
                <w:color w:val="auto"/>
              </w:rPr>
            </w:pPr>
            <w:r>
              <w:rPr>
                <w:rFonts w:ascii="Arial" w:cs="Arial" w:eastAsia="Arial" w:hAnsi="Arial"/>
                <w:sz w:val="16"/>
                <w:szCs w:val="16"/>
                <w:color w:val="auto"/>
              </w:rPr>
              <w:t>-0.2 %</w:t>
            </w:r>
          </w:p>
        </w:tc>
        <w:tc>
          <w:tcPr>
            <w:tcW w:w="920" w:type="dxa"/>
            <w:vAlign w:val="bottom"/>
          </w:tcPr>
          <w:p>
            <w:pPr>
              <w:spacing w:after="0"/>
              <w:rPr>
                <w:sz w:val="24"/>
                <w:szCs w:val="24"/>
                <w:color w:val="auto"/>
              </w:rPr>
            </w:pPr>
          </w:p>
        </w:tc>
        <w:tc>
          <w:tcPr>
            <w:tcW w:w="216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840" w:type="dxa"/>
            <w:vAlign w:val="bottom"/>
          </w:tcPr>
          <w:p>
            <w:pPr>
              <w:jc w:val="right"/>
              <w:spacing w:after="0"/>
              <w:rPr>
                <w:sz w:val="20"/>
                <w:szCs w:val="20"/>
                <w:color w:val="auto"/>
              </w:rPr>
            </w:pPr>
            <w:r>
              <w:rPr>
                <w:rFonts w:ascii="Arial" w:cs="Arial" w:eastAsia="Arial" w:hAnsi="Arial"/>
                <w:sz w:val="16"/>
                <w:szCs w:val="16"/>
                <w:color w:val="auto"/>
              </w:rPr>
              <w:t>-0.2 %</w:t>
            </w:r>
          </w:p>
        </w:tc>
        <w:tc>
          <w:tcPr>
            <w:tcW w:w="900" w:type="dxa"/>
            <w:vAlign w:val="bottom"/>
          </w:tcPr>
          <w:p>
            <w:pPr>
              <w:spacing w:after="0"/>
              <w:rPr>
                <w:sz w:val="24"/>
                <w:szCs w:val="24"/>
                <w:color w:val="auto"/>
              </w:rPr>
            </w:pPr>
          </w:p>
        </w:tc>
      </w:tr>
      <w:tr>
        <w:trPr>
          <w:trHeight w:val="520"/>
        </w:trPr>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7"/>
              </w:rPr>
              <w:t>Percentage</w:t>
            </w:r>
          </w:p>
        </w:tc>
        <w:tc>
          <w:tcPr>
            <w:tcW w:w="2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Percentage</w:t>
            </w:r>
          </w:p>
        </w:tc>
      </w:tr>
      <w:tr>
        <w:trPr>
          <w:trHeight w:val="201"/>
        </w:trPr>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c>
          <w:tcPr>
            <w:tcW w:w="2160" w:type="dxa"/>
            <w:vAlign w:val="bottom"/>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Difference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Change</w:t>
            </w:r>
          </w:p>
        </w:tc>
      </w:tr>
      <w:tr>
        <w:trPr>
          <w:trHeight w:val="387"/>
        </w:trPr>
        <w:tc>
          <w:tcPr>
            <w:tcW w:w="1460" w:type="dxa"/>
            <w:vAlign w:val="bottom"/>
          </w:tcPr>
          <w:p>
            <w:pPr>
              <w:jc w:val="right"/>
              <w:ind w:right="801"/>
              <w:spacing w:after="0"/>
              <w:rPr>
                <w:sz w:val="20"/>
                <w:szCs w:val="20"/>
                <w:color w:val="auto"/>
              </w:rPr>
            </w:pPr>
            <w:r>
              <w:rPr>
                <w:rFonts w:ascii="Arial" w:cs="Arial" w:eastAsia="Arial" w:hAnsi="Arial"/>
                <w:sz w:val="16"/>
                <w:szCs w:val="16"/>
                <w:b w:val="1"/>
                <w:bCs w:val="1"/>
                <w:color w:val="00497F"/>
                <w:w w:val="96"/>
              </w:rPr>
              <w:t>120,100</w:t>
            </w:r>
          </w:p>
        </w:tc>
        <w:tc>
          <w:tcPr>
            <w:tcW w:w="1580" w:type="dxa"/>
            <w:vAlign w:val="bottom"/>
          </w:tcPr>
          <w:p>
            <w:pPr>
              <w:jc w:val="right"/>
              <w:ind w:right="201"/>
              <w:spacing w:after="0"/>
              <w:rPr>
                <w:sz w:val="20"/>
                <w:szCs w:val="20"/>
                <w:color w:val="auto"/>
              </w:rPr>
            </w:pPr>
            <w:r>
              <w:rPr>
                <w:rFonts w:ascii="Arial" w:cs="Arial" w:eastAsia="Arial" w:hAnsi="Arial"/>
                <w:sz w:val="16"/>
                <w:szCs w:val="16"/>
                <w:color w:val="auto"/>
              </w:rPr>
              <w:t>110,100</w:t>
            </w:r>
          </w:p>
        </w:tc>
        <w:tc>
          <w:tcPr>
            <w:tcW w:w="900" w:type="dxa"/>
            <w:vAlign w:val="bottom"/>
          </w:tcPr>
          <w:p>
            <w:pPr>
              <w:jc w:val="right"/>
              <w:ind w:right="143"/>
              <w:spacing w:after="0"/>
              <w:rPr>
                <w:sz w:val="20"/>
                <w:szCs w:val="20"/>
                <w:color w:val="auto"/>
              </w:rPr>
            </w:pPr>
            <w:r>
              <w:rPr>
                <w:rFonts w:ascii="Arial" w:cs="Arial" w:eastAsia="Arial" w:hAnsi="Arial"/>
                <w:sz w:val="16"/>
                <w:szCs w:val="16"/>
                <w:color w:val="auto"/>
              </w:rPr>
              <w:t>10,000</w:t>
            </w: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2160" w:type="dxa"/>
            <w:vAlign w:val="bottom"/>
          </w:tcPr>
          <w:p>
            <w:pPr>
              <w:jc w:val="right"/>
              <w:ind w:right="201"/>
              <w:spacing w:after="0"/>
              <w:rPr>
                <w:sz w:val="20"/>
                <w:szCs w:val="20"/>
                <w:color w:val="auto"/>
              </w:rPr>
            </w:pPr>
            <w:r>
              <w:rPr>
                <w:rFonts w:ascii="Arial" w:cs="Arial" w:eastAsia="Arial" w:hAnsi="Arial"/>
                <w:sz w:val="16"/>
                <w:szCs w:val="16"/>
                <w:color w:val="auto"/>
              </w:rPr>
              <w:t>117,700</w:t>
            </w:r>
          </w:p>
        </w:tc>
        <w:tc>
          <w:tcPr>
            <w:tcW w:w="840" w:type="dxa"/>
            <w:vAlign w:val="bottom"/>
          </w:tcPr>
          <w:p>
            <w:pPr>
              <w:jc w:val="right"/>
              <w:ind w:right="163"/>
              <w:spacing w:after="0"/>
              <w:rPr>
                <w:sz w:val="20"/>
                <w:szCs w:val="20"/>
                <w:color w:val="auto"/>
              </w:rPr>
            </w:pPr>
            <w:r>
              <w:rPr>
                <w:rFonts w:ascii="Arial" w:cs="Arial" w:eastAsia="Arial" w:hAnsi="Arial"/>
                <w:sz w:val="16"/>
                <w:szCs w:val="16"/>
                <w:color w:val="auto"/>
              </w:rPr>
              <w:t>2,400</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23" w:lineRule="exact"/>
        <w:rPr>
          <w:sz w:val="20"/>
          <w:szCs w:val="20"/>
          <w:color w:val="auto"/>
        </w:rPr>
      </w:pPr>
    </w:p>
    <w:p>
      <w:pPr>
        <w:sectPr>
          <w:pgSz w:w="11900" w:h="16838" w:orient="portrait"/>
          <w:cols w:equalWidth="0" w:num="2">
            <w:col w:w="1120" w:space="80"/>
            <w:col w:w="10140"/>
          </w:cols>
          <w:pgMar w:left="320" w:top="574" w:right="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S-11</w:t>
      </w:r>
    </w:p>
    <w:p>
      <w:pPr>
        <w:sectPr>
          <w:pgSz w:w="11900" w:h="16838" w:orient="portrait"/>
          <w:cols w:equalWidth="0" w:num="1">
            <w:col w:w="11340"/>
          </w:cols>
          <w:pgMar w:left="320" w:top="574"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Detail of Benefits Payable Balance and Year-to-Date Changes</w:t>
      </w:r>
    </w:p>
    <w:p>
      <w:pPr>
        <w:sectPr>
          <w:pgSz w:w="11900" w:h="16838" w:orient="portrait"/>
          <w:cols w:equalWidth="0" w:num="1">
            <w:col w:w="10139"/>
          </w:cols>
          <w:pgMar w:left="320" w:top="574" w:right="1440"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right="400"/>
        <w:spacing w:after="0" w:line="257" w:lineRule="auto"/>
        <w:rPr>
          <w:sz w:val="20"/>
          <w:szCs w:val="20"/>
          <w:color w:val="auto"/>
        </w:rPr>
      </w:pPr>
      <w:r>
        <w:rPr>
          <w:rFonts w:ascii="Arial" w:cs="Arial" w:eastAsia="Arial" w:hAnsi="Arial"/>
          <w:sz w:val="18"/>
          <w:szCs w:val="18"/>
          <w:b w:val="1"/>
          <w:bCs w:val="1"/>
          <w:color w:val="auto"/>
        </w:rPr>
        <w:t>Year-to-date changes in benefits payable, excluding military services</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Balances at January 1</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Reinsurance recoverables (P)</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Beginning balance, net of reinsurance recoverable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Incurred related to:</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 year</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Prior years (Q)</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incurred</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Paid related to:</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 year</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Prior years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paid</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Reinsurance recoverables (P)</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5"/>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For the three</w:t>
            </w:r>
          </w:p>
        </w:tc>
        <w:tc>
          <w:tcPr>
            <w:tcW w:w="200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r>
      <w:tr>
        <w:trPr>
          <w:trHeight w:val="18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months ended</w:t>
            </w: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9"/>
              </w:rPr>
              <w:t>For the three months ended</w:t>
            </w:r>
          </w:p>
        </w:tc>
        <w:tc>
          <w:tcPr>
            <w:tcW w:w="168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For the year ended</w:t>
            </w:r>
          </w:p>
        </w:tc>
      </w:tr>
      <w:tr>
        <w:trPr>
          <w:trHeight w:val="221"/>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March 31, 2020</w:t>
            </w:r>
          </w:p>
        </w:tc>
        <w:tc>
          <w:tcPr>
            <w:tcW w:w="200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6"/>
                <w:szCs w:val="16"/>
                <w:color w:val="auto"/>
              </w:rPr>
              <w:t>March 31, 2019</w:t>
            </w:r>
          </w:p>
        </w:tc>
        <w:tc>
          <w:tcPr>
            <w:tcW w:w="16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6"/>
                <w:szCs w:val="16"/>
                <w:color w:val="auto"/>
              </w:rPr>
              <w:t>December 31, 2019</w:t>
            </w:r>
          </w:p>
        </w:tc>
      </w:tr>
      <w:tr>
        <w:trPr>
          <w:trHeight w:val="676"/>
        </w:trPr>
        <w:tc>
          <w:tcPr>
            <w:tcW w:w="2040" w:type="dxa"/>
            <w:vAlign w:val="bottom"/>
            <w:tcBorders>
              <w:left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$6,004</w:t>
            </w:r>
          </w:p>
        </w:tc>
        <w:tc>
          <w:tcPr>
            <w:tcW w:w="20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$4,862</w:t>
            </w:r>
          </w:p>
        </w:tc>
        <w:tc>
          <w:tcPr>
            <w:tcW w:w="16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$4,862</w:t>
            </w:r>
          </w:p>
        </w:tc>
      </w:tr>
      <w:tr>
        <w:trPr>
          <w:trHeight w:val="249"/>
        </w:trPr>
        <w:tc>
          <w:tcPr>
            <w:tcW w:w="20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40" w:type="dxa"/>
            <w:vAlign w:val="bottom"/>
            <w:tcBorders>
              <w:left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5,936</w:t>
            </w:r>
          </w:p>
        </w:tc>
        <w:tc>
          <w:tcPr>
            <w:tcW w:w="20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4,767</w:t>
            </w:r>
          </w:p>
        </w:tc>
        <w:tc>
          <w:tcPr>
            <w:tcW w:w="16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4,767</w:t>
            </w:r>
          </w:p>
        </w:tc>
      </w:tr>
      <w:tr>
        <w:trPr>
          <w:trHeight w:val="499"/>
        </w:trPr>
        <w:tc>
          <w:tcPr>
            <w:tcW w:w="2040" w:type="dxa"/>
            <w:vAlign w:val="bottom"/>
            <w:tcBorders>
              <w:left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15,913</w:t>
            </w:r>
          </w:p>
        </w:tc>
        <w:tc>
          <w:tcPr>
            <w:tcW w:w="20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13,760</w:t>
            </w:r>
          </w:p>
        </w:tc>
        <w:tc>
          <w:tcPr>
            <w:tcW w:w="16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54,193</w:t>
            </w:r>
          </w:p>
        </w:tc>
      </w:tr>
      <w:tr>
        <w:trPr>
          <w:trHeight w:val="249"/>
        </w:trPr>
        <w:tc>
          <w:tcPr>
            <w:tcW w:w="20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(336)</w:t>
            </w:r>
          </w:p>
        </w:tc>
      </w:tr>
      <w:tr>
        <w:trPr>
          <w:trHeight w:val="229"/>
        </w:trPr>
        <w:tc>
          <w:tcPr>
            <w:tcW w:w="2040" w:type="dxa"/>
            <w:vAlign w:val="bottom"/>
            <w:tcBorders>
              <w:left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15,629</w:t>
            </w:r>
          </w:p>
        </w:tc>
        <w:tc>
          <w:tcPr>
            <w:tcW w:w="20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13,493</w:t>
            </w:r>
          </w:p>
        </w:tc>
        <w:tc>
          <w:tcPr>
            <w:tcW w:w="16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53,857</w:t>
            </w:r>
          </w:p>
        </w:tc>
      </w:tr>
      <w:tr>
        <w:trPr>
          <w:trHeight w:val="479"/>
        </w:trPr>
        <w:tc>
          <w:tcPr>
            <w:tcW w:w="20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(10,205)</w:t>
            </w: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(8,725)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(48,421)</w:t>
            </w:r>
          </w:p>
        </w:tc>
      </w:tr>
      <w:tr>
        <w:trPr>
          <w:trHeight w:val="249"/>
        </w:trPr>
        <w:tc>
          <w:tcPr>
            <w:tcW w:w="20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(3,595)</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(4,267)</w:t>
            </w:r>
          </w:p>
        </w:tc>
      </w:tr>
      <w:tr>
        <w:trPr>
          <w:trHeight w:val="229"/>
        </w:trPr>
        <w:tc>
          <w:tcPr>
            <w:tcW w:w="20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(12,320)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(52,688)</w:t>
            </w:r>
          </w:p>
        </w:tc>
      </w:tr>
      <w:tr>
        <w:trPr>
          <w:trHeight w:val="229"/>
        </w:trPr>
        <w:tc>
          <w:tcPr>
            <w:tcW w:w="2040" w:type="dxa"/>
            <w:vAlign w:val="bottom"/>
            <w:tcBorders>
              <w:left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c>
          <w:tcPr>
            <w:tcW w:w="20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84</w:t>
            </w:r>
          </w:p>
        </w:tc>
        <w:tc>
          <w:tcPr>
            <w:tcW w:w="16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r>
      <w:tr>
        <w:trPr>
          <w:trHeight w:val="256"/>
        </w:trPr>
        <w:tc>
          <w:tcPr>
            <w:tcW w:w="2040" w:type="dxa"/>
            <w:vAlign w:val="bottom"/>
            <w:tcBorders>
              <w:left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$7,090</w:t>
            </w:r>
          </w:p>
        </w:tc>
        <w:tc>
          <w:tcPr>
            <w:tcW w:w="20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$6,024</w:t>
            </w:r>
          </w:p>
        </w:tc>
        <w:tc>
          <w:tcPr>
            <w:tcW w:w="16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$6,004</w:t>
            </w: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880" w:space="360"/>
            <w:col w:w="5899"/>
          </w:cols>
          <w:pgMar w:left="320" w:top="5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S-12</w:t>
      </w:r>
    </w:p>
    <w:p>
      <w:pPr>
        <w:sectPr>
          <w:pgSz w:w="11900" w:h="16838" w:orient="portrait"/>
          <w:cols w:equalWidth="0" w:num="1">
            <w:col w:w="10139"/>
          </w:cols>
          <w:pgMar w:left="320" w:top="574"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4"/>
          <w:szCs w:val="24"/>
          <w:color w:val="auto"/>
        </w:rPr>
        <w:t>Humana Inc.</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Benefits Payable Statistics (Continued) (R)</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Days in Claims Payable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Days in</w:t>
            </w:r>
          </w:p>
        </w:tc>
        <w:tc>
          <w:tcPr>
            <w:tcW w:w="1120" w:type="dxa"/>
            <w:vAlign w:val="bottom"/>
          </w:tcPr>
          <w:p>
            <w:pPr>
              <w:jc w:val="center"/>
              <w:ind w:right="78"/>
              <w:spacing w:after="0"/>
              <w:rPr>
                <w:sz w:val="20"/>
                <w:szCs w:val="20"/>
                <w:color w:val="auto"/>
              </w:rPr>
            </w:pPr>
            <w:r>
              <w:rPr>
                <w:rFonts w:ascii="Arial" w:cs="Arial" w:eastAsia="Arial" w:hAnsi="Arial"/>
                <w:sz w:val="18"/>
                <w:szCs w:val="18"/>
                <w:b w:val="1"/>
                <w:bCs w:val="1"/>
                <w:color w:val="auto"/>
                <w:w w:val="96"/>
              </w:rPr>
              <w:t>Change</w:t>
            </w:r>
          </w:p>
        </w:tc>
        <w:tc>
          <w:tcPr>
            <w:tcW w:w="1260" w:type="dxa"/>
            <w:vAlign w:val="bottom"/>
          </w:tcPr>
          <w:p>
            <w:pPr>
              <w:spacing w:after="0"/>
              <w:rPr>
                <w:sz w:val="17"/>
                <w:szCs w:val="17"/>
                <w:color w:val="auto"/>
              </w:rPr>
            </w:pPr>
          </w:p>
        </w:tc>
      </w:tr>
      <w:tr>
        <w:trPr>
          <w:trHeight w:val="197"/>
        </w:trPr>
        <w:tc>
          <w:tcPr>
            <w:tcW w:w="2760" w:type="dxa"/>
            <w:vAlign w:val="bottom"/>
          </w:tcPr>
          <w:p>
            <w:pPr>
              <w:spacing w:after="0"/>
              <w:rPr>
                <w:sz w:val="17"/>
                <w:szCs w:val="17"/>
                <w:color w:val="auto"/>
              </w:rPr>
            </w:pPr>
          </w:p>
        </w:tc>
        <w:tc>
          <w:tcPr>
            <w:tcW w:w="13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8"/>
              </w:rPr>
              <w:t>Claims</w:t>
            </w:r>
          </w:p>
        </w:tc>
        <w:tc>
          <w:tcPr>
            <w:tcW w:w="1120" w:type="dxa"/>
            <w:vAlign w:val="bottom"/>
          </w:tcPr>
          <w:p>
            <w:pPr>
              <w:jc w:val="center"/>
              <w:ind w:right="78"/>
              <w:spacing w:after="0" w:line="197" w:lineRule="exact"/>
              <w:rPr>
                <w:sz w:val="20"/>
                <w:szCs w:val="20"/>
                <w:color w:val="auto"/>
              </w:rPr>
            </w:pPr>
            <w:r>
              <w:rPr>
                <w:rFonts w:ascii="Arial" w:cs="Arial" w:eastAsia="Arial" w:hAnsi="Arial"/>
                <w:sz w:val="18"/>
                <w:szCs w:val="18"/>
                <w:b w:val="1"/>
                <w:bCs w:val="1"/>
                <w:color w:val="auto"/>
                <w:w w:val="99"/>
              </w:rPr>
              <w:t>Last 4</w:t>
            </w:r>
          </w:p>
        </w:tc>
        <w:tc>
          <w:tcPr>
            <w:tcW w:w="1260" w:type="dxa"/>
            <w:vAlign w:val="bottom"/>
          </w:tcPr>
          <w:p>
            <w:pPr>
              <w:jc w:val="right"/>
              <w:ind w:right="119"/>
              <w:spacing w:after="0" w:line="197" w:lineRule="exact"/>
              <w:rPr>
                <w:sz w:val="20"/>
                <w:szCs w:val="20"/>
                <w:color w:val="auto"/>
              </w:rPr>
            </w:pPr>
            <w:r>
              <w:rPr>
                <w:rFonts w:ascii="Arial" w:cs="Arial" w:eastAsia="Arial" w:hAnsi="Arial"/>
                <w:sz w:val="18"/>
                <w:szCs w:val="18"/>
                <w:b w:val="1"/>
                <w:bCs w:val="1"/>
                <w:color w:val="auto"/>
              </w:rPr>
              <w:t>Percentage</w:t>
            </w:r>
          </w:p>
        </w:tc>
      </w:tr>
      <w:tr>
        <w:trPr>
          <w:trHeight w:val="239"/>
        </w:trPr>
        <w:tc>
          <w:tcPr>
            <w:tcW w:w="2760" w:type="dxa"/>
            <w:vAlign w:val="bottom"/>
          </w:tcPr>
          <w:p>
            <w:pPr>
              <w:jc w:val="right"/>
              <w:ind w:right="680"/>
              <w:spacing w:after="0"/>
              <w:rPr>
                <w:sz w:val="20"/>
                <w:szCs w:val="20"/>
                <w:color w:val="auto"/>
              </w:rPr>
            </w:pPr>
            <w:r>
              <w:rPr>
                <w:rFonts w:ascii="Arial" w:cs="Arial" w:eastAsia="Arial" w:hAnsi="Arial"/>
                <w:sz w:val="18"/>
                <w:szCs w:val="18"/>
                <w:b w:val="1"/>
                <w:bCs w:val="1"/>
                <w:color w:val="auto"/>
              </w:rPr>
              <w:t>Quarter Ended</w:t>
            </w:r>
          </w:p>
        </w:tc>
        <w:tc>
          <w:tcPr>
            <w:tcW w:w="1340" w:type="dxa"/>
            <w:vAlign w:val="bottom"/>
          </w:tcPr>
          <w:p>
            <w:pPr>
              <w:jc w:val="center"/>
              <w:ind w:right="18"/>
              <w:spacing w:after="0"/>
              <w:rPr>
                <w:sz w:val="20"/>
                <w:szCs w:val="20"/>
                <w:color w:val="auto"/>
              </w:rPr>
            </w:pPr>
            <w:r>
              <w:rPr>
                <w:rFonts w:ascii="Arial" w:cs="Arial" w:eastAsia="Arial" w:hAnsi="Arial"/>
                <w:sz w:val="18"/>
                <w:szCs w:val="18"/>
                <w:b w:val="1"/>
                <w:bCs w:val="1"/>
                <w:color w:val="auto"/>
                <w:w w:val="97"/>
              </w:rPr>
              <w:t>Payable (DCP)</w:t>
            </w:r>
          </w:p>
        </w:tc>
        <w:tc>
          <w:tcPr>
            <w:tcW w:w="1120" w:type="dxa"/>
            <w:vAlign w:val="bottom"/>
          </w:tcPr>
          <w:p>
            <w:pPr>
              <w:jc w:val="center"/>
              <w:ind w:right="78"/>
              <w:spacing w:after="0"/>
              <w:rPr>
                <w:sz w:val="20"/>
                <w:szCs w:val="20"/>
                <w:color w:val="auto"/>
              </w:rPr>
            </w:pPr>
            <w:r>
              <w:rPr>
                <w:rFonts w:ascii="Arial" w:cs="Arial" w:eastAsia="Arial" w:hAnsi="Arial"/>
                <w:sz w:val="18"/>
                <w:szCs w:val="18"/>
                <w:b w:val="1"/>
                <w:bCs w:val="1"/>
                <w:color w:val="auto"/>
                <w:w w:val="95"/>
              </w:rPr>
              <w:t>Quarters</w:t>
            </w:r>
          </w:p>
        </w:tc>
        <w:tc>
          <w:tcPr>
            <w:tcW w:w="1260" w:type="dxa"/>
            <w:vAlign w:val="bottom"/>
          </w:tcPr>
          <w:p>
            <w:pPr>
              <w:jc w:val="right"/>
              <w:ind w:right="279"/>
              <w:spacing w:after="0"/>
              <w:rPr>
                <w:sz w:val="20"/>
                <w:szCs w:val="20"/>
                <w:color w:val="auto"/>
              </w:rPr>
            </w:pPr>
            <w:r>
              <w:rPr>
                <w:rFonts w:ascii="Arial" w:cs="Arial" w:eastAsia="Arial" w:hAnsi="Arial"/>
                <w:sz w:val="18"/>
                <w:szCs w:val="18"/>
                <w:b w:val="1"/>
                <w:bCs w:val="1"/>
                <w:color w:val="auto"/>
              </w:rPr>
              <w:t>Change</w:t>
            </w:r>
          </w:p>
        </w:tc>
      </w:tr>
      <w:tr>
        <w:trPr>
          <w:trHeight w:val="217"/>
        </w:trPr>
        <w:tc>
          <w:tcPr>
            <w:tcW w:w="2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3/31/2019</w:t>
            </w:r>
          </w:p>
        </w:tc>
        <w:tc>
          <w:tcPr>
            <w:tcW w:w="134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40.2</w:t>
            </w: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1.9</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236"/>
        </w:trPr>
        <w:tc>
          <w:tcPr>
            <w:tcW w:w="2760" w:type="dxa"/>
            <w:vAlign w:val="bottom"/>
          </w:tcPr>
          <w:p>
            <w:pPr>
              <w:jc w:val="right"/>
              <w:spacing w:after="0"/>
              <w:rPr>
                <w:sz w:val="20"/>
                <w:szCs w:val="20"/>
                <w:color w:val="auto"/>
              </w:rPr>
            </w:pPr>
            <w:r>
              <w:rPr>
                <w:rFonts w:ascii="Arial" w:cs="Arial" w:eastAsia="Arial" w:hAnsi="Arial"/>
                <w:sz w:val="16"/>
                <w:szCs w:val="16"/>
                <w:color w:val="auto"/>
              </w:rPr>
              <w:t>6/30/2019</w:t>
            </w: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39.9</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(0.2)</w:t>
            </w:r>
          </w:p>
        </w:tc>
        <w:tc>
          <w:tcPr>
            <w:tcW w:w="12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36"/>
        </w:trPr>
        <w:tc>
          <w:tcPr>
            <w:tcW w:w="2760" w:type="dxa"/>
            <w:vAlign w:val="bottom"/>
          </w:tcPr>
          <w:p>
            <w:pPr>
              <w:jc w:val="right"/>
              <w:spacing w:after="0"/>
              <w:rPr>
                <w:sz w:val="20"/>
                <w:szCs w:val="20"/>
                <w:color w:val="auto"/>
              </w:rPr>
            </w:pPr>
            <w:r>
              <w:rPr>
                <w:rFonts w:ascii="Arial" w:cs="Arial" w:eastAsia="Arial" w:hAnsi="Arial"/>
                <w:sz w:val="16"/>
                <w:szCs w:val="16"/>
                <w:color w:val="auto"/>
              </w:rPr>
              <w:t>9/30/2019</w:t>
            </w: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42.8</w:t>
            </w: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1.7</w:t>
            </w:r>
          </w:p>
        </w:tc>
        <w:tc>
          <w:tcPr>
            <w:tcW w:w="126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49"/>
        </w:trPr>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12/31/2019</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40.4</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r>
      <w:tr>
        <w:trPr>
          <w:trHeight w:val="229"/>
        </w:trPr>
        <w:tc>
          <w:tcPr>
            <w:tcW w:w="27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3/31/2020</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00497F"/>
              </w:rPr>
              <w:t>41.3</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00497F"/>
              </w:rPr>
              <w:t>1.1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2.7 %</w:t>
            </w:r>
          </w:p>
        </w:tc>
      </w:tr>
    </w:tbl>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 in Days in Claims Payable (S)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color w:val="auto"/>
              </w:rPr>
              <w:t>1Q</w:t>
            </w:r>
          </w:p>
        </w:tc>
        <w:tc>
          <w:tcPr>
            <w:tcW w:w="700" w:type="dxa"/>
            <w:vAlign w:val="bottom"/>
          </w:tcPr>
          <w:p>
            <w:pPr>
              <w:jc w:val="center"/>
              <w:ind w:right="41"/>
              <w:spacing w:after="0"/>
              <w:rPr>
                <w:sz w:val="20"/>
                <w:szCs w:val="20"/>
                <w:color w:val="auto"/>
              </w:rPr>
            </w:pPr>
            <w:r>
              <w:rPr>
                <w:rFonts w:ascii="Arial" w:cs="Arial" w:eastAsia="Arial" w:hAnsi="Arial"/>
                <w:sz w:val="16"/>
                <w:szCs w:val="16"/>
                <w:color w:val="auto"/>
              </w:rPr>
              <w:t>1Q</w:t>
            </w: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2020</w:t>
            </w:r>
          </w:p>
        </w:tc>
        <w:tc>
          <w:tcPr>
            <w:tcW w:w="7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b w:val="1"/>
                <w:bCs w:val="1"/>
                <w:color w:val="auto"/>
              </w:rPr>
              <w:t>DCP—beginning of period</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40.4</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0"/>
        </w:trPr>
        <w:tc>
          <w:tcPr>
            <w:tcW w:w="4740" w:type="dxa"/>
            <w:vAlign w:val="bottom"/>
          </w:tcPr>
          <w:p>
            <w:pPr>
              <w:ind w:left="340"/>
              <w:spacing w:after="0"/>
              <w:rPr>
                <w:sz w:val="20"/>
                <w:szCs w:val="20"/>
                <w:color w:val="auto"/>
              </w:rPr>
            </w:pPr>
            <w:r>
              <w:rPr>
                <w:rFonts w:ascii="Arial" w:cs="Arial" w:eastAsia="Arial" w:hAnsi="Arial"/>
                <w:sz w:val="16"/>
                <w:szCs w:val="16"/>
                <w:color w:val="auto"/>
              </w:rPr>
              <w:t>Components of change in DCP:</w:t>
            </w: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4740" w:type="dxa"/>
            <w:vAlign w:val="bottom"/>
          </w:tcPr>
          <w:p>
            <w:pPr>
              <w:ind w:left="640"/>
              <w:spacing w:after="0"/>
              <w:rPr>
                <w:sz w:val="20"/>
                <w:szCs w:val="20"/>
                <w:color w:val="auto"/>
              </w:rPr>
            </w:pPr>
            <w:r>
              <w:rPr>
                <w:rFonts w:ascii="Arial" w:cs="Arial" w:eastAsia="Arial" w:hAnsi="Arial"/>
                <w:sz w:val="16"/>
                <w:szCs w:val="16"/>
                <w:color w:val="auto"/>
              </w:rPr>
              <w:t>Provider accruals (T)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0.2</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3"/>
        </w:trPr>
        <w:tc>
          <w:tcPr>
            <w:tcW w:w="4740" w:type="dxa"/>
            <w:vAlign w:val="bottom"/>
          </w:tcPr>
          <w:p>
            <w:pPr>
              <w:ind w:left="780"/>
              <w:spacing w:after="0"/>
              <w:rPr>
                <w:sz w:val="20"/>
                <w:szCs w:val="20"/>
                <w:color w:val="auto"/>
              </w:rPr>
            </w:pPr>
            <w:r>
              <w:rPr>
                <w:rFonts w:ascii="Arial" w:cs="Arial" w:eastAsia="Arial" w:hAnsi="Arial"/>
                <w:sz w:val="16"/>
                <w:szCs w:val="16"/>
                <w:color w:val="auto"/>
              </w:rPr>
              <w:t>Medical fee-for-service (U)</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0.6</w:t>
            </w:r>
          </w:p>
        </w:tc>
        <w:tc>
          <w:tcPr>
            <w:tcW w:w="70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63"/>
        </w:trPr>
        <w:tc>
          <w:tcPr>
            <w:tcW w:w="4740" w:type="dxa"/>
            <w:vAlign w:val="bottom"/>
          </w:tcPr>
          <w:p>
            <w:pPr>
              <w:ind w:left="640"/>
              <w:spacing w:after="0"/>
              <w:rPr>
                <w:sz w:val="20"/>
                <w:szCs w:val="20"/>
                <w:color w:val="auto"/>
              </w:rPr>
            </w:pPr>
            <w:r>
              <w:rPr>
                <w:rFonts w:ascii="Arial" w:cs="Arial" w:eastAsia="Arial" w:hAnsi="Arial"/>
                <w:sz w:val="16"/>
                <w:szCs w:val="16"/>
                <w:color w:val="auto"/>
              </w:rPr>
              <w:t>Pharmacy (V)</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0.3</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4740" w:type="dxa"/>
            <w:vAlign w:val="bottom"/>
          </w:tcPr>
          <w:p>
            <w:pPr>
              <w:ind w:left="640"/>
              <w:spacing w:after="0"/>
              <w:rPr>
                <w:sz w:val="20"/>
                <w:szCs w:val="20"/>
                <w:color w:val="auto"/>
              </w:rPr>
            </w:pPr>
            <w:r>
              <w:rPr>
                <w:rFonts w:ascii="Arial" w:cs="Arial" w:eastAsia="Arial" w:hAnsi="Arial"/>
                <w:sz w:val="16"/>
                <w:szCs w:val="16"/>
                <w:color w:val="auto"/>
              </w:rPr>
              <w:t>Processed claims inventory (W)</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5"/>
        </w:trPr>
        <w:tc>
          <w:tcPr>
            <w:tcW w:w="4740" w:type="dxa"/>
            <w:vAlign w:val="bottom"/>
          </w:tcPr>
          <w:p>
            <w:pPr>
              <w:ind w:left="640"/>
              <w:spacing w:after="0"/>
              <w:rPr>
                <w:sz w:val="20"/>
                <w:szCs w:val="20"/>
                <w:color w:val="auto"/>
              </w:rPr>
            </w:pPr>
            <w:r>
              <w:rPr>
                <w:rFonts w:ascii="Arial" w:cs="Arial" w:eastAsia="Arial" w:hAnsi="Arial"/>
                <w:sz w:val="16"/>
                <w:szCs w:val="16"/>
                <w:color w:val="auto"/>
              </w:rPr>
              <w:t>Other (X)</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b w:val="1"/>
                <w:bCs w:val="1"/>
                <w:color w:val="auto"/>
              </w:rPr>
              <w:t>DCP—end of period</w:t>
            </w: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41.3</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Total change from beginning of period</w:t>
            </w: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0.9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Last</w:t>
      </w:r>
    </w:p>
    <w:p>
      <w:pPr>
        <w:ind w:left="80"/>
        <w:spacing w:after="0"/>
        <w:tabs>
          <w:tab w:leader="none" w:pos="720" w:val="left"/>
        </w:tabs>
        <w:rPr>
          <w:sz w:val="20"/>
          <w:szCs w:val="20"/>
          <w:color w:val="auto"/>
        </w:rPr>
      </w:pPr>
      <w:r>
        <w:rPr>
          <w:rFonts w:ascii="Arial" w:cs="Arial" w:eastAsia="Arial" w:hAnsi="Arial"/>
          <w:sz w:val="16"/>
          <w:szCs w:val="16"/>
          <w:color w:val="auto"/>
        </w:rPr>
        <w:t>4Q</w:t>
      </w:r>
      <w:r>
        <w:rPr>
          <w:sz w:val="20"/>
          <w:szCs w:val="20"/>
          <w:color w:val="auto"/>
        </w:rPr>
        <w:tab/>
      </w:r>
      <w:r>
        <w:rPr>
          <w:rFonts w:ascii="Arial" w:cs="Arial" w:eastAsia="Arial" w:hAnsi="Arial"/>
          <w:sz w:val="16"/>
          <w:szCs w:val="16"/>
          <w:color w:val="auto"/>
        </w:rPr>
        <w:t>Twelve</w:t>
      </w:r>
    </w:p>
    <w:p>
      <w:pPr>
        <w:spacing w:after="0"/>
        <w:tabs>
          <w:tab w:leader="none" w:pos="700" w:val="left"/>
        </w:tabs>
        <w:rPr>
          <w:sz w:val="20"/>
          <w:szCs w:val="20"/>
          <w:color w:val="auto"/>
        </w:rPr>
      </w:pP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101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59"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6"/>
          <w:szCs w:val="16"/>
          <w:color w:val="auto"/>
        </w:rPr>
        <w:t>42.8</w:t>
      </w:r>
      <w:r>
        <w:rPr>
          <w:sz w:val="20"/>
          <w:szCs w:val="20"/>
          <w:color w:val="auto"/>
        </w:rPr>
        <w:tab/>
      </w:r>
      <w:r>
        <w:rPr>
          <w:rFonts w:ascii="Arial" w:cs="Arial" w:eastAsia="Arial" w:hAnsi="Arial"/>
          <w:sz w:val="15"/>
          <w:szCs w:val="15"/>
          <w:color w:val="auto"/>
        </w:rPr>
        <w:t>40.2</w:t>
      </w:r>
    </w:p>
    <w:p>
      <w:pPr>
        <w:spacing w:after="0" w:line="341"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6"/>
          <w:szCs w:val="16"/>
          <w:color w:val="auto"/>
        </w:rPr>
        <w:t>(0.6)</w:t>
      </w:r>
      <w:r>
        <w:rPr>
          <w:sz w:val="20"/>
          <w:szCs w:val="20"/>
          <w:color w:val="auto"/>
        </w:rPr>
        <w:tab/>
      </w:r>
      <w:r>
        <w:rPr>
          <w:rFonts w:ascii="Arial" w:cs="Arial" w:eastAsia="Arial" w:hAnsi="Arial"/>
          <w:sz w:val="15"/>
          <w:szCs w:val="15"/>
          <w:color w:val="auto"/>
        </w:rPr>
        <w:t>0.6</w:t>
      </w:r>
    </w:p>
    <w:p>
      <w:pPr>
        <w:spacing w:after="0" w:line="79"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6"/>
          <w:szCs w:val="16"/>
          <w:color w:val="auto"/>
        </w:rPr>
        <w:t>0.3</w:t>
      </w:r>
      <w:r>
        <w:rPr>
          <w:sz w:val="20"/>
          <w:szCs w:val="20"/>
          <w:color w:val="auto"/>
        </w:rPr>
        <w:tab/>
      </w:r>
      <w:r>
        <w:rPr>
          <w:rFonts w:ascii="Arial" w:cs="Arial" w:eastAsia="Arial" w:hAnsi="Arial"/>
          <w:sz w:val="15"/>
          <w:szCs w:val="15"/>
          <w:color w:val="auto"/>
        </w:rPr>
        <w:t>2.1</w:t>
      </w:r>
    </w:p>
    <w:p>
      <w:pPr>
        <w:spacing w:after="0" w:line="79" w:lineRule="exact"/>
        <w:rPr>
          <w:sz w:val="20"/>
          <w:szCs w:val="20"/>
          <w:color w:val="auto"/>
        </w:rPr>
      </w:pPr>
    </w:p>
    <w:p>
      <w:pPr>
        <w:jc w:val="right"/>
        <w:ind w:right="2079"/>
        <w:spacing w:after="0"/>
        <w:tabs>
          <w:tab w:leader="none" w:pos="320" w:val="left"/>
        </w:tabs>
        <w:rPr>
          <w:sz w:val="20"/>
          <w:szCs w:val="20"/>
          <w:color w:val="auto"/>
        </w:rPr>
      </w:pPr>
      <w:r>
        <w:rPr>
          <w:rFonts w:ascii="Arial" w:cs="Arial" w:eastAsia="Arial" w:hAnsi="Arial"/>
          <w:sz w:val="16"/>
          <w:szCs w:val="16"/>
          <w:color w:val="auto"/>
        </w:rPr>
        <w:t>(0.3)</w:t>
      </w:r>
      <w:r>
        <w:rPr>
          <w:sz w:val="20"/>
          <w:szCs w:val="20"/>
          <w:color w:val="auto"/>
        </w:rPr>
        <w:tab/>
      </w:r>
      <w:r>
        <w:rPr>
          <w:rFonts w:ascii="Arial" w:cs="Arial" w:eastAsia="Arial" w:hAnsi="Arial"/>
          <w:sz w:val="16"/>
          <w:szCs w:val="16"/>
          <w:color w:val="auto"/>
        </w:rPr>
        <w:t>(0.2)</w:t>
      </w:r>
    </w:p>
    <w:p>
      <w:pPr>
        <w:spacing w:after="0" w:line="79" w:lineRule="exact"/>
        <w:rPr>
          <w:sz w:val="20"/>
          <w:szCs w:val="20"/>
          <w:color w:val="auto"/>
        </w:rPr>
      </w:pPr>
    </w:p>
    <w:p>
      <w:pPr>
        <w:jc w:val="right"/>
        <w:ind w:right="2079"/>
        <w:spacing w:after="0"/>
        <w:tabs>
          <w:tab w:leader="none" w:pos="32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(1.7)</w:t>
      </w:r>
    </w:p>
    <w:p>
      <w:pPr>
        <w:spacing w:after="0" w:line="79"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6"/>
          <w:szCs w:val="16"/>
          <w:color w:val="auto"/>
        </w:rPr>
        <w:t>0.2</w:t>
      </w:r>
      <w:r>
        <w:rPr>
          <w:sz w:val="20"/>
          <w:szCs w:val="20"/>
          <w:color w:val="auto"/>
        </w:rPr>
        <w:tab/>
      </w:r>
      <w:r>
        <w:rPr>
          <w:rFonts w:ascii="Arial" w:cs="Arial" w:eastAsia="Arial" w:hAnsi="Arial"/>
          <w:sz w:val="15"/>
          <w:szCs w:val="15"/>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101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45"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6"/>
          <w:szCs w:val="16"/>
          <w:color w:val="auto"/>
        </w:rPr>
        <w:t>40.4</w:t>
      </w:r>
      <w:r>
        <w:rPr>
          <w:sz w:val="20"/>
          <w:szCs w:val="20"/>
          <w:color w:val="auto"/>
        </w:rPr>
        <w:tab/>
      </w:r>
      <w:r>
        <w:rPr>
          <w:rFonts w:ascii="Arial" w:cs="Arial" w:eastAsia="Arial" w:hAnsi="Arial"/>
          <w:sz w:val="15"/>
          <w:szCs w:val="15"/>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101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31750</wp:posOffset>
            </wp:positionV>
            <wp:extent cx="1017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72"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1.1</w:t>
      </w:r>
    </w:p>
    <w:p>
      <w:pPr>
        <w:sectPr>
          <w:pgSz w:w="11900" w:h="16838" w:orient="portrait"/>
          <w:cols w:equalWidth="0" w:num="2">
            <w:col w:w="6460" w:space="240"/>
            <w:col w:w="3439"/>
          </w:cols>
          <w:pgMar w:left="320" w:top="574" w:right="1440"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Footnotes to Statistical Schedules and Supplementary Information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1Q20 Earnings Release</w:t>
      </w:r>
    </w:p>
    <w:p>
      <w:pPr>
        <w:spacing w:after="0" w:line="219" w:lineRule="exact"/>
        <w:rPr>
          <w:sz w:val="20"/>
          <w:szCs w:val="20"/>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Put/call valuation adjustments associated with the </w:t>
      </w:r>
      <w:r>
        <w:rPr>
          <w:rFonts w:ascii="Arial" w:cs="Arial" w:eastAsia="Arial" w:hAnsi="Arial"/>
          <w:sz w:val="12"/>
          <w:szCs w:val="12"/>
          <w:color w:val="auto"/>
        </w:rPr>
        <w:t>company's non-consolidating minority interest investments.</w:t>
      </w:r>
    </w:p>
    <w:p>
      <w:pPr>
        <w:spacing w:after="0" w:line="8"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Net earnings associated with the </w:t>
      </w:r>
      <w:r>
        <w:rPr>
          <w:rFonts w:ascii="Arial" w:cs="Arial" w:eastAsia="Arial" w:hAnsi="Arial"/>
          <w:sz w:val="12"/>
          <w:szCs w:val="12"/>
          <w:color w:val="auto"/>
        </w:rPr>
        <w:t>company's non-consolidating minority interest investments.</w:t>
      </w:r>
    </w:p>
    <w:p>
      <w:pPr>
        <w:spacing w:after="0" w:line="8"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Medicaid and other category includes premiums associated with the company’s Medicaid business.</w:t>
      </w:r>
    </w:p>
    <w:p>
      <w:pPr>
        <w:spacing w:after="0" w:line="8" w:lineRule="exact"/>
        <w:rPr>
          <w:rFonts w:ascii="Arial" w:cs="Arial" w:eastAsia="Arial" w:hAnsi="Arial"/>
          <w:sz w:val="13"/>
          <w:szCs w:val="13"/>
          <w:color w:val="auto"/>
        </w:rPr>
      </w:pPr>
    </w:p>
    <w:p>
      <w:pPr>
        <w:ind w:left="800" w:right="40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ASO and other category is primarily comprised of Administrative Services Only (ASO) fees and other ancillary services fees, including military services unless separately disclosed.</w:t>
      </w:r>
    </w:p>
    <w:p>
      <w:pPr>
        <w:spacing w:after="0" w:line="1"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Medicaid Temporary Assistance for Needy Families (TANF), dual-eligible demonstration, and Long-Term Support Services (LTSS) from state-based contracts.</w:t>
      </w:r>
    </w:p>
    <w:p>
      <w:pPr>
        <w:spacing w:after="0" w:line="8" w:lineRule="exact"/>
        <w:rPr>
          <w:rFonts w:ascii="Arial" w:cs="Arial" w:eastAsia="Arial" w:hAnsi="Arial"/>
          <w:sz w:val="13"/>
          <w:szCs w:val="13"/>
          <w:color w:val="auto"/>
        </w:rPr>
      </w:pPr>
    </w:p>
    <w:p>
      <w:pPr>
        <w:ind w:left="800" w:right="2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Fully-insured dental membership as reported does not include Humana members that have a Medicare Advantage plan that includes an embedded dental benefit. Costs associated with these dental benefits, however, are recorded in the Group and Specialty segment earnings results.</w:t>
      </w:r>
    </w:p>
    <w:p>
      <w:pPr>
        <w:spacing w:after="0" w:line="1"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Other supplemental benefits include group life policies.</w:t>
      </w:r>
    </w:p>
    <w:p>
      <w:pPr>
        <w:spacing w:after="0" w:line="8" w:lineRule="exact"/>
        <w:rPr>
          <w:rFonts w:ascii="Arial" w:cs="Arial" w:eastAsia="Arial" w:hAnsi="Arial"/>
          <w:sz w:val="13"/>
          <w:szCs w:val="13"/>
          <w:color w:val="auto"/>
        </w:rPr>
      </w:pPr>
    </w:p>
    <w:p>
      <w:pPr>
        <w:ind w:left="800" w:right="16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2" w:lineRule="exact"/>
        <w:rPr>
          <w:rFonts w:ascii="Arial" w:cs="Arial" w:eastAsia="Arial" w:hAnsi="Arial"/>
          <w:sz w:val="13"/>
          <w:szCs w:val="13"/>
          <w:color w:val="auto"/>
        </w:rPr>
      </w:pPr>
    </w:p>
    <w:p>
      <w:pPr>
        <w:ind w:left="80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2" w:lineRule="exact"/>
        <w:rPr>
          <w:rFonts w:ascii="Arial" w:cs="Arial" w:eastAsia="Arial" w:hAnsi="Arial"/>
          <w:sz w:val="13"/>
          <w:szCs w:val="13"/>
          <w:color w:val="auto"/>
        </w:rPr>
      </w:pPr>
    </w:p>
    <w:p>
      <w:pPr>
        <w:ind w:left="800" w:right="52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Specialty per member per month is computed based on reported specialty premiums and average fully-insured specialty membership for the period. Included with specialty premiums are stop-loss ASO premiums.</w:t>
      </w:r>
    </w:p>
    <w:p>
      <w:pPr>
        <w:spacing w:after="0" w:line="1"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primarily reflect services revenues under the TRICARE East Region contract which generally are contracted on a per-member basis.</w:t>
      </w:r>
    </w:p>
    <w:p>
      <w:pPr>
        <w:spacing w:after="0" w:line="8"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Computed based on average membership for the period (i.e., monthly ending membership during the period divided by the number of months in the period).</w:t>
      </w:r>
    </w:p>
    <w:p>
      <w:pPr>
        <w:spacing w:after="0" w:line="8" w:lineRule="exact"/>
        <w:rPr>
          <w:rFonts w:ascii="Arial" w:cs="Arial" w:eastAsia="Arial" w:hAnsi="Arial"/>
          <w:sz w:val="13"/>
          <w:szCs w:val="13"/>
          <w:color w:val="auto"/>
        </w:rPr>
      </w:pPr>
    </w:p>
    <w:p>
      <w:pPr>
        <w:ind w:left="800" w:right="2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 w:lineRule="exact"/>
        <w:rPr>
          <w:rFonts w:ascii="Arial" w:cs="Arial" w:eastAsia="Arial" w:hAnsi="Arial"/>
          <w:sz w:val="13"/>
          <w:szCs w:val="13"/>
          <w:color w:val="auto"/>
        </w:rPr>
      </w:pPr>
    </w:p>
    <w:p>
      <w:pPr>
        <w:ind w:left="800" w:right="24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Script volume is presented on an adjusted 30-day equivalent basis. This includes all scripts processed by the Humana pharmacy benefit manager (PBM).</w:t>
      </w:r>
    </w:p>
    <w:p>
      <w:pPr>
        <w:spacing w:after="0" w:line="8"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reinsurance recoverables associated with the company’s state-based Medicaid contract in Kentucky.</w:t>
      </w:r>
    </w:p>
    <w:p>
      <w:pPr>
        <w:spacing w:after="0" w:line="8" w:lineRule="exact"/>
        <w:rPr>
          <w:rFonts w:ascii="Arial" w:cs="Arial" w:eastAsia="Arial" w:hAnsi="Arial"/>
          <w:sz w:val="13"/>
          <w:szCs w:val="13"/>
          <w:color w:val="auto"/>
        </w:rPr>
      </w:pPr>
    </w:p>
    <w:p>
      <w:pPr>
        <w:ind w:left="800" w:right="18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1" w:lineRule="exact"/>
        <w:rPr>
          <w:rFonts w:ascii="Arial" w:cs="Arial" w:eastAsia="Arial" w:hAnsi="Arial"/>
          <w:sz w:val="13"/>
          <w:szCs w:val="13"/>
          <w:color w:val="auto"/>
        </w:rPr>
      </w:pPr>
    </w:p>
    <w:p>
      <w:pPr>
        <w:ind w:left="800" w:right="26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spacing w:after="0" w:line="1" w:lineRule="exact"/>
        <w:rPr>
          <w:rFonts w:ascii="Arial" w:cs="Arial" w:eastAsia="Arial" w:hAnsi="Arial"/>
          <w:sz w:val="13"/>
          <w:szCs w:val="13"/>
          <w:color w:val="auto"/>
        </w:rPr>
      </w:pPr>
    </w:p>
    <w:p>
      <w:pPr>
        <w:ind w:left="800" w:right="10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spacing w:after="0" w:line="1" w:lineRule="exact"/>
        <w:rPr>
          <w:rFonts w:ascii="Arial" w:cs="Arial" w:eastAsia="Arial" w:hAnsi="Arial"/>
          <w:sz w:val="13"/>
          <w:szCs w:val="13"/>
          <w:color w:val="auto"/>
        </w:rPr>
      </w:pPr>
    </w:p>
    <w:p>
      <w:pPr>
        <w:ind w:left="800" w:right="34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Provider accruals represent portions of capitation payments set aside to pay future settlements for capitated providers. Related settlements generally happen over a 12-month period.</w:t>
      </w:r>
    </w:p>
    <w:p>
      <w:pPr>
        <w:spacing w:after="0" w:line="1" w:lineRule="exact"/>
        <w:rPr>
          <w:rFonts w:ascii="Arial" w:cs="Arial" w:eastAsia="Arial" w:hAnsi="Arial"/>
          <w:sz w:val="13"/>
          <w:szCs w:val="13"/>
          <w:color w:val="auto"/>
        </w:rPr>
      </w:pPr>
    </w:p>
    <w:p>
      <w:pPr>
        <w:ind w:left="800" w:hanging="322"/>
        <w:spacing w:after="0"/>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medical and specialty claims incurred but not reported (IBNR) for non-pharmacy fully-insured products.</w:t>
      </w:r>
    </w:p>
    <w:p>
      <w:pPr>
        <w:spacing w:after="0" w:line="8" w:lineRule="exact"/>
        <w:rPr>
          <w:rFonts w:ascii="Arial" w:cs="Arial" w:eastAsia="Arial" w:hAnsi="Arial"/>
          <w:sz w:val="13"/>
          <w:szCs w:val="13"/>
          <w:color w:val="auto"/>
        </w:rPr>
      </w:pPr>
    </w:p>
    <w:p>
      <w:pPr>
        <w:ind w:left="800" w:right="28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spacing w:after="0" w:line="1" w:lineRule="exact"/>
        <w:rPr>
          <w:rFonts w:ascii="Arial" w:cs="Arial" w:eastAsia="Arial" w:hAnsi="Arial"/>
          <w:sz w:val="13"/>
          <w:szCs w:val="13"/>
          <w:color w:val="auto"/>
        </w:rPr>
      </w:pPr>
    </w:p>
    <w:p>
      <w:pPr>
        <w:ind w:left="800" w:hanging="322"/>
        <w:spacing w:after="0" w:line="252"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spacing w:after="0" w:line="1" w:lineRule="exact"/>
        <w:rPr>
          <w:rFonts w:ascii="Arial" w:cs="Arial" w:eastAsia="Arial" w:hAnsi="Arial"/>
          <w:sz w:val="13"/>
          <w:szCs w:val="13"/>
          <w:color w:val="auto"/>
        </w:rPr>
      </w:pPr>
    </w:p>
    <w:p>
      <w:pPr>
        <w:ind w:left="800" w:hanging="322"/>
        <w:spacing w:after="0" w:line="264" w:lineRule="auto"/>
        <w:tabs>
          <w:tab w:leader="none" w:pos="8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S-14</w:t>
      </w:r>
    </w:p>
    <w:sectPr>
      <w:pgSz w:w="11900" w:h="16838" w:orient="portrait"/>
      <w:cols w:equalWidth="0" w:num="1">
        <w:col w:w="11240"/>
      </w:cols>
      <w:pgMar w:left="320" w:top="5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
      <w:numFmt w:val="bullet"/>
      <w:start w:val="1"/>
    </w:lvl>
  </w:abstractNum>
  <w:abstractNum w:abstractNumId="2">
    <w:nsid w:val="79838CB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3">
    <w:nsid w:val="4353D0CD"/>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4">
    <w:nsid w:val="B03E0C6"/>
    <w:multiLevelType w:val="hybridMultilevel"/>
    <w:lvl w:ilvl="0">
      <w:lvlJc w:val="left"/>
      <w:lvlText w:val="(%1)"/>
      <w:numFmt w:val="lowerLetter"/>
      <w:start w:val="4"/>
    </w:lvl>
    <w:lvl w:ilvl="1">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lvl w:ilvl="1">
      <w:lvlJc w:val="left"/>
      <w:lvlText w:val="◦"/>
      <w:numFmt w:val="bullet"/>
      <w:start w:val="1"/>
    </w:lvl>
  </w:abstractNum>
  <w:abstractNum w:abstractNumId="21">
    <w:nsid w:val="419AC241"/>
    <w:multiLevelType w:val="hybridMultilevel"/>
    <w:lvl w:ilvl="0">
      <w:lvlJc w:val="left"/>
      <w:lvlText w:val="•"/>
      <w:numFmt w:val="bullet"/>
      <w:start w:val="1"/>
    </w:lvl>
    <w:lvl w:ilvl="1">
      <w:lvlJc w:val="left"/>
      <w:lvlText w:val="◦"/>
      <w:numFmt w:val="bullet"/>
      <w:start w:val="1"/>
    </w:lvl>
  </w:abstractNum>
  <w:abstractNum w:abstractNumId="22">
    <w:nsid w:val="5577F8E1"/>
    <w:multiLevelType w:val="hybridMultilevel"/>
    <w:lvl w:ilvl="0">
      <w:lvlJc w:val="left"/>
      <w:lvlText w:val="•"/>
      <w:numFmt w:val="bullet"/>
      <w:start w:val="1"/>
    </w:lvl>
    <w:lvl w:ilvl="1">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lvl w:ilvl="1">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lvl w:ilvl="1">
      <w:lvlJc w:val="left"/>
      <w:lvlText w:val="◦"/>
      <w:numFmt w:val="bullet"/>
      <w:start w:val="1"/>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lvl w:ilvl="1">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lvl w:ilvl="1">
      <w:lvlJc w:val="left"/>
      <w:lvlText w:val="◦"/>
      <w:numFmt w:val="bullet"/>
      <w:start w:val="1"/>
    </w:lvl>
  </w:abstractNum>
  <w:abstractNum w:abstractNumId="35">
    <w:nsid w:val="3855585C"/>
    <w:multiLevelType w:val="hybridMultilevel"/>
    <w:lvl w:ilvl="0">
      <w:lvlJc w:val="left"/>
      <w:lvlText w:val="(%1)"/>
      <w:numFmt w:val="lowerLetter"/>
      <w:start w:val="1"/>
    </w:lvl>
    <w:lvl w:ilvl="1">
      <w:lvlJc w:val="left"/>
      <w:lvlText w:val="•"/>
      <w:numFmt w:val="bullet"/>
      <w:start w:val="1"/>
    </w:lvl>
  </w:abstractNum>
  <w:abstractNum w:abstractNumId="36">
    <w:nsid w:val="70A64E2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7">
    <w:nsid w:val="6A2342EC"/>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8"/>
    </w:lvl>
  </w:abstractNum>
  <w:abstractNum w:abstractNumId="44">
    <w:nsid w:val="4B588F54"/>
    <w:multiLevelType w:val="hybridMultilevel"/>
    <w:lvl w:ilvl="0">
      <w:lvlJc w:val="left"/>
      <w:lvlText w:val="%1"/>
      <w:numFmt w:val="decimal"/>
      <w:start w:val="472"/>
    </w:lvl>
  </w:abstractNum>
  <w:abstractNum w:abstractNumId="45">
    <w:nsid w:val="542289EC"/>
    <w:multiLevelType w:val="hybridMultilevel"/>
    <w:lvl w:ilvl="0">
      <w:lvlJc w:val="left"/>
      <w:lvlText w:val="%1"/>
      <w:numFmt w:val="decimal"/>
      <w:start w:val="28"/>
    </w:lvl>
  </w:abstractNum>
  <w:abstractNum w:abstractNumId="46">
    <w:nsid w:val="6DE91B1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2020-04-30T17:20:38Z</dcterms:created>
  <dcterms:modified xsi:type="dcterms:W3CDTF">2020-04-30T17:20:38Z</dcterms:modified>
</cp:coreProperties>
</file>