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1620" w:right="2820" w:hanging="845"/>
        <w:spacing w:after="0" w:line="235" w:lineRule="auto"/>
        <w:tabs>
          <w:tab w:leader="none" w:pos="140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1620" w:right="2820" w:hanging="845"/>
        <w:spacing w:after="0" w:line="235" w:lineRule="auto"/>
        <w:tabs>
          <w:tab w:leader="none" w:pos="140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94"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102870</wp:posOffset>
            </wp:positionV>
            <wp:extent cx="396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HUMANA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51435</wp:posOffset>
            </wp:positionV>
            <wp:extent cx="396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5" w:lineRule="exact"/>
        <w:rPr>
          <w:sz w:val="24"/>
          <w:szCs w:val="24"/>
          <w:color w:val="auto"/>
        </w:rPr>
      </w:pPr>
    </w:p>
    <w:tbl>
      <w:tblPr>
        <w:tblLayout w:type="fixed"/>
        <w:tblInd w:w="340" w:type="dxa"/>
        <w:tblCellMar>
          <w:top w:w="0" w:type="dxa"/>
          <w:left w:w="0" w:type="dxa"/>
          <w:bottom w:w="0" w:type="dxa"/>
          <w:right w:w="0" w:type="dxa"/>
        </w:tblCellMar>
      </w:tblPr>
      <w:tr>
        <w:trPr>
          <w:trHeight w:val="225"/>
        </w:trPr>
        <w:tc>
          <w:tcPr>
            <w:tcW w:w="1940" w:type="dxa"/>
            <w:vAlign w:val="bottom"/>
          </w:tcPr>
          <w:p>
            <w:pPr>
              <w:spacing w:after="0"/>
              <w:rPr>
                <w:sz w:val="19"/>
                <w:szCs w:val="19"/>
                <w:color w:val="auto"/>
              </w:rPr>
            </w:pPr>
          </w:p>
        </w:tc>
        <w:tc>
          <w:tcPr>
            <w:tcW w:w="2260" w:type="dxa"/>
            <w:vAlign w:val="bottom"/>
            <w:gridSpan w:val="2"/>
          </w:tcPr>
          <w:p>
            <w:pPr>
              <w:jc w:val="center"/>
              <w:ind w:right="408"/>
              <w:spacing w:after="0"/>
              <w:rPr>
                <w:sz w:val="20"/>
                <w:szCs w:val="20"/>
                <w:color w:val="auto"/>
              </w:rPr>
            </w:pPr>
            <w:r>
              <w:rPr>
                <w:rFonts w:ascii="Arial" w:cs="Arial" w:eastAsia="Arial" w:hAnsi="Arial"/>
                <w:sz w:val="18"/>
                <w:szCs w:val="18"/>
                <w:b w:val="1"/>
                <w:bCs w:val="1"/>
                <w:color w:val="auto"/>
                <w:w w:val="93"/>
              </w:rPr>
              <w:t>Delaware</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40" w:type="dxa"/>
            <w:vAlign w:val="bottom"/>
            <w:gridSpan w:val="2"/>
          </w:tcPr>
          <w:p>
            <w:pPr>
              <w:jc w:val="right"/>
              <w:ind w:right="1179"/>
              <w:spacing w:after="0"/>
              <w:rPr>
                <w:sz w:val="20"/>
                <w:szCs w:val="20"/>
                <w:color w:val="auto"/>
              </w:rPr>
            </w:pPr>
            <w:r>
              <w:rPr>
                <w:rFonts w:ascii="Arial" w:cs="Arial" w:eastAsia="Arial" w:hAnsi="Arial"/>
                <w:sz w:val="18"/>
                <w:szCs w:val="18"/>
                <w:b w:val="1"/>
                <w:bCs w:val="1"/>
                <w:color w:val="auto"/>
              </w:rPr>
              <w:t>61-0647538</w:t>
            </w:r>
          </w:p>
        </w:tc>
      </w:tr>
      <w:tr>
        <w:trPr>
          <w:trHeight w:val="186"/>
        </w:trPr>
        <w:tc>
          <w:tcPr>
            <w:tcW w:w="648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94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18"/>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500 West Main Street</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2"/>
        </w:trPr>
        <w:tc>
          <w:tcPr>
            <w:tcW w:w="1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Louisville, Kentucky 40202</w:t>
            </w: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6"/>
        </w:trPr>
        <w:tc>
          <w:tcPr>
            <w:tcW w:w="1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0" w:type="dxa"/>
            <w:vAlign w:val="bottom"/>
            <w:gridSpan w:val="6"/>
          </w:tcPr>
          <w:p>
            <w:pPr>
              <w:jc w:val="center"/>
              <w:ind w:right="17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23"/>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(502) 580-1000</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7"/>
        </w:trPr>
        <w:tc>
          <w:tcPr>
            <w:tcW w:w="1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0" w:type="dxa"/>
            <w:vAlign w:val="bottom"/>
            <w:gridSpan w:val="6"/>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58"/>
        </w:trPr>
        <w:tc>
          <w:tcPr>
            <w:tcW w:w="42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0"/>
        </w:trPr>
        <w:tc>
          <w:tcPr>
            <w:tcW w:w="194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0"/>
        </w:trPr>
        <w:tc>
          <w:tcPr>
            <w:tcW w:w="4200" w:type="dxa"/>
            <w:vAlign w:val="bottom"/>
            <w:gridSpan w:val="3"/>
          </w:tcPr>
          <w:p>
            <w:pPr>
              <w:jc w:val="center"/>
              <w:ind w:left="656"/>
              <w:spacing w:after="0"/>
              <w:rPr>
                <w:sz w:val="20"/>
                <w:szCs w:val="20"/>
                <w:color w:val="auto"/>
              </w:rPr>
            </w:pPr>
            <w:r>
              <w:rPr>
                <w:rFonts w:ascii="Arial" w:cs="Arial" w:eastAsia="Arial" w:hAnsi="Arial"/>
                <w:sz w:val="18"/>
                <w:szCs w:val="18"/>
                <w:color w:val="auto"/>
                <w:w w:val="90"/>
              </w:rPr>
              <w:t>Common stock, $0.16 2/3 par value</w:t>
            </w:r>
          </w:p>
        </w:tc>
        <w:tc>
          <w:tcPr>
            <w:tcW w:w="580" w:type="dxa"/>
            <w:vAlign w:val="bottom"/>
          </w:tcPr>
          <w:p>
            <w:pPr>
              <w:spacing w:after="0"/>
              <w:rPr>
                <w:sz w:val="21"/>
                <w:szCs w:val="21"/>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8"/>
                <w:szCs w:val="18"/>
                <w:color w:val="auto"/>
              </w:rPr>
              <w:t>HUM</w:t>
            </w:r>
          </w:p>
        </w:tc>
        <w:tc>
          <w:tcPr>
            <w:tcW w:w="26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40"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ind w:right="20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620" w:type="dxa"/>
        <w:tblCellMar>
          <w:top w:w="0" w:type="dxa"/>
          <w:left w:w="0" w:type="dxa"/>
          <w:bottom w:w="0" w:type="dxa"/>
          <w:right w:w="0" w:type="dxa"/>
        </w:tblCellMar>
      </w:tblPr>
      <w:tr>
        <w:trPr>
          <w:trHeight w:val="277"/>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1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1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74"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340" w:right="21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ind w:left="460"/>
              <w:spacing w:after="0"/>
              <w:rPr>
                <w:sz w:val="20"/>
                <w:szCs w:val="20"/>
                <w:color w:val="auto"/>
              </w:rPr>
            </w:pPr>
            <w:r>
              <w:rPr>
                <w:rFonts w:ascii="Arial" w:cs="Arial" w:eastAsia="Arial" w:hAnsi="Arial"/>
                <w:sz w:val="14"/>
                <w:szCs w:val="14"/>
                <w:b w:val="1"/>
                <w:bCs w:val="1"/>
                <w:color w:val="auto"/>
              </w:rPr>
              <w:t>Class of Common Stock</w:t>
            </w:r>
          </w:p>
        </w:tc>
        <w:tc>
          <w:tcPr>
            <w:tcW w:w="6360" w:type="dxa"/>
            <w:vAlign w:val="bottom"/>
          </w:tcPr>
          <w:p>
            <w:pPr>
              <w:jc w:val="center"/>
              <w:ind w:left="1359"/>
              <w:spacing w:after="0"/>
              <w:rPr>
                <w:sz w:val="20"/>
                <w:szCs w:val="20"/>
                <w:color w:val="auto"/>
              </w:rPr>
            </w:pPr>
            <w:r>
              <w:rPr>
                <w:rFonts w:ascii="Arial" w:cs="Arial" w:eastAsia="Arial" w:hAnsi="Arial"/>
                <w:sz w:val="14"/>
                <w:szCs w:val="14"/>
                <w:b w:val="1"/>
                <w:bCs w:val="1"/>
                <w:color w:val="auto"/>
                <w:w w:val="94"/>
              </w:rPr>
              <w:t>Outstanding at March 31, 2022</w:t>
            </w:r>
          </w:p>
        </w:tc>
      </w:tr>
      <w:tr>
        <w:trPr>
          <w:trHeight w:val="241"/>
        </w:trPr>
        <w:tc>
          <w:tcPr>
            <w:tcW w:w="4880" w:type="dxa"/>
            <w:vAlign w:val="bottom"/>
          </w:tcPr>
          <w:p>
            <w:pPr>
              <w:ind w:left="460"/>
              <w:spacing w:after="0"/>
              <w:rPr>
                <w:sz w:val="20"/>
                <w:szCs w:val="20"/>
                <w:color w:val="auto"/>
              </w:rPr>
            </w:pPr>
            <w:r>
              <w:rPr>
                <w:rFonts w:ascii="Arial" w:cs="Arial" w:eastAsia="Arial" w:hAnsi="Arial"/>
                <w:sz w:val="18"/>
                <w:szCs w:val="18"/>
                <w:color w:val="auto"/>
              </w:rPr>
              <w:t>$0.16 2/3 par value</w:t>
            </w:r>
          </w:p>
        </w:tc>
        <w:tc>
          <w:tcPr>
            <w:tcW w:w="6360" w:type="dxa"/>
            <w:vAlign w:val="bottom"/>
          </w:tcPr>
          <w:p>
            <w:pPr>
              <w:jc w:val="center"/>
              <w:ind w:left="1359"/>
              <w:spacing w:after="0"/>
              <w:rPr>
                <w:sz w:val="20"/>
                <w:szCs w:val="20"/>
                <w:color w:val="auto"/>
              </w:rPr>
            </w:pPr>
            <w:r>
              <w:rPr>
                <w:rFonts w:ascii="Arial" w:cs="Arial" w:eastAsia="Arial" w:hAnsi="Arial"/>
                <w:sz w:val="18"/>
                <w:szCs w:val="18"/>
                <w:color w:val="auto"/>
                <w:w w:val="87"/>
              </w:rPr>
              <w:t>126,493,402 shares</w:t>
            </w:r>
          </w:p>
        </w:tc>
      </w:tr>
      <w:tr>
        <w:trPr>
          <w:trHeight w:val="628"/>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Borders>
              <w:bottom w:val="single" w:sz="8" w:color="auto"/>
            </w:tcBorders>
            <w:gridSpan w:val="8"/>
          </w:tcPr>
          <w:p>
            <w:pPr>
              <w:jc w:val="center"/>
              <w:spacing w:after="0" w:line="176" w:lineRule="exact"/>
              <w:rPr>
                <w:sz w:val="20"/>
                <w:szCs w:val="20"/>
                <w:color w:val="auto"/>
              </w:rPr>
            </w:pPr>
            <w:r>
              <w:rPr>
                <w:rFonts w:ascii="Arial" w:cs="Arial" w:eastAsia="Arial" w:hAnsi="Arial"/>
                <w:sz w:val="18"/>
                <w:szCs w:val="18"/>
                <w:color w:val="auto"/>
                <w:w w:val="94"/>
              </w:rPr>
              <w:t>Part I: Financial Information</w:t>
            </w:r>
          </w:p>
        </w:tc>
        <w:tc>
          <w:tcPr>
            <w:tcW w:w="4300" w:type="dxa"/>
            <w:vAlign w:val="bottom"/>
            <w:gridSpan w:val="9"/>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gridSpan w:val="27"/>
          </w:tcPr>
          <w:p>
            <w:pPr>
              <w:spacing w:after="0"/>
              <w:rPr>
                <w:sz w:val="20"/>
                <w:szCs w:val="20"/>
                <w:color w:val="auto"/>
              </w:rPr>
            </w:pPr>
            <w:r>
              <w:rPr>
                <w:rFonts w:ascii="Arial" w:cs="Arial" w:eastAsia="Arial" w:hAnsi="Arial"/>
                <w:sz w:val="18"/>
                <w:szCs w:val="18"/>
                <w:color w:val="auto"/>
              </w:rPr>
              <w:t>Financial Statements (Unaudited)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6060" w:type="dxa"/>
            <w:vAlign w:val="bottom"/>
            <w:gridSpan w:val="23"/>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Condensed Consolidated Balance Sheets at March 31, 2022 and December 31, 2021</w:t>
              </w:r>
            </w:hyperlink>
          </w:p>
        </w:tc>
        <w:tc>
          <w:tcPr>
            <w:tcW w:w="36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606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months ended</w:t>
              </w:r>
            </w:hyperlink>
          </w:p>
        </w:tc>
        <w:tc>
          <w:tcPr>
            <w:tcW w:w="3600" w:type="dxa"/>
            <w:vAlign w:val="bottom"/>
            <w:gridSpan w:val="4"/>
          </w:tcPr>
          <w:p>
            <w:pPr>
              <w:spacing w:after="0"/>
              <w:rPr>
                <w:sz w:val="22"/>
                <w:szCs w:val="22"/>
                <w:color w:val="auto"/>
              </w:rPr>
            </w:pPr>
          </w:p>
        </w:tc>
        <w:tc>
          <w:tcPr>
            <w:tcW w:w="56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
              <w:r>
                <w:rPr>
                  <w:rFonts w:ascii="Arial" w:cs="Arial" w:eastAsia="Arial" w:hAnsi="Arial"/>
                  <w:sz w:val="18"/>
                  <w:szCs w:val="18"/>
                  <w:color w:val="0000FF"/>
                </w:rPr>
                <w:t>March 31, 2022 and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660" w:type="dxa"/>
            <w:vAlign w:val="bottom"/>
            <w:gridSpan w:val="27"/>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Condensed Consolidated Statements of Comprehensive Income for the three months ended</w:t>
              </w:r>
            </w:hyperlink>
          </w:p>
        </w:tc>
        <w:tc>
          <w:tcPr>
            <w:tcW w:w="56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7"/>
          </w:tcPr>
          <w:p>
            <w:pPr>
              <w:spacing w:after="0" w:line="156" w:lineRule="exact"/>
              <w:rPr>
                <w:rFonts w:ascii="Arial" w:cs="Arial" w:eastAsia="Arial" w:hAnsi="Arial"/>
                <w:sz w:val="18"/>
                <w:szCs w:val="18"/>
                <w:color w:val="0000FF"/>
                <w:w w:val="85"/>
              </w:rPr>
            </w:pPr>
            <w:hyperlink w:anchor="page1">
              <w:r>
                <w:rPr>
                  <w:rFonts w:ascii="Arial" w:cs="Arial" w:eastAsia="Arial" w:hAnsi="Arial"/>
                  <w:sz w:val="18"/>
                  <w:szCs w:val="18"/>
                  <w:color w:val="0000FF"/>
                  <w:w w:val="85"/>
                </w:rPr>
                <w:t>March 31, 2022 and 2021</w:t>
              </w:r>
            </w:hyperlink>
          </w:p>
        </w:tc>
        <w:tc>
          <w:tcPr>
            <w:tcW w:w="4380" w:type="dxa"/>
            <w:vAlign w:val="bottom"/>
            <w:tcBorders>
              <w:top w:val="single" w:sz="8" w:color="0000FF"/>
            </w:tcBorders>
            <w:gridSpan w:val="18"/>
          </w:tcPr>
          <w:p>
            <w:pPr>
              <w:spacing w:after="0"/>
              <w:rPr>
                <w:sz w:val="13"/>
                <w:szCs w:val="13"/>
                <w:color w:val="auto"/>
              </w:rPr>
            </w:pPr>
          </w:p>
        </w:tc>
        <w:tc>
          <w:tcPr>
            <w:tcW w:w="3120" w:type="dxa"/>
            <w:vAlign w:val="bottom"/>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660" w:type="dxa"/>
            <w:vAlign w:val="bottom"/>
            <w:gridSpan w:val="2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Stockholders' Equity for the three </w:t>
              </w:r>
            </w:hyperlink>
            <w:hyperlink w:anchor="page1">
              <w:r>
                <w:rPr>
                  <w:rFonts w:ascii="Arial" w:cs="Arial" w:eastAsia="Arial" w:hAnsi="Arial"/>
                  <w:sz w:val="18"/>
                  <w:szCs w:val="18"/>
                  <w:color w:val="0000FF"/>
                </w:rPr>
                <w:t>months ended</w:t>
              </w:r>
            </w:hyperlink>
          </w:p>
        </w:tc>
        <w:tc>
          <w:tcPr>
            <w:tcW w:w="56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7"/>
          </w:tcPr>
          <w:p>
            <w:pPr>
              <w:spacing w:after="0" w:line="156" w:lineRule="exact"/>
              <w:rPr>
                <w:rFonts w:ascii="Arial" w:cs="Arial" w:eastAsia="Arial" w:hAnsi="Arial"/>
                <w:sz w:val="18"/>
                <w:szCs w:val="18"/>
                <w:color w:val="0000FF"/>
                <w:w w:val="85"/>
              </w:rPr>
            </w:pPr>
            <w:hyperlink w:anchor="page1">
              <w:r>
                <w:rPr>
                  <w:rFonts w:ascii="Arial" w:cs="Arial" w:eastAsia="Arial" w:hAnsi="Arial"/>
                  <w:sz w:val="18"/>
                  <w:szCs w:val="18"/>
                  <w:color w:val="0000FF"/>
                  <w:w w:val="85"/>
                </w:rPr>
                <w:t>March 31, 2022 and 2021</w:t>
              </w:r>
            </w:hyperlink>
          </w:p>
        </w:tc>
        <w:tc>
          <w:tcPr>
            <w:tcW w:w="312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2"/>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660" w:type="dxa"/>
            <w:vAlign w:val="bottom"/>
            <w:gridSpan w:val="2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w:t>
              </w:r>
            </w:hyperlink>
          </w:p>
        </w:tc>
        <w:tc>
          <w:tcPr>
            <w:tcW w:w="56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7"/>
          </w:tcPr>
          <w:p>
            <w:pPr>
              <w:spacing w:after="0" w:line="156" w:lineRule="exact"/>
              <w:rPr>
                <w:rFonts w:ascii="Arial" w:cs="Arial" w:eastAsia="Arial" w:hAnsi="Arial"/>
                <w:sz w:val="18"/>
                <w:szCs w:val="18"/>
                <w:color w:val="0000FF"/>
                <w:w w:val="85"/>
              </w:rPr>
            </w:pPr>
            <w:hyperlink w:anchor="page1">
              <w:r>
                <w:rPr>
                  <w:rFonts w:ascii="Arial" w:cs="Arial" w:eastAsia="Arial" w:hAnsi="Arial"/>
                  <w:sz w:val="18"/>
                  <w:szCs w:val="18"/>
                  <w:color w:val="0000FF"/>
                  <w:w w:val="85"/>
                </w:rPr>
                <w:t>March 31, 2022 and 2021</w:t>
              </w:r>
            </w:hyperlink>
          </w:p>
        </w:tc>
        <w:tc>
          <w:tcPr>
            <w:tcW w:w="3520" w:type="dxa"/>
            <w:vAlign w:val="bottom"/>
            <w:tcBorders>
              <w:top w:val="single" w:sz="8" w:color="0000FF"/>
            </w:tcBorders>
            <w:gridSpan w:val="14"/>
          </w:tcPr>
          <w:p>
            <w:pPr>
              <w:spacing w:after="0"/>
              <w:rPr>
                <w:sz w:val="13"/>
                <w:szCs w:val="13"/>
                <w:color w:val="auto"/>
              </w:rPr>
            </w:pPr>
          </w:p>
        </w:tc>
        <w:tc>
          <w:tcPr>
            <w:tcW w:w="760" w:type="dxa"/>
            <w:vAlign w:val="bottom"/>
            <w:gridSpan w:val="3"/>
          </w:tcPr>
          <w:p>
            <w:pPr>
              <w:spacing w:after="0"/>
              <w:rPr>
                <w:sz w:val="13"/>
                <w:szCs w:val="13"/>
                <w:color w:val="auto"/>
              </w:rPr>
            </w:pPr>
          </w:p>
        </w:tc>
        <w:tc>
          <w:tcPr>
            <w:tcW w:w="3220" w:type="dxa"/>
            <w:vAlign w:val="bottom"/>
            <w:gridSpan w:val="2"/>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660" w:type="dxa"/>
            <w:vAlign w:val="bottom"/>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660" w:type="dxa"/>
            <w:vAlign w:val="bottom"/>
            <w:gridSpan w:val="2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 xml:space="preserve">Management’s Discussion and Analysis of Financial Condition and Results </w:t>
              </w:r>
            </w:hyperlink>
            <w:hyperlink w:anchor="page47">
              <w:r>
                <w:rPr>
                  <w:rFonts w:ascii="Arial" w:cs="Arial" w:eastAsia="Arial" w:hAnsi="Arial"/>
                  <w:sz w:val="18"/>
                  <w:szCs w:val="18"/>
                  <w:color w:val="0000FF"/>
                </w:rPr>
                <w:t>of Operations</w:t>
              </w:r>
            </w:hyperlink>
          </w:p>
        </w:tc>
        <w:tc>
          <w:tcPr>
            <w:tcW w:w="54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Quantitative and Qualitative Disclosures about Market Risk</w:t>
              </w:r>
            </w:hyperlink>
          </w:p>
        </w:tc>
        <w:tc>
          <w:tcPr>
            <w:tcW w:w="1120" w:type="dxa"/>
            <w:vAlign w:val="bottom"/>
            <w:tcBorders>
              <w:top w:val="single" w:sz="8" w:color="0000FF"/>
            </w:tcBorders>
            <w:gridSpan w:val="7"/>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Borders>
              <w:top w:val="single" w:sz="8" w:color="0000FF"/>
            </w:tcBorders>
            <w:gridSpan w:val="4"/>
          </w:tcPr>
          <w:p>
            <w:pPr>
              <w:spacing w:after="0"/>
              <w:rPr>
                <w:sz w:val="22"/>
                <w:szCs w:val="22"/>
                <w:color w:val="auto"/>
              </w:rPr>
            </w:pPr>
          </w:p>
        </w:tc>
        <w:tc>
          <w:tcPr>
            <w:tcW w:w="322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gridSpan w:val="2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5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Borders>
              <w:bottom w:val="single" w:sz="8" w:color="0000FF"/>
            </w:tcBorders>
            <w:gridSpan w:val="4"/>
          </w:tcPr>
          <w:p>
            <w:pPr>
              <w:jc w:val="cente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Part II: Other Information</w:t>
              </w:r>
            </w:hyperlink>
          </w:p>
        </w:tc>
        <w:tc>
          <w:tcPr>
            <w:tcW w:w="4400" w:type="dxa"/>
            <w:vAlign w:val="bottom"/>
            <w:gridSpan w:val="12"/>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gridSpan w:val="2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Legal Proceedings</w:t>
              </w:r>
            </w:hyperlink>
          </w:p>
        </w:tc>
        <w:tc>
          <w:tcPr>
            <w:tcW w:w="54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8340" w:type="dxa"/>
            <w:vAlign w:val="bottom"/>
            <w:gridSpan w:val="21"/>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Unregistered Sales of Equity Securities and Use of Proceeds</w:t>
              </w:r>
            </w:hyperlink>
          </w:p>
        </w:tc>
        <w:tc>
          <w:tcPr>
            <w:tcW w:w="5320" w:type="dxa"/>
            <w:vAlign w:val="bottom"/>
            <w:gridSpan w:val="13"/>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Defaults Upon Senior Securities</w:t>
              </w:r>
            </w:hyperlink>
          </w:p>
        </w:tc>
        <w:tc>
          <w:tcPr>
            <w:tcW w:w="7340" w:type="dxa"/>
            <w:vAlign w:val="bottom"/>
            <w:gridSpan w:val="18"/>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gridSpan w:val="2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Mine Safety Disclosures</w:t>
              </w:r>
            </w:hyperlink>
          </w:p>
        </w:tc>
        <w:tc>
          <w:tcPr>
            <w:tcW w:w="54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7900" w:type="dxa"/>
            <w:vAlign w:val="bottom"/>
            <w:gridSpan w:val="20"/>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Exhibits</w:t>
              </w:r>
            </w:hyperlink>
          </w:p>
        </w:tc>
        <w:tc>
          <w:tcPr>
            <w:tcW w:w="700" w:type="dxa"/>
            <w:vAlign w:val="bottom"/>
            <w:tcBorders>
              <w:top w:val="single" w:sz="8" w:color="0000FF"/>
            </w:tcBorders>
            <w:gridSpan w:val="3"/>
          </w:tcPr>
          <w:p>
            <w:pPr>
              <w:spacing w:after="0"/>
              <w:rPr>
                <w:sz w:val="22"/>
                <w:szCs w:val="22"/>
                <w:color w:val="auto"/>
              </w:rPr>
            </w:pPr>
          </w:p>
        </w:tc>
        <w:tc>
          <w:tcPr>
            <w:tcW w:w="8360" w:type="dxa"/>
            <w:vAlign w:val="bottom"/>
            <w:gridSpan w:val="22"/>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76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Signatures</w:t>
              </w:r>
            </w:hyperlink>
          </w:p>
        </w:tc>
        <w:tc>
          <w:tcPr>
            <w:tcW w:w="8900" w:type="dxa"/>
            <w:vAlign w:val="bottom"/>
            <w:gridSpan w:val="24"/>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9660" w:type="dxa"/>
            <w:vAlign w:val="bottom"/>
            <w:gridSpan w:val="27"/>
          </w:tcPr>
          <w:p>
            <w:pPr>
              <w:spacing w:after="0"/>
              <w:rPr>
                <w:sz w:val="20"/>
                <w:szCs w:val="20"/>
                <w:color w:val="auto"/>
              </w:rPr>
            </w:pPr>
            <w:r>
              <w:rPr>
                <w:rFonts w:ascii="Arial" w:cs="Arial" w:eastAsia="Arial" w:hAnsi="Arial"/>
                <w:sz w:val="18"/>
                <w:szCs w:val="18"/>
                <w:color w:val="auto"/>
              </w:rPr>
              <w:t>Certifications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6"/>
        </w:trPr>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544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(in millions, except share amounts)</w:t>
            </w:r>
          </w:p>
        </w:tc>
        <w:tc>
          <w:tcPr>
            <w:tcW w:w="0" w:type="dxa"/>
            <w:vAlign w:val="bottom"/>
          </w:tcPr>
          <w:p>
            <w:pPr>
              <w:spacing w:after="0"/>
              <w:rPr>
                <w:sz w:val="1"/>
                <w:szCs w:val="1"/>
                <w:color w:val="auto"/>
              </w:rPr>
            </w:pPr>
          </w:p>
        </w:tc>
      </w:tr>
      <w:tr>
        <w:trPr>
          <w:trHeight w:val="234"/>
        </w:trPr>
        <w:tc>
          <w:tcPr>
            <w:tcW w:w="8020" w:type="dxa"/>
            <w:vAlign w:val="bottom"/>
          </w:tcPr>
          <w:p>
            <w:pPr>
              <w:ind w:left="37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Receivables, less allowance for doubtful accounts of $69 in 2022</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and $83 in 2021</w:t>
            </w: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400"/>
              <w:spacing w:after="0" w:line="196" w:lineRule="exact"/>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IABILITIES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E</w:t>
            </w:r>
            <w:r>
              <w:rPr>
                <w:rFonts w:ascii="Arial" w:cs="Arial" w:eastAsia="Arial" w:hAnsi="Arial"/>
                <w:sz w:val="14"/>
                <w:szCs w:val="14"/>
                <w:b w:val="1"/>
                <w:bCs w:val="1"/>
                <w:color w:val="auto"/>
              </w:rPr>
              <w:t>QUITY</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Trade accounts payable and accrued expenses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overdraft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Unearned revenues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28,255</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$1 par; 10,000,000 shares authorized; none issued</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Common stock, $0.16 2/3 par; 300,000,000 shares authorized;</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198,648,742 shares issued at March 31, 2022 and December 31, 2021</w:t>
            </w: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Treasury stock, at cost, 72,155,340 shares at March 31, 2022 and</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(11,160)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69,846,758 shares at December 31, 2021</w:t>
            </w: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183"/>
        </w:trPr>
        <w:tc>
          <w:tcPr>
            <w:tcW w:w="5480" w:type="dxa"/>
            <w:vAlign w:val="bottom"/>
          </w:tcPr>
          <w:p>
            <w:pPr>
              <w:spacing w:after="0"/>
              <w:rPr>
                <w:sz w:val="15"/>
                <w:szCs w:val="15"/>
                <w:color w:val="auto"/>
              </w:rPr>
            </w:pPr>
          </w:p>
        </w:tc>
        <w:tc>
          <w:tcPr>
            <w:tcW w:w="324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(in millions, except per share results)</w:t>
            </w:r>
          </w:p>
        </w:tc>
      </w:tr>
      <w:tr>
        <w:trPr>
          <w:trHeight w:val="23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5480" w:type="dxa"/>
            <w:vAlign w:val="bottom"/>
          </w:tcPr>
          <w:p>
            <w:pPr>
              <w:ind w:left="340"/>
              <w:spacing w:after="0"/>
              <w:rPr>
                <w:sz w:val="20"/>
                <w:szCs w:val="20"/>
                <w:color w:val="auto"/>
              </w:rPr>
            </w:pPr>
            <w:r>
              <w:rPr>
                <w:rFonts w:ascii="Arial" w:cs="Arial" w:eastAsia="Arial" w:hAnsi="Arial"/>
                <w:sz w:val="18"/>
                <w:szCs w:val="18"/>
                <w:color w:val="auto"/>
              </w:rPr>
              <w:t>Premiums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22,703</w:t>
            </w:r>
          </w:p>
        </w:tc>
        <w:tc>
          <w:tcPr>
            <w:tcW w:w="12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20,124</w:t>
            </w:r>
          </w:p>
        </w:tc>
      </w:tr>
      <w:tr>
        <w:trPr>
          <w:trHeight w:val="229"/>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Investment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23,970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20,668</w:t>
            </w:r>
          </w:p>
        </w:tc>
      </w:tr>
      <w:tr>
        <w:trPr>
          <w:trHeight w:val="209"/>
        </w:trPr>
        <w:tc>
          <w:tcPr>
            <w:tcW w:w="5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17,296</w:t>
            </w:r>
          </w:p>
        </w:tc>
      </w:tr>
      <w:tr>
        <w:trPr>
          <w:trHeight w:val="229"/>
        </w:trPr>
        <w:tc>
          <w:tcPr>
            <w:tcW w:w="5480" w:type="dxa"/>
            <w:vAlign w:val="bottom"/>
          </w:tcPr>
          <w:p>
            <w:pPr>
              <w:ind w:left="340"/>
              <w:spacing w:after="0"/>
              <w:rPr>
                <w:sz w:val="20"/>
                <w:szCs w:val="20"/>
                <w:color w:val="auto"/>
              </w:rPr>
            </w:pPr>
            <w:r>
              <w:rPr>
                <w:rFonts w:ascii="Arial" w:cs="Arial" w:eastAsia="Arial" w:hAnsi="Arial"/>
                <w:sz w:val="18"/>
                <w:szCs w:val="18"/>
                <w:color w:val="auto"/>
              </w:rPr>
              <w:t>Operating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5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22,681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19,445</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Income before income taxes and equity in net earnings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(losses) earnings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Humana</w:t>
            </w:r>
          </w:p>
        </w:tc>
        <w:tc>
          <w:tcPr>
            <w:tcW w:w="96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5740" w:type="dxa"/>
            <w:vAlign w:val="bottom"/>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Humana</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gross unrealized investment (losses) gains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income taxes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change in unrealized investment (losses) gains, net of tax</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Reclassification adjustment for net realized gains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reclassification adjustment, net of tax</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Comprehensive (loss) income attributable to equity method investments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Humana</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176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3"/>
                <w:szCs w:val="13"/>
                <w:b w:val="1"/>
                <w:bCs w:val="1"/>
                <w:color w:val="auto"/>
              </w:rPr>
              <w:t>Issued</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Treasury</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0"/>
                <w:szCs w:val="10"/>
                <w:color w:val="auto"/>
              </w:rPr>
            </w:pPr>
          </w:p>
        </w:tc>
        <w:tc>
          <w:tcPr>
            <w:tcW w:w="1020" w:type="dxa"/>
            <w:vAlign w:val="bottom"/>
          </w:tcPr>
          <w:p>
            <w:pPr>
              <w:jc w:val="center"/>
              <w:ind w:right="69"/>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79"/>
              </w:rPr>
              <w:t>Excess of</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89"/>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9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Par Value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5"/>
              </w:rPr>
              <w:t>Income (loss)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9"/>
          </w:tcPr>
          <w:p>
            <w:pPr>
              <w:ind w:left="60"/>
              <w:spacing w:after="0"/>
              <w:rPr>
                <w:sz w:val="20"/>
                <w:szCs w:val="20"/>
                <w:color w:val="auto"/>
              </w:rPr>
            </w:pPr>
            <w:r>
              <w:rPr>
                <w:rFonts w:ascii="Arial" w:cs="Arial" w:eastAsia="Arial" w:hAnsi="Arial"/>
                <w:sz w:val="14"/>
                <w:szCs w:val="14"/>
                <w:b w:val="1"/>
                <w:bCs w:val="1"/>
                <w:color w:val="auto"/>
              </w:rPr>
              <w:t>(dollars in millions, share amounts in thousands)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w w:val="96"/>
              </w:rPr>
              <w:t>Three months ended March 31, 2022</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December 31, 2021</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198,649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23,086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16,103</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Common stock repurchases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 and dividend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equivalents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 vesting</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Stock option exercises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2022</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198,649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23,915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15,342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w w:val="96"/>
              </w:rPr>
              <w:t>Three months ended March 31, 2021</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December 31, 2020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198,649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13,728</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Common stock repurchases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 and dividend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equivalents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 vesting</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360" w:type="dxa"/>
            <w:vAlign w:val="bottom"/>
          </w:tcPr>
          <w:p>
            <w:pPr>
              <w:ind w:left="20"/>
              <w:spacing w:after="0"/>
              <w:rPr>
                <w:sz w:val="20"/>
                <w:szCs w:val="20"/>
                <w:color w:val="auto"/>
              </w:rPr>
            </w:pPr>
            <w:r>
              <w:rPr>
                <w:rFonts w:ascii="Arial" w:cs="Arial" w:eastAsia="Arial" w:hAnsi="Arial"/>
                <w:sz w:val="14"/>
                <w:szCs w:val="14"/>
                <w:color w:val="auto"/>
              </w:rPr>
              <w:t>Stock option exercises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1"/>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2021</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198,649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2,712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14,190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7" w:right="359" w:bottom="1440" w:gutter="0" w:footer="0" w:header="0"/>
        </w:sectPr>
      </w:pPr>
    </w:p>
    <w:bookmarkStart w:id="6" w:name="page7"/>
    <w:bookmarkEnd w:id="6"/>
    <w:p>
      <w:pPr>
        <w:ind w:left="544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176"/>
        </w:trPr>
        <w:tc>
          <w:tcPr>
            <w:tcW w:w="7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29"/>
        </w:trPr>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280" w:type="dxa"/>
            <w:vAlign w:val="bottom"/>
          </w:tcPr>
          <w:p>
            <w:pPr>
              <w:ind w:left="680"/>
              <w:spacing w:after="0"/>
              <w:rPr>
                <w:sz w:val="20"/>
                <w:szCs w:val="20"/>
                <w:color w:val="auto"/>
              </w:rPr>
            </w:pPr>
            <w:r>
              <w:rPr>
                <w:rFonts w:ascii="Arial" w:cs="Arial" w:eastAsia="Arial" w:hAnsi="Arial"/>
                <w:sz w:val="18"/>
                <w:szCs w:val="18"/>
                <w:color w:val="auto"/>
              </w:rPr>
              <w:t>Losses (gains) on investment securities, net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net losses (earnings)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28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728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75"/>
        </w:trPr>
        <w:tc>
          <w:tcPr>
            <w:tcW w:w="72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Changes in operating assets and liabilities, net of effect of</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30"/>
        </w:trPr>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businesses acquired: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280" w:type="dxa"/>
            <w:vAlign w:val="bottom"/>
          </w:tcPr>
          <w:p>
            <w:pPr>
              <w:ind w:left="1120"/>
              <w:spacing w:after="0"/>
              <w:rPr>
                <w:sz w:val="20"/>
                <w:szCs w:val="20"/>
                <w:color w:val="auto"/>
              </w:rPr>
            </w:pPr>
            <w:r>
              <w:rPr>
                <w:rFonts w:ascii="Arial" w:cs="Arial" w:eastAsia="Arial" w:hAnsi="Arial"/>
                <w:sz w:val="18"/>
                <w:szCs w:val="18"/>
                <w:color w:val="auto"/>
              </w:rPr>
              <w:t>Receivables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(1,049)</w:t>
            </w:r>
          </w:p>
        </w:tc>
      </w:tr>
      <w:tr>
        <w:trPr>
          <w:trHeight w:val="230"/>
        </w:trPr>
        <w:tc>
          <w:tcPr>
            <w:tcW w:w="7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(1,095)</w:t>
            </w:r>
          </w:p>
        </w:tc>
      </w:tr>
      <w:tr>
        <w:trPr>
          <w:trHeight w:val="229"/>
        </w:trPr>
        <w:tc>
          <w:tcPr>
            <w:tcW w:w="7280" w:type="dxa"/>
            <w:vAlign w:val="bottom"/>
          </w:tcPr>
          <w:p>
            <w:pPr>
              <w:ind w:left="1120"/>
              <w:spacing w:after="0"/>
              <w:rPr>
                <w:sz w:val="20"/>
                <w:szCs w:val="20"/>
                <w:color w:val="auto"/>
              </w:rPr>
            </w:pPr>
            <w:r>
              <w:rPr>
                <w:rFonts w:ascii="Arial" w:cs="Arial" w:eastAsia="Arial" w:hAnsi="Arial"/>
                <w:sz w:val="18"/>
                <w:szCs w:val="18"/>
                <w:color w:val="auto"/>
              </w:rPr>
              <w:t>Benefits payable</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7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liabilities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280" w:type="dxa"/>
            <w:vAlign w:val="bottom"/>
          </w:tcPr>
          <w:p>
            <w:pPr>
              <w:ind w:left="1120"/>
              <w:spacing w:after="0"/>
              <w:rPr>
                <w:sz w:val="20"/>
                <w:szCs w:val="20"/>
                <w:color w:val="auto"/>
              </w:rPr>
            </w:pPr>
            <w:r>
              <w:rPr>
                <w:rFonts w:ascii="Arial" w:cs="Arial" w:eastAsia="Arial" w:hAnsi="Arial"/>
                <w:sz w:val="18"/>
                <w:szCs w:val="18"/>
                <w:color w:val="auto"/>
              </w:rPr>
              <w:t>Unearned revenues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2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Net cash provided by (used in) operating activities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Acquisitions, net of cash and cash equivalents acquired</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Purchases of investment securities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(3,720)</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maturities of investment securities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sales of investment securities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7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(1,488)</w:t>
            </w: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Receipts from contract deposits,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Proceeds from issuance of senior notes, net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proceeds from issuance of commercial paper,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Debt issue costs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book overdraft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Common stock repurchases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r>
      <w:tr>
        <w:trPr>
          <w:trHeight w:val="20"/>
        </w:trPr>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41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17" w:right="739" w:bottom="1440" w:gutter="0" w:footer="0" w:header="0"/>
          <w:type w:val="continuous"/>
        </w:sectPr>
      </w:pPr>
    </w:p>
    <w:bookmarkStart w:id="7" w:name="page8"/>
    <w:bookmarkEnd w:id="7"/>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7"/>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83"/>
        </w:trPr>
        <w:tc>
          <w:tcPr>
            <w:tcW w:w="7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Interest payments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ind w:left="33"/>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payments, net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3"/>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Details of businesses acquired in purchase transactions: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assets acquired, net of cash and cash equivalents acquired</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Fair value of liabilities assumed</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acquired businesses, net of cash and cash equivalents acquired</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440"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EVENTS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condensed consolidated financial statements are presented in accordance with generally accepted accounting principles for interim financial information and with the instructions to Form 10-Q and Article 10 of Regulation S-X. Accordingly, they do not include all of the disclosures normally required by accounting principles generally accepted in the United States of America, or GAAP, or those normally made in an Annual Report on Form 10-K. The year-end condensed consolidated balance sheet data was derived from audited financial statements, but does not include all disclosures required by GAAP. For further information, the reader of this Form 10-Q should refer to our Form 10-K for the year ended December 31, 2021, that was filed with the Securities and Exchange Commission, or the SEC, on February 17, 2022. We refer to the Form 10-K as the “2021 Form 10-K” in this document. References throughout this document to “we,” “us,” “our,” “Company,” and “Humana” mean Humana Inc. and its subsidiaries.</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our condensed consolidated financial statements in accordance with GAAP requires us to make estimates and assumptions that affect the amounts reported in the condensed consolidated financial statements and accompanying notes. The areas involving the most significant use of estimates are the estimation of benefits payable, the impact of risk adjustment provisions related to our Medicare contracts, the valuation and related impairment recognition of investment securities, and the valuation and related impairment recognition of long-lived assets, including goodwill and indefinite-lived intangible assets. These estimates are based on knowledge of current events and anticipated future events, and accordingly, actual results may ultimately differ materially from those estimates. Refer to Note 2 to the consolidated financial statements included in our 2021 Form 10-K for information on accounting policies that we consider in preparing our consolidated financial statements.</w:t>
      </w:r>
    </w:p>
    <w:p>
      <w:pPr>
        <w:spacing w:after="0" w:line="12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financial information has been prepared in accordance with our customary accounting practices and has not been audited. In our opinion, the information presented reflects all adjustments necessary for a fair statement of interim results. All such adjustments are of a normal and recurring nature.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emergence and spread of the novel coronavirus, or COVID-19, beginning in the first quarter of 2020 has impacted our business. During periods of increased incidences of COVID-19, a reduction in non-COVID-19 hospital admissions for non-essential care have resulted in lower overall healthcare system utilization. At the same time, COVID-19 treatment and testing costs increased utilization. During the first quarter of 2022, we experienced lower overall utilization of the healthcare system than anticipated, as the reduction in COVID-19 utilization following the increased incidence associated with the Omicron variant outpaced the increase in non-COVID-19 utilization. The significant disruption in utilization during 2020 also impacted our ability to implement clinical initiatives to manage health care costs and chronic conditions of our members, and appropriately document their risk profiles, and, as such, significantly affected our 2021 revenue under the risk adjustment payment model for Medicare Advantage plans. Finally, changes in utilization patterns and actions taken in 2021 as a result of the COVID-19 pandemic, including the suspension of certain financial recovery programs for a period of time and shifting the timing of claim payments and provider capitation surplus payments, impacted our claim reserve development and operating cash flows for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of Hospice and Personal Care Divisions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21, 2022, we signed a definitive agreement with private investment firm Clayton, Dubilier &amp; Rice, or CD&amp;R, to divest a 60% interest in the Hospice and Personal Care divisions of Humana’s Kindred at Home subsidiary, or KAH Hospice, at an enterprise valuation of $3.4 billion. These divisions include patient-centered services for Hospice, Palliative, Community and Personal Care. Under the agreement, we will receive cash proceeds of approximately $2.8 billion, which includes a combination of debt repayments from KAH Hospice to Humana and equity proceeds from the 60% interest purchased by CD&amp;R.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transaction is expected to close in the third quarter of 2022 and is subject to customary state and federal regulatory approvals.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revenues include premium and service revenues. Service revenues include administrative service fees that are recorded based upon established per member per month rates and the number of members for the month and are recognized as services are provided for the month. Additionally, service revenues include net patient service revenues that are recorded based upon established billing rates, less allowances for contractual adjustments, and are recognized as services are provided. For more information about our revenues, refer to Note 2 to the consolidated financial statements included in our 2021 Form 10-K for information on accounting policies that we consider in preparing our consolidated financial statements. See Note 14 for disaggregation of revenue by segment and type.</w:t>
      </w:r>
    </w:p>
    <w:p>
      <w:pPr>
        <w:spacing w:after="0" w:line="1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2022, accounts receivable related to services were $481 million. For the three months ended March 31, 2022, we had no material bad-debt expense and there were no material contract assets, contract liabilities or deferred contract costs recorded on the condensed consolidated balance sheet at March 31, 2022.</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2022, services revenue recognized from performance obligations related to prior periods (for example, due to changes in transaction price), was not material. Further, services revenue expected to be recognized in any future year related to remaining performance obligations was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September 2018, the FASB issued new guidance related to accounting for long-duration contracts of insurers which revises key elements of the measurement models and disclosure requirements for long-duration contracts issued by insurers, including the amortization of deferred contract acquisition costs and the measurement of liabilities for future policy benefits using current, rather than locked-in, assumptions. The new guidance, limited to our Medicare supplement product which represent less than 1% of consolidated premiums and services revenue, is effective for us beginning with annual and interim periods in 2023 and, using a modified retrospective approach, is to be applied to contracts in force on the basis of their existing carrying value amounts at the beginning of the earliest period presented. We are currently evaluating the impact on our results of operations, financial position and cash flows.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other recently issued accounting standards that apply to us or that are expected to have a material impact on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17, 2021, we acquired the remaining 60% interest in Kindred at Home, or KAH, the nation’s largest home health and hospice provider, from TPG Capital, or TPG, and Welsh, Carson, Anderson &amp; Stowe, or WCAS, two private equity funds, or the Sponsors, for an enterprise value of $8.2 billion, which includes our equity value of $2.4 billion associated with our 40% minority ownership interest. We paid the approximate $5.8 billion transaction price (net of our existing equity stake) through a combination of debt financing, the assumption of existing KAH indebtedness and parent company cash.</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2022 and 2021, we acquired various health and wellness related businesses which, individually or in the aggregate, have not had a material impact on our results of operations, financial condition, or cash flows. The results of operations and financial condition of these businesses acquired in 2022 and 2021 have been included in our condensed consolidated statements of income and condensed consolidated balance sheets from the respective acquisition dates. Acquisition-related costs recognized in 2022 and 2021 were not material to our results of operations. For asset acquisitions, the goodwill acquired is partially amortizable as deductible expenses for tax purposes. The pro forma financial information assuming the acquisitions had occurred as of the beginning of the calendar year prior to the year of acquisition, as well as the revenues and earnings generated during the year of acquisition, were not material for disclosure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classified as current and long-term were as follows at March 31, 2022 and December 31, 2021,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Amortized</w:t>
            </w:r>
          </w:p>
        </w:tc>
        <w:tc>
          <w:tcPr>
            <w:tcW w:w="1200" w:type="dxa"/>
            <w:vAlign w:val="bottom"/>
          </w:tcPr>
          <w:p>
            <w:pPr>
              <w:jc w:val="center"/>
              <w:ind w:left="318"/>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00" w:type="dxa"/>
            <w:vAlign w:val="bottom"/>
          </w:tcPr>
          <w:p>
            <w:pPr>
              <w:jc w:val="center"/>
              <w:ind w:left="318"/>
              <w:spacing w:after="0" w:line="135"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318"/>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March 31, 2022</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Treasury and other U.S. government</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corporations and agencies: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Arial" w:cs="Arial" w:eastAsia="Arial" w:hAnsi="Arial"/>
                <w:sz w:val="18"/>
                <w:szCs w:val="18"/>
                <w:color w:val="auto"/>
              </w:rPr>
              <w:t>U.S. Treasury and agency obligations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Tax-exempt municipal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3"/>
          </w:tcPr>
          <w:p>
            <w:pPr>
              <w:ind w:left="860"/>
              <w:spacing w:after="0"/>
              <w:rPr>
                <w:sz w:val="20"/>
                <w:szCs w:val="20"/>
                <w:color w:val="auto"/>
              </w:rPr>
            </w:pPr>
            <w:r>
              <w:rPr>
                <w:rFonts w:ascii="Arial" w:cs="Arial" w:eastAsia="Arial" w:hAnsi="Arial"/>
                <w:sz w:val="18"/>
                <w:szCs w:val="18"/>
                <w:color w:val="auto"/>
              </w:rPr>
              <w:t>Total debt securities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14,040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Total investment securities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Treasury and other U.S. government</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corporations and agencies: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Arial" w:cs="Arial" w:eastAsia="Arial" w:hAnsi="Arial"/>
                <w:sz w:val="18"/>
                <w:szCs w:val="18"/>
                <w:color w:val="auto"/>
              </w:rPr>
              <w:t>U.S. Treasury and agency obligations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200" w:type="dxa"/>
            <w:vAlign w:val="bottom"/>
          </w:tcPr>
          <w:p>
            <w:pPr>
              <w:jc w:val="right"/>
              <w:ind w:right="998"/>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Tax-exempt municipal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ind w:left="340"/>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3"/>
          </w:tcPr>
          <w:p>
            <w:pPr>
              <w:ind w:left="860"/>
              <w:spacing w:after="0"/>
              <w:rPr>
                <w:sz w:val="20"/>
                <w:szCs w:val="20"/>
                <w:color w:val="auto"/>
              </w:rPr>
            </w:pPr>
            <w:r>
              <w:rPr>
                <w:rFonts w:ascii="Arial" w:cs="Arial" w:eastAsia="Arial" w:hAnsi="Arial"/>
                <w:sz w:val="18"/>
                <w:szCs w:val="18"/>
                <w:color w:val="auto"/>
              </w:rPr>
              <w:t>Total debt securities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13,440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Total investment securities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Gross unrealized losses and fair values aggregated by investment category and length of time of individual debt securities that have been in a continuous unrealized loss position for which no allowances for credit loss has been recorded were as follows at March 31, 2022 and December 31,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12 months or more</w:t>
            </w:r>
          </w:p>
        </w:tc>
        <w:tc>
          <w:tcPr>
            <w:tcW w:w="28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3"/>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3"/>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33"/>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Treasury and other U.S.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government corporations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agencies: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U.S. Treasury and agency</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3"/>
          </w:tcPr>
          <w:p>
            <w:pPr>
              <w:ind w:left="500"/>
              <w:spacing w:after="0"/>
              <w:rPr>
                <w:sz w:val="20"/>
                <w:szCs w:val="20"/>
                <w:color w:val="auto"/>
              </w:rPr>
            </w:pPr>
            <w:r>
              <w:rPr>
                <w:rFonts w:ascii="Arial" w:cs="Arial" w:eastAsia="Arial" w:hAnsi="Arial"/>
                <w:sz w:val="18"/>
                <w:szCs w:val="18"/>
                <w:color w:val="auto"/>
              </w:rPr>
              <w:t>obligations</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rPr>
              <w:t>Mortgage-backed</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3"/>
          </w:tcPr>
          <w:p>
            <w:pPr>
              <w:spacing w:after="0" w:line="176" w:lineRule="exact"/>
              <w:rPr>
                <w:sz w:val="20"/>
                <w:szCs w:val="20"/>
                <w:color w:val="auto"/>
              </w:rPr>
            </w:pPr>
            <w:r>
              <w:rPr>
                <w:rFonts w:ascii="Arial" w:cs="Arial" w:eastAsia="Arial" w:hAnsi="Arial"/>
                <w:sz w:val="18"/>
                <w:szCs w:val="18"/>
                <w:color w:val="auto"/>
              </w:rPr>
              <w:t>Tax-exempt municipal</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3"/>
          </w:tcPr>
          <w:p>
            <w:pPr>
              <w:ind w:left="34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3"/>
          </w:tcPr>
          <w:p>
            <w:pPr>
              <w:ind w:left="66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Treasury and other U.S.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government corporations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agencies: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U.S. Treasury and agency</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3"/>
          </w:tcPr>
          <w:p>
            <w:pPr>
              <w:ind w:left="500"/>
              <w:spacing w:after="0"/>
              <w:rPr>
                <w:sz w:val="20"/>
                <w:szCs w:val="20"/>
                <w:color w:val="auto"/>
              </w:rPr>
            </w:pPr>
            <w:r>
              <w:rPr>
                <w:rFonts w:ascii="Arial" w:cs="Arial" w:eastAsia="Arial" w:hAnsi="Arial"/>
                <w:sz w:val="18"/>
                <w:szCs w:val="18"/>
                <w:color w:val="auto"/>
              </w:rPr>
              <w:t>obligations</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rPr>
              <w:t>Mortgage-backed</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3"/>
          </w:tcPr>
          <w:p>
            <w:pPr>
              <w:spacing w:after="0" w:line="176" w:lineRule="exact"/>
              <w:rPr>
                <w:sz w:val="20"/>
                <w:szCs w:val="20"/>
                <w:color w:val="auto"/>
              </w:rPr>
            </w:pPr>
            <w:r>
              <w:rPr>
                <w:rFonts w:ascii="Arial" w:cs="Arial" w:eastAsia="Arial" w:hAnsi="Arial"/>
                <w:sz w:val="18"/>
                <w:szCs w:val="18"/>
                <w:color w:val="auto"/>
              </w:rPr>
              <w:t>Tax-exempt municipal</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ind w:left="18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ind w:left="34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3"/>
          </w:tcPr>
          <w:p>
            <w:pPr>
              <w:ind w:left="66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96% of our debt securities were investment-grade quality, with a weighted average credit rating of AA- by Standard &amp; Poor's Rating Service, or S&amp;P, at March 31, 2022. Most of the debt securities that were below investment-grade were rated BB, the higher end of the below investment-grade rating scale.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States with no individual state exceeding 1% of our total debt securities. Our investment policy limits investments in a single issuer and requires diversification among various asset types.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unrealized losses from all debt securities were generated from approximately 1,215 positions out of a total of approximately 1,760 positions at March 31, 2022. All issuers of debt securities we own that were trading at an unrealized loss at March 31, 2022 remain current on all contractual payments. After taking into account these and other factors previously described, we believe these unrealized losses primarily were caused by an increase in market interest rates in the current markets since the time these debt securities were purchased. At March 31, 2022, we did not intend to sell any debt securities with an unrealized loss position in accumulated other comprehensive income, and it is not likely that we will be required to sell these debt securities before recovery of their amortized cost basis. Additionally, we did not record any material credit allowances for debt securities that were in an unrealized loss position for the three months ended March 31, 2022 and 2021.</w:t>
      </w:r>
    </w:p>
    <w:p>
      <w:pPr>
        <w:spacing w:after="0" w:line="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 of (losses) gains related to investment securities and included within investment income was as follows for the three months ended March 31, 2022 and 2021:</w:t>
      </w:r>
    </w:p>
    <w:p>
      <w:pPr>
        <w:spacing w:after="0" w:line="148"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r>
      <w:tr>
        <w:trPr>
          <w:trHeight w:val="183"/>
        </w:trPr>
        <w:tc>
          <w:tcPr>
            <w:tcW w:w="5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r>
      <w:tr>
        <w:trPr>
          <w:trHeight w:val="23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gains on investment securities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Gross losses on investment securities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gains on equity securities</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 on equity securities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recognized (losses) gains on investment securities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gains and losses related to equity securities for the three months ended March 31, 2022 and 2021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183"/>
        </w:trPr>
        <w:tc>
          <w:tcPr>
            <w:tcW w:w="8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recognized on equity securities during the period</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3"/>
              </w:rPr>
              <w:t>(85)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losses recognized on equity securities sold during the period</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w w:val="99"/>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recognized on equity securities still held at the end of the period</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3"/>
              </w:rPr>
              <w:t>(85)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contractual maturities of debt securities available for sale at March 31, 2022, regardless of their balance sheet classification, are shown below. Expected maturities may differ from contractual maturities because borrowers may have the right to call or prepay obligations with or without call or prepayment penalties.</w:t>
      </w:r>
    </w:p>
    <w:p>
      <w:pPr>
        <w:spacing w:after="0" w:line="145"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4"/>
                <w:szCs w:val="14"/>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Fair</w:t>
            </w:r>
          </w:p>
        </w:tc>
      </w:tr>
      <w:tr>
        <w:trPr>
          <w:trHeight w:val="188"/>
        </w:trPr>
        <w:tc>
          <w:tcPr>
            <w:tcW w:w="40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Value</w:t>
            </w:r>
          </w:p>
        </w:tc>
      </w:tr>
      <w:tr>
        <w:trPr>
          <w:trHeight w:val="183"/>
        </w:trPr>
        <w:tc>
          <w:tcPr>
            <w:tcW w:w="4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r>
      <w:tr>
        <w:trPr>
          <w:trHeight w:val="231"/>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within one year</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4020" w:type="dxa"/>
            <w:vAlign w:val="bottom"/>
          </w:tcPr>
          <w:p>
            <w:pPr>
              <w:ind w:left="320"/>
              <w:spacing w:after="0"/>
              <w:rPr>
                <w:sz w:val="20"/>
                <w:szCs w:val="20"/>
                <w:color w:val="auto"/>
              </w:rPr>
            </w:pPr>
            <w:r>
              <w:rPr>
                <w:rFonts w:ascii="Arial" w:cs="Arial" w:eastAsia="Arial" w:hAnsi="Arial"/>
                <w:sz w:val="18"/>
                <w:szCs w:val="18"/>
                <w:color w:val="auto"/>
              </w:rPr>
              <w:t>Due after one year through five years</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after five years through ten years</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30"/>
        </w:trPr>
        <w:tc>
          <w:tcPr>
            <w:tcW w:w="4020" w:type="dxa"/>
            <w:vAlign w:val="bottom"/>
          </w:tcPr>
          <w:p>
            <w:pPr>
              <w:ind w:left="320"/>
              <w:spacing w:after="0"/>
              <w:rPr>
                <w:sz w:val="20"/>
                <w:szCs w:val="20"/>
                <w:color w:val="auto"/>
              </w:rPr>
            </w:pPr>
            <w:r>
              <w:rPr>
                <w:rFonts w:ascii="Arial" w:cs="Arial" w:eastAsia="Arial" w:hAnsi="Arial"/>
                <w:sz w:val="18"/>
                <w:szCs w:val="18"/>
                <w:color w:val="auto"/>
              </w:rPr>
              <w:t>Due after ten years</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and asset-backed securities</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r>
      <w:tr>
        <w:trPr>
          <w:trHeight w:val="223"/>
        </w:trPr>
        <w:tc>
          <w:tcPr>
            <w:tcW w:w="4020" w:type="dxa"/>
            <w:vAlign w:val="bottom"/>
          </w:tcPr>
          <w:p>
            <w:pPr>
              <w:ind w:left="660"/>
              <w:spacing w:after="0"/>
              <w:rPr>
                <w:sz w:val="20"/>
                <w:szCs w:val="20"/>
                <w:color w:val="auto"/>
              </w:rPr>
            </w:pPr>
            <w:r>
              <w:rPr>
                <w:rFonts w:ascii="Arial" w:cs="Arial" w:eastAsia="Arial" w:hAnsi="Arial"/>
                <w:sz w:val="18"/>
                <w:szCs w:val="18"/>
                <w:color w:val="auto"/>
              </w:rPr>
              <w:t>Total debt securities</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340" w:right="9680" w:hanging="332"/>
        <w:spacing w:after="0" w:line="528" w:lineRule="auto"/>
        <w:tabs>
          <w:tab w:leader="none" w:pos="19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w:t>
      </w:r>
      <w:r>
        <w:rPr>
          <w:rFonts w:ascii="Arial" w:cs="Arial" w:eastAsia="Arial" w:hAnsi="Arial"/>
          <w:sz w:val="15"/>
          <w:szCs w:val="15"/>
          <w:b w:val="1"/>
          <w:bCs w:val="1"/>
          <w:i w:val="1"/>
          <w:iCs w:val="1"/>
          <w:color w:val="auto"/>
        </w:rPr>
        <w:t>Financial Assets</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fair value measurements at March 31, 2022 and December 31, 2021, respectively, for financial assets measured at fair value on a recurring basis: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Fair Value Measurements Using</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360" w:type="dxa"/>
            <w:vAlign w:val="bottom"/>
          </w:tcPr>
          <w:p>
            <w:pPr>
              <w:spacing w:after="0"/>
              <w:rPr>
                <w:sz w:val="11"/>
                <w:szCs w:val="11"/>
                <w:color w:val="auto"/>
              </w:rPr>
            </w:pPr>
          </w:p>
        </w:tc>
        <w:tc>
          <w:tcPr>
            <w:tcW w:w="12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1"/>
                <w:szCs w:val="11"/>
                <w:color w:val="auto"/>
              </w:rPr>
            </w:pPr>
          </w:p>
        </w:tc>
        <w:tc>
          <w:tcPr>
            <w:tcW w:w="13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in Active</w:t>
            </w:r>
          </w:p>
        </w:tc>
        <w:tc>
          <w:tcPr>
            <w:tcW w:w="360" w:type="dxa"/>
            <w:vAlign w:val="bottom"/>
          </w:tcPr>
          <w:p>
            <w:pPr>
              <w:spacing w:after="0"/>
              <w:rPr>
                <w:sz w:val="11"/>
                <w:szCs w:val="11"/>
                <w:color w:val="auto"/>
              </w:rPr>
            </w:pP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Markets</w:t>
            </w:r>
          </w:p>
        </w:tc>
        <w:tc>
          <w:tcPr>
            <w:tcW w:w="360" w:type="dxa"/>
            <w:vAlign w:val="bottom"/>
          </w:tcPr>
          <w:p>
            <w:pPr>
              <w:spacing w:after="0"/>
              <w:rPr>
                <w:sz w:val="11"/>
                <w:szCs w:val="11"/>
                <w:color w:val="auto"/>
              </w:rPr>
            </w:pPr>
          </w:p>
        </w:tc>
        <w:tc>
          <w:tcPr>
            <w:tcW w:w="12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1"/>
                <w:szCs w:val="11"/>
                <w:color w:val="auto"/>
              </w:rPr>
            </w:pPr>
          </w:p>
        </w:tc>
        <w:tc>
          <w:tcPr>
            <w:tcW w:w="132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2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March 31, 2022</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rPr>
              <w:t>U.S. Treasury and other U.S. government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corporations and agencies: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Arial" w:cs="Arial" w:eastAsia="Arial" w:hAnsi="Arial"/>
                <w:sz w:val="18"/>
                <w:szCs w:val="18"/>
                <w:color w:val="auto"/>
              </w:rPr>
              <w:t>U.S. Treasury and agency obligations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Tax-exempt municipal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Arial" w:cs="Arial" w:eastAsia="Arial" w:hAnsi="Arial"/>
                <w:sz w:val="18"/>
                <w:szCs w:val="18"/>
                <w:color w:val="auto"/>
              </w:rPr>
              <w:t>Residential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Commercial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Asset-backed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debt securities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13,300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Total invested assets</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17,966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720" w:type="dxa"/>
            <w:vAlign w:val="bottom"/>
            <w:gridSpan w:val="3"/>
            <w:shd w:val="clear" w:color="auto" w:fill="CCEEFF"/>
          </w:tcPr>
          <w:p>
            <w:pPr>
              <w:ind w:left="340"/>
              <w:spacing w:after="0" w:line="176" w:lineRule="exact"/>
              <w:rPr>
                <w:sz w:val="20"/>
                <w:szCs w:val="20"/>
                <w:color w:val="auto"/>
              </w:rPr>
            </w:pPr>
            <w:r>
              <w:rPr>
                <w:rFonts w:ascii="Arial" w:cs="Arial" w:eastAsia="Arial" w:hAnsi="Arial"/>
                <w:sz w:val="18"/>
                <w:szCs w:val="18"/>
                <w:color w:val="auto"/>
              </w:rPr>
              <w:t>U.S. Treasury and other U.S. government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corporations and agencies: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Arial" w:cs="Arial" w:eastAsia="Arial" w:hAnsi="Arial"/>
                <w:sz w:val="18"/>
                <w:szCs w:val="18"/>
                <w:color w:val="auto"/>
              </w:rPr>
              <w:t>U.S. Treasury and agency obligations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Tax-exempt municipal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660"/>
              <w:spacing w:after="0"/>
              <w:rPr>
                <w:sz w:val="20"/>
                <w:szCs w:val="20"/>
                <w:color w:val="auto"/>
              </w:rPr>
            </w:pPr>
            <w:r>
              <w:rPr>
                <w:rFonts w:ascii="Arial" w:cs="Arial" w:eastAsia="Arial" w:hAnsi="Arial"/>
                <w:sz w:val="18"/>
                <w:szCs w:val="18"/>
                <w:color w:val="auto"/>
              </w:rPr>
              <w:t>Residential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Commercial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Asset-backed securities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debt securities</w:t>
            </w:r>
          </w:p>
        </w:tc>
        <w:tc>
          <w:tcPr>
            <w:tcW w:w="9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13,497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Total invested assets</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17,294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Level 3 assets had a fair value of $80 million at March 31, 2022 , or 0.4% of our total invested assets. During the year ended March 31, 2022, the changes in the fair value of the assets measured using significant unobservable inputs (Level 3) were comprised of the following:</w:t>
      </w:r>
    </w:p>
    <w:p>
      <w:pPr>
        <w:spacing w:after="0" w:line="108"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4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8"/>
        </w:trPr>
        <w:tc>
          <w:tcPr>
            <w:tcW w:w="47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2022</w:t>
            </w:r>
          </w:p>
        </w:tc>
      </w:tr>
      <w:tr>
        <w:trPr>
          <w:trHeight w:val="130"/>
        </w:trPr>
        <w:tc>
          <w:tcPr>
            <w:tcW w:w="4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4"/>
              </w:rPr>
              <w:t>Private</w:t>
            </w:r>
          </w:p>
        </w:tc>
      </w:tr>
      <w:tr>
        <w:trPr>
          <w:trHeight w:val="188"/>
        </w:trPr>
        <w:tc>
          <w:tcPr>
            <w:tcW w:w="47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Placements</w:t>
            </w:r>
          </w:p>
        </w:tc>
      </w:tr>
      <w:tr>
        <w:trPr>
          <w:trHeight w:val="183"/>
        </w:trPr>
        <w:tc>
          <w:tcPr>
            <w:tcW w:w="4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balance at January 1</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68</w:t>
            </w:r>
          </w:p>
        </w:tc>
      </w:tr>
      <w:tr>
        <w:trPr>
          <w:trHeight w:val="229"/>
        </w:trPr>
        <w:tc>
          <w:tcPr>
            <w:tcW w:w="4700" w:type="dxa"/>
            <w:vAlign w:val="bottom"/>
          </w:tcPr>
          <w:p>
            <w:pPr>
              <w:ind w:left="660"/>
              <w:spacing w:after="0"/>
              <w:rPr>
                <w:sz w:val="20"/>
                <w:szCs w:val="20"/>
                <w:color w:val="auto"/>
              </w:rPr>
            </w:pPr>
            <w:r>
              <w:rPr>
                <w:rFonts w:ascii="Arial" w:cs="Arial" w:eastAsia="Arial" w:hAnsi="Arial"/>
                <w:sz w:val="18"/>
                <w:szCs w:val="18"/>
                <w:color w:val="auto"/>
              </w:rPr>
              <w:t>Total gains or losses:</w:t>
            </w: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Realized in earnings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880"/>
              <w:spacing w:after="0"/>
              <w:rPr>
                <w:sz w:val="20"/>
                <w:szCs w:val="20"/>
                <w:color w:val="auto"/>
              </w:rPr>
            </w:pPr>
            <w:r>
              <w:rPr>
                <w:rFonts w:ascii="Arial" w:cs="Arial" w:eastAsia="Arial" w:hAnsi="Arial"/>
                <w:sz w:val="18"/>
                <w:szCs w:val="18"/>
                <w:color w:val="auto"/>
              </w:rPr>
              <w:t>Unrealized in other comprehensive income</w:t>
            </w:r>
          </w:p>
        </w:tc>
        <w:tc>
          <w:tcPr>
            <w:tcW w:w="54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w w:val="99"/>
              </w:rPr>
              <w:t>(4)</w:t>
            </w:r>
          </w:p>
        </w:tc>
      </w:tr>
      <w:tr>
        <w:trPr>
          <w:trHeight w:val="229"/>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17</w:t>
            </w:r>
          </w:p>
        </w:tc>
      </w:tr>
      <w:tr>
        <w:trPr>
          <w:trHeight w:val="230"/>
        </w:trPr>
        <w:tc>
          <w:tcPr>
            <w:tcW w:w="4700" w:type="dxa"/>
            <w:vAlign w:val="bottom"/>
          </w:tcPr>
          <w:p>
            <w:pPr>
              <w:ind w:left="660"/>
              <w:spacing w:after="0"/>
              <w:rPr>
                <w:sz w:val="20"/>
                <w:szCs w:val="20"/>
                <w:color w:val="auto"/>
              </w:rPr>
            </w:pPr>
            <w:r>
              <w:rPr>
                <w:rFonts w:ascii="Arial" w:cs="Arial" w:eastAsia="Arial" w:hAnsi="Arial"/>
                <w:sz w:val="18"/>
                <w:szCs w:val="18"/>
                <w:color w:val="auto"/>
              </w:rPr>
              <w:t>Sales</w:t>
            </w:r>
          </w:p>
        </w:tc>
        <w:tc>
          <w:tcPr>
            <w:tcW w:w="54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w w:val="99"/>
              </w:rPr>
              <w:t>(1)</w:t>
            </w:r>
          </w:p>
        </w:tc>
      </w:tr>
      <w:tr>
        <w:trPr>
          <w:trHeight w:val="229"/>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Settlements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Balance at March 31</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80</w:t>
            </w: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debt is recorded at carrying value in our consolidated balance sheets. The carrying value of our senior notes debt outstanding, net of unamortized debt issuance costs, was $9.8 billion at March 31, 2022 and $9.0 billion at December 31, 2021. The fair value of our senior notes debt was $10.0 billion at March 31, 2022 and $10.0 billion at December 31, 2021. The fair value of our senior notes debt is determined based on Level 2 inputs, including quoted market prices for the same or similar debt, or if no quoted market prices are available, on the current prices estimated to be available to us for debt with similar terms and remaining maturities. Carrying value approximates fair value for our term loans and commercial paper borrowings. The term loan and commercial paper borrowings were $3.2 billion as of March 31, 2022 and $3.5 billion as of December 31, 2021.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Put and Call Options Measured at 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put and call options associated with our equity method investments are measured at fair value each period using a Monte Carlo simulation.</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Effective April 27, 2021, with the signing of the definitive agreement to acquire the remaining 60% interest of KAH, the respective put and call options were terminated. As such, the $63 million put and $440 million call fair values as of March 31, 2021 were subsequently reduced to zero, resulting in $377 million in "Other (income) expense, net" in our consolidated statements of income for the year ended December 31, 2021. The change in fair value of the put and call options included within other long-term liabilities and other long-term assets, respectively, at March 31, 2021 was reflected as "Other (income) expense, net" in our consolidated statements of income for the three months ended March 31, 2021.</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put and call options fair values associated with our Primary Care Organization strategic partnership with WCAS, which are exercisable at a fixed revenue exit multiple and provide a minimum return on WCAS' investment if exercised, are measured at fair value each reporting period. The put and call options fair values were $182 million and $14 million, respectively, at March 31, 2022. The put and call options fair values, derived from the Monte Carlo simulation, were $202 million and $13 million, respectively, at December 31, 2021.</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significant unobservable inputs utilized in these Level 3 fair value measurements (and selected values) include the enterprise value, annualized volatility and credit spread. Enterprise value was derived from a discounted cash flow model, which utilized significant unobservable inputs for long-term revenue, to measure underlying cash flows, weighted average cost of capital and long term growth rate. The table below presents the assumptions used for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386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March 31, 2022</w:t>
            </w:r>
          </w:p>
        </w:tc>
        <w:tc>
          <w:tcPr>
            <w:tcW w:w="2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Annualized volatility</w:t>
            </w:r>
          </w:p>
        </w:tc>
        <w:tc>
          <w:tcPr>
            <w:tcW w:w="26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22.9 %</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Credit spread</w:t>
            </w:r>
          </w:p>
        </w:tc>
        <w:tc>
          <w:tcPr>
            <w:tcW w:w="2600" w:type="dxa"/>
            <w:vAlign w:val="bottom"/>
          </w:tcPr>
          <w:p>
            <w:pPr>
              <w:jc w:val="right"/>
              <w:ind w:right="213"/>
              <w:spacing w:after="0"/>
              <w:rPr>
                <w:sz w:val="20"/>
                <w:szCs w:val="20"/>
                <w:color w:val="auto"/>
              </w:rPr>
            </w:pPr>
            <w:r>
              <w:rPr>
                <w:rFonts w:ascii="Arial" w:cs="Arial" w:eastAsia="Arial" w:hAnsi="Arial"/>
                <w:sz w:val="18"/>
                <w:szCs w:val="18"/>
                <w:color w:val="auto"/>
              </w:rPr>
              <w:t>1.4 %</w:t>
            </w:r>
          </w:p>
        </w:tc>
        <w:tc>
          <w:tcPr>
            <w:tcW w:w="204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 exit multiple</w:t>
            </w:r>
          </w:p>
        </w:tc>
        <w:tc>
          <w:tcPr>
            <w:tcW w:w="26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1.5x - 2.5x</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 - 2.5x</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600" w:type="dxa"/>
            <w:vAlign w:val="bottom"/>
          </w:tcPr>
          <w:p>
            <w:pPr>
              <w:jc w:val="right"/>
              <w:ind w:right="213"/>
              <w:spacing w:after="0"/>
              <w:rPr>
                <w:sz w:val="20"/>
                <w:szCs w:val="20"/>
                <w:color w:val="auto"/>
              </w:rPr>
            </w:pPr>
            <w:r>
              <w:rPr>
                <w:rFonts w:ascii="Arial" w:cs="Arial" w:eastAsia="Arial" w:hAnsi="Arial"/>
                <w:sz w:val="18"/>
                <w:szCs w:val="18"/>
                <w:color w:val="auto"/>
              </w:rPr>
              <w:t>12.5 %</w:t>
            </w:r>
          </w:p>
        </w:tc>
        <w:tc>
          <w:tcPr>
            <w:tcW w:w="204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 term growth rate</w:t>
            </w:r>
          </w:p>
        </w:tc>
        <w:tc>
          <w:tcPr>
            <w:tcW w:w="26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3.0 %</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Assets and Liabilities Measured at Fair Value</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Certain assets and liabilities are measured at fair value on a non-recurring basis subject to fair value adjustment only in certain circumstances. As disclosed in Note 3, “Acquisitions”, we completed our acquisition of KAH during the third quarter of 2021. The net assets acquired and resulting goodwill and other intangible assets were recorded at fair value primarily using Level 3 inputs. The net tangible assets including receivables and accrued liabilities were recorded at their carrying value which approximated their fair value due to their short term nature. The fair value of goodwill and other intangible assets were internally estimated based primarily on the income approach. 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revenue growth rates, the amount and timing of future cash flows, discount rates, contributory asset charges and future tax rates, among others. The excess purchase price over the fair value of assets and liabilities acquired is recorded as goodwill.</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the assets acquired and liabilities assumed in the KAH and other acquisitions in Note 3, there were no other material assets or liabilities measured at fair value on a recurring or nonrecurring basis during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MEDICARE PART D</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cover prescription drug benefits in accordance with Medicare Part D under multiple contracts with the Centers for Medicare and Medicaid Services, or CMS, as described further in Note 2 to the consolidated financial statements included in our 2021 Form 10-K. The accompanying condensed consolidated balance sheets include the following amounts associated with Medicare Part D at March 31, 2022 and December 31, 2021. CMS subsidies/discounts in the table below include the reinsurance and low-income cost subsidies funded by CMS for which we assume no risk as well as brand name prescription drug discounts for Part D plan participants in the coverage gap funded by CMS and pharmaceutical manufacturers.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March 31, 2022</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December 31, 2021</w:t>
            </w:r>
          </w:p>
        </w:tc>
      </w:tr>
      <w:tr>
        <w:trPr>
          <w:trHeight w:val="256"/>
        </w:trPr>
        <w:tc>
          <w:tcPr>
            <w:tcW w:w="4740" w:type="dxa"/>
            <w:vAlign w:val="bottom"/>
          </w:tcPr>
          <w:p>
            <w:pPr>
              <w:spacing w:after="0"/>
              <w:rPr>
                <w:sz w:val="22"/>
                <w:szCs w:val="22"/>
                <w:color w:val="auto"/>
              </w:rPr>
            </w:pPr>
          </w:p>
        </w:tc>
        <w:tc>
          <w:tcPr>
            <w:tcW w:w="110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Risk</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CMS</w:t>
            </w:r>
          </w:p>
        </w:tc>
        <w:tc>
          <w:tcPr>
            <w:tcW w:w="380" w:type="dxa"/>
            <w:vAlign w:val="bottom"/>
          </w:tcPr>
          <w:p>
            <w:pPr>
              <w:spacing w:after="0"/>
              <w:rPr>
                <w:sz w:val="22"/>
                <w:szCs w:val="22"/>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Risk</w:t>
            </w:r>
          </w:p>
        </w:tc>
        <w:tc>
          <w:tcPr>
            <w:tcW w:w="280" w:type="dxa"/>
            <w:vAlign w:val="bottom"/>
          </w:tcPr>
          <w:p>
            <w:pPr>
              <w:spacing w:after="0"/>
              <w:rPr>
                <w:sz w:val="22"/>
                <w:szCs w:val="22"/>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CMS</w:t>
            </w:r>
          </w:p>
        </w:tc>
      </w:tr>
      <w:tr>
        <w:trPr>
          <w:trHeight w:val="135"/>
        </w:trPr>
        <w:tc>
          <w:tcPr>
            <w:tcW w:w="4740" w:type="dxa"/>
            <w:vAlign w:val="bottom"/>
          </w:tcPr>
          <w:p>
            <w:pPr>
              <w:spacing w:after="0"/>
              <w:rPr>
                <w:sz w:val="11"/>
                <w:szCs w:val="11"/>
                <w:color w:val="auto"/>
              </w:rPr>
            </w:pPr>
          </w:p>
        </w:tc>
        <w:tc>
          <w:tcPr>
            <w:tcW w:w="1100" w:type="dxa"/>
            <w:vAlign w:val="bottom"/>
          </w:tcPr>
          <w:p>
            <w:pPr>
              <w:jc w:val="center"/>
              <w:ind w:left="341"/>
              <w:spacing w:after="0" w:line="135" w:lineRule="exact"/>
              <w:rPr>
                <w:sz w:val="20"/>
                <w:szCs w:val="20"/>
                <w:color w:val="auto"/>
              </w:rPr>
            </w:pPr>
            <w:r>
              <w:rPr>
                <w:rFonts w:ascii="Arial" w:cs="Arial" w:eastAsia="Arial" w:hAnsi="Arial"/>
                <w:sz w:val="14"/>
                <w:szCs w:val="14"/>
                <w:b w:val="1"/>
                <w:bCs w:val="1"/>
                <w:color w:val="auto"/>
                <w:w w:val="99"/>
              </w:rPr>
              <w:t>Corridor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Subsidies/</w:t>
            </w:r>
          </w:p>
        </w:tc>
        <w:tc>
          <w:tcPr>
            <w:tcW w:w="380" w:type="dxa"/>
            <w:vAlign w:val="bottom"/>
          </w:tcPr>
          <w:p>
            <w:pPr>
              <w:spacing w:after="0"/>
              <w:rPr>
                <w:sz w:val="11"/>
                <w:szCs w:val="11"/>
                <w:color w:val="auto"/>
              </w:rPr>
            </w:pPr>
          </w:p>
        </w:tc>
        <w:tc>
          <w:tcPr>
            <w:tcW w:w="12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9"/>
              </w:rPr>
              <w:t>Corridor</w:t>
            </w:r>
          </w:p>
        </w:tc>
        <w:tc>
          <w:tcPr>
            <w:tcW w:w="280" w:type="dxa"/>
            <w:vAlign w:val="bottom"/>
          </w:tcPr>
          <w:p>
            <w:pPr>
              <w:spacing w:after="0"/>
              <w:rPr>
                <w:sz w:val="11"/>
                <w:szCs w:val="11"/>
                <w:color w:val="auto"/>
              </w:rPr>
            </w:pPr>
          </w:p>
        </w:tc>
        <w:tc>
          <w:tcPr>
            <w:tcW w:w="12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88"/>
              </w:rPr>
              <w:t>Subsidies/</w:t>
            </w:r>
          </w:p>
        </w:tc>
      </w:tr>
      <w:tr>
        <w:trPr>
          <w:trHeight w:val="188"/>
        </w:trPr>
        <w:tc>
          <w:tcPr>
            <w:tcW w:w="4740" w:type="dxa"/>
            <w:vAlign w:val="bottom"/>
          </w:tcPr>
          <w:p>
            <w:pPr>
              <w:spacing w:after="0"/>
              <w:rPr>
                <w:sz w:val="16"/>
                <w:szCs w:val="16"/>
                <w:color w:val="auto"/>
              </w:rPr>
            </w:pPr>
          </w:p>
        </w:tc>
        <w:tc>
          <w:tcPr>
            <w:tcW w:w="110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92"/>
              </w:rPr>
              <w:t>Settlement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8"/>
              </w:rPr>
              <w:t>Discounts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Settlement</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5"/>
              </w:rPr>
              <w:t>Discounts</w:t>
            </w:r>
          </w:p>
        </w:tc>
      </w:tr>
      <w:tr>
        <w:trPr>
          <w:trHeight w:val="183"/>
        </w:trPr>
        <w:tc>
          <w:tcPr>
            <w:tcW w:w="4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accounts payable and accrued expenses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current asset (liability)</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long-term asset (liability)</w:t>
            </w:r>
          </w:p>
        </w:tc>
        <w:tc>
          <w:tcPr>
            <w:tcW w:w="1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asset (liability)</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our reportable segments for the three months ended March 31, 2022 were as follows: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Group and Specialty</w:t>
            </w:r>
          </w:p>
        </w:tc>
        <w:tc>
          <w:tcPr>
            <w:tcW w:w="36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Healthcare</w:t>
            </w:r>
          </w:p>
        </w:tc>
        <w:tc>
          <w:tcPr>
            <w:tcW w:w="34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details of our other intangible assets included in other long-term assets in the accompanying condensed consolidated balance sheets at March 31, 2022 and December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8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in millions)</w:t>
            </w: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Certificates of need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Medicare licenses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Indefinite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Customer contracts/</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9.4 years</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2540" w:type="dxa"/>
            <w:vAlign w:val="bottom"/>
          </w:tcPr>
          <w:p>
            <w:pPr>
              <w:ind w:left="320"/>
              <w:spacing w:after="0"/>
              <w:rPr>
                <w:sz w:val="20"/>
                <w:szCs w:val="20"/>
                <w:color w:val="auto"/>
              </w:rPr>
            </w:pPr>
            <w:r>
              <w:rPr>
                <w:rFonts w:ascii="Arial" w:cs="Arial" w:eastAsia="Arial" w:hAnsi="Arial"/>
                <w:sz w:val="18"/>
                <w:szCs w:val="18"/>
                <w:color w:val="auto"/>
              </w:rPr>
              <w:t>relationships</w:t>
            </w: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Trade names and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7.0 years</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technology</w:t>
            </w:r>
          </w:p>
        </w:tc>
        <w:tc>
          <w:tcPr>
            <w:tcW w:w="12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Provider contracts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11.6 years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Noncompetes and</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6.8 years</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80" w:type="dxa"/>
            <w:vAlign w:val="bottom"/>
            <w:gridSpan w:val="2"/>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360"/>
              <w:spacing w:after="0" w:line="156" w:lineRule="exact"/>
              <w:rPr>
                <w:sz w:val="20"/>
                <w:szCs w:val="20"/>
                <w:color w:val="auto"/>
              </w:rPr>
            </w:pPr>
            <w:r>
              <w:rPr>
                <w:rFonts w:ascii="Arial" w:cs="Arial" w:eastAsia="Arial" w:hAnsi="Arial"/>
                <w:sz w:val="18"/>
                <w:szCs w:val="18"/>
                <w:color w:val="auto"/>
              </w:rPr>
              <w:t>Total other intangible</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9.2 years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08"/>
        </w:trPr>
        <w:tc>
          <w:tcPr>
            <w:tcW w:w="2540" w:type="dxa"/>
            <w:vAlign w:val="bottom"/>
          </w:tcPr>
          <w:p>
            <w:pPr>
              <w:ind w:left="520"/>
              <w:spacing w:after="0" w:line="202" w:lineRule="exact"/>
              <w:rPr>
                <w:sz w:val="20"/>
                <w:szCs w:val="20"/>
                <w:color w:val="auto"/>
              </w:rPr>
            </w:pPr>
            <w:r>
              <w:rPr>
                <w:rFonts w:ascii="Arial" w:cs="Arial" w:eastAsia="Arial" w:hAnsi="Arial"/>
                <w:sz w:val="18"/>
                <w:szCs w:val="18"/>
                <w:color w:val="auto"/>
              </w:rPr>
              <w:t>assets</w:t>
            </w:r>
          </w:p>
        </w:tc>
        <w:tc>
          <w:tcPr>
            <w:tcW w:w="1280" w:type="dxa"/>
            <w:vAlign w:val="bottom"/>
            <w:gridSpan w:val="2"/>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01"/>
        <w:spacing w:after="0" w:line="342" w:lineRule="auto"/>
        <w:rPr>
          <w:sz w:val="20"/>
          <w:szCs w:val="20"/>
          <w:color w:val="auto"/>
        </w:rPr>
      </w:pPr>
      <w:r>
        <w:rPr>
          <w:rFonts w:ascii="Arial" w:cs="Arial" w:eastAsia="Arial" w:hAnsi="Arial"/>
          <w:sz w:val="16"/>
          <w:szCs w:val="16"/>
          <w:color w:val="auto"/>
        </w:rPr>
        <w:t>For the three months ended March 31, 2022 and 2021, amortization expense for other intangible assets was approximately $18 million and $15 million, respectively. The following table presents our estimate of amortization expense remaining for 2022 and each of the five next succeeding years:</w:t>
      </w:r>
    </w:p>
    <w:p>
      <w:pPr>
        <w:spacing w:after="0" w:line="102"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5240" w:type="dxa"/>
            <w:vAlign w:val="bottom"/>
          </w:tcPr>
          <w:p>
            <w:pPr>
              <w:jc w:val="right"/>
              <w:ind w:right="2610"/>
              <w:spacing w:after="0"/>
              <w:rPr>
                <w:sz w:val="20"/>
                <w:szCs w:val="20"/>
                <w:color w:val="auto"/>
              </w:rPr>
            </w:pPr>
            <w:r>
              <w:rPr>
                <w:rFonts w:ascii="Arial" w:cs="Arial" w:eastAsia="Arial" w:hAnsi="Arial"/>
                <w:sz w:val="18"/>
                <w:szCs w:val="18"/>
                <w:color w:val="auto"/>
                <w:w w:val="88"/>
              </w:rPr>
              <w:t>For the years ending December 31,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24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240" w:type="dxa"/>
            <w:vAlign w:val="bottom"/>
          </w:tcPr>
          <w:p>
            <w:pPr>
              <w:jc w:val="right"/>
              <w:ind w:right="433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24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240" w:type="dxa"/>
            <w:vAlign w:val="bottom"/>
          </w:tcPr>
          <w:p>
            <w:pPr>
              <w:jc w:val="right"/>
              <w:ind w:right="433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24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240" w:type="dxa"/>
            <w:vAlign w:val="bottom"/>
          </w:tcPr>
          <w:p>
            <w:pPr>
              <w:jc w:val="right"/>
              <w:ind w:right="433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BENEFITS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 consolidated basis, activity in benefits payable was as follows for the three months ended March 31, 2022 and 2021:</w:t>
      </w:r>
    </w:p>
    <w:p>
      <w:pPr>
        <w:spacing w:after="0" w:line="149"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600" w:type="dxa"/>
            <w:vAlign w:val="bottom"/>
            <w:tcBorders>
              <w:bottom w:val="single" w:sz="8" w:color="auto"/>
            </w:tcBorders>
          </w:tcPr>
          <w:p>
            <w:pPr>
              <w:spacing w:after="0"/>
              <w:rPr>
                <w:sz w:val="16"/>
                <w:szCs w:val="16"/>
                <w:color w:val="auto"/>
              </w:rPr>
            </w:pPr>
          </w:p>
        </w:tc>
      </w:tr>
      <w:tr>
        <w:trPr>
          <w:trHeight w:val="213"/>
        </w:trPr>
        <w:tc>
          <w:tcPr>
            <w:tcW w:w="4720" w:type="dxa"/>
            <w:vAlign w:val="bottom"/>
          </w:tcPr>
          <w:p>
            <w:pPr>
              <w:spacing w:after="0"/>
              <w:rPr>
                <w:sz w:val="18"/>
                <w:szCs w:val="18"/>
                <w:color w:val="auto"/>
              </w:rPr>
            </w:pPr>
          </w:p>
        </w:tc>
        <w:tc>
          <w:tcPr>
            <w:tcW w:w="19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71"/>
              <w:spacing w:after="0"/>
              <w:rPr>
                <w:sz w:val="20"/>
                <w:szCs w:val="20"/>
                <w:color w:val="auto"/>
              </w:rPr>
            </w:pPr>
            <w:r>
              <w:rPr>
                <w:rFonts w:ascii="Arial" w:cs="Arial" w:eastAsia="Arial" w:hAnsi="Arial"/>
                <w:sz w:val="16"/>
                <w:szCs w:val="16"/>
                <w:b w:val="1"/>
                <w:bCs w:val="1"/>
                <w:color w:val="auto"/>
              </w:rPr>
              <w:t>2021</w:t>
            </w:r>
          </w:p>
        </w:tc>
      </w:tr>
      <w:tr>
        <w:trPr>
          <w:trHeight w:val="184"/>
        </w:trPr>
        <w:tc>
          <w:tcPr>
            <w:tcW w:w="4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60" w:type="dxa"/>
            <w:vAlign w:val="bottom"/>
            <w:gridSpan w:val="3"/>
          </w:tcPr>
          <w:p>
            <w:pPr>
              <w:jc w:val="right"/>
              <w:ind w:right="81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5"/>
                <w:szCs w:val="15"/>
                <w:color w:val="auto"/>
              </w:rPr>
            </w:pPr>
          </w:p>
        </w:tc>
      </w:tr>
      <w:tr>
        <w:trPr>
          <w:trHeight w:val="231"/>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beginning of period</w:t>
            </w:r>
          </w:p>
        </w:tc>
        <w:tc>
          <w:tcPr>
            <w:tcW w:w="1900" w:type="dxa"/>
            <w:vAlign w:val="bottom"/>
            <w:shd w:val="clear" w:color="auto" w:fill="CCEEFF"/>
          </w:tcPr>
          <w:p>
            <w:pPr>
              <w:jc w:val="right"/>
              <w:ind w:right="13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19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Incurred related to:</w:t>
            </w:r>
          </w:p>
        </w:tc>
        <w:tc>
          <w:tcPr>
            <w:tcW w:w="1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720" w:type="dxa"/>
            <w:vAlign w:val="bottom"/>
          </w:tcPr>
          <w:p>
            <w:pPr>
              <w:ind w:left="660"/>
              <w:spacing w:after="0"/>
              <w:rPr>
                <w:sz w:val="20"/>
                <w:szCs w:val="20"/>
                <w:color w:val="auto"/>
              </w:rPr>
            </w:pPr>
            <w:r>
              <w:rPr>
                <w:rFonts w:ascii="Arial" w:cs="Arial" w:eastAsia="Arial" w:hAnsi="Arial"/>
                <w:sz w:val="18"/>
                <w:szCs w:val="18"/>
                <w:color w:val="auto"/>
              </w:rPr>
              <w:t>Current year</w:t>
            </w:r>
          </w:p>
        </w:tc>
        <w:tc>
          <w:tcPr>
            <w:tcW w:w="1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19,985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17,851</w:t>
            </w:r>
          </w:p>
        </w:tc>
      </w:tr>
      <w:tr>
        <w:trPr>
          <w:trHeight w:val="229"/>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years</w:t>
            </w:r>
          </w:p>
        </w:tc>
        <w:tc>
          <w:tcPr>
            <w:tcW w:w="1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47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incurred</w:t>
            </w:r>
          </w:p>
        </w:tc>
        <w:tc>
          <w:tcPr>
            <w:tcW w:w="1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w:t>
            </w:r>
          </w:p>
        </w:tc>
      </w:tr>
      <w:tr>
        <w:trPr>
          <w:trHeight w:val="209"/>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related to:</w:t>
            </w:r>
          </w:p>
        </w:tc>
        <w:tc>
          <w:tcPr>
            <w:tcW w:w="1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720" w:type="dxa"/>
            <w:vAlign w:val="bottom"/>
          </w:tcPr>
          <w:p>
            <w:pPr>
              <w:ind w:left="660"/>
              <w:spacing w:after="0"/>
              <w:rPr>
                <w:sz w:val="20"/>
                <w:szCs w:val="20"/>
                <w:color w:val="auto"/>
              </w:rPr>
            </w:pPr>
            <w:r>
              <w:rPr>
                <w:rFonts w:ascii="Arial" w:cs="Arial" w:eastAsia="Arial" w:hAnsi="Arial"/>
                <w:sz w:val="18"/>
                <w:szCs w:val="18"/>
                <w:color w:val="auto"/>
              </w:rPr>
              <w:t>Current year</w:t>
            </w:r>
          </w:p>
        </w:tc>
        <w:tc>
          <w:tcPr>
            <w:tcW w:w="1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(10,842)</w:t>
            </w:r>
          </w:p>
        </w:tc>
      </w:tr>
      <w:tr>
        <w:trPr>
          <w:trHeight w:val="229"/>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years</w:t>
            </w:r>
          </w:p>
        </w:tc>
        <w:tc>
          <w:tcPr>
            <w:tcW w:w="1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r>
      <w:tr>
        <w:trPr>
          <w:trHeight w:val="223"/>
        </w:trPr>
        <w:tc>
          <w:tcPr>
            <w:tcW w:w="47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paid</w:t>
            </w:r>
          </w:p>
        </w:tc>
        <w:tc>
          <w:tcPr>
            <w:tcW w:w="1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r>
      <w:tr>
        <w:trPr>
          <w:trHeight w:val="248"/>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end of period</w:t>
            </w:r>
          </w:p>
        </w:tc>
        <w:tc>
          <w:tcPr>
            <w:tcW w:w="190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Amounts incurred related to prior periods vary from previously estimated liabilities as the claims ultimately are settled. Negative amounts reported for incurred related to prior years result from claims being ultimately settled for amounts less than originally estimated (favorable development).</w:t>
      </w:r>
    </w:p>
    <w:p>
      <w:pPr>
        <w:spacing w:after="0" w:line="12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Incurred and Paid Claims Development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provides information about incurred and paid claims development for our Retail and Group and Specialty segments as of March 31, 2022 and 2021, net of reinsurance, and the total estimate of benefits payable for claims incurred but not reported, or IBNR, included within the net incurred claims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Retail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benefits payable for our Retail segment was as follows for the three months ended March 31, 2022 and 2021:</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540" w:type="dxa"/>
            <w:vAlign w:val="bottom"/>
            <w:tcBorders>
              <w:bottom w:val="single" w:sz="8" w:color="auto"/>
            </w:tcBorders>
          </w:tcPr>
          <w:p>
            <w:pPr>
              <w:spacing w:after="0"/>
              <w:rPr>
                <w:sz w:val="16"/>
                <w:szCs w:val="16"/>
                <w:color w:val="auto"/>
              </w:rPr>
            </w:pPr>
          </w:p>
        </w:tc>
      </w:tr>
      <w:tr>
        <w:trPr>
          <w:trHeight w:val="213"/>
        </w:trPr>
        <w:tc>
          <w:tcPr>
            <w:tcW w:w="47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31"/>
              <w:spacing w:after="0"/>
              <w:rPr>
                <w:sz w:val="20"/>
                <w:szCs w:val="20"/>
                <w:color w:val="auto"/>
              </w:rPr>
            </w:pPr>
            <w:r>
              <w:rPr>
                <w:rFonts w:ascii="Arial" w:cs="Arial" w:eastAsia="Arial" w:hAnsi="Arial"/>
                <w:sz w:val="16"/>
                <w:szCs w:val="16"/>
                <w:b w:val="1"/>
                <w:bCs w:val="1"/>
                <w:color w:val="auto"/>
              </w:rPr>
              <w:t>2021</w:t>
            </w:r>
          </w:p>
        </w:tc>
      </w:tr>
      <w:tr>
        <w:trPr>
          <w:trHeight w:val="184"/>
        </w:trPr>
        <w:tc>
          <w:tcPr>
            <w:tcW w:w="4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r>
      <w:tr>
        <w:trPr>
          <w:trHeight w:val="231"/>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beginning of period</w:t>
            </w:r>
          </w:p>
        </w:tc>
        <w:tc>
          <w:tcPr>
            <w:tcW w:w="1840" w:type="dxa"/>
            <w:vAlign w:val="bottom"/>
            <w:shd w:val="clear" w:color="auto" w:fill="CCEEFF"/>
          </w:tcPr>
          <w:p>
            <w:pPr>
              <w:jc w:val="right"/>
              <w:ind w:right="133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18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Incurred related to:</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720" w:type="dxa"/>
            <w:vAlign w:val="bottom"/>
          </w:tcPr>
          <w:p>
            <w:pPr>
              <w:ind w:left="660"/>
              <w:spacing w:after="0"/>
              <w:rPr>
                <w:sz w:val="20"/>
                <w:szCs w:val="20"/>
                <w:color w:val="auto"/>
              </w:rPr>
            </w:pPr>
            <w:r>
              <w:rPr>
                <w:rFonts w:ascii="Arial" w:cs="Arial" w:eastAsia="Arial" w:hAnsi="Arial"/>
                <w:sz w:val="18"/>
                <w:szCs w:val="18"/>
                <w:color w:val="auto"/>
              </w:rPr>
              <w:t>Current year</w:t>
            </w:r>
          </w:p>
        </w:tc>
        <w:tc>
          <w:tcPr>
            <w:tcW w:w="1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16,762</w:t>
            </w:r>
          </w:p>
        </w:tc>
      </w:tr>
      <w:tr>
        <w:trPr>
          <w:trHeight w:val="229"/>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years</w:t>
            </w:r>
          </w:p>
        </w:tc>
        <w:tc>
          <w:tcPr>
            <w:tcW w:w="18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47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Total incurred</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16,299</w:t>
            </w:r>
          </w:p>
        </w:tc>
      </w:tr>
      <w:tr>
        <w:trPr>
          <w:trHeight w:val="209"/>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related to:</w:t>
            </w: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4720" w:type="dxa"/>
            <w:vAlign w:val="bottom"/>
          </w:tcPr>
          <w:p>
            <w:pPr>
              <w:ind w:left="660"/>
              <w:spacing w:after="0"/>
              <w:rPr>
                <w:sz w:val="20"/>
                <w:szCs w:val="20"/>
                <w:color w:val="auto"/>
              </w:rPr>
            </w:pPr>
            <w:r>
              <w:rPr>
                <w:rFonts w:ascii="Arial" w:cs="Arial" w:eastAsia="Arial" w:hAnsi="Arial"/>
                <w:sz w:val="18"/>
                <w:szCs w:val="18"/>
                <w:color w:val="auto"/>
              </w:rPr>
              <w:t>Current year</w:t>
            </w:r>
          </w:p>
        </w:tc>
        <w:tc>
          <w:tcPr>
            <w:tcW w:w="1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(10,330)</w:t>
            </w:r>
          </w:p>
        </w:tc>
      </w:tr>
      <w:tr>
        <w:trPr>
          <w:trHeight w:val="229"/>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years</w:t>
            </w:r>
          </w:p>
        </w:tc>
        <w:tc>
          <w:tcPr>
            <w:tcW w:w="18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r>
      <w:tr>
        <w:trPr>
          <w:trHeight w:val="223"/>
        </w:trPr>
        <w:tc>
          <w:tcPr>
            <w:tcW w:w="47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Total paid</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w:t>
            </w:r>
          </w:p>
        </w:tc>
      </w:tr>
      <w:tr>
        <w:trPr>
          <w:trHeight w:val="248"/>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end of period</w:t>
            </w:r>
          </w:p>
        </w:tc>
        <w:tc>
          <w:tcPr>
            <w:tcW w:w="1840" w:type="dxa"/>
            <w:vAlign w:val="bottom"/>
            <w:tcBorders>
              <w:bottom w:val="single" w:sz="8" w:color="auto"/>
            </w:tcBorders>
            <w:shd w:val="clear" w:color="auto" w:fill="CCEEFF"/>
          </w:tcPr>
          <w:p>
            <w:pPr>
              <w:jc w:val="right"/>
              <w:ind w:right="13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March 31, 2022, benefits payable for our Retail segment included IBNR of approximately $5.3 billion, primarily associated with claims incurred in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Group and Specialty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benefits payable for our Group and Specialty segment was as follows for the three months ended March 31, 2022 and 2021:</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580" w:type="dxa"/>
            <w:vAlign w:val="bottom"/>
            <w:tcBorders>
              <w:bottom w:val="single" w:sz="8" w:color="auto"/>
            </w:tcBorders>
          </w:tcPr>
          <w:p>
            <w:pPr>
              <w:spacing w:after="0"/>
              <w:rPr>
                <w:sz w:val="16"/>
                <w:szCs w:val="16"/>
                <w:color w:val="auto"/>
              </w:rPr>
            </w:pPr>
          </w:p>
        </w:tc>
      </w:tr>
      <w:tr>
        <w:trPr>
          <w:trHeight w:val="213"/>
        </w:trPr>
        <w:tc>
          <w:tcPr>
            <w:tcW w:w="4740" w:type="dxa"/>
            <w:vAlign w:val="bottom"/>
          </w:tcPr>
          <w:p>
            <w:pPr>
              <w:spacing w:after="0"/>
              <w:rPr>
                <w:sz w:val="18"/>
                <w:szCs w:val="18"/>
                <w:color w:val="auto"/>
              </w:rPr>
            </w:pPr>
          </w:p>
        </w:tc>
        <w:tc>
          <w:tcPr>
            <w:tcW w:w="19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71"/>
              <w:spacing w:after="0"/>
              <w:rPr>
                <w:sz w:val="20"/>
                <w:szCs w:val="20"/>
                <w:color w:val="auto"/>
              </w:rPr>
            </w:pPr>
            <w:r>
              <w:rPr>
                <w:rFonts w:ascii="Arial" w:cs="Arial" w:eastAsia="Arial" w:hAnsi="Arial"/>
                <w:sz w:val="16"/>
                <w:szCs w:val="16"/>
                <w:b w:val="1"/>
                <w:bCs w:val="1"/>
                <w:color w:val="auto"/>
              </w:rPr>
              <w:t>2021</w:t>
            </w:r>
          </w:p>
        </w:tc>
      </w:tr>
      <w:tr>
        <w:trPr>
          <w:trHeight w:val="184"/>
        </w:trPr>
        <w:tc>
          <w:tcPr>
            <w:tcW w:w="4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60" w:type="dxa"/>
            <w:vAlign w:val="bottom"/>
            <w:gridSpan w:val="3"/>
          </w:tcPr>
          <w:p>
            <w:pPr>
              <w:jc w:val="right"/>
              <w:ind w:right="83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r>
      <w:tr>
        <w:trPr>
          <w:trHeight w:val="231"/>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beginning of period</w:t>
            </w:r>
          </w:p>
        </w:tc>
        <w:tc>
          <w:tcPr>
            <w:tcW w:w="1900" w:type="dxa"/>
            <w:vAlign w:val="bottom"/>
            <w:shd w:val="clear" w:color="auto" w:fill="CCEEFF"/>
          </w:tcPr>
          <w:p>
            <w:pPr>
              <w:jc w:val="right"/>
              <w:ind w:right="137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4740" w:type="dxa"/>
            <w:vAlign w:val="bottom"/>
          </w:tcPr>
          <w:p>
            <w:pPr>
              <w:ind w:left="340"/>
              <w:spacing w:after="0"/>
              <w:rPr>
                <w:sz w:val="20"/>
                <w:szCs w:val="20"/>
                <w:color w:val="auto"/>
              </w:rPr>
            </w:pPr>
            <w:r>
              <w:rPr>
                <w:rFonts w:ascii="Arial" w:cs="Arial" w:eastAsia="Arial" w:hAnsi="Arial"/>
                <w:sz w:val="18"/>
                <w:szCs w:val="18"/>
                <w:color w:val="auto"/>
              </w:rPr>
              <w:t>Incurred related to:</w:t>
            </w:r>
          </w:p>
        </w:tc>
        <w:tc>
          <w:tcPr>
            <w:tcW w:w="1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year</w:t>
            </w:r>
          </w:p>
        </w:tc>
        <w:tc>
          <w:tcPr>
            <w:tcW w:w="1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Prior years</w:t>
            </w:r>
          </w:p>
        </w:tc>
        <w:tc>
          <w:tcPr>
            <w:tcW w:w="1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incurred</w:t>
            </w:r>
          </w:p>
        </w:tc>
        <w:tc>
          <w:tcPr>
            <w:tcW w:w="1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09"/>
        </w:trPr>
        <w:tc>
          <w:tcPr>
            <w:tcW w:w="4740" w:type="dxa"/>
            <w:vAlign w:val="bottom"/>
          </w:tcPr>
          <w:p>
            <w:pPr>
              <w:ind w:left="340"/>
              <w:spacing w:after="0"/>
              <w:rPr>
                <w:sz w:val="20"/>
                <w:szCs w:val="20"/>
                <w:color w:val="auto"/>
              </w:rPr>
            </w:pPr>
            <w:r>
              <w:rPr>
                <w:rFonts w:ascii="Arial" w:cs="Arial" w:eastAsia="Arial" w:hAnsi="Arial"/>
                <w:sz w:val="18"/>
                <w:szCs w:val="18"/>
                <w:color w:val="auto"/>
              </w:rPr>
              <w:t>Paid related to:</w:t>
            </w: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year</w:t>
            </w:r>
          </w:p>
        </w:tc>
        <w:tc>
          <w:tcPr>
            <w:tcW w:w="1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Prior years</w:t>
            </w:r>
          </w:p>
        </w:tc>
        <w:tc>
          <w:tcPr>
            <w:tcW w:w="1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23"/>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paid</w:t>
            </w:r>
          </w:p>
        </w:tc>
        <w:tc>
          <w:tcPr>
            <w:tcW w:w="1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Balances, end of period</w:t>
            </w:r>
          </w:p>
        </w:tc>
        <w:tc>
          <w:tcPr>
            <w:tcW w:w="1900" w:type="dxa"/>
            <w:vAlign w:val="bottom"/>
            <w:tcBorders>
              <w:bottom w:val="single" w:sz="8" w:color="auto"/>
            </w:tcBorders>
          </w:tcPr>
          <w:p>
            <w:pPr>
              <w:jc w:val="right"/>
              <w:ind w:right="137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0"/>
        </w:trPr>
        <w:tc>
          <w:tcPr>
            <w:tcW w:w="47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March 31, 2022, benefits payable for our Group and Specialty segment included IBNR of approximately $492 million, primarily associated with claims incurred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 COMPUTATION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Detail supporting the computation of basic and diluted earnings per common share was as follows for the three months ended March 31, 2022 and 2021:</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87"/>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0"/>
        </w:trPr>
        <w:tc>
          <w:tcPr>
            <w:tcW w:w="5720" w:type="dxa"/>
            <w:vAlign w:val="bottom"/>
          </w:tcPr>
          <w:p>
            <w:pPr>
              <w:spacing w:after="0"/>
              <w:rPr>
                <w:sz w:val="11"/>
                <w:szCs w:val="11"/>
                <w:color w:val="auto"/>
              </w:rPr>
            </w:pPr>
          </w:p>
        </w:tc>
        <w:tc>
          <w:tcPr>
            <w:tcW w:w="2940" w:type="dxa"/>
            <w:vAlign w:val="bottom"/>
            <w:gridSpan w:val="5"/>
          </w:tcPr>
          <w:p>
            <w:pPr>
              <w:jc w:val="center"/>
              <w:spacing w:after="0" w:line="130" w:lineRule="exact"/>
              <w:rPr>
                <w:sz w:val="20"/>
                <w:szCs w:val="20"/>
                <w:color w:val="auto"/>
              </w:rPr>
            </w:pPr>
            <w:r>
              <w:rPr>
                <w:rFonts w:ascii="Arial" w:cs="Arial" w:eastAsia="Arial" w:hAnsi="Arial"/>
                <w:sz w:val="14"/>
                <w:szCs w:val="14"/>
                <w:b w:val="1"/>
                <w:bCs w:val="1"/>
                <w:color w:val="auto"/>
                <w:w w:val="91"/>
              </w:rPr>
              <w:t>(dollars in millions, except per common share</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0"/>
              </w:rPr>
              <w:t>results; number of shares in thousands)</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 average outstanding shares of common stock</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126,938</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128,931</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used to compute basic earnings per common share</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Employee stock options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Shares used to compute diluted earnings per common share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7.29</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Number of antidilutive stock options and restricted stock</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excluded from computation</w:t>
            </w: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40" w:right="8640" w:hanging="332"/>
        <w:spacing w:after="0" w:line="440" w:lineRule="auto"/>
        <w:tabs>
          <w:tab w:leader="none" w:pos="28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Dividends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details of dividend payments, excluding dividend equivalent rights for unvested stock awards, in 2021 and 2022 under our Board approved quarterly cash dividend policy:</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140" w:type="dxa"/>
            <w:vAlign w:val="bottom"/>
            <w:gridSpan w:val="2"/>
          </w:tcPr>
          <w:p>
            <w:pPr>
              <w:ind w:left="780"/>
              <w:spacing w:after="0"/>
              <w:rPr>
                <w:sz w:val="20"/>
                <w:szCs w:val="20"/>
                <w:color w:val="auto"/>
              </w:rPr>
            </w:pPr>
            <w:r>
              <w:rPr>
                <w:rFonts w:ascii="Arial" w:cs="Arial" w:eastAsia="Arial" w:hAnsi="Arial"/>
                <w:sz w:val="14"/>
                <w:szCs w:val="14"/>
                <w:b w:val="1"/>
                <w:bCs w:val="1"/>
                <w:color w:val="auto"/>
              </w:rPr>
              <w:t>Record</w:t>
            </w: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Payment</w:t>
            </w:r>
          </w:p>
        </w:tc>
        <w:tc>
          <w:tcPr>
            <w:tcW w:w="34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152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2140" w:type="dxa"/>
            <w:vAlign w:val="bottom"/>
            <w:gridSpan w:val="2"/>
          </w:tcPr>
          <w:p>
            <w:pPr>
              <w:ind w:left="860"/>
              <w:spacing w:after="0"/>
              <w:rPr>
                <w:sz w:val="20"/>
                <w:szCs w:val="20"/>
                <w:color w:val="auto"/>
              </w:rPr>
            </w:pPr>
            <w:r>
              <w:rPr>
                <w:rFonts w:ascii="Arial" w:cs="Arial" w:eastAsia="Arial" w:hAnsi="Arial"/>
                <w:sz w:val="14"/>
                <w:szCs w:val="14"/>
                <w:b w:val="1"/>
                <w:bCs w:val="1"/>
                <w:color w:val="auto"/>
              </w:rPr>
              <w:t>Date</w:t>
            </w: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w:t>
            </w:r>
          </w:p>
        </w:tc>
        <w:tc>
          <w:tcPr>
            <w:tcW w:w="320" w:type="dxa"/>
            <w:vAlign w:val="bottom"/>
          </w:tcPr>
          <w:p>
            <w:pPr>
              <w:spacing w:after="0"/>
              <w:rPr>
                <w:sz w:val="16"/>
                <w:szCs w:val="16"/>
                <w:color w:val="auto"/>
              </w:rPr>
            </w:pPr>
          </w:p>
        </w:tc>
        <w:tc>
          <w:tcPr>
            <w:tcW w:w="15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Amount</w:t>
            </w:r>
          </w:p>
        </w:tc>
      </w:tr>
      <w:tr>
        <w:trPr>
          <w:trHeight w:val="182"/>
        </w:trPr>
        <w:tc>
          <w:tcPr>
            <w:tcW w:w="2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4"/>
              </w:rPr>
              <w:t>(in millions)</w:t>
            </w:r>
          </w:p>
        </w:tc>
      </w:tr>
      <w:tr>
        <w:trPr>
          <w:trHeight w:val="217"/>
        </w:trPr>
        <w:tc>
          <w:tcPr>
            <w:tcW w:w="2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2021 payments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20" w:type="dxa"/>
            <w:vAlign w:val="bottom"/>
          </w:tcPr>
          <w:p>
            <w:pPr>
              <w:ind w:left="340"/>
              <w:spacing w:after="0"/>
              <w:rPr>
                <w:sz w:val="20"/>
                <w:szCs w:val="20"/>
                <w:color w:val="auto"/>
              </w:rPr>
            </w:pPr>
            <w:r>
              <w:rPr>
                <w:rFonts w:ascii="Arial" w:cs="Arial" w:eastAsia="Arial" w:hAnsi="Arial"/>
                <w:sz w:val="18"/>
                <w:szCs w:val="18"/>
                <w:color w:val="auto"/>
              </w:rPr>
              <w:t>12/31/2020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1/29/2021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0.6250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3/31/2021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4/30/2021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2020" w:type="dxa"/>
            <w:vAlign w:val="bottom"/>
          </w:tcPr>
          <w:p>
            <w:pPr>
              <w:ind w:left="340"/>
              <w:spacing w:after="0"/>
              <w:rPr>
                <w:sz w:val="20"/>
                <w:szCs w:val="20"/>
                <w:color w:val="auto"/>
              </w:rPr>
            </w:pPr>
            <w:r>
              <w:rPr>
                <w:rFonts w:ascii="Arial" w:cs="Arial" w:eastAsia="Arial" w:hAnsi="Arial"/>
                <w:sz w:val="18"/>
                <w:szCs w:val="18"/>
                <w:color w:val="auto"/>
              </w:rPr>
              <w:t>6/30/2021</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7/30/2021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9/30/2021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10/29/2021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3"/>
        </w:trPr>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2022 payments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12/31/2021</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1/28/2022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0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February 2022, the Board declared a cash dividend of $0.7875 per share payable on April 29, 2022 to stockholders of record on March 31, 2022. In April 2022, the Board declared a cash dividend of $0.7875 per share payable on July 29, 2022 to stockholders of record on June 30, 2022. Declaration and payment of future quarterly dividends is at the discretion of our Board and may be adjusted as business needs or market conditions change.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may authorize the purchase of our common stock shares. Under the share repurchase authorization, shares may be purchased from time to time at 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w:t>
      </w:r>
    </w:p>
    <w:p>
      <w:pPr>
        <w:spacing w:after="0" w:line="133"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On February 18, 2021, the Board of Directors replaced the previous share repurchase authorization of up to $3 billion (of which approximately $250 million remained unused) with a new authorization for repurchases of up to $3 billion of our common shares exclusive of shares repurchased in connection with employee stock plans, expiring as of February 18, 2024.</w:t>
      </w:r>
    </w:p>
    <w:p>
      <w:pPr>
        <w:spacing w:after="0" w:line="7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January 11, 2022, we entered into separate accelerated stock repurchase agreements, the January 2022 ASR Agreements, with Mizuho Markets Americas LLC, or Mizuho, and Wells Fargo Bank, or Wells Fargo, to repurchase $1 billion of our common stock as part of the $3 billion repurchase program authorized by the Board of Directors on February 18, 2021. On January 12, 2022, in accordance with the January 2022 ASR Agreements, we made a payment of $1 billion ($500 million to Mizuho and $500 million to Wells Fargo) and received an initial delivery of 2.2 million shares of our common stock (1.08 million shares each from Mizuho and Wells Fargo). In January 2022, we recorded the payments to Mizuho and Wells Fargo as a reduction to stockholders’ equity, consisting of an $850 million increase in treasury stock, which reflects the value of the initial 2.2 million shares received upon initial settlement, and a $150 million decrease in capital in excess of par value, which reflects the value of stock held back by Mizuho and Wells Fargo pending final settlement of the January 2022 ASR Agreements. Upon final settlement of the January 2022 ASR Agreements with Mizuho and Wells Fargo on March 29, 2022 and March 30, 2022, respectively, we received an additional 0.1 million shares and 0.1 million shares, respectively, as determined by the average daily volume weighted-averages share price of our common stock during the term of the agreement, less a discount, of $410.96 and $411.66, respectively, bringing the total shares received under the January 2022 ASR Agreements to 2.4 million. In addition, upon settlement we reclassified the $150 million value of stock initially held back by Mizuho and Wells Fargo from capital in excess of par value to treasury stock. Our remaining repurchase authorization was $2 billion as of April 26, 2022.</w:t>
      </w:r>
    </w:p>
    <w:p>
      <w:pPr>
        <w:spacing w:after="0" w:line="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employee stock plans, we acquired 0.06 million common shares for $24 million and 0.08 million common shares for $30 million during the three months ended March 31,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income tax rate was 23.5% and 22.0% for the three months ended March 31, 2022 and 2021, respectively. The increase is primarily due to the favorable tax treatment we incurred during the 2021 period related to our equity method investment activity that did not occur during the 2022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carrying value of debt outstanding, net of unamortized debt issuance costs, was as follows at March 31, 2022 and December 31, 2021:</w:t>
      </w:r>
    </w:p>
    <w:p>
      <w:pPr>
        <w:spacing w:after="0" w:line="161"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2022</w:t>
            </w: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December 31, 2021</w:t>
            </w:r>
          </w:p>
        </w:tc>
      </w:tr>
      <w:tr>
        <w:trPr>
          <w:trHeight w:val="187"/>
        </w:trPr>
        <w:tc>
          <w:tcPr>
            <w:tcW w:w="1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Pr>
          <w:p>
            <w:pPr>
              <w:spacing w:after="0"/>
              <w:rPr>
                <w:sz w:val="16"/>
                <w:szCs w:val="16"/>
                <w:color w:val="auto"/>
              </w:rPr>
            </w:pPr>
          </w:p>
        </w:tc>
      </w:tr>
      <w:tr>
        <w:trPr>
          <w:trHeight w:val="231"/>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Short-term debt:</w:t>
            </w:r>
          </w:p>
        </w:tc>
        <w:tc>
          <w:tcPr>
            <w:tcW w:w="4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9"/>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4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$600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3.150% due December 1, 2022</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$400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2.900% due December 15, 2022</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senior notes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Long-term debt:</w:t>
            </w:r>
          </w:p>
        </w:tc>
        <w:tc>
          <w:tcPr>
            <w:tcW w:w="4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122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 billion, 0.650% due August 3, 2023</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1220" w:type="dxa"/>
            <w:vAlign w:val="bottom"/>
          </w:tcPr>
          <w:p>
            <w:pPr>
              <w:ind w:left="240"/>
              <w:spacing w:after="0"/>
              <w:rPr>
                <w:sz w:val="20"/>
                <w:szCs w:val="20"/>
                <w:color w:val="auto"/>
              </w:rPr>
            </w:pPr>
            <w:r>
              <w:rPr>
                <w:rFonts w:ascii="Arial" w:cs="Arial" w:eastAsia="Arial" w:hAnsi="Arial"/>
                <w:sz w:val="18"/>
                <w:szCs w:val="18"/>
                <w:color w:val="auto"/>
                <w:w w:val="94"/>
              </w:rPr>
              <w:t>$600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3.850% due October 1, 2024</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$600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4.500% due April 1, 2025</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$750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1.350% due February 3, 2027</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$600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3.950% due March 15, 2027</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$750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3.700% due March 23, 2029</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$500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3.125% due August 15, 2029</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$500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4.875% due April 1, 2030</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$750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2.150% due February 3, 2032</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$250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8.150% due June 15, 2038</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$400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4.625% due December 1, 2042</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1220" w:type="dxa"/>
            <w:vAlign w:val="bottom"/>
          </w:tcPr>
          <w:p>
            <w:pPr>
              <w:ind w:left="240"/>
              <w:spacing w:after="0"/>
              <w:rPr>
                <w:sz w:val="20"/>
                <w:szCs w:val="20"/>
                <w:color w:val="auto"/>
              </w:rPr>
            </w:pPr>
            <w:r>
              <w:rPr>
                <w:rFonts w:ascii="Arial" w:cs="Arial" w:eastAsia="Arial" w:hAnsi="Arial"/>
                <w:sz w:val="18"/>
                <w:szCs w:val="18"/>
                <w:color w:val="auto"/>
                <w:w w:val="94"/>
              </w:rPr>
              <w:t>$750 million,</w:t>
            </w:r>
          </w:p>
        </w:tc>
        <w:tc>
          <w:tcPr>
            <w:tcW w:w="4420" w:type="dxa"/>
            <w:vAlign w:val="bottom"/>
          </w:tcPr>
          <w:p>
            <w:pPr>
              <w:ind w:left="40"/>
              <w:spacing w:after="0"/>
              <w:rPr>
                <w:sz w:val="20"/>
                <w:szCs w:val="20"/>
                <w:color w:val="auto"/>
              </w:rPr>
            </w:pPr>
            <w:r>
              <w:rPr>
                <w:rFonts w:ascii="Arial" w:cs="Arial" w:eastAsia="Arial" w:hAnsi="Arial"/>
                <w:sz w:val="18"/>
                <w:szCs w:val="18"/>
                <w:color w:val="auto"/>
              </w:rPr>
              <w:t>4.950% due October 1, 2044</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1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$400 million,</w:t>
            </w:r>
          </w:p>
        </w:tc>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4.800% due March 15, 2047</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1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4"/>
              </w:rPr>
              <w:t>$500 million,</w:t>
            </w:r>
          </w:p>
        </w:tc>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3.950% due August 15, 2049</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senior notes</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r>
      <w:tr>
        <w:trPr>
          <w:trHeight w:val="210"/>
        </w:trPr>
        <w:tc>
          <w:tcPr>
            <w:tcW w:w="1220" w:type="dxa"/>
            <w:vAlign w:val="bottom"/>
          </w:tcPr>
          <w:p>
            <w:pPr>
              <w:ind w:left="120"/>
              <w:spacing w:after="0"/>
              <w:rPr>
                <w:sz w:val="20"/>
                <w:szCs w:val="20"/>
                <w:color w:val="auto"/>
              </w:rPr>
            </w:pPr>
            <w:r>
              <w:rPr>
                <w:rFonts w:ascii="Arial" w:cs="Arial" w:eastAsia="Arial" w:hAnsi="Arial"/>
                <w:sz w:val="18"/>
                <w:szCs w:val="18"/>
                <w:color w:val="auto"/>
              </w:rPr>
              <w:t>Term loans:</w:t>
            </w: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5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 loan, due October 29, 2023</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56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Delayed draw term loan, due May 28, 2024</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term loans</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senior notes, which are unsecured, may be redeemed at our option at any time at 100% of the principal amount plus accrued interest and a specified make-whole amount. The 8.15% senior notes are subject to an interest rate adjustment if the debt ratings assigned to the notes are downgraded (or subsequently upgraded). In addition, our senior notes contain a change of control provision that may require us to purchase the notes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March 2022, we issued $750 million of 3.700% unsecured senior notes due March 23, 2029. Our net proceeds, reduced for the underwriters' discounts and commissions paid, were $744 million. We used the net proceeds for general corporate purposes, which included the repayment of existing indebtedness, including borrowings under our commercial paper program.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Delayed Draw Term Loan Credit Agreement</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May 2021, we entered into a $500 million unsecured delayed draw term loan credit agreement. Under the term loan credit agreement, loans bear interest at either LIBOR plus a spread or the base rate plus a spread. The loans under the term loan credit agreement mature on the third anniversary of the funding date. The LIBOR spread, currently 125 basis points, varies depending on our credit ratings ranging from 100.0 to 162.5 basis points. The term loan credit agreement provides for the transition from LIBOR and does not require amendment in connection with such transition.</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August 2021, we borrowed $500 million under the delayed draw term loan agreement, which was used, in combination with other debt financing, to fund the approximate $5.8 billion transaction price of Kindred at Home. The term loan credit agreement contains customary restrictive covenants and a financial covenant regarding maximum debt to capitalization of 60%, as well as customary events of default. We are in compliance with this financial covenant, with actual debt to capitalization of 45.8% as measured in accordance with the term loan credit agreement as of March 31,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other customary relationships, including financial advisory and banking, with some parties to the term loan agreement.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October 2021 Term Loan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29, 2021, we entered into a $2.0 billion term loan credit agreement, which we refer to as the October 2021 Term Loan Agreement, with certain lending banks and other financial institutions. Proceeds of the October 2021 Term Loan Agreement were applied to finance the repayment in full of the outstanding KAH debt.</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Loans under the October 2021 Term Loan Agreement bear interest at adjusted Term SOFR, as defined in the October 2021 Term Loan Agreement, or the base rate plus a spread. The applicable margin, currently 112.5 basis points, varies depending on our credit ratings ranging from 87.5 to 137.5 basis points. The loans under the October 2021 Term Loan Agreement will mature on October 29, 2023. The October 2021 Term Loan Agreement contains customary covenants, including a maximum debt to capitalization financial condition covenant regarding maximum debt to capitalization of 60%, as well as customary events of default. We are in compliance with this financial covenant, with actual debt to capitalization of 45.8% as measured in accordance with the term loan credit agreement as of March 31, 2022. We have other relationships, including financial advisory and banking, with some parties to the October 2021 Term Loan Agreement.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 the time of the repayment in full of the KAH debt, there was $1.9 billion of outstanding debt thereunder and no prepayment penalty was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Revolving Credit Agreements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2021, we entered into two separate revolving credit agreements: (i) a 5-year, $2.5 billion unsecured revolving credit agreement and (ii) a 364-day $1.5 billion unsecured revolving credit agreement. Under the revolving credit agreements, at our option, we can borrow on either a competitive advance basis or a revolving credit basis. The revolving credit portion bears interest at either LIBOR plus a spread or the base rate plus a spread. The competitive advance portion of any borrowings will bear interest at market rates prevailing at the time of borrowing on either a fixed rate or a floating rate based on LIBOR, at our option. The revolving credit agreements provide for the transition from LIBOR and do not require amendment in connection with such transition.</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LIBOR spread, currently 110.0 basis points under the 5-year revolving credit agreements and 115.0 basis points under the 364-day revolving credit agreement, varies depending on our credit ratings ranging from 91.0 to 140.0 basis points under the 5-year revolving credit agreement and from 93.0 to 145.0 basis points under the 364-day revolving credit agreement. We also pay an annual facility fee regardless of utilization. This facility fee, currently 15.0 basis points, under the 5-year revolving credit agreement and 10.0 basis points under the 364-day revolving agreement, varies depending on our credit ratings ranging from 9.0 to 22.5 basis points under the 5-year revolving credit agreement and from 7.0 to 17.5 basis points under the 364-day revolving credit agreement.</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of the revolving credit agreements include standard provisions related to conditions of borrowing which could limit our ability to borrow additional funds. In addition, the credit agreements contain customary restrictive covenants and a financial covenant regarding maximum debt to capitalization of 60%, as well as customary events of default. We are in compliance with this financial covenant, with actual debt to capitalization of 45.8% as measured in accordance with the revolving credit agreements as of March 31, 2022. Upon our agreement with one or more financial institutions, we may expand the aggregate commitments under the revolving credit agreements by up to $750 million in the aggregate, to a maximum of $4.75 billion, across the 5-year and 364-day revolving credit agreements.</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2022, we had no borrowings and approximately $74 million of letters of credit outstanding under the revolving credit agreements, including those of KAH. Accordingly, as of March 31, 2022, we had $2.5 billion of remaining borrowing capacity under the 5-year revolving credit agreement and $1.5 billion of remaining borrowing capacity under the 364-day revolving credit agreement (which excludes the uncommitted $750 million of incremental loan facilities), none of which would be restricted by our financial covenant compliance requirement.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other customary relationships, including financial advisory and banking, with some parties to the revolving credit agreements.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Under our commercial paper program we may issue short-term, unsecured commercial paper notes privately placed on a discount basis through certain broker dealers at any time. On February 10, 2022, we increased the size of our commercial paper program to permit the issuance of commercial paper notes in an aggregate principal amount not to exceed $4 billion compared to the prior amount not to exceed $2 billion. Amounts available under the program may be borrowed, repaid and re-borrowed from time to time. The net proceeds of issuances have been and are expected to be used for general corporate purposes. The maximum principal amount outstanding at any one time during the three months ended March 31, 2022 was $1.5 billion, with $691 million outstanding at March 31, 2022 compared to $955 million outstanding at December 31, 2021. The outstanding commercial paper at March 31, 2022 had a weighted average annual interest rate of 0.89%.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a member, through one subsidiary, of the Federal Home Loan Bank of Cincinnati, or FHLB. As a member we have the ability to obtain short-term cash advances, subject to certain minimum collateral requirements. At March 31, 2022 we had no outstanding short-term FHLB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340" w:right="6180" w:hanging="332"/>
        <w:spacing w:after="0" w:line="440"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GUARANTEES AND CONTINGENCIES </w:t>
      </w:r>
      <w:r>
        <w:rPr>
          <w:rFonts w:ascii="Arial" w:cs="Arial" w:eastAsia="Arial" w:hAnsi="Arial"/>
          <w:sz w:val="18"/>
          <w:szCs w:val="18"/>
          <w:b w:val="1"/>
          <w:bCs w:val="1"/>
          <w:i w:val="1"/>
          <w:iCs w:val="1"/>
          <w:color w:val="auto"/>
        </w:rPr>
        <w:t>Government Contracts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Medicare products, which accounted for approximately 82% of our total premiums and services revenue for the three months ended March 31, 2022, primarily consisted of products covered under the Medicare Advantage and Medicare Part D Prescription Drug Plan contracts with the federal government. These contracts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products have been renewed for 2022 and all of our product offerings have been approved.</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CMS uses a risk-adjustment model which adjusts premiums paid to Medicare Advantage, or MA, plans according to health status of covered members. The risk-adjustment model, which CMS implemented pursuant to the Balanced Budget Act of 1997, or BBA, and the Benefits Improvement and Protection Act of 2000, or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MA plans must collect from providers and submit the necessary diagnosis code information to CMS within prescribed deadlines. The CMS risk-adjustment model uses the diagnosis data to calculate the risk-adjusted premium payment to MA plans, which CMS adjusts for coding pattern differences between the health plans and the government fee-for-service program. We generally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CMS and the Office of the Inspector General of Health and Human Services, or HHS-OIG, are continuing to perform audits of various companies’ selected MA contracts related to this risk adjustment diagnosis data. We refer to these audits as Risk-Adjustment Data Validation Audits, or RADV audits. RADV audits review medical records in an attempt to validate provider medical record documentation and coding practices which influence the calculation of premium payments to MA plans.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an MA contract, if any, the results of the RADV audit sample would be extrapolated to the entire MA contract after a comparison of the audit results to a similar audit of the government’s traditional fee-for-service Medicare program, or Medicare FFS. We refer to the process of accounting for errors in FFS claims as the "FFS Adjuster." This comparison of RADV audit results to the FFS error rate is necessary to determine the economic impact, if any, of RADV audit results because the government used the Medicare FFS program data set, including any attendant errors that are present in that data set, to estimate the costs of various health status conditions and to set the resulting adjustments to MA plans’ payment rates in order to establish actuarial equivalence in payment rates as required under the Medicare statute. CMS already makes other adjustments to payment rates based on a comparison of coding pattern differences between MA plans and Medicare FFS data (such as for frequency of coding for certain diagnoses in MA plan data versus the Medicare FFS program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final RADV extrapolation methodology, including the first application of extrapolated audit results to determine audit settlements, is expected to be applied to CMS RADV contract level audits conducted for contract year 2011 and subsequent years. CMS is currently conducting RADV contract level audits for certain of our Medicare Advantage plans.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Estimated audit settlements are recorded as a reduction of premiums revenue in our consolidated statements of income, based upon available information. We perform internal contract level audits based on the RADV audit methodology prescribed by CMS. Included in these internal contract level audits is an audit of our Private Fee-For Service business which we used to represent a proxy of the FFS Adjuster which has not yet been finalized. We based our accrual of estimated audit settlements for each contract year on the results of these internal contract level audits and update our estimates as each audit is completed. Estimates derived from these results were not material to our results of operations, financial position, or cash flows. We report the results of these internal contract level audits to CMS, including identified overpayments, if any.</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26, 2018, CMS issued a proposed rule and accompanying materials, which we refer to as the “Proposed Rule”, related to, among other things, the RADV audit methodology described above. If implemented, the Proposed Rule would use extrapolation in RADV audits applicable to payment year 2011 contract-level audits and all subsequent audits, without the application of a FFS Adjuster to audit findings. We believe that the Proposed Rule fails to address adequately the statutory requirement of actuarial equivalence, and have provided substantive comments to CMS on the Proposed Rule as part of the notice-and-comment rulemaking process. Whether, and to what extent, CMS finalizes the Proposed Rule, and any related regulatory, industry or company reactions, could have a material adverse effect on our results of operations, financial position, or cash flows.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continue to work with CMS to ensure that MA plans are paid accurately and that payment model principles are in accordance with the requirements of the Social Security Act, which, if not implemented correctly could have a material adverse effect on our results of operations, financial position, or cash flows.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state-based Medicaid business, which accounted for approximately 6% of our total premiums and services revenue for the three months ended March 31, 2022 primarily consisted of serving members enrolled in Medicaid, and in certain circumstances members who qualify for both Medicaid and Medicare, under contracts with various states.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2022, our military services business, which accounted for approximately 1% of our total premiums and services revenue for the three months ended March 31, 2022, primarily consisted of the TRICARE T2017 East Region contract. The T2017 East Region contract comprising 32 states and approximately 6 million TRICARE beneficiaries, under which delivery of health care services commenced on January 1, 2018. The T2017 East Region contract is a 5-year contract set to expire on December 31, 2022 and is subject to renewals on January 1 of each year during its term at the government's option.</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loss of any of the contracts above or significant changes in these programs as a result of legislative or regulatory action, including reductions in premium payments to us, regulatory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or increases in member benefits or member eligibility criteria without corresponding increases in premium payments to us, may have a material adverse effect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 and Certain Regulatory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previously disclosed, the Civil Division of the United States Department of Justice provided us with an information request in December 2014, concerning our Medicare Part C risk adjustment practices. The request relates to our oversight and submission of risk adjustment data generated by providers in our Medicare Advantage network, as well as to our business and compliance practices related to risk adjustment data generated by our providers and by us, including medical record reviews conducted as part of our data and payment accuracy compliance efforts, the use of health and well-being assessments, and our fraud detection efforts. We believe that this request for information is in connection with a wider review of Medicare Risk Adjustment generally that includes a number of Medicare Advantage plans, providers and vendors. We continue to cooperate with the Department of Justice. These matters are expected to result in additional qui tam litigation.</w:t>
      </w:r>
    </w:p>
    <w:p>
      <w:pPr>
        <w:spacing w:after="0" w:line="12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previously disclosed, on January 19, 2016, an individual filed a qui tam suit captioned United States of America ex rel. Steven Scott v. Humana, Inc., in United States District Court, Central District of California, Western Division. The complaint alleges certain civil violations by us in connection with the actuarial equivalence of the plan benefits under Humana’s Basic PDP plan, a prescription drug plan offered by us under Medicare Part D. The action seeks damages and penalties on behalf of the United States under the False Claims Act. The court ordered the qui tam action unsealed on September 13, 2017, so that the relator could proceed, following notice from the U.S. Government that it was not intervening at that time. On January 29, 2018, the suit was transferred to the United States District Court, Western District of Kentucky, Louisville Division. We have substantially completed discovery with the relator who has pursued the matter on behalf of the united States following unsealing. On March 31, 2022, the Court denied the parties' Motions for Summary Judgement. We take seriously our obligations to comply with applicable CMS requirements and actuarial standards of practice, and continue to vigorously defend against these allegations.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Lawsuits and Regulatory Matters</w:t>
      </w:r>
    </w:p>
    <w:p>
      <w:pPr>
        <w:spacing w:after="0" w:line="171" w:lineRule="exact"/>
        <w:rPr>
          <w:sz w:val="20"/>
          <w:szCs w:val="20"/>
          <w:color w:val="auto"/>
        </w:rPr>
      </w:pPr>
    </w:p>
    <w:p>
      <w:pPr>
        <w:jc w:val="both"/>
        <w:ind w:firstLine="197"/>
        <w:spacing w:after="0" w:line="254" w:lineRule="auto"/>
        <w:rPr>
          <w:sz w:val="20"/>
          <w:szCs w:val="20"/>
          <w:color w:val="auto"/>
        </w:rPr>
      </w:pPr>
      <w:r>
        <w:rPr>
          <w:rFonts w:ascii="Arial" w:cs="Arial" w:eastAsia="Arial" w:hAnsi="Arial"/>
          <w:sz w:val="18"/>
          <w:szCs w:val="18"/>
          <w:color w:val="auto"/>
        </w:rPr>
        <w:t>Our current and past business practices are subject to review or other investigations by various state insurance and health care regulatory authorities and other state and federal regulatory authorities. These authorities regularly scrutinize the business practices of health insurance, health care delivery and benefits companies. These reviews focus on numerous facets of our business, including claims payment practices, statutory capital requirements, provider contracting, risk adjustment, competitive practices, commission payments, privacy issues, utilization management practices, pharmacy benefits, access to care, and sales practices, among others. Some of these reviews have historically resulted in fines imposed on us and some have required changes to some of our practices. We continue to be subject to these reviews, which could result in additional fines or other sanctions being imposed on us or additional changes in some of our practices.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are involved in various other lawsuits that arise, for the most part, in the ordinary course of our business operations, certain of which may be styled as class-action lawsuits. Among other matters, this litigation may include employment matters, claims of medical malpractice, bad faith, nonacceptance or termination of providers, anticompetitive practices, improper rate setting, provider contract rate and payment disputes, including disputes over reimbursement rates required by statute, disputes arising from competitive procurement process, general contractual matters, intellectual property matters, and challenges to subrogation practices. Under state guaranty assessment laws, including those related to state cooperative failures in the industry, we may be assessed (up to prescribed limits) for certain obligations to the policyholders and claimants of insolvent insurance companies that write the same line or lines of business as we do.</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government contractor, we may also be subject to false claims litigation, such as qui tam lawsuits brought by individuals who seek to sue on behalf of the government, alleging that the government contractor submitted false claims to the government or related overpayments from the government, including, among other allegations, those resulting from coding and review practices under the Medicare risk adjustment model. Qui tam litigation is filed under seal to allow the government an opportunity to investigate and to decide if it wishes to intervene and assume control of the litigation. If the government does not intervene, the individual may continue to prosecute the action on his or her own, on behalf of the government. We also are subject to other allegations of nonperformance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contractual obligations to providers, members, and others, including failure to properly pay claims, improper policy terminations, challenges to our implementation of the Medicare Part D prescription drug program and other litigation.</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limited number of the claims asserted against us are subject to insurance coverage. Personal injury claims, claims for extra contractual damages, care delivery malpractice, and claims arising from medical benefit denials are covered by insurance from our wholly owned captive insurance subsidiary and excess carriers, except to the extent that claimants seek punitive damages, which may not be covered by insurance in certain states in which insurance coverage for punitive damages is not permitted. In addition, insurance coverage for all or certain forms of liability has become increasingly costly and may become unavailable or prohibitively expensive in the future.</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record accruals for the contingencies discussed in the sections above to the extent that we conclude it is probable that a liability has been incurred and the amount of the loss can be reasonably estimated. No estimate of the possible loss or range of loss in excess of amounts accrued, if any, can be made at this time regarding the matters specifically described above because of the inherently unpredictable nature of legal proceedings, which also may be exacerbated by various factors, including: (i) the damages sought in the proceedings are unsubstantiated or indeterminate; (ii) discovery is not complete;</w:t>
      </w:r>
    </w:p>
    <w:p>
      <w:pPr>
        <w:spacing w:after="0" w:line="1" w:lineRule="exact"/>
        <w:rPr>
          <w:sz w:val="20"/>
          <w:szCs w:val="20"/>
          <w:color w:val="auto"/>
        </w:rPr>
      </w:pPr>
    </w:p>
    <w:p>
      <w:pPr>
        <w:ind w:firstLine="8"/>
        <w:spacing w:after="0" w:line="323" w:lineRule="auto"/>
        <w:tabs>
          <w:tab w:leader="none" w:pos="31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proceeding is in its early stages; (iv) the matters present legal uncertainties; (v) there are significant facts in dispute; (vi) there are a large number of parties (including where it is uncertain how liability, if any, will be shared among multiple defendants); or (vii) there is a wide range of potential outcomes.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outcome of any current or future litigation or governmental or internal investigations, including the matters described above, cannot be accurately predicted, nor can we predict any resulting judgments, penalties, fines or other sanctions that may be imposed at the discretion of federal or state regulatory authorities or as a result of actions by third parties. Nevertheless, it is reasonably possible that any such outcome of litigation, judgments, penalties, fines or other sanctions could be substantial, and the outcome of these matters may have a material adverse effect on our results of operations, financial position, and cash flows, and may also affect our reputation.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including Temporary Assistance for Needy Families, or TANF, dual eligible demonstration,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 includes pharmacy, provider, and home services, along with other services and capabilities to promote wellness and advance population health. The operations of the recently acquired full ownership of Kindred at Home, as well as the company's strategic partnership with WCAS to develop and operate senior-focused, payor-agnostic, primary care centers are also included in the Healthcare Services segment.</w:t>
      </w:r>
    </w:p>
    <w:p>
      <w:pPr>
        <w:spacing w:after="0" w:line="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Healthcare Services intersegment revenues primarily relate to managing prescription drug coverage for members of our other segments through Humana Pharmacy Solutions®, or HPS, and includes the operations of Humana Pharmacy, Inc., our mail order pharmacy business. These revenues consist of the prescription price (ingredient cost plus dispensing fee), including the portion to be settled with the member (co-share) or with the government (subsidies), plus any associated administrative fees. Services revenues related to the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prescriptions by third party retail pharmacies in our networks are recognized when the claim is processed and product revenues from dispensing prescriptions from our mail order pharmacies are recorded when the prescription or product is shipped. Our pharmacy operations, which are responsible for designing pharmacy benefits, including defining member co-share responsibilities, determining formulary listings, contracting with retail pharmacies, confirming member eligibility, reviewing drug utilization, and processing claims, act as a principal in the arrangement on behalf of members in our other segments. As principal, our Healthcare Services segment reports revenues on a gross basis, including co-share amounts from members collected by third party retail pharmacies at the point of service.</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our Healthcare Services intersegment revenues include revenues earned by certain owned providers derived from risk-based and non-risk-based managed care agreements with our health plans. Under risk based agreements, the provider receives a monthly capitated fee that varies depending on the demographics and health status of the member, for each member assigned to these owned providers by our health plans. The owned provider assumes the economic risk of funding the assigned members’ healthcare services. Under non risk-based agreements, our health plans retain the economic risk of funding the assigned members' healthcare services. Our Healthcare Services segment reports provider services revenues associated with risk-based agreements on a gross basis, whereby capitation fee revenue is recognized in the period in which the assigned members are entitled to receive healthcare services. Provider services revenues associated with non-risk-based agreements are presented net of associated healthcare costs.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present our condensed consolidated results of operations from the perspective of the health plans. As a result, the cost of providing benefits to our members, whether provided via a third party provider or internally through a stand-alone subsidiary, is classified as benefits expense and excludes the portion of the cost for which the health plans do not bear responsibility, including member co-share amounts and government subsidies of $4.0 billion and $3.6 billion for the three months ended March 31, 2022 and 2021, respectively. In addition, depreciation and amortization expense associated with certain businesses in our Healthcare Services segment delivering benefits to our members, primarily associated with our provider services and pharmacy operations, are included with benefits expense. The amount of this expense was $30 million and $26 million for the three months ended March 31, 2022 and 2021, respectively.</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Other than those described previously, the accounting policies of each segment are the same and are described in Note 2 to the consolidated financial statements included in our 2021 Form 10-K. Transactions between reportable segments primarily consist of sales of services rendered by our Healthcare Services segment, primarily pharmacy, provider, and home solutions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 in the tables presenting segment results below.</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segment results were as follows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 and</w:t>
            </w: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Specialty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revenues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Premiums: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Individual Medicare Advantage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Group Medicare Advantage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stand-alone PDP</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Medicare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Fully-insured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Medicaid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premiums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22,703</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Home solutions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ASO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Pharmacy solutions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services revenue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intersegment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22,681</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Income before income taxes and equity in net earnings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losses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Segment earnings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noncontrolling interests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Segment earnings attributable to Humana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 and</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Specialty</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External Revenues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Individual Medicare Advantage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Group Medicare Advantage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Medicare stand-alone PDP</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Medicare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23"/>
        </w:trPr>
        <w:tc>
          <w:tcPr>
            <w:tcW w:w="5100" w:type="dxa"/>
            <w:vAlign w:val="bottom"/>
          </w:tcPr>
          <w:p>
            <w:pPr>
              <w:ind w:left="340"/>
              <w:spacing w:after="0"/>
              <w:rPr>
                <w:sz w:val="20"/>
                <w:szCs w:val="20"/>
                <w:color w:val="auto"/>
              </w:rPr>
            </w:pPr>
            <w:r>
              <w:rPr>
                <w:rFonts w:ascii="Arial" w:cs="Arial" w:eastAsia="Arial" w:hAnsi="Arial"/>
                <w:sz w:val="18"/>
                <w:szCs w:val="18"/>
                <w:color w:val="auto"/>
              </w:rPr>
              <w:t>Fully-insured</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Specialty</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Medicaid and 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premiums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09"/>
        </w:trPr>
        <w:tc>
          <w:tcPr>
            <w:tcW w:w="5100" w:type="dxa"/>
            <w:vAlign w:val="bottom"/>
          </w:tcPr>
          <w:p>
            <w:pPr>
              <w:ind w:left="220"/>
              <w:spacing w:after="0"/>
              <w:rPr>
                <w:sz w:val="20"/>
                <w:szCs w:val="20"/>
                <w:color w:val="auto"/>
              </w:rPr>
            </w:pPr>
            <w:r>
              <w:rPr>
                <w:rFonts w:ascii="Arial" w:cs="Arial" w:eastAsia="Arial" w:hAnsi="Arial"/>
                <w:sz w:val="18"/>
                <w:szCs w:val="18"/>
                <w:color w:val="auto"/>
              </w:rPr>
              <w:t>Services revenue: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solutions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Provider services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ASO and other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Pharmacy solutions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services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20,590</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intersegment revenues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equity in net earnings</w:t>
            </w: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Equity in net earnings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The condensed consolidated financial statements of Humana Inc. in this document present the Company’s financial position, results of operations and cash flows, and should be read in conjunction with the following discussion and analysis. References to “we,” “us,” “our,” “Company,” and “Humana” mean Humana Inc. and its subsidiaries. This discussion includes forward-looking statements within the meaning of the Private Securities Litigation Reform Act of 1995. When used in filings with the Securities and Exchange Commission, or SEC, in our press releases, investor presentations, and in oral statements made by or with the approval of one of our executive officers, the words or phrases like “believes,” “expects,” “anticipates,” “intends,” “likely will result,” “estimates,” “projects” or variations of such words and similar expressions are intended to identify such forward–looking statements. These forward–looking statements are not guarantees of future performance and are subject to risks, uncertainties and assumptions, including, among other things, information set forth in Item 1A. – Risk Factors in our 2021 Form 10-K, as modified by any changes to those risk factors included in this document and in other reports we filed subsequent to February 17, 2022, in each case incorporated by reference herein. In making these statements, we are not undertaking to address or update such forward-looking statements in future filings or communications regarding our business or results. In light of these risks, uncertainties and assumptions, the forward–looking events discussed in this document might not occur. There may also be other risks that we are unable to predict at this time. Any of these risks and uncertainties may cause actual results to differ materially from the results discussed in the forward– looking statements.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Humana Inc., headquartered in Louisville, Kentucky,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 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 home care, behavioral health, pharmacy services, data analytics and wellness solutions, combine to produce a simplified experience that makes health care easier to navigate and more effective.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industry relies on two key statistics to measure performance. The benefit ratio, which is computed by taking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total benefits expense as a percentage of premiums revenue, represents a statistic used to measure underwriting profitability. The operating cost ratio, which is computed by taking total operating costs, excluding depreciation and amortization, as a percentage of total revenue less investment income, represents a statistic used to measure administrative spending efficiency.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Kindred at Home Acquisition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17, 2021, we acquired the remaining 60% interest in Kindred at Home, or KAH, the nation’s largest home health and hospice provider, from TPG Capital, or TPG, and Welsh, Carson, Anderson &amp; Stowe, or WCAS, two private equity funds, or the Sponsors, for an enterprise value of $8.2 billion, which includes our equity value of $2.4 billion associated with our 40% minority ownership interest. We paid the approximate $5.8 billion transaction price (net of our existing equity stake) through a combination of debt financing, the assumption of existing KAH indebtedness and parent company cash.</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of Hospice and Personal Care Divisions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21, 2022, we signed a definitive agreement with private investment firm Clayton, Dubilier &amp; Rice, or CD&amp;R, to divest a 60% interest in the Hospice and Personal Care divisions of Humana’s Kindred at Home subsidiary, or KAH Hospice, at an enterprise valuation of $3.4 billion. These divisions include patient-centered services for Hospice, Palliative, Community and Personal Care. Under the agreement, we will receive cash proceeds of approximately $2.8 billion, which includes a combination of debt repayments from KAH Hospice to Humana and equity proceeds from the 60% interest purchased by CD&amp;R.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transaction is expected to close in the third quarter of 2022 and is subject to customary state and federal regulatory approvals.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emergence and spread of the novel coronavirus, or COVID-19, beginning in the first quarter of 2020 has impacted our business. During periods of increased incidences of COVID-19, a reduction in non-COVID-19 hospital admissions for non-essential care have resulted in lower overall healthcare system utilization. At the same time, COVID-19 treatment and testing costs increased utilization. During the first quarter of 2022, we experienced lower overall utilization of the healthcare system than anticipated, as the reduction in COVID-19 utilization following the increased incidence associated with the Omicron variant outpaced the increase in non-COVID-19 utilization. The significant disruption in utilization during 2020 also impacted our ability to implement clinical initiatives to manage health care costs and chronic conditions of our members, and appropriately document their risk profiles, and, as such, significantly affected our 2021 revenue under the risk adjustment payment model for Medicare Advantage plans. Finally, changes in utilization patterns and actions taken in 2021 as a result of the COVID-19 pandemic, including the suspension of certain financial recovery programs for a period of time and shifting the timing of claim payments and provider capitation surplus payments, impacted our claim reserve development and operating cash flows for 2021.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including Temporary Assistance for Needy Families, or TANF, dual eligible demonstration,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 includes pharmacy, provider, and home services, along with other services and capabilities to promote wellness and advance population health. The operations of the recently acquired full ownership of Kindred at Home, as well as the company's strategic partnership with WCAS to develop and operate senior-focused, payor-agnostic, primary care centers are also included in the Healthcare Services segment.</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results of each segment are measured by segment earnings, and for our Healthcare Services Segment, also include equity in net earnings from our equity method investees. Transactions between reportable segments primarily consist of sales of services rendered by our Healthcare Services segment, primarily pharmacy, provider, and home solutions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COVID-19 disrupted the pattern of our quarterly earnings and operating cash flows largely due to the temporary deferral of non-essential care which resulted in reductions in non-COVID-19 hospital admissions and lower overall healthcare system utilization during higher levels of COVID-19 hospital admissions. Likewise, during periods of increased incidences of COVID-19, COVID-19 treatment and testing costs increase. Similar impacts and seasonal disruptions from either higher or lower utilization are expected to persist as we respond to and recover from the COVID-19 global health crisis.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One of the product offerings of our Retail segment is Medicare stand-alone prescription drug plans, or PDPs, under the Medicare Part D program. Our quarterly Retail segment earnings and operating cash flows are impacted by the Medicare Part D benefit design and changes in the composition of our membership. The Medicare Part D benefit design results in coverage that varies as a member’s cumulative out-of-pocket costs pass through successive stages of a member’s plan period, which begins annually on January 1 for renewals. These plan designs generally result in us sharing a greater portion of the responsibility for total prescription drug costs in the early stages and less in the latter stages. As a result, the PDP benefit ratio generally decreases as the year progresses. In addition, the number of low income senior members as well as year-over-year changes in the mix of membership in our standalone PDP products affects the quarterly benefit ratio pattern.</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Retail segment also experiences seasonality in the operating cost ratio as a result of costs incurred in the second half of the year associated with the Medicare marketing season.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Group and Specialty segment also experiences seasonality in the benefit ratio pattern. However, the effect is opposite of Medicare stand-alone PDP in the Retail segment, with the Group and Specialty segment’s benefit ratio increasing as fully-insured members progress through their annual deductible and maximum out-of-pocket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Highlights</w:t>
      </w:r>
    </w:p>
    <w:p>
      <w:pPr>
        <w:spacing w:after="0" w:line="171" w:lineRule="exact"/>
        <w:rPr>
          <w:sz w:val="20"/>
          <w:szCs w:val="20"/>
          <w:color w:val="auto"/>
        </w:rPr>
      </w:pPr>
    </w:p>
    <w:p>
      <w:pPr>
        <w:jc w:val="both"/>
        <w:ind w:left="660" w:hanging="328"/>
        <w:spacing w:after="0" w:line="26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strategy offers our members affordable health care combined with a positive consumer experience in growing markets. At the core of this strategy is our integrated care delivery model, which unites quality care, high member engagement, and sophisticated data analytics. Our approach to primary, physician-directed care for our members aims to provide quality care that is consistent, integrated, cost-effective, and member-focused, provided by both employed physicians and physicians with network contract arrangements. The model is designed to improve health outcomes and affordability for individuals and for the health system as a whole, while offering our members a simple, seamless healthcare experience. We believe this strategy is positioning us for long-term growth in both membership and earnings. We offer providers a continuum of opportunities to increase the integration of care and offer assistance to providers in transitioning from a fee-for-service to a value-based arrangement. These include performance bonuses, shared savings and shared risk relationships. At March 31, 2022, approximately 3,053,600 members, or 67%, of our individual Medicare Advantage members were in value-based relationships under our integrated care delivery model, as compared to 2,810,700 members, or 65%, at March 31, 2021.</w:t>
      </w:r>
    </w:p>
    <w:p>
      <w:pPr>
        <w:spacing w:after="0" w:line="131"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4, 2022, Centers for Medicare &amp; Medicaid Services (CMS) published its Announcement of Calendar Year 2023 Medicare Advantage Capitation Rates and Part C and Part D Payment Policies (the Final Rate Notice). The company expects the Final Rate Notice to result in a 4.6% rate increase for non-end stage renal disease, or ESRD, Medicare Advantage business, excluding the impact of Employer Group Waiver Plan funding changes. The company’s 4.6% rate increase compares to CMS’s estimate for the sector of 5.0% on a comparable basis, with the variance primarily driven by average Star ratings, as well as county rebasing and the company's geographic footprint. CMS also establishes separate rates of payment for ESRD beneficiaries enrolled in Medicare Advantage plans. The company expects the Final Rate Notice to result in a 6.8% rate increase in 2023 for ESRD beneficiaries, which reflects CMS’s United States Per Capita Cost trend of 9.6%, offset by 2.8% for ESRD risk model change impacts.</w:t>
      </w:r>
    </w:p>
    <w:p>
      <w:pPr>
        <w:spacing w:after="0" w:line="21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Net income was $930 million, or $7.29 per diluted common share, and $828 million, or $6.39, for the three months ended March 31, 2022, and 2021, respectively. This comparison was significantly impacted by put/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call valuation adjustments associated with certain equity method investments, transaction and integration costs, as well as the change in the fair value of publicly-traded equity securities. The impact of these adjustments to our consolidated income before income taxes and equity in net earnings and diluted earnings per common share was as follows for the 2022 and 2021 quarter:</w:t>
      </w:r>
    </w:p>
    <w:p>
      <w:pPr>
        <w:spacing w:after="0" w:line="233"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For the three months ended March</w:t>
      </w:r>
    </w:p>
    <w:p>
      <w:pPr>
        <w:jc w:val="center"/>
        <w:ind w:left="8840"/>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2200" w:type="dxa"/>
        <w:tblCellMar>
          <w:top w:w="0" w:type="dxa"/>
          <w:left w:w="0" w:type="dxa"/>
          <w:bottom w:w="0" w:type="dxa"/>
          <w:right w:w="0" w:type="dxa"/>
        </w:tblCellMar>
      </w:tblPr>
      <w:tr>
        <w:trPr>
          <w:trHeight w:val="193"/>
        </w:trPr>
        <w:tc>
          <w:tcPr>
            <w:tcW w:w="66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income taxes and equity in net earnings: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20"/>
              <w:spacing w:after="0" w:line="176" w:lineRule="exact"/>
              <w:rPr>
                <w:sz w:val="20"/>
                <w:szCs w:val="20"/>
                <w:color w:val="auto"/>
              </w:rPr>
            </w:pPr>
            <w:r>
              <w:rPr>
                <w:rFonts w:ascii="Arial" w:cs="Arial" w:eastAsia="Arial" w:hAnsi="Arial"/>
                <w:sz w:val="18"/>
                <w:szCs w:val="18"/>
                <w:color w:val="auto"/>
                <w:w w:val="98"/>
              </w:rPr>
              <w:t>Put/call valuation adjustments associated with company's non consolidating minority</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interest investments</w:t>
            </w: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the fair value of publicly-traded equity securities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2"/>
              </w:rPr>
              <w:t>For the three months ended March</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line="176" w:lineRule="exact"/>
              <w:rPr>
                <w:sz w:val="20"/>
                <w:szCs w:val="20"/>
                <w:color w:val="auto"/>
              </w:rPr>
            </w:pPr>
            <w:r>
              <w:rPr>
                <w:rFonts w:ascii="Arial" w:cs="Arial" w:eastAsia="Arial" w:hAnsi="Arial"/>
                <w:sz w:val="18"/>
                <w:szCs w:val="18"/>
                <w:color w:val="auto"/>
                <w:w w:val="98"/>
              </w:rPr>
              <w:t>Put/call valuation adjustments associated with company's non consolidating minority</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investments</w:t>
            </w: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the fair value of publicly-traded equity securities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300" w:hanging="320"/>
        <w:spacing w:after="0" w:line="250" w:lineRule="auto"/>
        <w:tabs>
          <w:tab w:leader="none" w:pos="1303" w:val="left"/>
        </w:tabs>
        <w:numPr>
          <w:ilvl w:val="0"/>
          <w:numId w:val="9"/>
        </w:numPr>
        <w:rPr>
          <w:rFonts w:ascii="Arial" w:cs="Arial" w:eastAsia="Arial" w:hAnsi="Arial"/>
          <w:sz w:val="20"/>
          <w:szCs w:val="20"/>
          <w:color w:val="auto"/>
        </w:rPr>
      </w:pPr>
      <w:r>
        <w:rPr>
          <w:rFonts w:ascii="Arial" w:cs="Arial" w:eastAsia="Arial" w:hAnsi="Arial"/>
          <w:sz w:val="18"/>
          <w:szCs w:val="18"/>
          <w:color w:val="auto"/>
        </w:rPr>
        <w:t>Excluding these adjustments, our improved comparisons of our results of operations were primarily impacted by our Healthcare Services segment, including the consolidation of Kindred at Home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In addition, the Health Care Reform Law established insurance industry assessments, including an annual health insurance industry fee. The annual health insurance industry fee, which was not deductible for income tax purposes and significantly increased our effective tax rate, was in effect for 2020, but was permanently repealed beginning in calendar year 2021.</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is reasonably possible that the Health Care Reform Law and related regulations, as well as other current or future legislative, judicial or regulatory changes such as the Families First Coronavirus Response Act, or the Families First Act, the Coronavirus Aid, Relief, and Economic Security Act, or the CARES Act, and other legislative or regulatory action taken in response to COVID-19 including restrictions on our ability to manage our provider network or otherwise operate our business, or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or increases in regulation of our prescription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drug benefit businesses, in the aggregate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for the discussion of our financial condition and results of operations that follows to assist in the understanding of our financial statements and related changes in certain key items in those financial statements from year to year, including the primary factors that accounted for those changes. Transactions between reportable segments primarily consist of sales of services rendered by our Healthcare Services segment, primarily pharmacy, provider, and home solutions services, to our Retail and Group and Specialty segment customers and are described in Note 14 to the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Operations for 2022 and 2021</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discussion primarily deals with our results of operations for the three months ended March 31, 2022, or the 2022 quarter, and the three months ended March 31, 2021, or the 2021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c>
          <w:tcPr>
            <w:tcW w:w="280" w:type="dxa"/>
            <w:vAlign w:val="bottom"/>
          </w:tcPr>
          <w:p>
            <w:pPr>
              <w:spacing w:after="0"/>
              <w:rPr>
                <w:sz w:val="16"/>
                <w:szCs w:val="16"/>
                <w:color w:val="auto"/>
              </w:rPr>
            </w:pPr>
          </w:p>
        </w:tc>
        <w:tc>
          <w:tcPr>
            <w:tcW w:w="150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Dollars</w:t>
            </w:r>
          </w:p>
        </w:tc>
        <w:tc>
          <w:tcPr>
            <w:tcW w:w="11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gridSpan w:val="9"/>
          </w:tcPr>
          <w:p>
            <w:pPr>
              <w:ind w:left="1200"/>
              <w:spacing w:after="0"/>
              <w:rPr>
                <w:sz w:val="20"/>
                <w:szCs w:val="20"/>
                <w:color w:val="auto"/>
              </w:rPr>
            </w:pPr>
            <w:r>
              <w:rPr>
                <w:rFonts w:ascii="Arial" w:cs="Arial" w:eastAsia="Arial" w:hAnsi="Arial"/>
                <w:sz w:val="14"/>
                <w:szCs w:val="14"/>
                <w:b w:val="1"/>
                <w:bCs w:val="1"/>
                <w:color w:val="auto"/>
                <w:w w:val="97"/>
              </w:rPr>
              <w:t>(dollars in millions, except per common share results)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Premiums: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Group and Specialty</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premiums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22,703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9"/>
        </w:trPr>
        <w:tc>
          <w:tcPr>
            <w:tcW w:w="5100" w:type="dxa"/>
            <w:vAlign w:val="bottom"/>
          </w:tcPr>
          <w:p>
            <w:pPr>
              <w:ind w:left="36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5100" w:type="dxa"/>
            <w:vAlign w:val="bottom"/>
          </w:tcPr>
          <w:p>
            <w:pPr>
              <w:ind w:left="680"/>
              <w:spacing w:after="0"/>
              <w:rPr>
                <w:sz w:val="20"/>
                <w:szCs w:val="20"/>
                <w:color w:val="auto"/>
              </w:rPr>
            </w:pPr>
            <w:r>
              <w:rPr>
                <w:rFonts w:ascii="Arial" w:cs="Arial" w:eastAsia="Arial" w:hAnsi="Arial"/>
                <w:sz w:val="18"/>
                <w:szCs w:val="18"/>
                <w:color w:val="auto"/>
              </w:rPr>
              <w:t>Group and Specialty</w:t>
            </w:r>
          </w:p>
        </w:tc>
        <w:tc>
          <w:tcPr>
            <w:tcW w:w="2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Healthcare Services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292.3 %</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services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23,970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20,668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19,625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22,681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 net earnings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(losses) earnings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xml:space="preserve">Benefit ratio </w:t>
            </w:r>
            <w:r>
              <w:rPr>
                <w:rFonts w:ascii="Arial" w:cs="Arial" w:eastAsia="Arial" w:hAnsi="Arial"/>
                <w:sz w:val="16"/>
                <w:szCs w:val="16"/>
                <w:color w:val="auto"/>
              </w:rPr>
              <w:t>(a)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86.4 %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85.9 %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cost ratio </w:t>
            </w:r>
            <w:r>
              <w:rPr>
                <w:rFonts w:ascii="Arial" w:cs="Arial" w:eastAsia="Arial" w:hAnsi="Arial"/>
                <w:sz w:val="16"/>
                <w:szCs w:val="16"/>
                <w:color w:val="auto"/>
              </w:rPr>
              <w:t>(b)</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benefits expense as a percentage of premiums revenue.</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operating costs as a percentage of total revenues less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Consolidated premiums increased $2.6 billion, or 12.8%, from $20.1 billion in the 2021 quarter to $22.7 billion in the 2022 quarter primarily due to individual Medicare Advantage and state-based contracts membership growth and higher per member individual Medicare Advantage premiums, partially offset by declining year-over-year membership associated with the group commercial medical products.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services revenue increased $798 million, or 171.2%, from $466 million in the 2021 quarter to $1.3 billion in the 2022 quarter primarily due to the impact of Kindred at Home revenues from external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 income decreased $75 million, or 96.2%, from $78 million in the 2021 quarter to $3 million in the 2022 quarter primarily due to the decrease in the fair value of our publicly traded equity securities investments.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benefits expense increased $2.3 billion, or 13.5%, from $17.3 billion in the 2021 quarter to $19.6 billion in the 2022 quarter. The consolidated benefit ratio increased 50 basis points from 85.9% for the 2021 quarter to 86.4% for the 2022 quarter primarily due to the lower favorable prior-period medical claims reserve development, partially offset by higher per member individual Medicare Advantage premiums and lower admissions per thousand, or APT, associated with the Medicare Advantage business.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benefits expense included $360 million of favorable prior-period medical claims reserve development in the 2022 quarter and $555 million of favorable prior-period medical claims development in the 2021 quarter. Prior-period medical claims reserve development decreased the consolidated benefit ratio by approximately 160 basis points in the 2022 quarter and decreased the consolidated benefit ratio by approximately 280 basis points in the 2021 quarter.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segments incur both direct and shared indirect operating costs. We allocate the indirect costs shared by the segments primarily as a function of revenues. As a result, the profitability of each segment is interdependent.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operating costs increased $879 million, or 43.8%, from $2.0 billion in the 2021 quarter to $2.9 billion in the 2022 quarter. The consolidated operating cost ratio increased 230 basis points from 9.7% for the 2021 quarter to 12.0% for the 2022 quarter primarily due to the impact of the consolidation of Kindred at Home operations, which have a significantly higher operating cost ratio than our historical consolidated operating cost ratio, partially offset by scale efficiencies associated with growth in individual Medicare Advantage membership.</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increased $28 million, or 19.7%, from $142 million in the 2021 quarter to $170 million in the 2022 quarter primarily due to capital expenditures.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$22 million, or 32.4%, from $68 million in the 2021 quarter to $90 million in the 2022 quarter from borrowings to finance the Kindred at Home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income tax rate was 23.5% and 22.0% for the three months ended March 31, 2022, and 2021, respectively. The increase was primarily due to the favorable tax treatment we incurred during the 2021 period related to our equity method investment activity that did not occur during the 2022 period.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Retail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Members</w:t>
            </w: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w w:val="92"/>
              </w:rPr>
              <w:t>Percentage</w:t>
            </w:r>
          </w:p>
        </w:tc>
        <w:tc>
          <w:tcPr>
            <w:tcW w:w="20" w:type="dxa"/>
            <w:vAlign w:val="bottom"/>
          </w:tcPr>
          <w:p>
            <w:pPr>
              <w:spacing w:after="0"/>
              <w:rPr>
                <w:sz w:val="16"/>
                <w:szCs w:val="16"/>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Membership:</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Medical membership:</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 Medicare Advantage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4,538,200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Group Medicare Advantage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562,200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Medicare stand-alone PDP</w:t>
            </w:r>
          </w:p>
        </w:tc>
        <w:tc>
          <w:tcPr>
            <w:tcW w:w="1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660"/>
              <w:spacing w:after="0"/>
              <w:rPr>
                <w:sz w:val="20"/>
                <w:szCs w:val="20"/>
                <w:color w:val="auto"/>
              </w:rPr>
            </w:pPr>
            <w:r>
              <w:rPr>
                <w:rFonts w:ascii="Arial" w:cs="Arial" w:eastAsia="Arial" w:hAnsi="Arial"/>
                <w:sz w:val="18"/>
                <w:szCs w:val="18"/>
                <w:color w:val="auto"/>
              </w:rPr>
              <w:t>Total Retail Medicare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8,707,400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8,514,200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State-based Medicaid and other</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Medicare Supplement</w:t>
            </w: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Retail medical members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10,036,100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9"/>
          </w:tcPr>
          <w:p>
            <w:pPr>
              <w:ind w:left="460"/>
              <w:spacing w:after="0"/>
              <w:rPr>
                <w:sz w:val="20"/>
                <w:szCs w:val="20"/>
                <w:color w:val="auto"/>
              </w:rPr>
            </w:pPr>
            <w:r>
              <w:rPr>
                <w:rFonts w:ascii="Arial" w:cs="Arial" w:eastAsia="Arial" w:hAnsi="Arial"/>
                <w:sz w:val="14"/>
                <w:szCs w:val="14"/>
                <w:b w:val="1"/>
                <w:bCs w:val="1"/>
                <w:color w:val="auto"/>
              </w:rPr>
              <w:t>For the three months ended March 31,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Dollars</w:t>
            </w: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Premiums and Services Revenue: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Premiums: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Individual Medicare Advantage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17,052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15.1 %</w:t>
            </w:r>
          </w:p>
        </w:tc>
      </w:tr>
      <w:tr>
        <w:trPr>
          <w:trHeight w:val="230"/>
        </w:trPr>
        <w:tc>
          <w:tcPr>
            <w:tcW w:w="20" w:type="dxa"/>
            <w:vAlign w:val="bottom"/>
          </w:tcPr>
          <w:p>
            <w:pPr>
              <w:spacing w:after="0"/>
              <w:rPr>
                <w:sz w:val="19"/>
                <w:szCs w:val="19"/>
                <w:color w:val="auto"/>
              </w:rPr>
            </w:pPr>
          </w:p>
        </w:tc>
        <w:tc>
          <w:tcPr>
            <w:tcW w:w="4480" w:type="dxa"/>
            <w:vAlign w:val="bottom"/>
          </w:tcPr>
          <w:p>
            <w:pPr>
              <w:ind w:left="460"/>
              <w:spacing w:after="0"/>
              <w:rPr>
                <w:sz w:val="20"/>
                <w:szCs w:val="20"/>
                <w:color w:val="auto"/>
              </w:rPr>
            </w:pPr>
            <w:r>
              <w:rPr>
                <w:rFonts w:ascii="Arial" w:cs="Arial" w:eastAsia="Arial" w:hAnsi="Arial"/>
                <w:sz w:val="18"/>
                <w:szCs w:val="18"/>
                <w:color w:val="auto"/>
              </w:rPr>
              <w:t>Group Medicare Advantage</w:t>
            </w:r>
          </w:p>
        </w:tc>
        <w:tc>
          <w:tcPr>
            <w:tcW w:w="160" w:type="dxa"/>
            <w:vAlign w:val="bottom"/>
          </w:tcPr>
          <w:p>
            <w:pPr>
              <w:spacing w:after="0"/>
              <w:rPr>
                <w:sz w:val="19"/>
                <w:szCs w:val="19"/>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1,875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6.8 %</w:t>
            </w: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Medicare stand-alone PDP</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4480" w:type="dxa"/>
            <w:vAlign w:val="bottom"/>
          </w:tcPr>
          <w:p>
            <w:pPr>
              <w:ind w:left="780"/>
              <w:spacing w:after="0"/>
              <w:rPr>
                <w:sz w:val="20"/>
                <w:szCs w:val="20"/>
                <w:color w:val="auto"/>
              </w:rPr>
            </w:pPr>
            <w:r>
              <w:rPr>
                <w:rFonts w:ascii="Arial" w:cs="Arial" w:eastAsia="Arial" w:hAnsi="Arial"/>
                <w:sz w:val="18"/>
                <w:szCs w:val="18"/>
                <w:color w:val="auto"/>
              </w:rPr>
              <w:t>Total Retail Medicare</w:t>
            </w:r>
          </w:p>
        </w:tc>
        <w:tc>
          <w:tcPr>
            <w:tcW w:w="160" w:type="dxa"/>
            <w:vAlign w:val="bottom"/>
          </w:tcPr>
          <w:p>
            <w:pPr>
              <w:spacing w:after="0"/>
              <w:rPr>
                <w:sz w:val="19"/>
                <w:szCs w:val="19"/>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19,566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17,234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13.5 %</w:t>
            </w: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State-based Medicaid and other</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31.8 %</w:t>
            </w: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Medicare Supplement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2.2 %</w:t>
            </w: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premiums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21,302</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14.6 %</w:t>
            </w: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20.0 %</w:t>
            </w: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premiums and services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21,308</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18,596</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14.6 %</w:t>
            </w:r>
          </w:p>
        </w:tc>
      </w:tr>
      <w:tr>
        <w:trPr>
          <w:trHeight w:val="223"/>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Segment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ratio</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0.3 %</w:t>
            </w:r>
          </w:p>
        </w:tc>
      </w:tr>
      <w:tr>
        <w:trPr>
          <w:trHeight w:val="230"/>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Operating cost ratio</w:t>
            </w:r>
          </w:p>
        </w:tc>
        <w:tc>
          <w:tcPr>
            <w:tcW w:w="16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r>
    </w:tbl>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 segment earnings decreased $10 million, or 1.3%, from $794 million in the 2021 quarter to $784 million in the 2022 quarter primarily due to the same factors that led to the segment's higher benefit and operating cost ratio as more fully described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Medicare Advantage membership increased 246,900 members, or 5.8%, from March 31, 2021 to March 31, 2022 primarily due to membership additions associated with the most recent Annual Election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Period, or AEP. The membership growth was further impacted by continued enrollment resulting from special elections, age-ins, and Dual Eligible Special Need Plans, or D-SNP, members. Individual Medicare Advantage membership includes 640,600 D-SNP members as of March 31, 2022, a net increase of 139,500, or 27.8%, from 501,100 as of March 31, 2021.</w:t>
      </w:r>
    </w:p>
    <w:p>
      <w:pPr>
        <w:spacing w:after="0" w:line="130"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Group Medicare Advantage membership increased 5,500, or 1.0%, from March 31, 2021 to March 31, 2022 reflecting growth in small group accounts.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Medicare stand-alone PDP membership decreased 59,200 members, or 1.6%, from March 31, 2021 to March 31, 2022 primarily due to continued intensified competition for Medicare stand-alone PDP offerings.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State-based Medicaid membership increased 171,400 members, or 20.4%, from March 31, 2021 to March 31, 2022 reflecting the suspension of state eligibility redetermination efforts due to the currently enacted public health emergency, or PHE.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 segment premiums increased $2.7 billion, or 14.6%, from $18.6 billion in the 2021 quarter to $21.3 billion in the 2022 quarter primarily due to individual Medicare Advantage and state-based contracts membership growth and higher per member individual Medicare Advantage premiums.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Retail segment benefit ratio increased 30 basis points from 87.7% for the 2021 quarter to 88.0% for the 2022 quarter primarily due to the lower favorable prior-period medical claims reserve development, partially offset by the impact of higher per member individual Medicare Advantage premiums and lower APT associated with the Medicare Advantage business.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Retail segment's benefits expense included $328 million of favorable prior-period medical claims reserve development in the 2022 quarter and $463 million of favorable prior-period medical claims development in the 2021 quarter. Prior-period medical claims reserve development decreased the Retail segment's benefit ratio by approximately 150 basis points in the 2022 quarter and decreased the Retail segment's benefit ratio by approximately 250 basis points in the 2021 quarter.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Retail segment operating cost ratio increased 20 basis points from 7.8% for the 2021 quarter to 8.0% for the 2022 quarter primarily due to additional marketing costs in the 2022 quarter to support individual Medicare Advantage growth, as well as strategic technology investments to position us for long-term success. These factors were partially offset by scale efficiencies associated with growth in our individual Medicare Advantage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Group and Specialty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r>
      <w:tr>
        <w:trPr>
          <w:trHeight w:val="187"/>
        </w:trPr>
        <w:tc>
          <w:tcPr>
            <w:tcW w:w="4660" w:type="dxa"/>
            <w:vAlign w:val="bottom"/>
          </w:tcPr>
          <w:p>
            <w:pPr>
              <w:spacing w:after="0"/>
              <w:rPr>
                <w:sz w:val="16"/>
                <w:szCs w:val="16"/>
                <w:color w:val="auto"/>
              </w:rPr>
            </w:pPr>
          </w:p>
        </w:tc>
        <w:tc>
          <w:tcPr>
            <w:tcW w:w="15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Members</w:t>
            </w: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Percentage</w:t>
            </w: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Membership:</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Medical membership:</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Fully-insured commercial group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ASO</w:t>
            </w:r>
          </w:p>
        </w:tc>
        <w:tc>
          <w:tcPr>
            <w:tcW w:w="1520" w:type="dxa"/>
            <w:vAlign w:val="bottom"/>
          </w:tcPr>
          <w:p>
            <w:pPr>
              <w:jc w:val="right"/>
              <w:spacing w:after="0"/>
              <w:rPr>
                <w:sz w:val="20"/>
                <w:szCs w:val="20"/>
                <w:color w:val="auto"/>
              </w:rPr>
            </w:pPr>
            <w:r>
              <w:rPr>
                <w:rFonts w:ascii="Arial" w:cs="Arial" w:eastAsia="Arial" w:hAnsi="Arial"/>
                <w:sz w:val="18"/>
                <w:szCs w:val="18"/>
                <w:color w:val="auto"/>
              </w:rPr>
              <w:t>451,800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500,600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Military services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6,027,500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6,047,400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660" w:type="dxa"/>
            <w:vAlign w:val="bottom"/>
          </w:tcPr>
          <w:p>
            <w:pPr>
              <w:ind w:left="680"/>
              <w:spacing w:after="0"/>
              <w:rPr>
                <w:sz w:val="20"/>
                <w:szCs w:val="20"/>
                <w:color w:val="auto"/>
              </w:rPr>
            </w:pPr>
            <w:r>
              <w:rPr>
                <w:rFonts w:ascii="Arial" w:cs="Arial" w:eastAsia="Arial" w:hAnsi="Arial"/>
                <w:sz w:val="18"/>
                <w:szCs w:val="18"/>
                <w:color w:val="auto"/>
              </w:rPr>
              <w:t>Total group medical members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7,103,700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7,269,300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membership (a)</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5,182,600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980" w:hanging="972"/>
        <w:spacing w:after="0" w:line="277" w:lineRule="auto"/>
        <w:tabs>
          <w:tab w:leader="none" w:pos="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Specialty products include dental, vision, and other supplemental health. Members included in these products may not be unique to each product since members have the ability to enroll in multiple products.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March 31,</w:t>
            </w:r>
          </w:p>
        </w:tc>
        <w:tc>
          <w:tcPr>
            <w:tcW w:w="260" w:type="dxa"/>
            <w:vAlign w:val="bottom"/>
          </w:tcPr>
          <w:p>
            <w:pPr>
              <w:spacing w:after="0"/>
              <w:rPr>
                <w:sz w:val="16"/>
                <w:szCs w:val="16"/>
                <w:color w:val="auto"/>
              </w:rPr>
            </w:pPr>
          </w:p>
        </w:tc>
        <w:tc>
          <w:tcPr>
            <w:tcW w:w="1540" w:type="dxa"/>
            <w:vAlign w:val="bottom"/>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6"/>
                <w:szCs w:val="16"/>
                <w:color w:val="auto"/>
              </w:rPr>
            </w:pPr>
          </w:p>
        </w:tc>
      </w:tr>
      <w:tr>
        <w:trPr>
          <w:trHeight w:val="187"/>
        </w:trPr>
        <w:tc>
          <w:tcPr>
            <w:tcW w:w="44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Dollars</w:t>
            </w:r>
          </w:p>
        </w:tc>
        <w:tc>
          <w:tcPr>
            <w:tcW w:w="12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7"/>
              </w:rPr>
              <w:t>Percentage</w:t>
            </w:r>
          </w:p>
        </w:tc>
      </w:tr>
      <w:tr>
        <w:trPr>
          <w:trHeight w:val="182"/>
        </w:trPr>
        <w:tc>
          <w:tcPr>
            <w:tcW w:w="4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31"/>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Premiums and Services Revenue:</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480" w:type="dxa"/>
            <w:vAlign w:val="bottom"/>
          </w:tcPr>
          <w:p>
            <w:pPr>
              <w:ind w:left="200"/>
              <w:spacing w:after="0"/>
              <w:rPr>
                <w:sz w:val="20"/>
                <w:szCs w:val="20"/>
                <w:color w:val="auto"/>
              </w:rPr>
            </w:pPr>
            <w:r>
              <w:rPr>
                <w:rFonts w:ascii="Arial" w:cs="Arial" w:eastAsia="Arial" w:hAnsi="Arial"/>
                <w:sz w:val="18"/>
                <w:szCs w:val="18"/>
                <w:color w:val="auto"/>
              </w:rPr>
              <w:t>Premiums: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Fully-insured commercial group</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4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Group specialty</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premiums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4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23"/>
        </w:trPr>
        <w:tc>
          <w:tcPr>
            <w:tcW w:w="4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premiums and services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Segment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Benefit ratio</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Operating cost ratio</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2.8 %</w:t>
            </w:r>
          </w:p>
        </w:tc>
      </w:tr>
    </w:tbl>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Group and Specialty segment earnings decreased $42 million, or 24.1%, from $174 million in the 2021 quarter to $132 million in the 2022 quarter primarily due to the same factors that led to the segment's higher operating ratio as more fully described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Fully-insured commercial group medical membership decreased 96,900 members, or 13.4%, from March 31, 2021 to March 31, 2022 reflecting the impact of pricing discipline to address COVID-19 and improve profitability.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Group ASO commercial medical membership decreased 48,800 members, or 9.7%, from March 31, 2021 to March 31, 2022 reflecting continued intensified competition for small group accounts, partially offset by strong retention among large group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328"/>
        <w:spacing w:after="0" w:line="342"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Military services membership decreased 19,900 members, or 0.3%, from March 31, 2021 to March 31, 2022. Membership includes military service members, retirees, and their families to whom we are providing healthcare services under the current TRICARE East Region contract.</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Specialty membership decreased 143,500 members, or 2.7%, from March 31, 2021 to March 31, 2022 primarily due to the loss of dental and vision groups cross-sold with medical, as reflected in the loss of group fully-insured commercial medical membership above. In addition, current membership reflects the economic impact of the COVID-19 pandemic.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Group and Specialty segment premiums decreased $132 million, or 8.6%, from $1.5 billion in the 2021 quarter to $1.4 billion in the 2022 quarter primarily due to the decline in our fully-insured commercial medical and ASO commercial membership partially offset by higher per member premiums across our fully-insured commercial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Group and Specialty segment services revenue increased $5 million, or 2.6%, from $190 million in the 2021 quarter to $195 million in the 2022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Group and Specialty segment benefit ratio of 74.7% for the 2022 quarter was inline with the 2021 quarter reflecting the lower favorable prior-period medical claims reserve development, offset by pricing and benefit design efforts to address COVID-19 and increase profitability, less severe COVID-19 impact within the fully-insured commercial business due to the enrolled population's vaccination rate in the 2022 quarter compared to the 2021 quarter, as well as the impact of the specialty product's lower benefit ratio, as the segment results now reflect a higher mix of the specialty business.</w:t>
      </w:r>
    </w:p>
    <w:p>
      <w:pPr>
        <w:spacing w:after="0" w:line="133" w:lineRule="exact"/>
        <w:rPr>
          <w:rFonts w:ascii="Arial" w:cs="Arial" w:eastAsia="Arial" w:hAnsi="Arial"/>
          <w:sz w:val="18"/>
          <w:szCs w:val="18"/>
          <w:b w:val="1"/>
          <w:bCs w:val="1"/>
          <w:color w:val="auto"/>
        </w:rPr>
      </w:pPr>
    </w:p>
    <w:p>
      <w:pPr>
        <w:jc w:val="both"/>
        <w:ind w:left="66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Group and Specialty segment's benefits expense included $32 million of favorable prior-period medical claims reserve development in the 2022 quarter and $92 million of favorable prior-period medical claims reserve development in the 2021 quarter. Prior-period medical claims reserve development decreased the Group and Specialty segment benefit ratio by approximately 230 basis points in the 2022 quarter and decreased the Group Specialty segment benefit ratio by approximately 600 basis points in the 2021 quarter.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273"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Group and Specialty segment operating cost ratio increased 280 basis points from 22.9% for the 2021 quarter to 25.7% for the 2022 quarter primarily due to the impact of membership declining at a greater rate than the decline in absolute administrative expenses, as well as a greater proportion of membership associated with our ASO commercial and military services businesses, which have a higher operating cost ratio than the fully-insured commercial product. The increase further reflects investments in the Military services business across demonstration programs, partners service contracts and in preparation for the next generation of the United States Department of Defenses's TRICARE contracts, as well as investments in our specialty business to promote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Services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Pr>
          <w:p>
            <w:pPr>
              <w:spacing w:after="0"/>
              <w:rPr>
                <w:sz w:val="16"/>
                <w:szCs w:val="16"/>
                <w:color w:val="auto"/>
              </w:rPr>
            </w:pPr>
          </w:p>
        </w:tc>
        <w:tc>
          <w:tcPr>
            <w:tcW w:w="1620" w:type="dxa"/>
            <w:vAlign w:val="bottom"/>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187"/>
        </w:trPr>
        <w:tc>
          <w:tcPr>
            <w:tcW w:w="458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24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5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Services: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solutions</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2925.0 %</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Pharmacy solutions</w:t>
            </w:r>
          </w:p>
        </w:tc>
        <w:tc>
          <w:tcPr>
            <w:tcW w:w="9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43.6 %</w:t>
            </w: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Provider services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r>
      <w:tr>
        <w:trPr>
          <w:trHeight w:val="223"/>
        </w:trPr>
        <w:tc>
          <w:tcPr>
            <w:tcW w:w="45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services revenues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1,063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Home solutions</w:t>
            </w:r>
          </w:p>
        </w:tc>
        <w:tc>
          <w:tcPr>
            <w:tcW w:w="9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64.2 %</w:t>
            </w: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Pharmacy solutions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6,673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Provider services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27.6 %</w:t>
            </w:r>
          </w:p>
        </w:tc>
      </w:tr>
      <w:tr>
        <w:trPr>
          <w:trHeight w:val="223"/>
        </w:trPr>
        <w:tc>
          <w:tcPr>
            <w:tcW w:w="4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intersegment revenues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7,623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3"/>
        </w:trPr>
        <w:tc>
          <w:tcPr>
            <w:tcW w:w="45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services and intersegment revenues</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8,686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earnings</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cost ratio</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Healthcare Services segment earnings increased $177 million, or 65.8%, from $269 million in the 2021 quarter to $446 million in the 2022 quarter primarily due to consolidation of Kindred at Home earnings, individual Medicare Advantage and state-based contracts membership growth leading to higher pharmacy earnings as well as the same factors that led to the segment's lower operating cost ratio.</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Script Volume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Humana Pharmacy Solutions script volumes on an adjusted 30-day equivalent basis increased to approximately 131 million in the 2022 quarter, up 4.3%, versus scripts of approximately 126 million in the 2021 quarter primarily due to individual Medicare Advantage membership growth, partially offset by the decline in stand-alone PDP, fully-insured commercial and ASO membership .</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Revenues</w:t>
      </w:r>
    </w:p>
    <w:p>
      <w:pPr>
        <w:spacing w:after="0" w:line="185" w:lineRule="exact"/>
        <w:rPr>
          <w:sz w:val="20"/>
          <w:szCs w:val="20"/>
          <w:color w:val="auto"/>
        </w:rPr>
      </w:pPr>
    </w:p>
    <w:p>
      <w:pPr>
        <w:ind w:left="660" w:right="20" w:hanging="328"/>
        <w:spacing w:after="0" w:line="250" w:lineRule="auto"/>
        <w:tabs>
          <w:tab w:leader="none" w:pos="621" w:val="left"/>
        </w:tabs>
        <w:numPr>
          <w:ilvl w:val="0"/>
          <w:numId w:val="27"/>
        </w:numPr>
        <w:rPr>
          <w:rFonts w:ascii="Arial" w:cs="Arial" w:eastAsia="Arial" w:hAnsi="Arial"/>
          <w:sz w:val="20"/>
          <w:szCs w:val="20"/>
          <w:i w:val="1"/>
          <w:iCs w:val="1"/>
          <w:color w:val="auto"/>
        </w:rPr>
      </w:pPr>
      <w:r>
        <w:rPr>
          <w:rFonts w:ascii="Arial" w:cs="Arial" w:eastAsia="Arial" w:hAnsi="Arial"/>
          <w:sz w:val="18"/>
          <w:szCs w:val="18"/>
          <w:color w:val="auto"/>
        </w:rPr>
        <w:t>Services revenues increased $792 million, or 292.3%, from $271 million in the 2021 quarter to $1.1 billion in the 2022 quarter primarily due to the impact of Kindred at Home revenues from external customers.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Intersegment Revenues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Intersegment revenues increased $697 million, or 10.1%, from $6.9 billion in the 2021 quarter to $7.6 billion in the 2022 quarter primarily due to strong individual Medicare Advantage and state-based contracts membership growth leading to higher pharmacy revenues, the impact of greater mail-order pharmacy penetration by retained members, as well as higher revenues associated with growth in our provider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Healthcare Services segment operating cost ratio decreased 180 basis points from 96.0% for the 2021 quarter to 94.2% for the 2022 quarter primarily due to consolidation of Kindred at Home operations which have a lower operating cost ratio than other businesses within the segment, combined with a favorable impact to the ratio related to our pharmacy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our primary sources of cash have included receipts of premiums, services revenue, and investment and other income, as well as proceeds from the sale or maturity of our investment securities, and borrowings. Our primary uses of cash historically have included disbursements for claims payments, operating costs, interest on borrowings, taxes, purchases of investment securities, acquisitions, capital expenditures, repayments on borrowings, dividends, and share repurchases. Because premiums generally are collected in advance of claim payments by a period of up to several months, our business normally should produce positive cash flows during periods of increasing premiums and enrollment. Conversely, cash flows would be negatively impacted during periods of decreasing premiums and enrollment. From period to period, our cash flows may also be affected by the timing of working capital items including premiums receivable, benefits payable, and other receivables and payables. Our cash flows are impacted by the timing of payments to and receipts from CMS associated with Medicare Part D subsidies for which we do not assume risk. The use of cash flows may be limited by regulatory requirements of state departments of insurance (or comparable state regulators) which require, among other items, that our regulated subsidiaries maintain minimum levels of capital and seek approval before paying dividends from the subsidiaries to the parent. Our use of cash flows derived from our non-insurance subsidiaries, such as in our Healthcare Services segment, is generally not restricted by state departments of insurance (or comparable state regulators).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on our liquidity risk, please refer to the section entitled “Risk Factors” in our 2021 Form 10-K and Item 1A of Part II of this document.</w:t>
      </w:r>
    </w:p>
    <w:p>
      <w:pPr>
        <w:spacing w:after="0" w:line="11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Cash and cash equivalents increased to approximately $4.9 billion at March 31, 2022 from $3.4 billion at December 31, 2021. The change in cash and cash equivalents for the three months ended March 31, 2022 and 2021 is summarized as follows:</w:t>
      </w:r>
    </w:p>
    <w:p>
      <w:pPr>
        <w:ind w:left="88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82"/>
        </w:trPr>
        <w:tc>
          <w:tcPr>
            <w:tcW w:w="8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Cash flows provided by operations of $302 million in the 2022 quarter increased $1.1 billion from cash flows used in operations of $837 million in the 2021 quarter primarily due to the pay down of claims inventory and capitation for provider surplus amounts earned in 2020 and additional provider support in the 2021 quarter, combined with other favorable working capital items and higher earnings in the 2022 quarter compared to the 2021 quarter.</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most significant drivers of changes in our working capital are typically the timing of payments of benefits expense and receipts for premiums. We illustrate these changes with the following summaries of benefits payable and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benefits payable was as follows at March 31, 2022 and December 31,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2022 Quarter Change</w:t>
            </w: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 Quarter Change</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IBNR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Reported claims in process (2)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benefits payable (3)</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benefits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Payables from acquisition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6"/>
        </w:trPr>
        <w:tc>
          <w:tcPr>
            <w:tcW w:w="5020" w:type="dxa"/>
            <w:vAlign w:val="bottom"/>
          </w:tcPr>
          <w:p>
            <w:pPr>
              <w:spacing w:after="0" w:line="156" w:lineRule="exact"/>
              <w:rPr>
                <w:sz w:val="20"/>
                <w:szCs w:val="20"/>
                <w:color w:val="auto"/>
              </w:rPr>
            </w:pPr>
            <w:r>
              <w:rPr>
                <w:rFonts w:ascii="Arial" w:cs="Arial" w:eastAsia="Arial" w:hAnsi="Arial"/>
                <w:sz w:val="18"/>
                <w:szCs w:val="18"/>
                <w:color w:val="auto"/>
              </w:rPr>
              <w:t>Change in benefits payable per cash flow</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555"/>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3"/>
                <w:szCs w:val="13"/>
                <w:color w:val="auto"/>
              </w:rPr>
            </w:pPr>
          </w:p>
        </w:tc>
        <w:tc>
          <w:tcPr>
            <w:tcW w:w="620" w:type="dxa"/>
            <w:vAlign w:val="bottom"/>
            <w:vMerge w:val="restart"/>
          </w:tcPr>
          <w:p>
            <w:pPr>
              <w:jc w:val="right"/>
              <w:ind w:right="435"/>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8"/>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statement resulting in cash from operations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980" w:hanging="486"/>
        <w:spacing w:after="0" w:line="286" w:lineRule="auto"/>
        <w:tabs>
          <w:tab w:leader="none" w:pos="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IBNR represents an estimate of benefits payable for claims incurred but not reported, or IBNR, at the balance sheet date and includes unprocessed claim inventories. The level of IBNR is primarily impacted by membership levels, medical claim trends and the receipt cycle time, which represents the length of time between when a claim is initially incurred and when the claim form is received and processed (i.e. a shorter time span results in a lower IBNR).</w:t>
      </w:r>
    </w:p>
    <w:p>
      <w:pPr>
        <w:spacing w:after="0" w:line="112" w:lineRule="exact"/>
        <w:rPr>
          <w:rFonts w:ascii="Arial" w:cs="Arial" w:eastAsia="Arial" w:hAnsi="Arial"/>
          <w:sz w:val="15"/>
          <w:szCs w:val="15"/>
          <w:color w:val="auto"/>
        </w:rPr>
      </w:pPr>
    </w:p>
    <w:p>
      <w:pPr>
        <w:jc w:val="both"/>
        <w:ind w:left="980" w:right="20" w:hanging="486"/>
        <w:spacing w:after="0" w:line="26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Reported claims in process represents the estimated valuation of processed claims that are in the post claim adjudication process, which consists of administrative functions such as audit and check batching and handling, as well as amounts owed to our pharmacy benefit administrator which fluctuate due to bi-weekly payments and the month-end cutoff.</w:t>
      </w:r>
    </w:p>
    <w:p>
      <w:pPr>
        <w:spacing w:after="0" w:line="128" w:lineRule="exact"/>
        <w:rPr>
          <w:rFonts w:ascii="Arial" w:cs="Arial" w:eastAsia="Arial" w:hAnsi="Arial"/>
          <w:sz w:val="16"/>
          <w:szCs w:val="16"/>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benefits payable primarily include amounts owed to providers under capitated and risk sharing arrangements.</w:t>
      </w:r>
    </w:p>
    <w:p>
      <w:pPr>
        <w:spacing w:after="0" w:line="1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benefits payable in the 2022 quarter was primarily due to an increase in reported claims in process, higher capitation accruals and higher IBNR. Higher reported claims in process was a function of month-end cut off. IBNR increased primarily as a result of increased individual Medicare Advantage and state-based contracts membership.</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total net receivables was as follows at March 31,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2022 Quarter Change</w:t>
            </w: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 Quarter Change</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Commercial and other</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Military services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receivables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Reconciliation to cash flow statement: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from acquisition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5"/>
        </w:trPr>
        <w:tc>
          <w:tcPr>
            <w:tcW w:w="5040" w:type="dxa"/>
            <w:vAlign w:val="bottom"/>
          </w:tcPr>
          <w:p>
            <w:pPr>
              <w:ind w:left="140"/>
              <w:spacing w:after="0" w:line="156" w:lineRule="exact"/>
              <w:rPr>
                <w:sz w:val="20"/>
                <w:szCs w:val="20"/>
                <w:color w:val="auto"/>
              </w:rPr>
            </w:pPr>
            <w:r>
              <w:rPr>
                <w:rFonts w:ascii="Arial" w:cs="Arial" w:eastAsia="Arial" w:hAnsi="Arial"/>
                <w:sz w:val="18"/>
                <w:szCs w:val="18"/>
                <w:color w:val="auto"/>
              </w:rPr>
              <w:t>Change in receivables per cash flow</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8"/>
        </w:trPr>
        <w:tc>
          <w:tcPr>
            <w:tcW w:w="5040" w:type="dxa"/>
            <w:vAlign w:val="bottom"/>
          </w:tcPr>
          <w:p>
            <w:pPr>
              <w:ind w:left="320"/>
              <w:spacing w:after="0" w:line="202" w:lineRule="exact"/>
              <w:rPr>
                <w:sz w:val="20"/>
                <w:szCs w:val="20"/>
                <w:color w:val="auto"/>
              </w:rPr>
            </w:pPr>
            <w:r>
              <w:rPr>
                <w:rFonts w:ascii="Arial" w:cs="Arial" w:eastAsia="Arial" w:hAnsi="Arial"/>
                <w:sz w:val="18"/>
                <w:szCs w:val="18"/>
                <w:color w:val="auto"/>
              </w:rPr>
              <w:t>statement resulting in cash from operations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Medicare receivables for both the 2022 quarter and the 2021 quarter reflect individual Medicare Advantage membership growth and the typical pattern caused by the timing of accruals and related collections associated with the CMS risk-adjustment model. Significant collections occur with the mid-year and final settlements with CMS in the second and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2022 and 2021, we acquired immaterial businesses of approximately $74 million and $123 million, net of cash and cash equivalents received, respectively.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ongoing capital expenditures primarily relate to our information technology initiatives, support of services in our provider services operations including medical and administrative facility improvements necessary for activities such as the provision of care to members, claims processing, billing and collections, wellness solutions, care coordination, regulatory compliance and customer service. Total capital expenditures, excluding acquisitions, were $295 million in the 2022 quarter and $290 million in the 2021 quarter.</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purchases of investment securities were $279 million in the 2022 quarter and net purchases of investment securities were $1.1 billion in the 2021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Receipts from CMS associated with Medicare Part D claim subsidies for which we do not assume risk were higher than claim payments by $2.48 billion and $1.02 billion in the 2022 and 2021 quarters, respectively.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our administrative services only TRICARE contracts, health care costs payments for which we do not assume risk exceeded reimbursements from the federal government by $2 million and $5 million in the 2022 and 2021 quarters, respectively.</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repayments from the issuance of commercial paper were $265 million in the 2022 quarter and net proceeds from the issuance of commercial paper were $603 million in the 2021 quarter. The maximum principal amount outstanding at any one time during the 2022 quarter was $1.5 billion.</w:t>
      </w:r>
    </w:p>
    <w:p>
      <w:pPr>
        <w:spacing w:after="0" w:line="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March 2022, we issued $750 million of 3.700% unsecured senior notes due March 23, 2029. Our net proceeds, reduced for the underwriters' discounts and commissions paid, were $744 million.</w:t>
      </w:r>
    </w:p>
    <w:p>
      <w:pPr>
        <w:spacing w:after="0" w:line="1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January 11, 2022, we entered into the January 2022 ASR Agreements with Mizuho and Wells Fargo to repurchase $1 billion of our common stock as part of the $3 billion repurchase program authorized by the Board of Directors on February 17, 2021. On January 12, 2022, we made a payment of $1 billion and received an initial delivery of 2.2 million shares of our common stock.</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acquired common shares in connection with employee stock plans for an aggregate cost of $24 million in the 2022 quarter and $30 million in the 2021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paid dividends to stockholders of $91 million during the 2022 quarter and $83 million during the 2021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remainder of the cash used in or provided by financing activities in 2022 and 2021 primarily resulted from the change in book overdraft.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Liquidity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discussion of dividends to stockholders, please refer to Note 10 to the condensed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discussion of stock repurchases, please refer to Note 10 to the condensed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our debt, including our senior notes, term loans, credit agreements, commercial paper program, and other short-term borrowings, please refer to Note 12 to the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cash balances, investment securities, operating cash flows, and funds available under our credit agreement and our commercial paper program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Adverse changes in our credit rating may increase the rate of interest we pay and may impact the amount of credit available to us in the future. Our investment-grade credit rating at March 31, 2022 was BBB+ according to Standard &amp; Poor’s Rating Services, or S&amp;P, and Baa3 according to Moody’s Investors Services, Inc., or Moody’s. A downgrade by S&amp;P to BB+ or by Moody’s to Ba1 triggers an interest rate increase of 25 basis points with respect to $250 million of our senior notes. Successive one notch downgrades increase the interest rate an additional 25 basis points, or annual interest expense by less than $1 million, up to a maximum 100 basis points, or annual interest expense by $3 million.</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we operate as a holding company in a highly regulated industry. Humana Inc., our parent company, is dependent upon dividends and administrative expense reimbursements from our subsidiaries, most of which are subject to regulatory restrictions. We continue to maintain significant levels of aggregate excess statutory capital and surplus in our state-regulated operating subsidiaries. Cash, cash equivalents, and short-term investments at the parent company were $1.1 billion at March 31, 2022 compared to $1.3 billion at December 31, 2021. This decrease primarily was due to capital expenditures, repayment of borrowings under the commercial paper program, cash dividends to shareholders, capital contributions to certain subsidiaries and acquisitions partially offset by net proceeds from the senior notes, earnings in non-regulated Healthcare Services subsidiaries. Our use of operating cash derived from our non-insurance subsidiaries, such as our Healthcare Services segment, is generally not restricted by departments of insurance (or comparable state regulators).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Requirements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minimum required levels of equity are largely based on premium volume, product mix, and the quality of assets held, minimum requirements vary significantly at the state level. Based on the most recently filed statutory financial statements as of December 31, 2021, our state regulated subsidiaries had aggregate statutory capital and surplus of approximately $9.6 billion, which exceeded aggregate minimum regulatory requirements of $7.6 billion. The amount of ordinary dividends that may be paid to our parent company in 2022 is approximately $1.5 billion in the aggregate. The amount, timing and mix of ordinary and extraordinary dividend payments will vary due to state regulatory requirements, the level of excess statutory capital and surplus and expected future surplus requirements related to, for example, premium volume and product mix. Actual dividends paid to our parent company were approximately $1.6 billion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earnings and financial position are exposed to financial market risk, including those resulting from changes in interest rates.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Interest rate risk also represents a market risk factor affecting our consolidated financial position due to our significant investment portfolio, consisting primarily of fixed maturity securities of investment-grade quality with a weighted average S&amp;P credit rating of AA- at March 31, 2022. Our net unrealized position decreased $797 million from a net unrealized gain position of $57 million at December 31, 2021 to a net unrealized loss position of $740 million at March 31, 2022. At March 31, 2022, we had gross unrealized losses of $760 million on our investment portfolio primarily due to an increase in market interest rates since the time the securities were purchased. There were no material credit allowances during the three months ended March 31, 2022. While we believe that these securities in an unrealized loss will recover in value over time and we currently do not have the intent to sell such securities, given the current market conditions and the significant judgments involved, there is a continuing risk that future declines in fair value may occur and material realized losses from sales or credit allowances may be recorded in future periods.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Duration is the time-weighted average of the present value of the bond portfolio’s cash flow. Duration is indicative of the relationship between changes in fair value and changes in interest rates, providing a general indication of the sensitivity of the fair values of our fixed maturity securities to changes in interest rates. However, actual fair values may differ significantly from estimates based on duration. The average duration of our investment portfolio, including cash and cash equivalents, was approximately 3.4 years as of March 31, 2022 and approximately 3.6 years as of December 31, 2021. The increase in the average duration is reflective of various portfolio management activities and the decreased holdings of cash and cash equivalents. Based on the duration, including cash equivalents, a 1% increase in interest rates would generally decrease the fair value of our securities by approximately $616 million at March 31, 2022.</w:t>
      </w:r>
    </w:p>
    <w:p>
      <w:pPr>
        <w:spacing w:after="0" w:line="200" w:lineRule="exact"/>
        <w:rPr>
          <w:sz w:val="20"/>
          <w:szCs w:val="20"/>
          <w:color w:val="auto"/>
        </w:rPr>
      </w:pP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Chief Executive Officer, or CEO, our Chief Financial Officer, or CFO, and our Principal Accounting Officer, we carried out an evaluation of the effectiveness of the design and operation of our disclosure controls and procedures for the quarter ended March 31, 2022.</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our evaluation, which excluded the impact of the acquisition of Kindred at Home, or KAH, discussed below, our CEO, CFO, and our Principal Accounting Officer concluded that our disclosure controls and procedures are effective to provide reasonable assurance that information the Company is required to disclose in its reports under the Securities Exchange Act of 1934, as amended, is recorded, processed, summarized and reported within the time periods specified in SEC rules and forms, including, without limitation, ensuring that such information is accumulated and communicated to the Company’s management, including its principal executive and principal financial officers, or persons performing similar functions, as appropriate to allow timely decisions regarding required disclosure.</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August 17, 2021, we acquired the remaining 60% interest in KAH. We currently exclude, and are in the process of working to incorporate, KAH in our evaluation of internal controls over financial reporting and related disclosure controls and procedures. Total KAH assets and revenues excluded from our evaluation represent 2% and 3%, respectively, of the related consolidated financial statement amounts as of and at March 31, 2022.</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the KAH acquisition mentioned above, there have been no changes in the Company’s internal control over financial reporting during the quarter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For a description of the legal proceedings pending against us and certain other pending or threatened litigation, investigations, or other matters, see “Legal Proceedings and Certain Regulatory Matters” in Note 13 to the condensed consolidated financial statements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have been no changes to the risk factors included in our 2021 Form 10-K.</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w:t>
      </w:r>
    </w:p>
    <w:p>
      <w:pPr>
        <w:spacing w:after="0" w:line="171" w:lineRule="exact"/>
        <w:rPr>
          <w:rFonts w:ascii="Arial" w:cs="Arial" w:eastAsia="Arial" w:hAnsi="Arial"/>
          <w:sz w:val="18"/>
          <w:szCs w:val="18"/>
          <w:color w:val="auto"/>
        </w:rPr>
      </w:pPr>
    </w:p>
    <w:p>
      <w:pPr>
        <w:ind w:left="1300" w:hanging="320"/>
        <w:spacing w:after="0" w:line="269" w:lineRule="auto"/>
        <w:tabs>
          <w:tab w:leader="none" w:pos="12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table provides information about our purchases of equity securities that are registered by us pursuant to Section 12 of the Securities Exchange Act of 1934, as amended, during the three months ended March 31, 2022:</w:t>
      </w:r>
    </w:p>
    <w:tbl>
      <w:tblPr>
        <w:tblLayout w:type="fixed"/>
        <w:tblInd w:w="1300" w:type="dxa"/>
        <w:tblCellMar>
          <w:top w:w="0" w:type="dxa"/>
          <w:left w:w="0" w:type="dxa"/>
          <w:bottom w:w="0" w:type="dxa"/>
          <w:right w:w="0" w:type="dxa"/>
        </w:tblCellMar>
      </w:tblPr>
      <w:tr>
        <w:trPr>
          <w:trHeight w:val="144"/>
        </w:trPr>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1860" w:type="dxa"/>
            <w:vAlign w:val="bottom"/>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 (1)(2)</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24"/>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February 2022</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411.32</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23"/>
        </w:trPr>
        <w:tc>
          <w:tcPr>
            <w:tcW w:w="1860" w:type="dxa"/>
            <w:vAlign w:val="bottom"/>
          </w:tcPr>
          <w:p>
            <w:pPr>
              <w:ind w:left="3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2,431,175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411.32</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620" w:hanging="316"/>
        <w:spacing w:after="0" w:line="267" w:lineRule="auto"/>
        <w:tabs>
          <w:tab w:leader="none" w:pos="16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February 18, 2021, the Board of Directors replaced the previous share repurchase authorization of up to $3 billion (of which approximately $250 million remained unused) with a new authorization for repurchases of up to $3 billion of our common shares exclusive of shares repurchased in connection with employee stock plans, expiring as of February 18, 2024. On January 11, 2022, we entered into separate accelerated stock repurchase agreements, the January 2022 ASR Agreements, with Mizuho Markets Americas LLC, or Mizuho, and Wells Fargo Bank, or Wells Fargo, to repurchase $1 billion of our common stock as part of the $3 billion repurchase program authorized by the Board of Directors on February 18, 2021. On January 12, 2022, in accordance with the January 2022 ASR Agreements, we made a payment of $1 billion ($500 million to Mizuho and $500 million to Wells Fargo) and received an initial delivery of 2.2 million shares of our common stock (1.08 million shares each from Mizuho and Wells Fargo). In January 2022, we recorded the payments to Mizuho and Wells Fargo as a reduction to stockholders’ equity, consisting of an $850 million increase in treasury stock, which reflects the value of the initial 2.2 million shares received upon initial settlement, and a $150 million decrease in capital in excess of par value, which reflects the value of stock held back by Mizuho and Wells Fargo pending final settlement of the January 2022 ASR Agreements. Upon final settlement of the January 2022 ASR Agreements with Mizuho and Wells Fargo on March 29, 2022 and March 30, 2022, respectively, we received an additional 0.1 million shares and 0.1 million shares, respectively, as determined by the average daily volume weighted-averages share price of our common stock during the term of the agreement, less a discount, of $410.96 and $411.66, respectively, bringing the total shares received under the January 2022 ASR Agreements to 2.4 million. In addition, upon settlement we reclassified the $150 million value of stock initially held back by Mizuho and Wells Fargo from capital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excess of par value to treasury stock. Our remaining repurchase authorization was $2 billion as of April 26, 2022.</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Excludes 55,870 shares repurchased in connection with employee stock plans.</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7440" w:type="dxa"/>
            <w:vAlign w:val="bottom"/>
          </w:tcPr>
          <w:p>
            <w:pPr>
              <w:spacing w:after="0"/>
              <w:rPr>
                <w:sz w:val="20"/>
                <w:szCs w:val="20"/>
                <w:color w:val="auto"/>
              </w:rPr>
            </w:pPr>
          </w:p>
        </w:tc>
      </w:tr>
      <w:tr>
        <w:trPr>
          <w:trHeight w:val="365"/>
        </w:trPr>
        <w:tc>
          <w:tcPr>
            <w:tcW w:w="13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3(i)</w:t>
            </w:r>
          </w:p>
        </w:tc>
        <w:tc>
          <w:tcPr>
            <w:tcW w:w="7440" w:type="dxa"/>
            <w:vAlign w:val="bottom"/>
          </w:tcPr>
          <w:p>
            <w:pPr>
              <w:ind w:left="620"/>
              <w:spacing w:after="0"/>
              <w:rPr>
                <w:sz w:val="20"/>
                <w:szCs w:val="20"/>
                <w:color w:val="auto"/>
              </w:rPr>
            </w:pPr>
            <w:r>
              <w:rPr>
                <w:rFonts w:ascii="Arial" w:cs="Arial" w:eastAsia="Arial" w:hAnsi="Arial"/>
                <w:sz w:val="18"/>
                <w:szCs w:val="18"/>
                <w:color w:val="auto"/>
                <w:w w:val="98"/>
              </w:rPr>
              <w:t>Restated Certificate of Incorporation of Humana Inc. filed with the Secretary of State of</w:t>
            </w:r>
          </w:p>
        </w:tc>
      </w:tr>
      <w:tr>
        <w:trPr>
          <w:trHeight w:val="175"/>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40" w:type="dxa"/>
            <w:vAlign w:val="bottom"/>
          </w:tcPr>
          <w:p>
            <w:pPr>
              <w:ind w:left="620"/>
              <w:spacing w:after="0" w:line="176" w:lineRule="exact"/>
              <w:rPr>
                <w:sz w:val="20"/>
                <w:szCs w:val="20"/>
                <w:color w:val="auto"/>
              </w:rPr>
            </w:pPr>
            <w:r>
              <w:rPr>
                <w:rFonts w:ascii="Arial" w:cs="Arial" w:eastAsia="Arial" w:hAnsi="Arial"/>
                <w:sz w:val="18"/>
                <w:szCs w:val="18"/>
                <w:color w:val="auto"/>
                <w:w w:val="89"/>
              </w:rPr>
              <w:t>Delaware on November 9, 1989, as restated to incorporate the amendment of January 9, 1992,</w:t>
            </w:r>
          </w:p>
        </w:tc>
      </w:tr>
      <w:tr>
        <w:trPr>
          <w:trHeight w:val="176"/>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40" w:type="dxa"/>
            <w:vAlign w:val="bottom"/>
          </w:tcPr>
          <w:p>
            <w:pPr>
              <w:ind w:left="620"/>
              <w:spacing w:after="0" w:line="176" w:lineRule="exact"/>
              <w:rPr>
                <w:sz w:val="20"/>
                <w:szCs w:val="20"/>
                <w:color w:val="auto"/>
              </w:rPr>
            </w:pPr>
            <w:r>
              <w:rPr>
                <w:rFonts w:ascii="Arial" w:cs="Arial" w:eastAsia="Arial" w:hAnsi="Arial"/>
                <w:sz w:val="18"/>
                <w:szCs w:val="18"/>
                <w:color w:val="auto"/>
                <w:w w:val="97"/>
              </w:rPr>
              <w:t>and the correction of March 23, 1992 (incorporated herein by reference to Exhibit 4(i) to</w:t>
            </w:r>
          </w:p>
        </w:tc>
      </w:tr>
      <w:tr>
        <w:trPr>
          <w:trHeight w:val="175"/>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40" w:type="dxa"/>
            <w:vAlign w:val="bottom"/>
          </w:tcPr>
          <w:p>
            <w:pPr>
              <w:ind w:left="620"/>
              <w:spacing w:after="0" w:line="176" w:lineRule="exact"/>
              <w:rPr>
                <w:sz w:val="20"/>
                <w:szCs w:val="20"/>
                <w:color w:val="auto"/>
              </w:rPr>
            </w:pPr>
            <w:r>
              <w:rPr>
                <w:rFonts w:ascii="Arial" w:cs="Arial" w:eastAsia="Arial" w:hAnsi="Arial"/>
                <w:sz w:val="18"/>
                <w:szCs w:val="18"/>
                <w:color w:val="auto"/>
                <w:w w:val="93"/>
              </w:rPr>
              <w:t>Humana Inc.’s Post-Effective Amendment No. 1 to the Registration Statement on Form S-8</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(Reg. No. 33-49305) filed February 2, 1994).</w:t>
            </w:r>
          </w:p>
        </w:tc>
      </w:tr>
      <w:tr>
        <w:trPr>
          <w:trHeight w:val="296"/>
        </w:trPr>
        <w:tc>
          <w:tcPr>
            <w:tcW w:w="132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FF"/>
              </w:rPr>
            </w:pPr>
            <w:hyperlink r:id="rId64">
              <w:r>
                <w:rPr>
                  <w:rFonts w:ascii="Arial" w:cs="Arial" w:eastAsia="Arial" w:hAnsi="Arial"/>
                  <w:sz w:val="18"/>
                  <w:szCs w:val="18"/>
                  <w:color w:val="0000FF"/>
                </w:rPr>
                <w:t>3(ii)</w:t>
              </w:r>
            </w:hyperlink>
          </w:p>
        </w:tc>
        <w:tc>
          <w:tcPr>
            <w:tcW w:w="7440" w:type="dxa"/>
            <w:vAlign w:val="bottom"/>
          </w:tcPr>
          <w:p>
            <w:pPr>
              <w:ind w:left="620"/>
              <w:spacing w:after="0"/>
              <w:rPr>
                <w:sz w:val="20"/>
                <w:szCs w:val="20"/>
                <w:color w:val="auto"/>
              </w:rPr>
            </w:pPr>
            <w:r>
              <w:rPr>
                <w:rFonts w:ascii="Arial" w:cs="Arial" w:eastAsia="Arial" w:hAnsi="Arial"/>
                <w:sz w:val="18"/>
                <w:szCs w:val="18"/>
                <w:color w:val="auto"/>
                <w:w w:val="99"/>
              </w:rPr>
              <w:t>By-Laws of Humana Inc., as amended on December 14, 2017 (incorporated herein by</w:t>
            </w:r>
          </w:p>
        </w:tc>
      </w:tr>
      <w:tr>
        <w:trPr>
          <w:trHeight w:val="142"/>
        </w:trPr>
        <w:tc>
          <w:tcPr>
            <w:tcW w:w="13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Pr>
          <w:p>
            <w:pPr>
              <w:spacing w:after="0"/>
              <w:rPr>
                <w:sz w:val="12"/>
                <w:szCs w:val="12"/>
                <w:color w:val="auto"/>
              </w:rPr>
            </w:pPr>
          </w:p>
        </w:tc>
        <w:tc>
          <w:tcPr>
            <w:tcW w:w="7440" w:type="dxa"/>
            <w:vAlign w:val="bottom"/>
          </w:tcPr>
          <w:p>
            <w:pPr>
              <w:ind w:left="620"/>
              <w:spacing w:after="0" w:line="142" w:lineRule="exact"/>
              <w:rPr>
                <w:sz w:val="20"/>
                <w:szCs w:val="20"/>
                <w:color w:val="auto"/>
              </w:rPr>
            </w:pPr>
            <w:r>
              <w:rPr>
                <w:rFonts w:ascii="Arial" w:cs="Arial" w:eastAsia="Arial" w:hAnsi="Arial"/>
                <w:sz w:val="16"/>
                <w:szCs w:val="16"/>
                <w:color w:val="auto"/>
              </w:rPr>
              <w:t>reference to Exhibit 3(b) to Humana Inc.’s Current Report on Form 8-K, filed December 14,</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2017).</w:t>
            </w:r>
          </w:p>
        </w:tc>
      </w:tr>
      <w:tr>
        <w:trPr>
          <w:trHeight w:val="296"/>
        </w:trPr>
        <w:tc>
          <w:tcPr>
            <w:tcW w:w="1640" w:type="dxa"/>
            <w:vAlign w:val="bottom"/>
            <w:gridSpan w:val="4"/>
          </w:tcPr>
          <w:p>
            <w:pPr>
              <w:ind w:left="1320"/>
              <w:spacing w:after="0"/>
              <w:rPr>
                <w:rFonts w:ascii="Arial" w:cs="Arial" w:eastAsia="Arial" w:hAnsi="Arial"/>
                <w:sz w:val="18"/>
                <w:szCs w:val="18"/>
                <w:color w:val="0000FF"/>
              </w:rPr>
            </w:pPr>
            <w:hyperlink r:id="rId6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0" w:type="dxa"/>
            <w:vAlign w:val="bottom"/>
          </w:tcPr>
          <w:p>
            <w:pPr>
              <w:spacing w:after="0"/>
              <w:rPr>
                <w:sz w:val="24"/>
                <w:szCs w:val="24"/>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w w:val="91"/>
              </w:rPr>
              <w:t>Twenty-First Supplemental Indenture, dated March 23, 2022, between the Company and The</w:t>
            </w:r>
          </w:p>
        </w:tc>
      </w:tr>
      <w:tr>
        <w:trPr>
          <w:trHeight w:val="168"/>
        </w:trPr>
        <w:tc>
          <w:tcPr>
            <w:tcW w:w="13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40" w:type="dxa"/>
            <w:vAlign w:val="bottom"/>
          </w:tcPr>
          <w:p>
            <w:pPr>
              <w:ind w:left="620"/>
              <w:spacing w:after="0" w:line="168" w:lineRule="exact"/>
              <w:rPr>
                <w:sz w:val="20"/>
                <w:szCs w:val="20"/>
                <w:color w:val="auto"/>
              </w:rPr>
            </w:pPr>
            <w:r>
              <w:rPr>
                <w:rFonts w:ascii="Arial" w:cs="Arial" w:eastAsia="Arial" w:hAnsi="Arial"/>
                <w:sz w:val="18"/>
                <w:szCs w:val="18"/>
                <w:color w:val="auto"/>
                <w:w w:val="92"/>
              </w:rPr>
              <w:t>Bank of New York Mellon Trust Company, N.A., as trustee (incorporated herein by reference</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to Exhibit 4.2 to Humana Inc.’s Current Report on Form 8-K filed on March 23, 2022).</w:t>
            </w:r>
          </w:p>
        </w:tc>
      </w:tr>
      <w:tr>
        <w:trPr>
          <w:trHeight w:val="202"/>
        </w:trPr>
        <w:tc>
          <w:tcPr>
            <w:tcW w:w="2240" w:type="dxa"/>
            <w:vAlign w:val="bottom"/>
            <w:gridSpan w:val="5"/>
          </w:tcPr>
          <w:p>
            <w:pPr>
              <w:ind w:left="1320"/>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7440" w:type="dxa"/>
            <w:vAlign w:val="bottom"/>
          </w:tcPr>
          <w:p>
            <w:pPr>
              <w:ind w:left="620"/>
              <w:spacing w:after="0" w:line="202" w:lineRule="exact"/>
              <w:rPr>
                <w:sz w:val="20"/>
                <w:szCs w:val="20"/>
                <w:color w:val="auto"/>
              </w:rPr>
            </w:pPr>
            <w:r>
              <w:rPr>
                <w:rFonts w:ascii="Arial" w:cs="Arial" w:eastAsia="Arial" w:hAnsi="Arial"/>
                <w:sz w:val="18"/>
                <w:szCs w:val="18"/>
                <w:color w:val="auto"/>
                <w:w w:val="92"/>
              </w:rPr>
              <w:t>Agreement, dated February 21, 2022, by and among Humana Inc. and Starboard Value and</w:t>
            </w:r>
          </w:p>
        </w:tc>
      </w:tr>
      <w:tr>
        <w:trPr>
          <w:trHeight w:val="168"/>
        </w:trPr>
        <w:tc>
          <w:tcPr>
            <w:tcW w:w="13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7440" w:type="dxa"/>
            <w:vAlign w:val="bottom"/>
          </w:tcPr>
          <w:p>
            <w:pPr>
              <w:ind w:left="620"/>
              <w:spacing w:after="0" w:line="168" w:lineRule="exact"/>
              <w:rPr>
                <w:sz w:val="20"/>
                <w:szCs w:val="20"/>
                <w:color w:val="auto"/>
              </w:rPr>
            </w:pPr>
            <w:r>
              <w:rPr>
                <w:rFonts w:ascii="Arial" w:cs="Arial" w:eastAsia="Arial" w:hAnsi="Arial"/>
                <w:sz w:val="18"/>
                <w:szCs w:val="18"/>
                <w:color w:val="auto"/>
                <w:w w:val="92"/>
              </w:rPr>
              <w:t>Opportunity Master Fund Ltd, Starboard Value and Opportunity S LLC, Starboard Value and</w:t>
            </w:r>
          </w:p>
        </w:tc>
      </w:tr>
      <w:tr>
        <w:trPr>
          <w:trHeight w:val="189"/>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89" w:lineRule="exact"/>
              <w:rPr>
                <w:sz w:val="20"/>
                <w:szCs w:val="20"/>
                <w:color w:val="auto"/>
              </w:rPr>
            </w:pPr>
            <w:r>
              <w:rPr>
                <w:rFonts w:ascii="Arial" w:cs="Arial" w:eastAsia="Arial" w:hAnsi="Arial"/>
                <w:sz w:val="18"/>
                <w:szCs w:val="18"/>
                <w:color w:val="auto"/>
                <w:w w:val="91"/>
              </w:rPr>
              <w:t>Opportunity C LP, Starboard Value and Opportunity Master Fund L LP, Starboard Value L LP,</w:t>
            </w:r>
          </w:p>
        </w:tc>
      </w:tr>
      <w:tr>
        <w:trPr>
          <w:trHeight w:val="189"/>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89" w:lineRule="exact"/>
              <w:rPr>
                <w:sz w:val="20"/>
                <w:szCs w:val="20"/>
                <w:color w:val="auto"/>
              </w:rPr>
            </w:pPr>
            <w:r>
              <w:rPr>
                <w:rFonts w:ascii="Arial" w:cs="Arial" w:eastAsia="Arial" w:hAnsi="Arial"/>
                <w:sz w:val="18"/>
                <w:szCs w:val="18"/>
                <w:color w:val="auto"/>
                <w:w w:val="91"/>
              </w:rPr>
              <w:t>Starboard Value R LP, Starboard Value R GP LLC, Starboard Value LP, Starboard Value GP</w:t>
            </w:r>
          </w:p>
        </w:tc>
      </w:tr>
      <w:tr>
        <w:trPr>
          <w:trHeight w:val="229"/>
        </w:trPr>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w w:val="94"/>
              </w:rPr>
              <w:t>LLC, Starboard Principal Co LP, Starboard Principal Co GP LLC, Starboard X Master Fund</w:t>
            </w:r>
          </w:p>
        </w:tc>
      </w:tr>
      <w:tr>
        <w:trPr>
          <w:trHeight w:val="189"/>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ind w:left="620"/>
              <w:spacing w:after="0" w:line="189" w:lineRule="exact"/>
              <w:rPr>
                <w:sz w:val="20"/>
                <w:szCs w:val="20"/>
                <w:color w:val="auto"/>
              </w:rPr>
            </w:pPr>
            <w:r>
              <w:rPr>
                <w:rFonts w:ascii="Arial" w:cs="Arial" w:eastAsia="Arial" w:hAnsi="Arial"/>
                <w:sz w:val="18"/>
                <w:szCs w:val="18"/>
                <w:color w:val="auto"/>
                <w:w w:val="93"/>
              </w:rPr>
              <w:t>Ltd, and Jeffrey C. Smith (incorporated herein by reference to Exhibit 10.1 to Humana Inc.’s</w:t>
            </w: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Current Report on Form 8-K filed on February 22, 2022).</w:t>
            </w:r>
          </w:p>
        </w:tc>
      </w:tr>
      <w:tr>
        <w:trPr>
          <w:trHeight w:val="203"/>
        </w:trPr>
        <w:tc>
          <w:tcPr>
            <w:tcW w:w="2240" w:type="dxa"/>
            <w:vAlign w:val="bottom"/>
            <w:gridSpan w:val="5"/>
          </w:tcPr>
          <w:p>
            <w:pPr>
              <w:ind w:left="13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7440" w:type="dxa"/>
            <w:vAlign w:val="bottom"/>
          </w:tcPr>
          <w:p>
            <w:pPr>
              <w:ind w:left="620"/>
              <w:spacing w:after="0" w:line="202" w:lineRule="exact"/>
              <w:rPr>
                <w:sz w:val="20"/>
                <w:szCs w:val="20"/>
                <w:color w:val="auto"/>
              </w:rPr>
            </w:pPr>
            <w:r>
              <w:rPr>
                <w:rFonts w:ascii="Arial" w:cs="Arial" w:eastAsia="Arial" w:hAnsi="Arial"/>
                <w:sz w:val="18"/>
                <w:szCs w:val="18"/>
                <w:color w:val="auto"/>
                <w:w w:val="95"/>
              </w:rPr>
              <w:t>Principal Executive Officer certification pursuant to Section 302 of Sarbanes–Oxley Act of</w:t>
            </w:r>
          </w:p>
        </w:tc>
      </w:tr>
      <w:tr>
        <w:trPr>
          <w:trHeight w:val="210"/>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2002.</w:t>
            </w:r>
          </w:p>
        </w:tc>
      </w:tr>
      <w:tr>
        <w:trPr>
          <w:trHeight w:val="283"/>
        </w:trPr>
        <w:tc>
          <w:tcPr>
            <w:tcW w:w="2240" w:type="dxa"/>
            <w:vAlign w:val="bottom"/>
            <w:gridSpan w:val="5"/>
          </w:tcPr>
          <w:p>
            <w:pPr>
              <w:ind w:left="1320"/>
              <w:spacing w:after="0"/>
              <w:rPr>
                <w:rFonts w:ascii="Arial" w:cs="Arial" w:eastAsia="Arial" w:hAnsi="Arial"/>
                <w:sz w:val="18"/>
                <w:szCs w:val="18"/>
                <w:color w:val="0000FF"/>
              </w:rPr>
            </w:pPr>
            <w:hyperlink w:anchor="page5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7440" w:type="dxa"/>
            <w:vAlign w:val="bottom"/>
          </w:tcPr>
          <w:p>
            <w:pPr>
              <w:ind w:left="620"/>
              <w:spacing w:after="0"/>
              <w:rPr>
                <w:sz w:val="20"/>
                <w:szCs w:val="20"/>
                <w:color w:val="auto"/>
              </w:rPr>
            </w:pPr>
            <w:r>
              <w:rPr>
                <w:rFonts w:ascii="Arial" w:cs="Arial" w:eastAsia="Arial" w:hAnsi="Arial"/>
                <w:sz w:val="18"/>
                <w:szCs w:val="18"/>
                <w:color w:val="auto"/>
                <w:w w:val="96"/>
              </w:rPr>
              <w:t>Principal Financial Officer certification pursuant to Section 302 of Sarbanes–Oxley Act of</w:t>
            </w:r>
          </w:p>
        </w:tc>
      </w:tr>
      <w:tr>
        <w:trPr>
          <w:trHeight w:val="210"/>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rPr>
              <w:t>2002.</w:t>
            </w:r>
          </w:p>
        </w:tc>
      </w:tr>
      <w:tr>
        <w:trPr>
          <w:trHeight w:val="283"/>
        </w:trPr>
        <w:tc>
          <w:tcPr>
            <w:tcW w:w="1500" w:type="dxa"/>
            <w:vAlign w:val="bottom"/>
            <w:gridSpan w:val="2"/>
          </w:tcPr>
          <w:p>
            <w:pPr>
              <w:ind w:left="132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32</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w w:val="93"/>
              </w:rPr>
              <w:t>Principal Executive Officer and Principal Financial Officer certification pursuant to 18 U.S.C.</w:t>
            </w:r>
          </w:p>
        </w:tc>
      </w:tr>
      <w:tr>
        <w:trPr>
          <w:trHeight w:val="210"/>
        </w:trPr>
        <w:tc>
          <w:tcPr>
            <w:tcW w:w="13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ind w:left="620"/>
              <w:spacing w:after="0"/>
              <w:rPr>
                <w:sz w:val="20"/>
                <w:szCs w:val="20"/>
                <w:color w:val="auto"/>
              </w:rPr>
            </w:pPr>
            <w:r>
              <w:rPr>
                <w:rFonts w:ascii="Arial" w:cs="Arial" w:eastAsia="Arial" w:hAnsi="Arial"/>
                <w:sz w:val="18"/>
                <w:szCs w:val="18"/>
                <w:color w:val="auto"/>
                <w:w w:val="99"/>
              </w:rPr>
              <w:t>Section 1350, as adopted pursuant to Section 906 of the Sarbanes-Oxley Act of 2002.</w:t>
            </w:r>
          </w:p>
        </w:tc>
      </w:tr>
    </w:tbl>
    <w:p>
      <w:pPr>
        <w:spacing w:after="0" w:line="93" w:lineRule="exact"/>
        <w:rPr>
          <w:sz w:val="20"/>
          <w:szCs w:val="20"/>
          <w:color w:val="auto"/>
        </w:rPr>
      </w:pPr>
    </w:p>
    <w:p>
      <w:pPr>
        <w:jc w:val="both"/>
        <w:ind w:left="2860" w:right="459" w:hanging="1538"/>
        <w:spacing w:after="0" w:line="236" w:lineRule="auto"/>
        <w:tabs>
          <w:tab w:leader="none" w:pos="2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materials from Humana Inc.'s Quarterly Report on Form 10-Q formatted in iXBRL (Inline Extensible Business Reporting Language): (i) the Condensed Consolidated Balance Sheets at March 31, 2022 and December 31, 2021; (ii) the Condensed Consolidated Statements of Income for the three months ended March 31, 2022 and 2021; (iii) the Condensed Consolidated Statements of Comprehensive Income for the three months ended March 31, 2022 and 2021; (iv) the Consolidated Statements of Equity for the three months ended March 31, 2022 and 2021; (v) the Condensed Consolidated Statements of Cash Flows for the three months ended March 31, 2022 and 2021;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left="2860" w:hanging="1538"/>
        <w:spacing w:after="0"/>
        <w:tabs>
          <w:tab w:leader="none" w:pos="2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HUMANA INC.</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20"/>
        <w:spacing w:after="0"/>
        <w:tabs>
          <w:tab w:leader="none" w:pos="840" w:val="left"/>
          <w:tab w:leader="none" w:pos="5680" w:val="left"/>
          <w:tab w:leader="none" w:pos="7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A. KOEBERLEIN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Michael A. Koeberlein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320" w:top="121" w:right="5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D. Broussard, principal executive officer of Humana Inc., certify that:</w:t>
      </w:r>
    </w:p>
    <w:p>
      <w:pPr>
        <w:spacing w:after="0" w:line="171" w:lineRule="exact"/>
        <w:rPr>
          <w:sz w:val="20"/>
          <w:szCs w:val="20"/>
          <w:color w:val="auto"/>
        </w:rPr>
      </w:pPr>
    </w:p>
    <w:p>
      <w:pPr>
        <w:ind w:left="640" w:hanging="18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of Humana Inc. (the “Company”) on Form 10-Q for the period ending March 31, 2022;</w:t>
      </w:r>
    </w:p>
    <w:p>
      <w:pPr>
        <w:spacing w:after="0" w:line="171" w:lineRule="exact"/>
        <w:rPr>
          <w:rFonts w:ascii="Arial" w:cs="Arial" w:eastAsia="Arial" w:hAnsi="Arial"/>
          <w:sz w:val="18"/>
          <w:szCs w:val="18"/>
          <w:color w:val="auto"/>
        </w:rPr>
      </w:pPr>
    </w:p>
    <w:p>
      <w:pPr>
        <w:ind w:firstLine="453"/>
        <w:spacing w:after="0" w:line="342" w:lineRule="auto"/>
        <w:tabs>
          <w:tab w:leader="none" w:pos="63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6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firstLine="899"/>
        <w:spacing w:after="0" w:line="263" w:lineRule="auto"/>
        <w:tabs>
          <w:tab w:leader="none" w:pos="108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899"/>
        <w:spacing w:after="0" w:line="263" w:lineRule="auto"/>
        <w:tabs>
          <w:tab w:leader="none" w:pos="11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899"/>
        <w:spacing w:after="0" w:line="308" w:lineRule="auto"/>
        <w:tabs>
          <w:tab w:leader="none" w:pos="1099"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right="20" w:firstLine="899"/>
        <w:spacing w:after="0" w:line="263" w:lineRule="auto"/>
        <w:tabs>
          <w:tab w:leader="none" w:pos="11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453"/>
        <w:spacing w:after="0" w:line="308" w:lineRule="auto"/>
        <w:tabs>
          <w:tab w:leader="none" w:pos="62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899"/>
        <w:spacing w:after="0" w:line="277" w:lineRule="auto"/>
        <w:tabs>
          <w:tab w:leader="none" w:pos="11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99"/>
        <w:spacing w:after="0" w:line="277" w:lineRule="auto"/>
        <w:tabs>
          <w:tab w:leader="none" w:pos="11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w:t>
            </w:r>
          </w:p>
        </w:tc>
        <w:tc>
          <w:tcPr>
            <w:tcW w:w="8600" w:type="dxa"/>
            <w:vAlign w:val="bottom"/>
          </w:tcPr>
          <w:p>
            <w:pPr>
              <w:ind w:left="20"/>
              <w:spacing w:after="0"/>
              <w:rPr>
                <w:sz w:val="20"/>
                <w:szCs w:val="20"/>
                <w:color w:val="auto"/>
              </w:rPr>
            </w:pPr>
            <w:r>
              <w:rPr>
                <w:rFonts w:ascii="Arial" w:cs="Arial" w:eastAsia="Arial" w:hAnsi="Arial"/>
                <w:sz w:val="18"/>
                <w:szCs w:val="18"/>
                <w:color w:val="auto"/>
              </w:rPr>
              <w:t>April 27, 2022</w:t>
            </w:r>
          </w:p>
        </w:tc>
      </w:t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Signature:</w:t>
            </w:r>
          </w:p>
        </w:tc>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D. Broussard</w:t>
            </w:r>
          </w:p>
        </w:tc>
      </w:tr>
      <w:tr>
        <w:trPr>
          <w:trHeight w:val="169"/>
        </w:trPr>
        <w:tc>
          <w:tcPr>
            <w:tcW w:w="2600" w:type="dxa"/>
            <w:vAlign w:val="bottom"/>
          </w:tcPr>
          <w:p>
            <w:pPr>
              <w:spacing w:after="0"/>
              <w:rPr>
                <w:sz w:val="14"/>
                <w:szCs w:val="14"/>
                <w:color w:val="auto"/>
              </w:rPr>
            </w:pPr>
          </w:p>
        </w:tc>
        <w:tc>
          <w:tcPr>
            <w:tcW w:w="8600" w:type="dxa"/>
            <w:vAlign w:val="bottom"/>
          </w:tcPr>
          <w:p>
            <w:pPr>
              <w:ind w:left="20"/>
              <w:spacing w:after="0" w:line="169" w:lineRule="exact"/>
              <w:rPr>
                <w:sz w:val="20"/>
                <w:szCs w:val="20"/>
                <w:color w:val="auto"/>
              </w:rPr>
            </w:pPr>
            <w:r>
              <w:rPr>
                <w:rFonts w:ascii="Arial" w:cs="Arial" w:eastAsia="Arial" w:hAnsi="Arial"/>
                <w:sz w:val="18"/>
                <w:szCs w:val="18"/>
                <w:color w:val="auto"/>
              </w:rPr>
              <w:t>Bruce D. Broussard</w:t>
            </w:r>
          </w:p>
        </w:tc>
      </w:tr>
      <w:tr>
        <w:trPr>
          <w:trHeight w:val="230"/>
        </w:trPr>
        <w:tc>
          <w:tcPr>
            <w:tcW w:w="2600" w:type="dxa"/>
            <w:vAlign w:val="bottom"/>
          </w:tcPr>
          <w:p>
            <w:pPr>
              <w:spacing w:after="0"/>
              <w:rPr>
                <w:sz w:val="20"/>
                <w:szCs w:val="20"/>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Susan M. Diamond, principal financial officer of Humana Inc., certify that:</w:t>
      </w:r>
    </w:p>
    <w:p>
      <w:pPr>
        <w:spacing w:after="0" w:line="171" w:lineRule="exact"/>
        <w:rPr>
          <w:sz w:val="20"/>
          <w:szCs w:val="20"/>
          <w:color w:val="auto"/>
        </w:rPr>
      </w:pPr>
    </w:p>
    <w:p>
      <w:pPr>
        <w:ind w:left="640" w:hanging="18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of Humana Inc. (the “Company”) on Form 10-Q for the period ending March 31, 2022;</w:t>
      </w:r>
    </w:p>
    <w:p>
      <w:pPr>
        <w:spacing w:after="0" w:line="171" w:lineRule="exact"/>
        <w:rPr>
          <w:rFonts w:ascii="Arial" w:cs="Arial" w:eastAsia="Arial" w:hAnsi="Arial"/>
          <w:sz w:val="18"/>
          <w:szCs w:val="18"/>
          <w:color w:val="auto"/>
        </w:rPr>
      </w:pPr>
    </w:p>
    <w:p>
      <w:pPr>
        <w:ind w:firstLine="453"/>
        <w:spacing w:after="0" w:line="342" w:lineRule="auto"/>
        <w:tabs>
          <w:tab w:leader="none" w:pos="6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firstLine="899"/>
        <w:spacing w:after="0" w:line="263" w:lineRule="auto"/>
        <w:tabs>
          <w:tab w:leader="none" w:pos="10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899"/>
        <w:spacing w:after="0" w:line="263" w:lineRule="auto"/>
        <w:tabs>
          <w:tab w:leader="none" w:pos="11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899"/>
        <w:spacing w:after="0" w:line="308" w:lineRule="auto"/>
        <w:tabs>
          <w:tab w:leader="none" w:pos="1099"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right="20" w:firstLine="899"/>
        <w:spacing w:after="0" w:line="263" w:lineRule="auto"/>
        <w:tabs>
          <w:tab w:leader="none" w:pos="110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453"/>
        <w:spacing w:after="0" w:line="308" w:lineRule="auto"/>
        <w:tabs>
          <w:tab w:leader="none" w:pos="62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899"/>
        <w:spacing w:after="0" w:line="277" w:lineRule="auto"/>
        <w:tabs>
          <w:tab w:leader="none" w:pos="11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99"/>
        <w:spacing w:after="0" w:line="277" w:lineRule="auto"/>
        <w:tabs>
          <w:tab w:leader="none" w:pos="11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Date:</w:t>
            </w:r>
          </w:p>
        </w:tc>
        <w:tc>
          <w:tcPr>
            <w:tcW w:w="8900" w:type="dxa"/>
            <w:vAlign w:val="bottom"/>
          </w:tcPr>
          <w:p>
            <w:pPr>
              <w:ind w:left="360"/>
              <w:spacing w:after="0"/>
              <w:rPr>
                <w:sz w:val="20"/>
                <w:szCs w:val="20"/>
                <w:color w:val="auto"/>
              </w:rPr>
            </w:pPr>
            <w:r>
              <w:rPr>
                <w:rFonts w:ascii="Arial" w:cs="Arial" w:eastAsia="Arial" w:hAnsi="Arial"/>
                <w:sz w:val="18"/>
                <w:szCs w:val="18"/>
                <w:color w:val="auto"/>
              </w:rPr>
              <w:t>April 27, 2022</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Signature:</w:t>
            </w:r>
          </w:p>
        </w:tc>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Susan M. Diamond</w:t>
            </w:r>
          </w:p>
        </w:tc>
      </w:tr>
      <w:tr>
        <w:trPr>
          <w:trHeight w:val="169"/>
        </w:trPr>
        <w:tc>
          <w:tcPr>
            <w:tcW w:w="2300" w:type="dxa"/>
            <w:vAlign w:val="bottom"/>
          </w:tcPr>
          <w:p>
            <w:pPr>
              <w:spacing w:after="0"/>
              <w:rPr>
                <w:sz w:val="14"/>
                <w:szCs w:val="14"/>
                <w:color w:val="auto"/>
              </w:rPr>
            </w:pPr>
          </w:p>
        </w:tc>
        <w:tc>
          <w:tcPr>
            <w:tcW w:w="8900" w:type="dxa"/>
            <w:vAlign w:val="bottom"/>
          </w:tcPr>
          <w:p>
            <w:pPr>
              <w:ind w:left="360"/>
              <w:spacing w:after="0" w:line="169" w:lineRule="exact"/>
              <w:rPr>
                <w:sz w:val="20"/>
                <w:szCs w:val="20"/>
                <w:color w:val="auto"/>
              </w:rPr>
            </w:pPr>
            <w:r>
              <w:rPr>
                <w:rFonts w:ascii="Arial" w:cs="Arial" w:eastAsia="Arial" w:hAnsi="Arial"/>
                <w:sz w:val="18"/>
                <w:szCs w:val="18"/>
                <w:color w:val="auto"/>
              </w:rPr>
              <w:t>Susan M. Diamond</w:t>
            </w:r>
          </w:p>
        </w:tc>
      </w:tr>
      <w:tr>
        <w:trPr>
          <w:trHeight w:val="230"/>
        </w:trPr>
        <w:tc>
          <w:tcPr>
            <w:tcW w:w="230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Report of Humana Inc. (the “Company”) on Form 10-Q for the period ending March 31, 2022 as filed with the Securities and Exchange Commission on the date hereof (the “Report”), each of the undersigned hereby certifies, pursuant to 18 U.S.C. Sec. 1350, as adopted pursuant to Sec. 906 of the Sarbanes-Oxley Act of 2002, in his capacity as an officer of Humana Inc., that:</w:t>
      </w:r>
    </w:p>
    <w:p>
      <w:pPr>
        <w:spacing w:after="0" w:line="130" w:lineRule="exact"/>
        <w:rPr>
          <w:sz w:val="20"/>
          <w:szCs w:val="20"/>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Bruce D.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Bruce D. Broussard</w:t>
      </w:r>
    </w:p>
    <w:p>
      <w:pPr>
        <w:ind w:left="20"/>
        <w:spacing w:after="0"/>
        <w:rPr>
          <w:sz w:val="20"/>
          <w:szCs w:val="20"/>
          <w:color w:val="auto"/>
        </w:rPr>
      </w:pPr>
      <w:r>
        <w:rPr>
          <w:rFonts w:ascii="Arial" w:cs="Arial" w:eastAsia="Arial" w:hAnsi="Arial"/>
          <w:sz w:val="18"/>
          <w:szCs w:val="18"/>
          <w:color w:val="auto"/>
        </w:rPr>
        <w:t>Principal Executive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27,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Susan M. Diamond</w:t>
      </w:r>
    </w:p>
    <w:p>
      <w:pPr>
        <w:ind w:left="20"/>
        <w:spacing w:after="0"/>
        <w:rPr>
          <w:sz w:val="20"/>
          <w:szCs w:val="20"/>
          <w:color w:val="auto"/>
        </w:rPr>
      </w:pPr>
      <w:r>
        <w:rPr>
          <w:rFonts w:ascii="Arial" w:cs="Arial" w:eastAsia="Arial" w:hAnsi="Arial"/>
          <w:sz w:val="18"/>
          <w:szCs w:val="18"/>
          <w:color w:val="auto"/>
        </w:rPr>
        <w:t>Principal Financial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27, 2022</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Humana Inc. and will be retained by Humana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5"/>
    </w:lvl>
  </w:abstractNum>
  <w:abstractNum w:abstractNumId="3">
    <w:nsid w:val="436C6125"/>
    <w:multiLevelType w:val="hybridMultilevel"/>
    <w:lvl w:ilvl="0">
      <w:lvlJc w:val="left"/>
      <w:lvlText w:val="%1."/>
      <w:numFmt w:val="decimal"/>
      <w:start w:val="10"/>
    </w:lvl>
  </w:abstractNum>
  <w:abstractNum w:abstractNumId="4">
    <w:nsid w:val="628C895D"/>
    <w:multiLevelType w:val="hybridMultilevel"/>
    <w:lvl w:ilvl="0">
      <w:lvlJc w:val="left"/>
      <w:lvlText w:val="%1."/>
      <w:numFmt w:val="decimal"/>
      <w:start w:val="12"/>
    </w:lvl>
  </w:abstractNum>
  <w:abstractNum w:abstractNumId="5">
    <w:nsid w:val="333AB105"/>
    <w:multiLevelType w:val="hybridMultilevel"/>
    <w:lvl w:ilvl="0">
      <w:lvlJc w:val="left"/>
      <w:lvlText w:val="%1."/>
      <w:numFmt w:val="decimal"/>
      <w:start w:val="13"/>
    </w:lvl>
  </w:abstractNum>
  <w:abstractNum w:abstractNumId="6">
    <w:nsid w:val="721DA317"/>
    <w:multiLevelType w:val="hybridMultilevel"/>
    <w:lvl w:ilvl="0">
      <w:lvlJc w:val="left"/>
      <w:lvlText w:val="(%1)"/>
      <w:numFmt w:val="lowerRoman"/>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01"/>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4" Type="http://schemas.openxmlformats.org/officeDocument/2006/relationships/hyperlink" Target="http://www.sec.gov/Archives/edgar/data/49071/000119312517368843/d508549dex3b.htm" TargetMode="External"/><Relationship Id="rId65" Type="http://schemas.openxmlformats.org/officeDocument/2006/relationships/hyperlink" Target="https://www.sec.gov/Archives/edgar/data/49071/000119312522082811/d335183dex42.htm" TargetMode="External"/><Relationship Id="rId66" Type="http://schemas.openxmlformats.org/officeDocument/2006/relationships/hyperlink" Target="https://www.sec.gov/Archives/edgar/data/49071/000089534522000208/ff81501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2022-04-27T13:27:57Z</dcterms:created>
  <dcterms:modified xsi:type="dcterms:W3CDTF">2022-04-27T13:27:57Z</dcterms:modified>
</cp:coreProperties>
</file>