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346075</wp:posOffset>
            </wp:positionH>
            <wp:positionV relativeFrom="page">
              <wp:posOffset>757555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671830</wp:posOffset>
            </wp:positionV>
            <wp:extent cx="6869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81915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178435</wp:posOffset>
            </wp:positionV>
            <wp:extent cx="2118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31, 2019 (July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234315</wp:posOffset>
            </wp:positionV>
            <wp:extent cx="1792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Humana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99060</wp:posOffset>
            </wp:positionV>
            <wp:extent cx="1792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52"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3380" w:type="dxa"/>
            <w:vAlign w:val="bottom"/>
          </w:tcPr>
          <w:p>
            <w:pPr>
              <w:jc w:val="center"/>
              <w:ind w:right="459"/>
              <w:spacing w:after="0"/>
              <w:rPr>
                <w:sz w:val="20"/>
                <w:szCs w:val="20"/>
                <w:color w:val="auto"/>
              </w:rPr>
            </w:pPr>
            <w:r>
              <w:rPr>
                <w:rFonts w:ascii="Arial" w:cs="Arial" w:eastAsia="Arial" w:hAnsi="Arial"/>
                <w:sz w:val="18"/>
                <w:szCs w:val="18"/>
                <w:b w:val="1"/>
                <w:bCs w:val="1"/>
                <w:color w:val="auto"/>
                <w:w w:val="92"/>
              </w:rPr>
              <w:t>1-5975</w:t>
            </w:r>
          </w:p>
        </w:tc>
        <w:tc>
          <w:tcPr>
            <w:tcW w:w="4500" w:type="dxa"/>
            <w:vAlign w:val="bottom"/>
          </w:tcPr>
          <w:p>
            <w:pPr>
              <w:jc w:val="right"/>
              <w:ind w:right="537"/>
              <w:spacing w:after="0"/>
              <w:rPr>
                <w:sz w:val="20"/>
                <w:szCs w:val="20"/>
                <w:color w:val="auto"/>
              </w:rPr>
            </w:pPr>
            <w:r>
              <w:rPr>
                <w:rFonts w:ascii="Arial" w:cs="Arial" w:eastAsia="Arial" w:hAnsi="Arial"/>
                <w:sz w:val="18"/>
                <w:szCs w:val="18"/>
                <w:b w:val="1"/>
                <w:bCs w:val="1"/>
                <w:color w:val="auto"/>
              </w:rPr>
              <w:t>61-0647538</w:t>
            </w:r>
          </w:p>
        </w:tc>
      </w:tr>
      <w:tr>
        <w:trPr>
          <w:trHeight w:val="218"/>
        </w:trPr>
        <w:tc>
          <w:tcPr>
            <w:tcW w:w="3380" w:type="dxa"/>
            <w:vAlign w:val="bottom"/>
          </w:tcPr>
          <w:p>
            <w:pPr>
              <w:jc w:val="center"/>
              <w:ind w:right="459"/>
              <w:spacing w:after="0"/>
              <w:rPr>
                <w:sz w:val="20"/>
                <w:szCs w:val="20"/>
                <w:color w:val="auto"/>
              </w:rPr>
            </w:pPr>
            <w:r>
              <w:rPr>
                <w:rFonts w:ascii="Arial" w:cs="Arial" w:eastAsia="Arial" w:hAnsi="Arial"/>
                <w:sz w:val="14"/>
                <w:szCs w:val="14"/>
                <w:b w:val="1"/>
                <w:bCs w:val="1"/>
                <w:color w:val="auto"/>
                <w:w w:val="94"/>
              </w:rPr>
              <w:t>(Commission File Number)</w:t>
            </w:r>
          </w:p>
        </w:tc>
        <w:tc>
          <w:tcPr>
            <w:tcW w:w="4500" w:type="dxa"/>
            <w:vAlign w:val="bottom"/>
          </w:tcPr>
          <w:p>
            <w:pPr>
              <w:jc w:val="center"/>
              <w:ind w:left="2317"/>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77"/>
        </w:trPr>
        <w:tc>
          <w:tcPr>
            <w:tcW w:w="3380" w:type="dxa"/>
            <w:vAlign w:val="bottom"/>
          </w:tcPr>
          <w:p>
            <w:pPr>
              <w:jc w:val="center"/>
              <w:ind w:right="459"/>
              <w:spacing w:after="0"/>
              <w:rPr>
                <w:sz w:val="20"/>
                <w:szCs w:val="20"/>
                <w:color w:val="auto"/>
              </w:rPr>
            </w:pPr>
            <w:r>
              <w:rPr>
                <w:rFonts w:ascii="Arial" w:cs="Arial" w:eastAsia="Arial" w:hAnsi="Arial"/>
                <w:sz w:val="18"/>
                <w:szCs w:val="18"/>
                <w:b w:val="1"/>
                <w:bCs w:val="1"/>
                <w:color w:val="auto"/>
                <w:w w:val="92"/>
              </w:rPr>
              <w:t>500 West Main Street, Louisville, KY</w:t>
            </w:r>
          </w:p>
        </w:tc>
        <w:tc>
          <w:tcPr>
            <w:tcW w:w="4500" w:type="dxa"/>
            <w:vAlign w:val="bottom"/>
          </w:tcPr>
          <w:p>
            <w:pPr>
              <w:jc w:val="right"/>
              <w:ind w:right="757"/>
              <w:spacing w:after="0"/>
              <w:rPr>
                <w:sz w:val="20"/>
                <w:szCs w:val="20"/>
                <w:color w:val="auto"/>
              </w:rPr>
            </w:pPr>
            <w:r>
              <w:rPr>
                <w:rFonts w:ascii="Arial" w:cs="Arial" w:eastAsia="Arial" w:hAnsi="Arial"/>
                <w:sz w:val="18"/>
                <w:szCs w:val="18"/>
                <w:b w:val="1"/>
                <w:bCs w:val="1"/>
                <w:color w:val="auto"/>
              </w:rPr>
              <w:t>40202</w:t>
            </w:r>
          </w:p>
        </w:tc>
      </w:tr>
      <w:tr>
        <w:trPr>
          <w:trHeight w:val="211"/>
        </w:trPr>
        <w:tc>
          <w:tcPr>
            <w:tcW w:w="3380" w:type="dxa"/>
            <w:vAlign w:val="bottom"/>
          </w:tcPr>
          <w:p>
            <w:pPr>
              <w:jc w:val="center"/>
              <w:ind w:right="4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500" w:type="dxa"/>
            <w:vAlign w:val="bottom"/>
          </w:tcPr>
          <w:p>
            <w:pPr>
              <w:jc w:val="center"/>
              <w:ind w:left="2317"/>
              <w:spacing w:after="0"/>
              <w:rPr>
                <w:sz w:val="20"/>
                <w:szCs w:val="20"/>
                <w:color w:val="auto"/>
              </w:rPr>
            </w:pPr>
            <w:r>
              <w:rPr>
                <w:rFonts w:ascii="Arial" w:cs="Arial" w:eastAsia="Arial" w:hAnsi="Arial"/>
                <w:sz w:val="14"/>
                <w:szCs w:val="14"/>
                <w:b w:val="1"/>
                <w:bCs w:val="1"/>
                <w:color w:val="auto"/>
                <w:w w:val="95"/>
              </w:rPr>
              <w:t>(Zip Code)</w:t>
            </w:r>
          </w:p>
        </w:tc>
      </w:tr>
      <w:tr>
        <w:trPr>
          <w:trHeight w:val="228"/>
        </w:trPr>
        <w:tc>
          <w:tcPr>
            <w:tcW w:w="3380" w:type="dxa"/>
            <w:vAlign w:val="bottom"/>
          </w:tcPr>
          <w:p>
            <w:pPr>
              <w:spacing w:after="0"/>
              <w:rPr>
                <w:sz w:val="19"/>
                <w:szCs w:val="19"/>
                <w:color w:val="auto"/>
              </w:rPr>
            </w:pPr>
          </w:p>
        </w:tc>
        <w:tc>
          <w:tcPr>
            <w:tcW w:w="4500" w:type="dxa"/>
            <w:vAlign w:val="bottom"/>
          </w:tcPr>
          <w:p>
            <w:pPr>
              <w:jc w:val="right"/>
              <w:ind w:right="2877"/>
              <w:spacing w:after="0"/>
              <w:rPr>
                <w:sz w:val="20"/>
                <w:szCs w:val="20"/>
                <w:color w:val="auto"/>
              </w:rPr>
            </w:pPr>
            <w:r>
              <w:rPr>
                <w:rFonts w:ascii="Arial" w:cs="Arial" w:eastAsia="Arial" w:hAnsi="Arial"/>
                <w:sz w:val="18"/>
                <w:szCs w:val="18"/>
                <w:b w:val="1"/>
                <w:bCs w:val="1"/>
                <w:color w:val="auto"/>
              </w:rPr>
              <w:t>502-580-1000</w:t>
            </w: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8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-302260</wp:posOffset>
            </wp:positionV>
            <wp:extent cx="21183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96" w:lineRule="exact"/>
        <w:rPr>
          <w:sz w:val="24"/>
          <w:szCs w:val="24"/>
          <w:color w:val="auto"/>
        </w:rPr>
      </w:pPr>
    </w:p>
    <w:p>
      <w:pPr>
        <w:ind w:left="1040" w:hanging="600"/>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1040" w:hanging="600"/>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1040" w:hanging="600"/>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260" w:right="2320" w:firstLine="180"/>
        <w:spacing w:after="0" w:line="371" w:lineRule="auto"/>
        <w:tabs>
          <w:tab w:leader="none" w:pos="105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3" w:lineRule="exact"/>
        <w:rPr>
          <w:sz w:val="24"/>
          <w:szCs w:val="24"/>
          <w:color w:val="auto"/>
        </w:rPr>
      </w:pPr>
    </w:p>
    <w:tbl>
      <w:tblPr>
        <w:tblLayout w:type="fixed"/>
        <w:tblInd w:w="30" w:type="dxa"/>
        <w:tblCellMar>
          <w:top w:w="0" w:type="dxa"/>
          <w:left w:w="0" w:type="dxa"/>
          <w:bottom w:w="0" w:type="dxa"/>
          <w:right w:w="0" w:type="dxa"/>
        </w:tblCellMar>
      </w:tblPr>
      <w:tr>
        <w:trPr>
          <w:trHeight w:val="257"/>
        </w:trPr>
        <w:tc>
          <w:tcPr>
            <w:tcW w:w="4240" w:type="dxa"/>
            <w:vAlign w:val="bottom"/>
            <w:tcBorders>
              <w:top w:val="single" w:sz="8" w:color="auto"/>
              <w:left w:val="single" w:sz="8" w:color="auto"/>
              <w:right w:val="single" w:sz="8" w:color="auto"/>
            </w:tcBorders>
          </w:tcPr>
          <w:p>
            <w:pPr>
              <w:ind w:left="1460"/>
              <w:spacing w:after="0"/>
              <w:rPr>
                <w:sz w:val="20"/>
                <w:szCs w:val="20"/>
                <w:color w:val="auto"/>
              </w:rPr>
            </w:pPr>
            <w:r>
              <w:rPr>
                <w:rFonts w:ascii="Arial" w:cs="Arial" w:eastAsia="Arial" w:hAnsi="Arial"/>
                <w:sz w:val="18"/>
                <w:szCs w:val="18"/>
                <w:color w:val="auto"/>
              </w:rPr>
              <w:t>Title of each class</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r>
      <w:tr>
        <w:trPr>
          <w:trHeight w:val="254"/>
        </w:trPr>
        <w:tc>
          <w:tcPr>
            <w:tcW w:w="4240" w:type="dxa"/>
            <w:vAlign w:val="bottom"/>
            <w:tcBorders>
              <w:left w:val="single" w:sz="8" w:color="auto"/>
              <w:right w:val="single" w:sz="8" w:color="auto"/>
            </w:tcBorders>
          </w:tcPr>
          <w:p>
            <w:pPr>
              <w:ind w:left="1500"/>
              <w:spacing w:after="0"/>
              <w:rPr>
                <w:sz w:val="20"/>
                <w:szCs w:val="20"/>
                <w:color w:val="auto"/>
              </w:rPr>
            </w:pPr>
            <w:r>
              <w:rPr>
                <w:rFonts w:ascii="Arial" w:cs="Arial" w:eastAsia="Arial" w:hAnsi="Arial"/>
                <w:sz w:val="20"/>
                <w:szCs w:val="20"/>
                <w:color w:val="auto"/>
              </w:rPr>
              <w:t>Common Stock</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HUM</w:t>
            </w:r>
          </w:p>
        </w:tc>
        <w:tc>
          <w:tcPr>
            <w:tcW w:w="43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New York Stock Exchange (NYSE)</w:t>
            </w:r>
          </w:p>
        </w:tc>
      </w:tr>
      <w:tr>
        <w:trPr>
          <w:trHeight w:val="23"/>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r>
    </w:tbl>
    <w:p>
      <w:pPr>
        <w:ind w:right="34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(17 CFR §230.405) or Rule 12b-2 of the Securities Exchange Act of 1934 (17 CFR §240.12b-2).</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193675</wp:posOffset>
            </wp:positionV>
            <wp:extent cx="68694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107950</wp:posOffset>
            </wp:positionV>
            <wp:extent cx="6869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Humana Inc. issued a press release this morning reporting financial results for the quarter ended June 30, 2019, and posted a detailed earnings release related to the same period to the Investor Relations portion of the Company’s website at </w:t>
      </w:r>
      <w:r>
        <w:rPr>
          <w:rFonts w:ascii="Arial" w:cs="Arial" w:eastAsia="Arial" w:hAnsi="Arial"/>
          <w:sz w:val="18"/>
          <w:szCs w:val="18"/>
          <w:u w:val="single" w:color="auto"/>
          <w:color w:val="auto"/>
        </w:rPr>
        <w:t>www.humana.com</w:t>
      </w:r>
      <w:r>
        <w:rPr>
          <w:rFonts w:ascii="Arial" w:cs="Arial" w:eastAsia="Arial" w:hAnsi="Arial"/>
          <w:sz w:val="18"/>
          <w:szCs w:val="18"/>
          <w:color w:val="auto"/>
        </w:rPr>
        <w:t>. A copy of each release is attached hereto as Exhibit 99.1 and Exhibit 99.2, respectively, and each release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9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324"/>
        </w:trPr>
        <w:tc>
          <w:tcPr>
            <w:tcW w:w="1640" w:type="dxa"/>
            <w:vAlign w:val="bottom"/>
          </w:tcPr>
          <w:p>
            <w:pPr>
              <w:ind w:left="40"/>
              <w:spacing w:after="0"/>
              <w:rPr>
                <w:sz w:val="20"/>
                <w:szCs w:val="20"/>
                <w:color w:val="auto"/>
              </w:rPr>
            </w:pPr>
            <w:r>
              <w:rPr>
                <w:rFonts w:ascii="Arial" w:cs="Arial" w:eastAsia="Arial" w:hAnsi="Arial"/>
                <w:sz w:val="18"/>
                <w:szCs w:val="18"/>
                <w:color w:val="auto"/>
              </w:rPr>
              <w:t>99.1</w:t>
            </w:r>
          </w:p>
        </w:tc>
        <w:tc>
          <w:tcPr>
            <w:tcW w:w="702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w:t>
              </w:r>
            </w:hyperlink>
          </w:p>
        </w:tc>
      </w:tr>
      <w:tr>
        <w:trPr>
          <w:trHeight w:val="20"/>
        </w:trPr>
        <w:tc>
          <w:tcPr>
            <w:tcW w:w="164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72"/>
        </w:trPr>
        <w:tc>
          <w:tcPr>
            <w:tcW w:w="1640" w:type="dxa"/>
            <w:vAlign w:val="bottom"/>
          </w:tcPr>
          <w:p>
            <w:pPr>
              <w:ind w:left="40"/>
              <w:spacing w:after="0"/>
              <w:rPr>
                <w:sz w:val="20"/>
                <w:szCs w:val="20"/>
                <w:color w:val="auto"/>
              </w:rPr>
            </w:pPr>
            <w:r>
              <w:rPr>
                <w:rFonts w:ascii="Arial" w:cs="Arial" w:eastAsia="Arial" w:hAnsi="Arial"/>
                <w:sz w:val="18"/>
                <w:szCs w:val="18"/>
                <w:color w:val="auto"/>
              </w:rPr>
              <w:t>99.2</w:t>
            </w:r>
          </w:p>
        </w:tc>
        <w:tc>
          <w:tcPr>
            <w:tcW w:w="278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12">
              <w:r>
                <w:rPr>
                  <w:rFonts w:ascii="Arial" w:cs="Arial" w:eastAsia="Arial" w:hAnsi="Arial"/>
                  <w:sz w:val="18"/>
                  <w:szCs w:val="18"/>
                  <w:color w:val="0000FF"/>
                  <w:w w:val="87"/>
                </w:rPr>
                <w:t>Earnings Release and Statistical Pages</w:t>
              </w:r>
            </w:hyperlink>
          </w:p>
        </w:tc>
        <w:tc>
          <w:tcPr>
            <w:tcW w:w="4240" w:type="dxa"/>
            <w:vAlign w:val="bottom"/>
          </w:tcPr>
          <w:p>
            <w:pPr>
              <w:spacing w:after="0"/>
              <w:rPr>
                <w:sz w:val="24"/>
                <w:szCs w:val="24"/>
                <w:color w:val="auto"/>
              </w:rPr>
            </w:pPr>
          </w:p>
        </w:tc>
      </w:tr>
    </w:tbl>
    <w:p>
      <w:pPr>
        <w:sectPr>
          <w:pgSz w:w="11900" w:h="16838" w:orient="portrait"/>
          <w:cols w:equalWidth="0" w:num="1">
            <w:col w:w="11200"/>
          </w:cols>
          <w:pgMar w:left="240" w:top="796"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HUMANA INC.</w:t>
      </w:r>
    </w:p>
    <w:p>
      <w:pPr>
        <w:spacing w:after="0" w:line="387" w:lineRule="exact"/>
        <w:rPr>
          <w:sz w:val="20"/>
          <w:szCs w:val="20"/>
          <w:color w:val="auto"/>
        </w:rPr>
      </w:pPr>
    </w:p>
    <w:tbl>
      <w:tblPr>
        <w:tblLayout w:type="fixed"/>
        <w:tblInd w:w="488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/s/ Cynthia H. Zipperle</w:t>
            </w:r>
          </w:p>
        </w:tc>
      </w:tr>
      <w:tr>
        <w:trPr>
          <w:trHeight w:val="27"/>
        </w:trPr>
        <w:tc>
          <w:tcPr>
            <w:tcW w:w="90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Cynthia H. Zipperle</w:t>
            </w:r>
          </w:p>
        </w:tc>
      </w:tr>
      <w:tr>
        <w:trPr>
          <w:trHeight w:val="270"/>
        </w:trPr>
        <w:tc>
          <w:tcPr>
            <w:tcW w:w="900" w:type="dxa"/>
            <w:vAlign w:val="bottom"/>
          </w:tcPr>
          <w:p>
            <w:pPr>
              <w:spacing w:after="0"/>
              <w:rPr>
                <w:sz w:val="23"/>
                <w:szCs w:val="23"/>
                <w:color w:val="auto"/>
              </w:rPr>
            </w:pPr>
          </w:p>
        </w:tc>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Senior Vice President, Chief Accounting Officer and Controller</w:t>
            </w:r>
          </w:p>
        </w:tc>
      </w:tr>
      <w:tr>
        <w:trPr>
          <w:trHeight w:val="270"/>
        </w:trPr>
        <w:tc>
          <w:tcPr>
            <w:tcW w:w="900" w:type="dxa"/>
            <w:vAlign w:val="bottom"/>
          </w:tcPr>
          <w:p>
            <w:pPr>
              <w:spacing w:after="0"/>
              <w:rPr>
                <w:sz w:val="23"/>
                <w:szCs w:val="23"/>
                <w:color w:val="auto"/>
              </w:rPr>
            </w:pPr>
          </w:p>
        </w:tc>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2019</w:t>
      </w:r>
    </w:p>
    <w:p>
      <w:pPr>
        <w:sectPr>
          <w:pgSz w:w="11900" w:h="16838" w:orient="portrait"/>
          <w:cols w:equalWidth="0" w:num="1">
            <w:col w:w="11420"/>
          </w:cols>
          <w:pgMar w:left="240" w:top="796" w:right="239" w:bottom="1440" w:gutter="0" w:footer="0" w:header="0"/>
        </w:sectPr>
      </w:pPr>
    </w:p>
    <w:bookmarkStart w:id="3" w:name="page4"/>
    <w:bookmarkEnd w:id="3"/>
    <w:p>
      <w:pPr>
        <w:spacing w:after="0" w:line="384" w:lineRule="exact"/>
        <w:rPr>
          <w:sz w:val="20"/>
          <w:szCs w:val="20"/>
          <w:color w:val="auto"/>
        </w:rPr>
      </w:pPr>
    </w:p>
    <w:p>
      <w:pPr>
        <w:ind w:left="360"/>
        <w:spacing w:after="0"/>
        <w:rPr>
          <w:sz w:val="20"/>
          <w:szCs w:val="20"/>
          <w:color w:val="auto"/>
        </w:rPr>
      </w:pPr>
      <w:r>
        <w:rPr>
          <w:rFonts w:ascii="Arial" w:cs="Arial" w:eastAsia="Arial" w:hAnsi="Arial"/>
          <w:sz w:val="27"/>
          <w:szCs w:val="27"/>
          <w:b w:val="1"/>
          <w:bCs w:val="1"/>
          <w:color w:val="auto"/>
        </w:rPr>
        <w:t xml:space="preserve">n e w s </w:t>
      </w:r>
      <w:r>
        <w:rPr>
          <w:rFonts w:ascii="Arial" w:cs="Arial" w:eastAsia="Arial" w:hAnsi="Arial"/>
          <w:sz w:val="27"/>
          <w:szCs w:val="27"/>
          <w:color w:val="auto"/>
        </w:rPr>
        <w:t>r e l e a s e</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20"/>
          <w:szCs w:val="20"/>
          <w:b w:val="1"/>
          <w:bCs w:val="1"/>
          <w:color w:val="auto"/>
        </w:rPr>
        <w:t>Exhibit 99.1</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Humana Inc.</w:t>
      </w:r>
    </w:p>
    <w:p>
      <w:pPr>
        <w:spacing w:after="0" w:line="225" w:lineRule="auto"/>
        <w:rPr>
          <w:sz w:val="20"/>
          <w:szCs w:val="20"/>
          <w:color w:val="auto"/>
        </w:rPr>
      </w:pPr>
      <w:r>
        <w:rPr>
          <w:rFonts w:ascii="Arial" w:cs="Arial" w:eastAsia="Arial" w:hAnsi="Arial"/>
          <w:sz w:val="20"/>
          <w:szCs w:val="20"/>
          <w:color w:val="auto"/>
        </w:rPr>
        <w:t>500 West Main Street</w:t>
      </w:r>
    </w:p>
    <w:p>
      <w:pPr>
        <w:spacing w:after="0" w:line="225" w:lineRule="auto"/>
        <w:rPr>
          <w:sz w:val="20"/>
          <w:szCs w:val="20"/>
          <w:color w:val="auto"/>
        </w:rPr>
      </w:pPr>
      <w:r>
        <w:rPr>
          <w:rFonts w:ascii="Arial" w:cs="Arial" w:eastAsia="Arial" w:hAnsi="Arial"/>
          <w:sz w:val="20"/>
          <w:szCs w:val="20"/>
          <w:color w:val="auto"/>
        </w:rPr>
        <w:t>P.O. Box 1438</w:t>
      </w:r>
    </w:p>
    <w:p>
      <w:pPr>
        <w:spacing w:after="0" w:line="226" w:lineRule="auto"/>
        <w:rPr>
          <w:sz w:val="20"/>
          <w:szCs w:val="20"/>
          <w:color w:val="auto"/>
        </w:rPr>
      </w:pPr>
      <w:r>
        <w:rPr>
          <w:rFonts w:ascii="Arial" w:cs="Arial" w:eastAsia="Arial" w:hAnsi="Arial"/>
          <w:sz w:val="20"/>
          <w:szCs w:val="20"/>
          <w:color w:val="auto"/>
        </w:rPr>
        <w:t>Louisville, KY 40202</w:t>
      </w:r>
    </w:p>
    <w:p>
      <w:pPr>
        <w:spacing w:after="0"/>
        <w:rPr>
          <w:sz w:val="20"/>
          <w:szCs w:val="20"/>
          <w:color w:val="auto"/>
        </w:rPr>
      </w:pPr>
      <w:r>
        <w:rPr>
          <w:rFonts w:ascii="Arial" w:cs="Arial" w:eastAsia="Arial" w:hAnsi="Arial"/>
          <w:sz w:val="20"/>
          <w:szCs w:val="20"/>
          <w:u w:val="single" w:color="auto"/>
          <w:color w:val="auto"/>
        </w:rPr>
        <w:t>http://www.humana.com</w:t>
      </w:r>
    </w:p>
    <w:p>
      <w:pPr>
        <w:spacing w:after="0" w:line="200" w:lineRule="exact"/>
        <w:rPr>
          <w:sz w:val="20"/>
          <w:szCs w:val="20"/>
          <w:color w:val="auto"/>
        </w:rPr>
      </w:pPr>
    </w:p>
    <w:p>
      <w:pPr>
        <w:sectPr>
          <w:pgSz w:w="11900" w:h="16838" w:orient="portrait"/>
          <w:cols w:equalWidth="0" w:num="2">
            <w:col w:w="7300" w:space="720"/>
            <w:col w:w="3420"/>
          </w:cols>
          <w:pgMar w:left="240" w:top="585" w:right="21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104775</wp:posOffset>
            </wp:positionV>
            <wp:extent cx="1861185"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61185" cy="55753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20"/>
          <w:szCs w:val="20"/>
          <w:color w:val="auto"/>
        </w:rPr>
        <w:t>Amy Smith</w:t>
      </w:r>
    </w:p>
    <w:p>
      <w:pPr>
        <w:ind w:left="40"/>
        <w:spacing w:after="0" w:line="225" w:lineRule="auto"/>
        <w:rPr>
          <w:sz w:val="20"/>
          <w:szCs w:val="20"/>
          <w:color w:val="auto"/>
        </w:rPr>
      </w:pPr>
      <w:r>
        <w:rPr>
          <w:rFonts w:ascii="Arial" w:cs="Arial" w:eastAsia="Arial" w:hAnsi="Arial"/>
          <w:sz w:val="20"/>
          <w:szCs w:val="20"/>
          <w:color w:val="auto"/>
        </w:rPr>
        <w:t>Humana Investor Relations</w:t>
      </w:r>
    </w:p>
    <w:p>
      <w:pPr>
        <w:ind w:left="40"/>
        <w:spacing w:after="0" w:line="226" w:lineRule="auto"/>
        <w:rPr>
          <w:sz w:val="20"/>
          <w:szCs w:val="20"/>
          <w:color w:val="auto"/>
        </w:rPr>
      </w:pPr>
      <w:r>
        <w:rPr>
          <w:rFonts w:ascii="Arial" w:cs="Arial" w:eastAsia="Arial" w:hAnsi="Arial"/>
          <w:sz w:val="20"/>
          <w:szCs w:val="20"/>
          <w:color w:val="auto"/>
        </w:rPr>
        <w:t>(502) 580-2811</w:t>
      </w:r>
    </w:p>
    <w:p>
      <w:pPr>
        <w:ind w:left="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Amysmith@humana.com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Alex Kepnes</w:t>
      </w:r>
    </w:p>
    <w:p>
      <w:pPr>
        <w:spacing w:after="0"/>
        <w:rPr>
          <w:sz w:val="20"/>
          <w:szCs w:val="20"/>
          <w:color w:val="auto"/>
        </w:rPr>
      </w:pPr>
      <w:r>
        <w:rPr>
          <w:rFonts w:ascii="Arial" w:cs="Arial" w:eastAsia="Arial" w:hAnsi="Arial"/>
          <w:sz w:val="20"/>
          <w:szCs w:val="20"/>
          <w:color w:val="auto"/>
        </w:rPr>
        <w:t>Humana Corporate Communications</w:t>
      </w:r>
    </w:p>
    <w:p>
      <w:pPr>
        <w:spacing w:after="0"/>
        <w:rPr>
          <w:sz w:val="20"/>
          <w:szCs w:val="20"/>
          <w:color w:val="auto"/>
        </w:rPr>
      </w:pPr>
      <w:r>
        <w:rPr>
          <w:rFonts w:ascii="Arial" w:cs="Arial" w:eastAsia="Arial" w:hAnsi="Arial"/>
          <w:sz w:val="20"/>
          <w:szCs w:val="20"/>
          <w:color w:val="auto"/>
        </w:rPr>
        <w:t>(502) 580-2990</w:t>
      </w: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Akepnes@humana.com</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Humana Reports Second Quarter 2019 Financial Results;</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Raises Full Year 2019 EPS Guidance</w:t>
      </w:r>
    </w:p>
    <w:p>
      <w:pPr>
        <w:spacing w:after="0" w:line="329" w:lineRule="exact"/>
        <w:rPr>
          <w:sz w:val="20"/>
          <w:szCs w:val="20"/>
          <w:color w:val="auto"/>
        </w:rPr>
      </w:pPr>
    </w:p>
    <w:p>
      <w:pPr>
        <w:ind w:left="640" w:hanging="321"/>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2Q19 earnings per diluted common share (EPS) of $6.94 on a GAAP basis, $6.05 on an Adjusted basis</w:t>
      </w:r>
    </w:p>
    <w:p>
      <w:pPr>
        <w:spacing w:after="0" w:line="15" w:lineRule="exact"/>
        <w:rPr>
          <w:rFonts w:ascii="Arial" w:cs="Arial" w:eastAsia="Arial" w:hAnsi="Arial"/>
          <w:sz w:val="20"/>
          <w:szCs w:val="20"/>
          <w:color w:val="auto"/>
        </w:rPr>
      </w:pPr>
    </w:p>
    <w:p>
      <w:pPr>
        <w:ind w:left="640" w:right="460" w:hanging="321"/>
        <w:spacing w:after="0" w:line="239"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2019 EPS guidance raised to approximately $17.97 on a GAAP basis, approximately $17.60 on an Adjusted basis, representing 21 percent growth in 2019</w:t>
      </w:r>
    </w:p>
    <w:p>
      <w:pPr>
        <w:spacing w:after="0" w:line="1" w:lineRule="exact"/>
        <w:rPr>
          <w:rFonts w:ascii="Arial" w:cs="Arial" w:eastAsia="Arial" w:hAnsi="Arial"/>
          <w:sz w:val="20"/>
          <w:szCs w:val="20"/>
          <w:color w:val="auto"/>
        </w:rPr>
      </w:pPr>
    </w:p>
    <w:p>
      <w:pPr>
        <w:ind w:left="640" w:right="440" w:hanging="321"/>
        <w:spacing w:after="0" w:line="239"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Retail segment results continue to exceed management expectations driven by favorable utilization and higher revenue; Healthcare Services segment is also outperforming expectations</w:t>
      </w:r>
    </w:p>
    <w:p>
      <w:pPr>
        <w:spacing w:after="0" w:line="1" w:lineRule="exact"/>
        <w:rPr>
          <w:rFonts w:ascii="Arial" w:cs="Arial" w:eastAsia="Arial" w:hAnsi="Arial"/>
          <w:sz w:val="20"/>
          <w:szCs w:val="20"/>
          <w:color w:val="auto"/>
        </w:rPr>
      </w:pPr>
    </w:p>
    <w:p>
      <w:pPr>
        <w:ind w:left="640" w:right="220" w:hanging="321"/>
        <w:spacing w:after="0" w:line="250" w:lineRule="auto"/>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Increased expected full-year individual Medicare Advantage membership growth to a range of 480,000 to 500,000 members from the previous range of 415,000 to 440,000 members, representing approximately 16 percent growth in 2019</w:t>
      </w:r>
    </w:p>
    <w:p>
      <w:pPr>
        <w:spacing w:after="0" w:line="1" w:lineRule="exact"/>
        <w:rPr>
          <w:rFonts w:ascii="Arial" w:cs="Arial" w:eastAsia="Arial" w:hAnsi="Arial"/>
          <w:sz w:val="19"/>
          <w:szCs w:val="19"/>
          <w:color w:val="auto"/>
        </w:rPr>
      </w:pPr>
    </w:p>
    <w:p>
      <w:pPr>
        <w:ind w:left="660" w:hanging="328"/>
        <w:spacing w:after="0"/>
        <w:tabs>
          <w:tab w:leader="none" w:pos="660" w:val="left"/>
        </w:tabs>
        <w:numPr>
          <w:ilvl w:val="1"/>
          <w:numId w:val="2"/>
        </w:numPr>
        <w:rPr>
          <w:rFonts w:ascii="Arial" w:cs="Arial" w:eastAsia="Arial" w:hAnsi="Arial"/>
          <w:sz w:val="20"/>
          <w:szCs w:val="20"/>
          <w:color w:val="auto"/>
        </w:rPr>
      </w:pPr>
      <w:r>
        <w:rPr>
          <w:rFonts w:ascii="Arial" w:cs="Arial" w:eastAsia="Arial" w:hAnsi="Arial"/>
          <w:sz w:val="20"/>
          <w:szCs w:val="20"/>
          <w:color w:val="auto"/>
        </w:rPr>
        <w:t>Intends to initiate $1.00 billion accelerated share repurchase program after the market close</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b w:val="1"/>
          <w:bCs w:val="1"/>
          <w:color w:val="auto"/>
        </w:rPr>
        <w:t xml:space="preserve">LOUISVILLE, KY (July 31, 2019) </w:t>
      </w:r>
      <w:r>
        <w:rPr>
          <w:rFonts w:ascii="Arial" w:cs="Arial" w:eastAsia="Arial" w:hAnsi="Arial"/>
          <w:sz w:val="20"/>
          <w:szCs w:val="20"/>
          <w:color w:val="auto"/>
        </w:rPr>
        <w:t>– Humana Inc. (NYSE: HUM) today reported consolidated pretax income and diluted earnings</w:t>
      </w:r>
      <w:r>
        <w:rPr>
          <w:rFonts w:ascii="Arial" w:cs="Arial" w:eastAsia="Arial" w:hAnsi="Arial"/>
          <w:sz w:val="20"/>
          <w:szCs w:val="20"/>
          <w:b w:val="1"/>
          <w:bCs w:val="1"/>
          <w:color w:val="auto"/>
        </w:rPr>
        <w:t xml:space="preserve"> </w:t>
      </w:r>
      <w:r>
        <w:rPr>
          <w:rFonts w:ascii="Arial" w:cs="Arial" w:eastAsia="Arial" w:hAnsi="Arial"/>
          <w:sz w:val="20"/>
          <w:szCs w:val="20"/>
          <w:color w:val="auto"/>
        </w:rPr>
        <w:t>per common share (EPS) for the quarter ended June 30, 2019 (2Q19) versus the quarter ended June 30, 2018 (2Q18) and for the six months ended June 30, 2019 (YTD 2019) versus the six months ended June 30, 2018 (YTD 2018) as follows: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9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pretax income</w:t>
            </w:r>
          </w:p>
        </w:tc>
        <w:tc>
          <w:tcPr>
            <w:tcW w:w="340" w:type="dxa"/>
            <w:vAlign w:val="bottom"/>
            <w:tcBorders>
              <w:top w:val="single" w:sz="8" w:color="auto"/>
            </w:tcBorders>
            <w:shd w:val="clear" w:color="auto" w:fill="EAEAEA"/>
          </w:tcPr>
          <w:p>
            <w:pPr>
              <w:spacing w:after="0"/>
              <w:rPr>
                <w:sz w:val="19"/>
                <w:szCs w:val="19"/>
                <w:color w:val="auto"/>
              </w:rPr>
            </w:pPr>
          </w:p>
        </w:tc>
        <w:tc>
          <w:tcPr>
            <w:tcW w:w="660" w:type="dxa"/>
            <w:vAlign w:val="bottom"/>
            <w:tcBorders>
              <w:top w:val="single" w:sz="8" w:color="auto"/>
            </w:tcBorders>
            <w:vMerge w:val="restart"/>
            <w:shd w:val="clear" w:color="auto" w:fill="EAEAEA"/>
          </w:tcPr>
          <w:p>
            <w:pPr>
              <w:ind w:left="20"/>
              <w:spacing w:after="0"/>
              <w:rPr>
                <w:sz w:val="20"/>
                <w:szCs w:val="20"/>
                <w:color w:val="auto"/>
              </w:rPr>
            </w:pPr>
            <w:r>
              <w:rPr>
                <w:rFonts w:ascii="Arial" w:cs="Arial" w:eastAsia="Arial" w:hAnsi="Arial"/>
                <w:sz w:val="16"/>
                <w:szCs w:val="16"/>
                <w:b w:val="1"/>
                <w:bCs w:val="1"/>
                <w:color w:val="auto"/>
                <w:w w:val="98"/>
                <w:shd w:val="clear" w:color="auto" w:fill="EAEAEA"/>
              </w:rPr>
              <w:t>2Q19 (a)</w:t>
            </w:r>
          </w:p>
        </w:tc>
        <w:tc>
          <w:tcPr>
            <w:tcW w:w="380" w:type="dxa"/>
            <w:vAlign w:val="bottom"/>
            <w:tcBorders>
              <w:top w:val="single" w:sz="8" w:color="auto"/>
              <w:right w:val="single" w:sz="8" w:color="auto"/>
            </w:tcBorders>
            <w:shd w:val="clear" w:color="auto" w:fill="EAEAEA"/>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160" w:type="dxa"/>
            <w:vAlign w:val="bottom"/>
            <w:tcBorders>
              <w:top w:val="single" w:sz="8" w:color="auto"/>
            </w:tcBorders>
            <w:shd w:val="clear" w:color="auto" w:fill="EAEAEA"/>
          </w:tcPr>
          <w:p>
            <w:pPr>
              <w:spacing w:after="0"/>
              <w:rPr>
                <w:sz w:val="19"/>
                <w:szCs w:val="19"/>
                <w:color w:val="auto"/>
              </w:rPr>
            </w:pPr>
          </w:p>
        </w:tc>
        <w:tc>
          <w:tcPr>
            <w:tcW w:w="1000" w:type="dxa"/>
            <w:vAlign w:val="bottom"/>
            <w:tcBorders>
              <w:top w:val="single" w:sz="8" w:color="auto"/>
            </w:tcBorders>
            <w:vMerge w:val="restart"/>
            <w:shd w:val="clear" w:color="auto" w:fill="EAEAEA"/>
          </w:tcPr>
          <w:p>
            <w:pPr>
              <w:ind w:left="20"/>
              <w:spacing w:after="0"/>
              <w:rPr>
                <w:sz w:val="20"/>
                <w:szCs w:val="20"/>
                <w:color w:val="auto"/>
              </w:rPr>
            </w:pPr>
            <w:r>
              <w:rPr>
                <w:rFonts w:ascii="Arial" w:cs="Arial" w:eastAsia="Arial" w:hAnsi="Arial"/>
                <w:sz w:val="16"/>
                <w:szCs w:val="16"/>
                <w:b w:val="1"/>
                <w:bCs w:val="1"/>
                <w:color w:val="auto"/>
                <w:w w:val="99"/>
                <w:shd w:val="clear" w:color="auto" w:fill="EAEAEA"/>
              </w:rPr>
              <w:t>YTD 2019 (c)</w:t>
            </w:r>
          </w:p>
        </w:tc>
        <w:tc>
          <w:tcPr>
            <w:tcW w:w="180" w:type="dxa"/>
            <w:vAlign w:val="bottom"/>
            <w:tcBorders>
              <w:top w:val="single" w:sz="8" w:color="auto"/>
              <w:right w:val="single" w:sz="8" w:color="auto"/>
            </w:tcBorders>
            <w:shd w:val="clear" w:color="auto" w:fill="EAEAEA"/>
          </w:tcPr>
          <w:p>
            <w:pPr>
              <w:spacing w:after="0"/>
              <w:rPr>
                <w:sz w:val="19"/>
                <w:szCs w:val="19"/>
                <w:color w:val="auto"/>
              </w:rPr>
            </w:pPr>
          </w:p>
        </w:tc>
        <w:tc>
          <w:tcPr>
            <w:tcW w:w="13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bottom w:val="single" w:sz="8" w:color="EAEAEA"/>
            </w:tcBorders>
            <w:shd w:val="clear" w:color="auto" w:fill="EAEAEA"/>
          </w:tcPr>
          <w:p>
            <w:pPr>
              <w:spacing w:after="0"/>
              <w:rPr>
                <w:sz w:val="18"/>
                <w:szCs w:val="18"/>
                <w:color w:val="auto"/>
              </w:rPr>
            </w:pPr>
          </w:p>
        </w:tc>
        <w:tc>
          <w:tcPr>
            <w:tcW w:w="660" w:type="dxa"/>
            <w:vAlign w:val="bottom"/>
            <w:tcBorders>
              <w:bottom w:val="single" w:sz="8" w:color="EAEAEA"/>
            </w:tcBorders>
            <w:vMerge w:val="continue"/>
            <w:shd w:val="clear" w:color="auto" w:fill="EAEAEA"/>
          </w:tcPr>
          <w:p>
            <w:pPr>
              <w:spacing w:after="0"/>
              <w:rPr>
                <w:sz w:val="18"/>
                <w:szCs w:val="18"/>
                <w:color w:val="auto"/>
              </w:rPr>
            </w:pPr>
          </w:p>
        </w:tc>
        <w:tc>
          <w:tcPr>
            <w:tcW w:w="380" w:type="dxa"/>
            <w:vAlign w:val="bottom"/>
            <w:tcBorders>
              <w:bottom w:val="single" w:sz="8" w:color="EAEAEA"/>
              <w:right w:val="single" w:sz="8" w:color="auto"/>
            </w:tcBorders>
            <w:shd w:val="clear" w:color="auto" w:fill="EAEAEA"/>
          </w:tcPr>
          <w:p>
            <w:pPr>
              <w:spacing w:after="0"/>
              <w:rPr>
                <w:sz w:val="18"/>
                <w:szCs w:val="18"/>
                <w:color w:val="auto"/>
              </w:rPr>
            </w:pPr>
          </w:p>
        </w:tc>
        <w:tc>
          <w:tcPr>
            <w:tcW w:w="1380" w:type="dxa"/>
            <w:vAlign w:val="bottom"/>
            <w:tcBorders>
              <w:right w:val="single" w:sz="8" w:color="auto"/>
            </w:tcBorders>
          </w:tcPr>
          <w:p>
            <w:pPr>
              <w:jc w:val="right"/>
              <w:ind w:right="304"/>
              <w:spacing w:after="0"/>
              <w:rPr>
                <w:sz w:val="20"/>
                <w:szCs w:val="20"/>
                <w:color w:val="auto"/>
              </w:rPr>
            </w:pPr>
            <w:r>
              <w:rPr>
                <w:rFonts w:ascii="Arial" w:cs="Arial" w:eastAsia="Arial" w:hAnsi="Arial"/>
                <w:sz w:val="16"/>
                <w:szCs w:val="16"/>
                <w:color w:val="auto"/>
              </w:rPr>
              <w:t>2Q18 (b)</w:t>
            </w:r>
          </w:p>
        </w:tc>
        <w:tc>
          <w:tcPr>
            <w:tcW w:w="160" w:type="dxa"/>
            <w:vAlign w:val="bottom"/>
            <w:tcBorders>
              <w:bottom w:val="single" w:sz="8" w:color="EAEAEA"/>
            </w:tcBorders>
            <w:shd w:val="clear" w:color="auto" w:fill="EAEAEA"/>
          </w:tcPr>
          <w:p>
            <w:pPr>
              <w:spacing w:after="0"/>
              <w:rPr>
                <w:sz w:val="18"/>
                <w:szCs w:val="18"/>
                <w:color w:val="auto"/>
              </w:rPr>
            </w:pPr>
          </w:p>
        </w:tc>
        <w:tc>
          <w:tcPr>
            <w:tcW w:w="1000" w:type="dxa"/>
            <w:vAlign w:val="bottom"/>
            <w:tcBorders>
              <w:bottom w:val="single" w:sz="8" w:color="EAEAEA"/>
            </w:tcBorders>
            <w:vMerge w:val="continue"/>
            <w:shd w:val="clear" w:color="auto" w:fill="EAEAEA"/>
          </w:tcPr>
          <w:p>
            <w:pPr>
              <w:spacing w:after="0"/>
              <w:rPr>
                <w:sz w:val="18"/>
                <w:szCs w:val="18"/>
                <w:color w:val="auto"/>
              </w:rPr>
            </w:pPr>
          </w:p>
        </w:tc>
        <w:tc>
          <w:tcPr>
            <w:tcW w:w="180" w:type="dxa"/>
            <w:vAlign w:val="bottom"/>
            <w:tcBorders>
              <w:bottom w:val="single" w:sz="8" w:color="EAEAEA"/>
              <w:right w:val="single" w:sz="8" w:color="auto"/>
            </w:tcBorders>
            <w:shd w:val="clear" w:color="auto" w:fill="EAEAEA"/>
          </w:tcPr>
          <w:p>
            <w:pPr>
              <w:spacing w:after="0"/>
              <w:rPr>
                <w:sz w:val="18"/>
                <w:szCs w:val="18"/>
                <w:color w:val="auto"/>
              </w:rPr>
            </w:pPr>
          </w:p>
        </w:tc>
        <w:tc>
          <w:tcPr>
            <w:tcW w:w="1360" w:type="dxa"/>
            <w:vAlign w:val="bottom"/>
            <w:tcBorders>
              <w:right w:val="single" w:sz="8" w:color="auto"/>
            </w:tcBorders>
          </w:tcPr>
          <w:p>
            <w:pPr>
              <w:jc w:val="right"/>
              <w:ind w:right="124"/>
              <w:spacing w:after="0"/>
              <w:rPr>
                <w:sz w:val="20"/>
                <w:szCs w:val="20"/>
                <w:color w:val="auto"/>
              </w:rPr>
            </w:pPr>
            <w:r>
              <w:rPr>
                <w:rFonts w:ascii="Arial" w:cs="Arial" w:eastAsia="Arial" w:hAnsi="Arial"/>
                <w:sz w:val="16"/>
                <w:szCs w:val="16"/>
                <w:color w:val="auto"/>
              </w:rPr>
              <w:t>YTD 2018 (d)</w:t>
            </w:r>
          </w:p>
        </w:tc>
        <w:tc>
          <w:tcPr>
            <w:tcW w:w="0" w:type="dxa"/>
            <w:vAlign w:val="bottom"/>
          </w:tcPr>
          <w:p>
            <w:pPr>
              <w:spacing w:after="0"/>
              <w:rPr>
                <w:sz w:val="1"/>
                <w:szCs w:val="1"/>
                <w:color w:val="auto"/>
              </w:rPr>
            </w:pPr>
          </w:p>
        </w:tc>
      </w:tr>
      <w:tr>
        <w:trPr>
          <w:trHeight w:val="257"/>
        </w:trPr>
        <w:tc>
          <w:tcPr>
            <w:tcW w:w="59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Generally Accepted Accounting Principles (GAAP)</w:t>
            </w:r>
          </w:p>
        </w:tc>
        <w:tc>
          <w:tcPr>
            <w:tcW w:w="1380" w:type="dxa"/>
            <w:vAlign w:val="bottom"/>
            <w:tcBorders>
              <w:top w:val="single" w:sz="8" w:color="auto"/>
              <w:bottom w:val="single" w:sz="8" w:color="auto"/>
              <w:right w:val="single" w:sz="8" w:color="auto"/>
            </w:tcBorders>
            <w:gridSpan w:val="3"/>
            <w:shd w:val="clear" w:color="auto" w:fill="EAEAEA"/>
          </w:tcPr>
          <w:p>
            <w:pPr>
              <w:jc w:val="right"/>
              <w:ind w:right="68"/>
              <w:spacing w:after="0"/>
              <w:rPr>
                <w:sz w:val="20"/>
                <w:szCs w:val="20"/>
                <w:color w:val="auto"/>
              </w:rPr>
            </w:pPr>
            <w:r>
              <w:rPr>
                <w:rFonts w:ascii="Arial" w:cs="Arial" w:eastAsia="Arial" w:hAnsi="Arial"/>
                <w:sz w:val="16"/>
                <w:szCs w:val="16"/>
                <w:b w:val="1"/>
                <w:bCs w:val="1"/>
                <w:color w:val="auto"/>
              </w:rPr>
              <w:t>$1,229</w:t>
            </w:r>
          </w:p>
        </w:tc>
        <w:tc>
          <w:tcPr>
            <w:tcW w:w="1380" w:type="dxa"/>
            <w:vAlign w:val="bottom"/>
            <w:tcBorders>
              <w:top w:val="single" w:sz="8" w:color="auto"/>
              <w:bottom w:val="single" w:sz="8" w:color="auto"/>
              <w:right w:val="single" w:sz="8" w:color="auto"/>
            </w:tcBorders>
          </w:tcPr>
          <w:p>
            <w:pPr>
              <w:jc w:val="right"/>
              <w:ind w:right="44"/>
              <w:spacing w:after="0"/>
              <w:rPr>
                <w:sz w:val="20"/>
                <w:szCs w:val="20"/>
                <w:color w:val="auto"/>
              </w:rPr>
            </w:pPr>
            <w:r>
              <w:rPr>
                <w:rFonts w:ascii="Arial" w:cs="Arial" w:eastAsia="Arial" w:hAnsi="Arial"/>
                <w:sz w:val="16"/>
                <w:szCs w:val="16"/>
                <w:color w:val="auto"/>
              </w:rPr>
              <w:t>$19</w:t>
            </w:r>
          </w:p>
        </w:tc>
        <w:tc>
          <w:tcPr>
            <w:tcW w:w="1340" w:type="dxa"/>
            <w:vAlign w:val="bottom"/>
            <w:tcBorders>
              <w:top w:val="single" w:sz="8" w:color="auto"/>
              <w:bottom w:val="single" w:sz="8" w:color="auto"/>
              <w:right w:val="single" w:sz="8" w:color="auto"/>
            </w:tcBorders>
            <w:gridSpan w:val="3"/>
            <w:shd w:val="clear" w:color="auto" w:fill="EAEAEA"/>
          </w:tcPr>
          <w:p>
            <w:pPr>
              <w:jc w:val="right"/>
              <w:ind w:right="120"/>
              <w:spacing w:after="0"/>
              <w:rPr>
                <w:sz w:val="20"/>
                <w:szCs w:val="20"/>
                <w:color w:val="auto"/>
              </w:rPr>
            </w:pPr>
            <w:r>
              <w:rPr>
                <w:rFonts w:ascii="Arial" w:cs="Arial" w:eastAsia="Arial" w:hAnsi="Arial"/>
                <w:sz w:val="16"/>
                <w:szCs w:val="16"/>
                <w:b w:val="1"/>
                <w:bCs w:val="1"/>
                <w:color w:val="auto"/>
              </w:rPr>
              <w:t>$1,975</w:t>
            </w:r>
          </w:p>
        </w:tc>
        <w:tc>
          <w:tcPr>
            <w:tcW w:w="1360" w:type="dxa"/>
            <w:vAlign w:val="bottom"/>
            <w:tcBorders>
              <w:top w:val="single" w:sz="8" w:color="auto"/>
              <w:bottom w:val="single" w:sz="8" w:color="auto"/>
              <w:right w:val="single" w:sz="8" w:color="auto"/>
            </w:tcBorders>
          </w:tcPr>
          <w:p>
            <w:pPr>
              <w:jc w:val="right"/>
              <w:ind w:right="44"/>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380" w:type="dxa"/>
            <w:vAlign w:val="bottom"/>
            <w:tcBorders>
              <w:bottom w:val="single" w:sz="8" w:color="auto"/>
              <w:right w:val="single" w:sz="8" w:color="auto"/>
            </w:tcBorders>
            <w:gridSpan w:val="3"/>
            <w:shd w:val="clear" w:color="auto" w:fill="EAEAEA"/>
          </w:tcPr>
          <w:p>
            <w:pPr>
              <w:jc w:val="right"/>
              <w:ind w:right="68"/>
              <w:spacing w:after="0"/>
              <w:rPr>
                <w:sz w:val="20"/>
                <w:szCs w:val="20"/>
                <w:color w:val="auto"/>
              </w:rPr>
            </w:pPr>
            <w:r>
              <w:rPr>
                <w:rFonts w:ascii="Arial" w:cs="Arial" w:eastAsia="Arial" w:hAnsi="Arial"/>
                <w:sz w:val="14"/>
                <w:szCs w:val="14"/>
                <w:b w:val="1"/>
                <w:bCs w:val="1"/>
                <w:color w:val="auto"/>
              </w:rPr>
              <w:t>18</w:t>
            </w:r>
          </w:p>
        </w:tc>
        <w:tc>
          <w:tcPr>
            <w:tcW w:w="138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4"/>
                <w:szCs w:val="14"/>
                <w:color w:val="auto"/>
              </w:rPr>
              <w:t>21</w:t>
            </w:r>
          </w:p>
        </w:tc>
        <w:tc>
          <w:tcPr>
            <w:tcW w:w="1340" w:type="dxa"/>
            <w:vAlign w:val="bottom"/>
            <w:tcBorders>
              <w:bottom w:val="single" w:sz="8" w:color="auto"/>
              <w:right w:val="single" w:sz="8" w:color="auto"/>
            </w:tcBorders>
            <w:gridSpan w:val="3"/>
            <w:shd w:val="clear" w:color="auto" w:fill="EAEAEA"/>
          </w:tcPr>
          <w:p>
            <w:pPr>
              <w:jc w:val="right"/>
              <w:ind w:right="120"/>
              <w:spacing w:after="0"/>
              <w:rPr>
                <w:sz w:val="20"/>
                <w:szCs w:val="20"/>
                <w:color w:val="auto"/>
              </w:rPr>
            </w:pPr>
            <w:r>
              <w:rPr>
                <w:rFonts w:ascii="Arial" w:cs="Arial" w:eastAsia="Arial" w:hAnsi="Arial"/>
                <w:sz w:val="14"/>
                <w:szCs w:val="14"/>
                <w:b w:val="1"/>
                <w:bCs w:val="1"/>
                <w:color w:val="auto"/>
              </w:rPr>
              <w:t>36</w:t>
            </w:r>
          </w:p>
        </w:tc>
        <w:tc>
          <w:tcPr>
            <w:tcW w:w="136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7"/>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40% minority interest in Kindred at</w:t>
            </w:r>
          </w:p>
        </w:tc>
        <w:tc>
          <w:tcPr>
            <w:tcW w:w="340" w:type="dxa"/>
            <w:vAlign w:val="bottom"/>
            <w:shd w:val="clear" w:color="auto" w:fill="EAEAEA"/>
          </w:tcPr>
          <w:p>
            <w:pPr>
              <w:spacing w:after="0"/>
              <w:rPr>
                <w:sz w:val="18"/>
                <w:szCs w:val="18"/>
                <w:color w:val="auto"/>
              </w:rPr>
            </w:pPr>
          </w:p>
        </w:tc>
        <w:tc>
          <w:tcPr>
            <w:tcW w:w="660" w:type="dxa"/>
            <w:vAlign w:val="bottom"/>
            <w:shd w:val="clear" w:color="auto" w:fill="EAEAEA"/>
          </w:tcPr>
          <w:p>
            <w:pPr>
              <w:spacing w:after="0"/>
              <w:rPr>
                <w:sz w:val="18"/>
                <w:szCs w:val="18"/>
                <w:color w:val="auto"/>
              </w:rPr>
            </w:pPr>
          </w:p>
        </w:tc>
        <w:tc>
          <w:tcPr>
            <w:tcW w:w="380" w:type="dxa"/>
            <w:vAlign w:val="bottom"/>
            <w:tcBorders>
              <w:right w:val="single" w:sz="8" w:color="auto"/>
            </w:tcBorders>
            <w:shd w:val="clear" w:color="auto" w:fill="EAEAEA"/>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000" w:type="dxa"/>
            <w:vAlign w:val="bottom"/>
            <w:shd w:val="clear" w:color="auto" w:fill="EAEAEA"/>
          </w:tcPr>
          <w:p>
            <w:pPr>
              <w:spacing w:after="0"/>
              <w:rPr>
                <w:sz w:val="18"/>
                <w:szCs w:val="18"/>
                <w:color w:val="auto"/>
              </w:rPr>
            </w:pPr>
          </w:p>
        </w:tc>
        <w:tc>
          <w:tcPr>
            <w:tcW w:w="180" w:type="dxa"/>
            <w:vAlign w:val="bottom"/>
            <w:tcBorders>
              <w:right w:val="single" w:sz="8" w:color="auto"/>
            </w:tcBorders>
            <w:shd w:val="clear" w:color="auto" w:fill="EAEAEA"/>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Home</w:t>
            </w:r>
          </w:p>
        </w:tc>
        <w:tc>
          <w:tcPr>
            <w:tcW w:w="1380" w:type="dxa"/>
            <w:vAlign w:val="bottom"/>
            <w:tcBorders>
              <w:bottom w:val="single" w:sz="8" w:color="auto"/>
              <w:right w:val="single" w:sz="8" w:color="auto"/>
            </w:tcBorders>
            <w:gridSpan w:val="3"/>
            <w:shd w:val="clear" w:color="auto" w:fill="EAEAEA"/>
          </w:tcPr>
          <w:p>
            <w:pPr>
              <w:jc w:val="right"/>
              <w:ind w:right="68"/>
              <w:spacing w:after="0"/>
              <w:rPr>
                <w:sz w:val="20"/>
                <w:szCs w:val="20"/>
                <w:color w:val="auto"/>
              </w:rPr>
            </w:pPr>
            <w:r>
              <w:rPr>
                <w:rFonts w:ascii="Arial" w:cs="Arial" w:eastAsia="Arial" w:hAnsi="Arial"/>
                <w:sz w:val="14"/>
                <w:szCs w:val="14"/>
                <w:b w:val="1"/>
                <w:bCs w:val="1"/>
                <w:color w:val="auto"/>
              </w:rPr>
              <w:t>(174)</w:t>
            </w:r>
          </w:p>
        </w:tc>
        <w:tc>
          <w:tcPr>
            <w:tcW w:w="138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right w:val="single" w:sz="8" w:color="auto"/>
            </w:tcBorders>
            <w:gridSpan w:val="3"/>
            <w:shd w:val="clear" w:color="auto" w:fill="EAEAEA"/>
          </w:tcPr>
          <w:p>
            <w:pPr>
              <w:jc w:val="right"/>
              <w:ind w:right="120"/>
              <w:spacing w:after="0"/>
              <w:rPr>
                <w:sz w:val="20"/>
                <w:szCs w:val="20"/>
                <w:color w:val="auto"/>
              </w:rPr>
            </w:pPr>
            <w:r>
              <w:rPr>
                <w:rFonts w:ascii="Arial" w:cs="Arial" w:eastAsia="Arial" w:hAnsi="Arial"/>
                <w:sz w:val="14"/>
                <w:szCs w:val="14"/>
                <w:b w:val="1"/>
                <w:bCs w:val="1"/>
                <w:color w:val="auto"/>
              </w:rPr>
              <w:t>(135)</w:t>
            </w:r>
          </w:p>
        </w:tc>
        <w:tc>
          <w:tcPr>
            <w:tcW w:w="136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Loss on sale of KMG America Corporation (KMG), a wholly-owned subsidiary</w:t>
            </w:r>
          </w:p>
        </w:tc>
        <w:tc>
          <w:tcPr>
            <w:tcW w:w="340" w:type="dxa"/>
            <w:vAlign w:val="bottom"/>
            <w:tcBorders>
              <w:bottom w:val="single" w:sz="8" w:color="auto"/>
            </w:tcBorders>
            <w:shd w:val="clear" w:color="auto" w:fill="EAEAEA"/>
          </w:tcPr>
          <w:p>
            <w:pPr>
              <w:spacing w:after="0"/>
              <w:rPr>
                <w:sz w:val="20"/>
                <w:szCs w:val="20"/>
                <w:color w:val="auto"/>
              </w:rPr>
            </w:pPr>
          </w:p>
        </w:tc>
        <w:tc>
          <w:tcPr>
            <w:tcW w:w="660" w:type="dxa"/>
            <w:vAlign w:val="bottom"/>
            <w:tcBorders>
              <w:bottom w:val="single" w:sz="8" w:color="auto"/>
            </w:tcBorders>
            <w:shd w:val="clear" w:color="auto" w:fill="EAEAEA"/>
          </w:tcPr>
          <w:p>
            <w:pPr>
              <w:spacing w:after="0"/>
              <w:rPr>
                <w:sz w:val="20"/>
                <w:szCs w:val="20"/>
                <w:color w:val="auto"/>
              </w:rPr>
            </w:pPr>
          </w:p>
        </w:tc>
        <w:tc>
          <w:tcPr>
            <w:tcW w:w="380" w:type="dxa"/>
            <w:vAlign w:val="bottom"/>
            <w:tcBorders>
              <w:bottom w:val="single" w:sz="8" w:color="auto"/>
              <w:right w:val="single" w:sz="8" w:color="auto"/>
            </w:tcBorders>
            <w:shd w:val="clear" w:color="auto" w:fill="EAEAEA"/>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4"/>
                <w:szCs w:val="14"/>
                <w:color w:val="auto"/>
              </w:rPr>
              <w:t>790</w:t>
            </w:r>
          </w:p>
        </w:tc>
        <w:tc>
          <w:tcPr>
            <w:tcW w:w="160" w:type="dxa"/>
            <w:vAlign w:val="bottom"/>
            <w:tcBorders>
              <w:bottom w:val="single" w:sz="8" w:color="auto"/>
            </w:tcBorders>
            <w:shd w:val="clear" w:color="auto" w:fill="EAEAEA"/>
          </w:tcPr>
          <w:p>
            <w:pPr>
              <w:spacing w:after="0"/>
              <w:rPr>
                <w:sz w:val="20"/>
                <w:szCs w:val="20"/>
                <w:color w:val="auto"/>
              </w:rPr>
            </w:pPr>
          </w:p>
        </w:tc>
        <w:tc>
          <w:tcPr>
            <w:tcW w:w="1180" w:type="dxa"/>
            <w:vAlign w:val="bottom"/>
            <w:tcBorders>
              <w:bottom w:val="single" w:sz="8" w:color="auto"/>
              <w:right w:val="single" w:sz="8" w:color="auto"/>
            </w:tcBorders>
            <w:gridSpan w:val="2"/>
            <w:shd w:val="clear" w:color="auto" w:fill="EAEAEA"/>
          </w:tcPr>
          <w:p>
            <w:pPr>
              <w:jc w:val="right"/>
              <w:ind w:right="12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associated with the Individual Commercial segment</w:t>
            </w:r>
          </w:p>
        </w:tc>
        <w:tc>
          <w:tcPr>
            <w:tcW w:w="340" w:type="dxa"/>
            <w:vAlign w:val="bottom"/>
            <w:tcBorders>
              <w:bottom w:val="single" w:sz="8" w:color="auto"/>
            </w:tcBorders>
            <w:shd w:val="clear" w:color="auto" w:fill="EAEAEA"/>
          </w:tcPr>
          <w:p>
            <w:pPr>
              <w:spacing w:after="0"/>
              <w:rPr>
                <w:sz w:val="20"/>
                <w:szCs w:val="20"/>
                <w:color w:val="auto"/>
              </w:rPr>
            </w:pPr>
          </w:p>
        </w:tc>
        <w:tc>
          <w:tcPr>
            <w:tcW w:w="660" w:type="dxa"/>
            <w:vAlign w:val="bottom"/>
            <w:tcBorders>
              <w:bottom w:val="single" w:sz="8" w:color="auto"/>
            </w:tcBorders>
            <w:shd w:val="clear" w:color="auto" w:fill="EAEAEA"/>
          </w:tcPr>
          <w:p>
            <w:pPr>
              <w:spacing w:after="0"/>
              <w:rPr>
                <w:sz w:val="20"/>
                <w:szCs w:val="20"/>
                <w:color w:val="auto"/>
              </w:rPr>
            </w:pPr>
          </w:p>
        </w:tc>
        <w:tc>
          <w:tcPr>
            <w:tcW w:w="380" w:type="dxa"/>
            <w:vAlign w:val="bottom"/>
            <w:tcBorders>
              <w:bottom w:val="single" w:sz="8" w:color="auto"/>
              <w:right w:val="single" w:sz="8" w:color="auto"/>
            </w:tcBorders>
            <w:shd w:val="clear" w:color="auto" w:fill="EAEAEA"/>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4"/>
                <w:szCs w:val="14"/>
                <w:color w:val="auto"/>
              </w:rPr>
              <w:t>(18)</w:t>
            </w:r>
          </w:p>
        </w:tc>
        <w:tc>
          <w:tcPr>
            <w:tcW w:w="160" w:type="dxa"/>
            <w:vAlign w:val="bottom"/>
            <w:tcBorders>
              <w:bottom w:val="single" w:sz="8" w:color="auto"/>
            </w:tcBorders>
            <w:shd w:val="clear" w:color="auto" w:fill="EAEAEA"/>
          </w:tcPr>
          <w:p>
            <w:pPr>
              <w:spacing w:after="0"/>
              <w:rPr>
                <w:sz w:val="20"/>
                <w:szCs w:val="20"/>
                <w:color w:val="auto"/>
              </w:rPr>
            </w:pPr>
          </w:p>
        </w:tc>
        <w:tc>
          <w:tcPr>
            <w:tcW w:w="1180" w:type="dxa"/>
            <w:vAlign w:val="bottom"/>
            <w:tcBorders>
              <w:bottom w:val="single" w:sz="8" w:color="auto"/>
              <w:right w:val="single" w:sz="8" w:color="auto"/>
            </w:tcBorders>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63"/>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380" w:type="dxa"/>
            <w:vAlign w:val="bottom"/>
            <w:tcBorders>
              <w:bottom w:val="single" w:sz="8" w:color="auto"/>
              <w:right w:val="single" w:sz="8" w:color="auto"/>
            </w:tcBorders>
            <w:gridSpan w:val="3"/>
            <w:shd w:val="clear" w:color="auto" w:fill="EAEAEA"/>
          </w:tcPr>
          <w:p>
            <w:pPr>
              <w:jc w:val="right"/>
              <w:ind w:right="68"/>
              <w:spacing w:after="0"/>
              <w:rPr>
                <w:sz w:val="20"/>
                <w:szCs w:val="20"/>
                <w:color w:val="auto"/>
              </w:rPr>
            </w:pPr>
            <w:r>
              <w:rPr>
                <w:rFonts w:ascii="Arial" w:cs="Arial" w:eastAsia="Arial" w:hAnsi="Arial"/>
                <w:sz w:val="16"/>
                <w:szCs w:val="16"/>
                <w:b w:val="1"/>
                <w:bCs w:val="1"/>
                <w:color w:val="auto"/>
              </w:rPr>
              <w:t>$1,073</w:t>
            </w:r>
          </w:p>
        </w:tc>
        <w:tc>
          <w:tcPr>
            <w:tcW w:w="138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6"/>
                <w:szCs w:val="16"/>
                <w:color w:val="auto"/>
              </w:rPr>
              <w:t>$812</w:t>
            </w:r>
          </w:p>
        </w:tc>
        <w:tc>
          <w:tcPr>
            <w:tcW w:w="1340" w:type="dxa"/>
            <w:vAlign w:val="bottom"/>
            <w:tcBorders>
              <w:bottom w:val="single" w:sz="8" w:color="auto"/>
              <w:right w:val="single" w:sz="8" w:color="auto"/>
            </w:tcBorders>
            <w:gridSpan w:val="3"/>
            <w:shd w:val="clear" w:color="auto" w:fill="EAEAEA"/>
          </w:tcPr>
          <w:p>
            <w:pPr>
              <w:jc w:val="right"/>
              <w:ind w:right="120"/>
              <w:spacing w:after="0"/>
              <w:rPr>
                <w:sz w:val="20"/>
                <w:szCs w:val="20"/>
                <w:color w:val="auto"/>
              </w:rPr>
            </w:pPr>
            <w:r>
              <w:rPr>
                <w:rFonts w:ascii="Arial" w:cs="Arial" w:eastAsia="Arial" w:hAnsi="Arial"/>
                <w:sz w:val="16"/>
                <w:szCs w:val="16"/>
                <w:b w:val="1"/>
                <w:bCs w:val="1"/>
                <w:color w:val="auto"/>
              </w:rPr>
              <w:t>$1,876</w:t>
            </w:r>
          </w:p>
        </w:tc>
        <w:tc>
          <w:tcPr>
            <w:tcW w:w="136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40"/>
          </w:cols>
          <w:pgMar w:left="240" w:top="585" w:right="21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57"/>
        </w:trPr>
        <w:tc>
          <w:tcPr>
            <w:tcW w:w="59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Diluted earnings per common share (EPS)</w:t>
            </w:r>
          </w:p>
        </w:tc>
        <w:tc>
          <w:tcPr>
            <w:tcW w:w="1000" w:type="dxa"/>
            <w:vAlign w:val="bottom"/>
            <w:tcBorders>
              <w:top w:val="single" w:sz="8" w:color="auto"/>
              <w:bottom w:val="single" w:sz="8" w:color="EAEAEA"/>
            </w:tcBorders>
            <w:shd w:val="clear" w:color="auto" w:fill="EAEAEA"/>
          </w:tcPr>
          <w:p>
            <w:pPr>
              <w:ind w:left="360"/>
              <w:spacing w:after="0"/>
              <w:rPr>
                <w:sz w:val="20"/>
                <w:szCs w:val="20"/>
                <w:color w:val="auto"/>
              </w:rPr>
            </w:pPr>
            <w:r>
              <w:rPr>
                <w:rFonts w:ascii="Arial" w:cs="Arial" w:eastAsia="Arial" w:hAnsi="Arial"/>
                <w:sz w:val="16"/>
                <w:szCs w:val="16"/>
                <w:b w:val="1"/>
                <w:bCs w:val="1"/>
                <w:color w:val="auto"/>
                <w:w w:val="98"/>
                <w:shd w:val="clear" w:color="auto" w:fill="EAEAEA"/>
              </w:rPr>
              <w:t>2Q19 (a)</w:t>
            </w:r>
          </w:p>
        </w:tc>
        <w:tc>
          <w:tcPr>
            <w:tcW w:w="380" w:type="dxa"/>
            <w:vAlign w:val="bottom"/>
            <w:tcBorders>
              <w:top w:val="single" w:sz="8" w:color="auto"/>
              <w:bottom w:val="single" w:sz="8" w:color="EAEAEA"/>
              <w:right w:val="single" w:sz="8" w:color="auto"/>
            </w:tcBorders>
            <w:gridSpan w:val="2"/>
            <w:shd w:val="clear" w:color="auto" w:fill="EAEAEA"/>
          </w:tcPr>
          <w:p>
            <w:pPr>
              <w:spacing w:after="0"/>
              <w:rPr>
                <w:sz w:val="22"/>
                <w:szCs w:val="22"/>
                <w:color w:val="auto"/>
              </w:rPr>
            </w:pPr>
          </w:p>
        </w:tc>
        <w:tc>
          <w:tcPr>
            <w:tcW w:w="1380" w:type="dxa"/>
            <w:vAlign w:val="bottom"/>
            <w:tcBorders>
              <w:top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2Q18 (b)</w:t>
            </w:r>
          </w:p>
        </w:tc>
        <w:tc>
          <w:tcPr>
            <w:tcW w:w="160" w:type="dxa"/>
            <w:vAlign w:val="bottom"/>
            <w:tcBorders>
              <w:top w:val="single" w:sz="8" w:color="auto"/>
              <w:bottom w:val="single" w:sz="8" w:color="EAEAEA"/>
            </w:tcBorders>
            <w:shd w:val="clear" w:color="auto" w:fill="EAEAEA"/>
          </w:tcPr>
          <w:p>
            <w:pPr>
              <w:spacing w:after="0"/>
              <w:rPr>
                <w:sz w:val="22"/>
                <w:szCs w:val="22"/>
                <w:color w:val="auto"/>
              </w:rPr>
            </w:pPr>
          </w:p>
        </w:tc>
        <w:tc>
          <w:tcPr>
            <w:tcW w:w="10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b w:val="1"/>
                <w:bCs w:val="1"/>
                <w:color w:val="auto"/>
                <w:w w:val="99"/>
                <w:shd w:val="clear" w:color="auto" w:fill="EAEAEA"/>
              </w:rPr>
              <w:t>YTD 2019 (c)</w:t>
            </w:r>
          </w:p>
        </w:tc>
        <w:tc>
          <w:tcPr>
            <w:tcW w:w="120" w:type="dxa"/>
            <w:vAlign w:val="bottom"/>
            <w:tcBorders>
              <w:top w:val="single" w:sz="8" w:color="auto"/>
              <w:bottom w:val="single" w:sz="8" w:color="EAEAEA"/>
              <w:right w:val="single" w:sz="8" w:color="auto"/>
            </w:tcBorders>
            <w:shd w:val="clear" w:color="auto" w:fill="EAEAEA"/>
          </w:tcPr>
          <w:p>
            <w:pPr>
              <w:spacing w:after="0"/>
              <w:rPr>
                <w:sz w:val="22"/>
                <w:szCs w:val="22"/>
                <w:color w:val="auto"/>
              </w:rPr>
            </w:pPr>
          </w:p>
        </w:tc>
        <w:tc>
          <w:tcPr>
            <w:tcW w:w="1360" w:type="dxa"/>
            <w:vAlign w:val="bottom"/>
            <w:tcBorders>
              <w:top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YTD 2018 (d)</w:t>
            </w:r>
          </w:p>
        </w:tc>
        <w:tc>
          <w:tcPr>
            <w:tcW w:w="0" w:type="dxa"/>
            <w:vAlign w:val="bottom"/>
          </w:tcPr>
          <w:p>
            <w:pPr>
              <w:spacing w:after="0"/>
              <w:rPr>
                <w:sz w:val="1"/>
                <w:szCs w:val="1"/>
                <w:color w:val="auto"/>
              </w:rPr>
            </w:pPr>
          </w:p>
        </w:tc>
      </w:tr>
      <w:tr>
        <w:trPr>
          <w:trHeight w:val="257"/>
        </w:trPr>
        <w:tc>
          <w:tcPr>
            <w:tcW w:w="59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240" w:type="dxa"/>
            <w:vAlign w:val="bottom"/>
            <w:tcBorders>
              <w:top w:val="single" w:sz="8" w:color="auto"/>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$6.94</w:t>
            </w:r>
          </w:p>
        </w:tc>
        <w:tc>
          <w:tcPr>
            <w:tcW w:w="140" w:type="dxa"/>
            <w:vAlign w:val="bottom"/>
            <w:tcBorders>
              <w:top w:val="single" w:sz="8" w:color="auto"/>
              <w:bottom w:val="single" w:sz="8" w:color="auto"/>
              <w:right w:val="single" w:sz="8" w:color="auto"/>
            </w:tcBorders>
            <w:shd w:val="clear" w:color="auto" w:fill="EAEAEA"/>
          </w:tcPr>
          <w:p>
            <w:pPr>
              <w:spacing w:after="0"/>
              <w:rPr>
                <w:sz w:val="22"/>
                <w:szCs w:val="22"/>
                <w:color w:val="auto"/>
              </w:rPr>
            </w:pPr>
          </w:p>
        </w:tc>
        <w:tc>
          <w:tcPr>
            <w:tcW w:w="1380" w:type="dxa"/>
            <w:vAlign w:val="bottom"/>
            <w:tcBorders>
              <w:top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$1.39</w:t>
            </w:r>
          </w:p>
        </w:tc>
        <w:tc>
          <w:tcPr>
            <w:tcW w:w="1220" w:type="dxa"/>
            <w:vAlign w:val="bottom"/>
            <w:tcBorders>
              <w:top w:val="single" w:sz="8" w:color="auto"/>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$11.10</w:t>
            </w:r>
          </w:p>
        </w:tc>
        <w:tc>
          <w:tcPr>
            <w:tcW w:w="120" w:type="dxa"/>
            <w:vAlign w:val="bottom"/>
            <w:tcBorders>
              <w:top w:val="single" w:sz="8" w:color="auto"/>
              <w:bottom w:val="single" w:sz="8" w:color="auto"/>
              <w:right w:val="single" w:sz="8" w:color="auto"/>
            </w:tcBorders>
            <w:shd w:val="clear" w:color="auto" w:fill="EAEAEA"/>
          </w:tcPr>
          <w:p>
            <w:pPr>
              <w:spacing w:after="0"/>
              <w:rPr>
                <w:sz w:val="22"/>
                <w:szCs w:val="22"/>
                <w:color w:val="auto"/>
              </w:rPr>
            </w:pPr>
          </w:p>
        </w:tc>
        <w:tc>
          <w:tcPr>
            <w:tcW w:w="1360" w:type="dxa"/>
            <w:vAlign w:val="bottom"/>
            <w:tcBorders>
              <w:top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0.10</w:t>
            </w:r>
          </w:p>
        </w:tc>
        <w:tc>
          <w:tcPr>
            <w:tcW w:w="140" w:type="dxa"/>
            <w:vAlign w:val="bottom"/>
            <w:tcBorders>
              <w:bottom w:val="single" w:sz="8" w:color="auto"/>
              <w:right w:val="single" w:sz="8" w:color="auto"/>
            </w:tcBorders>
            <w:shd w:val="clear" w:color="auto" w:fill="EAEAEA"/>
          </w:tcPr>
          <w:p>
            <w:pPr>
              <w:spacing w:after="0"/>
              <w:rPr>
                <w:sz w:val="20"/>
                <w:szCs w:val="20"/>
                <w:color w:val="auto"/>
              </w:rPr>
            </w:pPr>
          </w:p>
        </w:tc>
        <w:tc>
          <w:tcPr>
            <w:tcW w:w="13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0.12</w:t>
            </w:r>
          </w:p>
        </w:tc>
        <w:tc>
          <w:tcPr>
            <w:tcW w:w="12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0.20</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18"/>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40% minority interest in Kindred at</w:t>
            </w:r>
          </w:p>
        </w:tc>
        <w:tc>
          <w:tcPr>
            <w:tcW w:w="1240" w:type="dxa"/>
            <w:vAlign w:val="bottom"/>
            <w:gridSpan w:val="2"/>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(0.99)</w:t>
            </w:r>
          </w:p>
        </w:tc>
        <w:tc>
          <w:tcPr>
            <w:tcW w:w="140" w:type="dxa"/>
            <w:vAlign w:val="bottom"/>
            <w:tcBorders>
              <w:right w:val="single" w:sz="8" w:color="auto"/>
            </w:tcBorders>
            <w:shd w:val="clear" w:color="auto" w:fill="EAEAEA"/>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20" w:type="dxa"/>
            <w:vAlign w:val="bottom"/>
            <w:gridSpan w:val="2"/>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(0.77)</w:t>
            </w:r>
          </w:p>
        </w:tc>
        <w:tc>
          <w:tcPr>
            <w:tcW w:w="120" w:type="dxa"/>
            <w:vAlign w:val="bottom"/>
            <w:tcBorders>
              <w:right w:val="single" w:sz="8" w:color="auto"/>
            </w:tcBorders>
            <w:shd w:val="clear" w:color="auto" w:fill="EAEAEA"/>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Home</w:t>
            </w:r>
          </w:p>
        </w:tc>
        <w:tc>
          <w:tcPr>
            <w:tcW w:w="1240" w:type="dxa"/>
            <w:vAlign w:val="bottom"/>
            <w:tcBorders>
              <w:bottom w:val="single" w:sz="8" w:color="auto"/>
            </w:tcBorders>
            <w:gridSpan w:val="2"/>
            <w:vMerge w:val="continue"/>
            <w:shd w:val="clear" w:color="auto" w:fill="EAEAEA"/>
          </w:tcPr>
          <w:p>
            <w:pPr>
              <w:spacing w:after="0"/>
              <w:rPr>
                <w:sz w:val="18"/>
                <w:szCs w:val="18"/>
                <w:color w:val="auto"/>
              </w:rPr>
            </w:pPr>
          </w:p>
        </w:tc>
        <w:tc>
          <w:tcPr>
            <w:tcW w:w="140" w:type="dxa"/>
            <w:vAlign w:val="bottom"/>
            <w:tcBorders>
              <w:bottom w:val="single" w:sz="8" w:color="auto"/>
              <w:right w:val="single" w:sz="8" w:color="auto"/>
            </w:tcBorders>
            <w:shd w:val="clear" w:color="auto" w:fill="EAEAEA"/>
          </w:tcPr>
          <w:p>
            <w:pPr>
              <w:spacing w:after="0"/>
              <w:rPr>
                <w:sz w:val="18"/>
                <w:szCs w:val="18"/>
                <w:color w:val="auto"/>
              </w:rPr>
            </w:pPr>
          </w:p>
        </w:tc>
        <w:tc>
          <w:tcPr>
            <w:tcW w:w="13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vMerge w:val="continue"/>
            <w:shd w:val="clear" w:color="auto" w:fill="EAEAEA"/>
          </w:tcPr>
          <w:p>
            <w:pPr>
              <w:spacing w:after="0"/>
              <w:rPr>
                <w:sz w:val="18"/>
                <w:szCs w:val="18"/>
                <w:color w:val="auto"/>
              </w:rPr>
            </w:pPr>
          </w:p>
        </w:tc>
        <w:tc>
          <w:tcPr>
            <w:tcW w:w="120" w:type="dxa"/>
            <w:vAlign w:val="bottom"/>
            <w:tcBorders>
              <w:bottom w:val="single" w:sz="8" w:color="auto"/>
              <w:right w:val="single" w:sz="8" w:color="auto"/>
            </w:tcBorders>
            <w:shd w:val="clear" w:color="auto" w:fill="EAEAEA"/>
          </w:tcPr>
          <w:p>
            <w:pPr>
              <w:spacing w:after="0"/>
              <w:rPr>
                <w:sz w:val="18"/>
                <w:szCs w:val="18"/>
                <w:color w:val="auto"/>
              </w:rPr>
            </w:pPr>
          </w:p>
        </w:tc>
        <w:tc>
          <w:tcPr>
            <w:tcW w:w="13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Loss on sale of KMG, a wholly-owned subsidiary</w:t>
            </w:r>
          </w:p>
        </w:tc>
        <w:tc>
          <w:tcPr>
            <w:tcW w:w="1000" w:type="dxa"/>
            <w:vAlign w:val="bottom"/>
            <w:tcBorders>
              <w:bottom w:val="single" w:sz="8" w:color="auto"/>
            </w:tcBorders>
            <w:shd w:val="clear" w:color="auto" w:fill="EAEAEA"/>
          </w:tcPr>
          <w:p>
            <w:pPr>
              <w:spacing w:after="0"/>
              <w:rPr>
                <w:sz w:val="20"/>
                <w:szCs w:val="20"/>
                <w:color w:val="auto"/>
              </w:rPr>
            </w:pPr>
          </w:p>
        </w:tc>
        <w:tc>
          <w:tcPr>
            <w:tcW w:w="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right w:val="single" w:sz="8" w:color="auto"/>
            </w:tcBorders>
            <w:shd w:val="clear" w:color="auto" w:fill="EAEAEA"/>
          </w:tcPr>
          <w:p>
            <w:pPr>
              <w:spacing w:after="0"/>
              <w:rPr>
                <w:sz w:val="20"/>
                <w:szCs w:val="20"/>
                <w:color w:val="auto"/>
              </w:rPr>
            </w:pPr>
          </w:p>
        </w:tc>
        <w:tc>
          <w:tcPr>
            <w:tcW w:w="13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2.59</w:t>
            </w:r>
          </w:p>
        </w:tc>
        <w:tc>
          <w:tcPr>
            <w:tcW w:w="160" w:type="dxa"/>
            <w:vAlign w:val="bottom"/>
            <w:tcBorders>
              <w:bottom w:val="single" w:sz="8" w:color="auto"/>
            </w:tcBorders>
            <w:shd w:val="clear" w:color="auto" w:fill="EAEAEA"/>
          </w:tcPr>
          <w:p>
            <w:pPr>
              <w:spacing w:after="0"/>
              <w:rPr>
                <w:sz w:val="20"/>
                <w:szCs w:val="20"/>
                <w:color w:val="auto"/>
              </w:rPr>
            </w:pPr>
          </w:p>
        </w:tc>
        <w:tc>
          <w:tcPr>
            <w:tcW w:w="10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associated with the Individual Commercial segment</w:t>
            </w:r>
          </w:p>
        </w:tc>
        <w:tc>
          <w:tcPr>
            <w:tcW w:w="1000" w:type="dxa"/>
            <w:vAlign w:val="bottom"/>
            <w:tcBorders>
              <w:bottom w:val="single" w:sz="8" w:color="auto"/>
            </w:tcBorders>
            <w:shd w:val="clear" w:color="auto" w:fill="EAEAEA"/>
          </w:tcPr>
          <w:p>
            <w:pPr>
              <w:spacing w:after="0"/>
              <w:rPr>
                <w:sz w:val="20"/>
                <w:szCs w:val="20"/>
                <w:color w:val="auto"/>
              </w:rPr>
            </w:pPr>
          </w:p>
        </w:tc>
        <w:tc>
          <w:tcPr>
            <w:tcW w:w="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right w:val="single" w:sz="8" w:color="auto"/>
            </w:tcBorders>
            <w:shd w:val="clear" w:color="auto" w:fill="EAEAEA"/>
          </w:tcPr>
          <w:p>
            <w:pPr>
              <w:spacing w:after="0"/>
              <w:rPr>
                <w:sz w:val="20"/>
                <w:szCs w:val="20"/>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60" w:type="dxa"/>
            <w:vAlign w:val="bottom"/>
            <w:tcBorders>
              <w:bottom w:val="single" w:sz="8" w:color="auto"/>
            </w:tcBorders>
            <w:shd w:val="clear" w:color="auto" w:fill="EAEAEA"/>
          </w:tcPr>
          <w:p>
            <w:pPr>
              <w:spacing w:after="0"/>
              <w:rPr>
                <w:sz w:val="20"/>
                <w:szCs w:val="20"/>
                <w:color w:val="auto"/>
              </w:rPr>
            </w:pPr>
          </w:p>
        </w:tc>
        <w:tc>
          <w:tcPr>
            <w:tcW w:w="10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18"/>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Adjustments to provisional estimates for the income tax effects related to the tax</w:t>
            </w:r>
          </w:p>
        </w:tc>
        <w:tc>
          <w:tcPr>
            <w:tcW w:w="1000" w:type="dxa"/>
            <w:vAlign w:val="bottom"/>
            <w:shd w:val="clear" w:color="auto" w:fill="EAEAEA"/>
          </w:tcPr>
          <w:p>
            <w:pPr>
              <w:spacing w:after="0"/>
              <w:rPr>
                <w:sz w:val="18"/>
                <w:szCs w:val="18"/>
                <w:color w:val="auto"/>
              </w:rPr>
            </w:pPr>
          </w:p>
        </w:tc>
        <w:tc>
          <w:tcPr>
            <w:tcW w:w="24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right w:val="single" w:sz="8" w:color="auto"/>
            </w:tcBorders>
            <w:shd w:val="clear" w:color="auto" w:fill="EAEAEA"/>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06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right w:val="single" w:sz="8" w:color="auto"/>
            </w:tcBorders>
            <w:shd w:val="clear" w:color="auto" w:fill="EAEAEA"/>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reform law enacted on December 22, 2017 (Tax Reform Law)</w:t>
            </w:r>
          </w:p>
        </w:tc>
        <w:tc>
          <w:tcPr>
            <w:tcW w:w="1000" w:type="dxa"/>
            <w:vAlign w:val="bottom"/>
            <w:tcBorders>
              <w:bottom w:val="single" w:sz="8" w:color="auto"/>
            </w:tcBorders>
            <w:shd w:val="clear" w:color="auto" w:fill="EAEAEA"/>
          </w:tcPr>
          <w:p>
            <w:pPr>
              <w:spacing w:after="0"/>
              <w:rPr>
                <w:sz w:val="18"/>
                <w:szCs w:val="18"/>
                <w:color w:val="auto"/>
              </w:rPr>
            </w:pPr>
          </w:p>
        </w:tc>
        <w:tc>
          <w:tcPr>
            <w:tcW w:w="240" w:type="dxa"/>
            <w:vAlign w:val="bottom"/>
            <w:tcBorders>
              <w:bottom w:val="single" w:sz="8" w:color="auto"/>
            </w:tcBorders>
            <w:vMerge w:val="continue"/>
            <w:shd w:val="clear" w:color="auto" w:fill="EAEAEA"/>
          </w:tcPr>
          <w:p>
            <w:pPr>
              <w:spacing w:after="0"/>
              <w:rPr>
                <w:sz w:val="18"/>
                <w:szCs w:val="18"/>
                <w:color w:val="auto"/>
              </w:rPr>
            </w:pPr>
          </w:p>
        </w:tc>
        <w:tc>
          <w:tcPr>
            <w:tcW w:w="140" w:type="dxa"/>
            <w:vAlign w:val="bottom"/>
            <w:tcBorders>
              <w:bottom w:val="single" w:sz="8" w:color="auto"/>
              <w:right w:val="single" w:sz="8" w:color="auto"/>
            </w:tcBorders>
            <w:shd w:val="clear" w:color="auto" w:fill="EAEAEA"/>
          </w:tcPr>
          <w:p>
            <w:pPr>
              <w:spacing w:after="0"/>
              <w:rPr>
                <w:sz w:val="18"/>
                <w:szCs w:val="18"/>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60" w:type="dxa"/>
            <w:vAlign w:val="bottom"/>
            <w:tcBorders>
              <w:bottom w:val="single" w:sz="8" w:color="auto"/>
            </w:tcBorders>
            <w:shd w:val="clear" w:color="auto" w:fill="EAEAEA"/>
          </w:tcPr>
          <w:p>
            <w:pPr>
              <w:spacing w:after="0"/>
              <w:rPr>
                <w:sz w:val="18"/>
                <w:szCs w:val="18"/>
                <w:color w:val="auto"/>
              </w:rPr>
            </w:pPr>
          </w:p>
        </w:tc>
        <w:tc>
          <w:tcPr>
            <w:tcW w:w="1060" w:type="dxa"/>
            <w:vAlign w:val="bottom"/>
            <w:tcBorders>
              <w:bottom w:val="single" w:sz="8" w:color="auto"/>
            </w:tcBorders>
            <w:vMerge w:val="continue"/>
            <w:shd w:val="clear" w:color="auto" w:fill="EAEAEA"/>
          </w:tcPr>
          <w:p>
            <w:pPr>
              <w:spacing w:after="0"/>
              <w:rPr>
                <w:sz w:val="18"/>
                <w:szCs w:val="18"/>
                <w:color w:val="auto"/>
              </w:rPr>
            </w:pPr>
          </w:p>
        </w:tc>
        <w:tc>
          <w:tcPr>
            <w:tcW w:w="120" w:type="dxa"/>
            <w:vAlign w:val="bottom"/>
            <w:tcBorders>
              <w:bottom w:val="single" w:sz="8" w:color="auto"/>
              <w:right w:val="single" w:sz="8" w:color="auto"/>
            </w:tcBorders>
            <w:shd w:val="clear" w:color="auto" w:fill="EAEAEA"/>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64"/>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$6.05</w:t>
            </w:r>
          </w:p>
        </w:tc>
        <w:tc>
          <w:tcPr>
            <w:tcW w:w="140" w:type="dxa"/>
            <w:vAlign w:val="bottom"/>
            <w:tcBorders>
              <w:bottom w:val="single" w:sz="8" w:color="auto"/>
              <w:right w:val="single" w:sz="8" w:color="auto"/>
            </w:tcBorders>
            <w:shd w:val="clear" w:color="auto" w:fill="EAEAEA"/>
          </w:tcPr>
          <w:p>
            <w:pPr>
              <w:spacing w:after="0"/>
              <w:rPr>
                <w:sz w:val="22"/>
                <w:szCs w:val="22"/>
                <w:color w:val="auto"/>
              </w:rPr>
            </w:pPr>
          </w:p>
        </w:tc>
        <w:tc>
          <w:tcPr>
            <w:tcW w:w="13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$3.96</w:t>
            </w:r>
          </w:p>
        </w:tc>
        <w:tc>
          <w:tcPr>
            <w:tcW w:w="12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$10.53</w:t>
            </w:r>
          </w:p>
        </w:tc>
        <w:tc>
          <w:tcPr>
            <w:tcW w:w="120" w:type="dxa"/>
            <w:vAlign w:val="bottom"/>
            <w:tcBorders>
              <w:bottom w:val="single" w:sz="8" w:color="auto"/>
              <w:right w:val="single" w:sz="8" w:color="auto"/>
            </w:tcBorders>
            <w:shd w:val="clear" w:color="auto" w:fill="EAEAEA"/>
          </w:tcPr>
          <w:p>
            <w:pPr>
              <w:spacing w:after="0"/>
              <w:rPr>
                <w:sz w:val="22"/>
                <w:szCs w:val="22"/>
                <w:color w:val="auto"/>
              </w:rPr>
            </w:pPr>
          </w:p>
        </w:tc>
        <w:tc>
          <w:tcPr>
            <w:tcW w:w="13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20"/>
          <w:szCs w:val="20"/>
          <w:color w:val="auto"/>
        </w:rPr>
        <w:t>"We are pleased to deliver strong results in a year Humana is experiencing the highest individual Medicare Advantage membership growth we have seen in the last decade, which is reflective of our operating discipline and execution, investments in our integrated care delivery strategy, and our relentless focus on creating a simple and personalized healthcare experience for our members,” said Bruce D. Broussard, Humana’s President and Chief Executive Officer. “Today, we are raising our full year 2019 individual MA membership growth guidance to a range of 480,000 to 500,000 members, representing approximately 16 percent growth in 2019. As the number of seniors choosing Medicare Advantage plans continues to rise, we will continue to work collaboratively with partners across the industry to advance a consumer-centric system that focuses on improving both health outcomes and the affordability of care.”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Summary of 2Q19 Results</w:t>
      </w:r>
    </w:p>
    <w:p>
      <w:pPr>
        <w:spacing w:after="0" w:line="240"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The 2Q19 and YTD 2019 consolidated GAAP and Adjusted pretax results and EPS reflect the continued execution of the company's strategy with the strong performance of its Medicare Advantage business and Healthcare Services segment. Both the quarter and the year-to-date (YTD) comparisons were further impacted by previously implemented productivity initiatives which have led to significant operating cost efficiencies in each of the company's segments. These year-over-year favorable impacts were partially offset by the lower Group and Specialty segment earnings.</w:t>
      </w:r>
    </w:p>
    <w:p>
      <w:pPr>
        <w:spacing w:after="0" w:line="209" w:lineRule="exact"/>
        <w:rPr>
          <w:sz w:val="20"/>
          <w:szCs w:val="20"/>
          <w:color w:val="auto"/>
        </w:rPr>
      </w:pPr>
    </w:p>
    <w:p>
      <w:pPr>
        <w:ind w:right="900"/>
        <w:spacing w:after="0" w:line="247" w:lineRule="auto"/>
        <w:rPr>
          <w:sz w:val="20"/>
          <w:szCs w:val="20"/>
          <w:color w:val="auto"/>
        </w:rPr>
      </w:pPr>
      <w:r>
        <w:rPr>
          <w:rFonts w:ascii="Arial" w:cs="Arial" w:eastAsia="Arial" w:hAnsi="Arial"/>
          <w:sz w:val="20"/>
          <w:szCs w:val="20"/>
          <w:color w:val="auto"/>
        </w:rPr>
        <w:t>Additionally, GAAP pretax and EPS year-over-year comparisons for both the quarter and YTD were impacted by the loss recognized on the sale of KMG, a wholly-owned subsidiary, in 2Q18.</w:t>
      </w:r>
    </w:p>
    <w:p>
      <w:pPr>
        <w:spacing w:after="0" w:line="202" w:lineRule="exact"/>
        <w:rPr>
          <w:sz w:val="20"/>
          <w:szCs w:val="20"/>
          <w:color w:val="auto"/>
        </w:rPr>
      </w:pPr>
    </w:p>
    <w:p>
      <w:pPr>
        <w:ind w:right="700"/>
        <w:spacing w:after="0" w:line="243" w:lineRule="auto"/>
        <w:rPr>
          <w:sz w:val="20"/>
          <w:szCs w:val="20"/>
          <w:color w:val="auto"/>
        </w:rPr>
      </w:pPr>
      <w:r>
        <w:rPr>
          <w:rFonts w:ascii="Arial" w:cs="Arial" w:eastAsia="Arial" w:hAnsi="Arial"/>
          <w:sz w:val="20"/>
          <w:szCs w:val="20"/>
          <w:color w:val="auto"/>
        </w:rPr>
        <w:t>The year-over-year changes in GAAP and Adjusted EPS for 2Q19 and YTD 2019 were further positively impacted by the suspension of the health insurance industry fee (HIF) in 2019, as well as a lower numbers of shares used to compute EPS, primarily reflective of share repurchases.</w:t>
      </w:r>
    </w:p>
    <w:p>
      <w:pPr>
        <w:spacing w:after="0" w:line="206" w:lineRule="exact"/>
        <w:rPr>
          <w:sz w:val="20"/>
          <w:szCs w:val="20"/>
          <w:color w:val="auto"/>
        </w:rPr>
      </w:pPr>
    </w:p>
    <w:p>
      <w:pPr>
        <w:jc w:val="both"/>
        <w:ind w:right="340"/>
        <w:spacing w:after="0" w:line="243" w:lineRule="auto"/>
        <w:rPr>
          <w:sz w:val="20"/>
          <w:szCs w:val="20"/>
          <w:color w:val="auto"/>
        </w:rPr>
      </w:pPr>
      <w:r>
        <w:rPr>
          <w:rFonts w:ascii="Arial" w:cs="Arial" w:eastAsia="Arial" w:hAnsi="Arial"/>
          <w:sz w:val="20"/>
          <w:szCs w:val="20"/>
          <w:color w:val="auto"/>
        </w:rPr>
        <w:t>Please refer to the consolidated and segment highlight sections in the detailed earnings release for additional discussion of the factors impacting year-over-year results. In addition, below is a summary of key consolidated and segment statistics comparing 2Q19 to 2Q18 and YTD 2019 to YTD 2018.</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40"/>
          </w:cols>
          <w:pgMar w:left="240" w:top="727" w:right="2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0"/>
        </w:trPr>
        <w:tc>
          <w:tcPr>
            <w:tcW w:w="4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Humana Inc. Summary of Quarterly and YTD</w:t>
            </w:r>
          </w:p>
        </w:tc>
        <w:tc>
          <w:tcPr>
            <w:tcW w:w="1660" w:type="dxa"/>
            <w:vAlign w:val="bottom"/>
            <w:tcBorders>
              <w:top w:val="single" w:sz="8" w:color="auto"/>
            </w:tcBorders>
            <w:shd w:val="clear" w:color="auto" w:fill="EAEAEA"/>
          </w:tcPr>
          <w:p>
            <w:pPr>
              <w:spacing w:after="0"/>
              <w:rPr>
                <w:sz w:val="19"/>
                <w:szCs w:val="19"/>
                <w:color w:val="auto"/>
              </w:rPr>
            </w:pPr>
          </w:p>
        </w:tc>
        <w:tc>
          <w:tcPr>
            <w:tcW w:w="180" w:type="dxa"/>
            <w:vAlign w:val="bottom"/>
            <w:tcBorders>
              <w:top w:val="single" w:sz="8" w:color="auto"/>
              <w:right w:val="single" w:sz="8" w:color="auto"/>
            </w:tcBorders>
            <w:shd w:val="clear" w:color="auto" w:fill="EAEAEA"/>
          </w:tcPr>
          <w:p>
            <w:pPr>
              <w:spacing w:after="0"/>
              <w:rPr>
                <w:sz w:val="19"/>
                <w:szCs w:val="19"/>
                <w:color w:val="auto"/>
              </w:rPr>
            </w:pPr>
          </w:p>
        </w:tc>
        <w:tc>
          <w:tcPr>
            <w:tcW w:w="186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shd w:val="clear" w:color="auto" w:fill="EAEAEA"/>
          </w:tcPr>
          <w:p>
            <w:pPr>
              <w:spacing w:after="0"/>
              <w:rPr>
                <w:sz w:val="19"/>
                <w:szCs w:val="19"/>
                <w:color w:val="auto"/>
              </w:rPr>
            </w:pPr>
          </w:p>
        </w:tc>
        <w:tc>
          <w:tcPr>
            <w:tcW w:w="1580" w:type="dxa"/>
            <w:vAlign w:val="bottom"/>
            <w:tcBorders>
              <w:top w:val="single" w:sz="8" w:color="auto"/>
            </w:tcBorders>
            <w:shd w:val="clear" w:color="auto" w:fill="EAEAEA"/>
          </w:tcPr>
          <w:p>
            <w:pPr>
              <w:spacing w:after="0"/>
              <w:rPr>
                <w:sz w:val="19"/>
                <w:szCs w:val="19"/>
                <w:color w:val="auto"/>
              </w:rPr>
            </w:pPr>
          </w:p>
        </w:tc>
        <w:tc>
          <w:tcPr>
            <w:tcW w:w="180" w:type="dxa"/>
            <w:vAlign w:val="bottom"/>
            <w:tcBorders>
              <w:top w:val="single" w:sz="8" w:color="auto"/>
              <w:right w:val="single" w:sz="8" w:color="auto"/>
            </w:tcBorders>
            <w:shd w:val="clear" w:color="auto" w:fill="EAEAEA"/>
          </w:tcPr>
          <w:p>
            <w:pPr>
              <w:spacing w:after="0"/>
              <w:rPr>
                <w:sz w:val="19"/>
                <w:szCs w:val="19"/>
                <w:color w:val="auto"/>
              </w:rPr>
            </w:pPr>
          </w:p>
        </w:tc>
        <w:tc>
          <w:tcPr>
            <w:tcW w:w="1860" w:type="dxa"/>
            <w:vAlign w:val="bottom"/>
            <w:tcBorders>
              <w:top w:val="single" w:sz="8" w:color="auto"/>
              <w:right w:val="single" w:sz="8" w:color="auto"/>
            </w:tcBorders>
          </w:tcPr>
          <w:p>
            <w:pPr>
              <w:spacing w:after="0"/>
              <w:rPr>
                <w:sz w:val="19"/>
                <w:szCs w:val="19"/>
                <w:color w:val="auto"/>
              </w:rPr>
            </w:pPr>
          </w:p>
        </w:tc>
      </w:tr>
      <w:tr>
        <w:trPr>
          <w:trHeight w:val="225"/>
        </w:trPr>
        <w:tc>
          <w:tcPr>
            <w:tcW w:w="4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Results</w:t>
            </w:r>
          </w:p>
        </w:tc>
        <w:tc>
          <w:tcPr>
            <w:tcW w:w="1660" w:type="dxa"/>
            <w:vAlign w:val="bottom"/>
            <w:shd w:val="clear" w:color="auto" w:fill="EAEAEA"/>
          </w:tcPr>
          <w:p>
            <w:pPr>
              <w:spacing w:after="0"/>
              <w:rPr>
                <w:sz w:val="19"/>
                <w:szCs w:val="19"/>
                <w:color w:val="auto"/>
              </w:rPr>
            </w:pPr>
          </w:p>
        </w:tc>
        <w:tc>
          <w:tcPr>
            <w:tcW w:w="180" w:type="dxa"/>
            <w:vAlign w:val="bottom"/>
            <w:tcBorders>
              <w:right w:val="single" w:sz="8" w:color="auto"/>
            </w:tcBorders>
            <w:shd w:val="clear" w:color="auto" w:fill="EAEAEA"/>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580" w:type="dxa"/>
            <w:vAlign w:val="bottom"/>
            <w:shd w:val="clear" w:color="auto" w:fill="EAEAEA"/>
          </w:tcPr>
          <w:p>
            <w:pPr>
              <w:spacing w:after="0"/>
              <w:rPr>
                <w:sz w:val="19"/>
                <w:szCs w:val="19"/>
                <w:color w:val="auto"/>
              </w:rPr>
            </w:pPr>
          </w:p>
        </w:tc>
        <w:tc>
          <w:tcPr>
            <w:tcW w:w="180" w:type="dxa"/>
            <w:vAlign w:val="bottom"/>
            <w:tcBorders>
              <w:right w:val="single" w:sz="8" w:color="auto"/>
            </w:tcBorders>
            <w:shd w:val="clear" w:color="auto" w:fill="EAEAEA"/>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r>
      <w:tr>
        <w:trPr>
          <w:trHeight w:val="216"/>
        </w:trPr>
        <w:tc>
          <w:tcPr>
            <w:tcW w:w="4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(dollars in millions, except per share amounts)</w:t>
            </w:r>
          </w:p>
        </w:tc>
        <w:tc>
          <w:tcPr>
            <w:tcW w:w="1660" w:type="dxa"/>
            <w:vAlign w:val="bottom"/>
            <w:tcBorders>
              <w:bottom w:val="single" w:sz="8" w:color="EAEAEA"/>
            </w:tcBorders>
            <w:shd w:val="clear" w:color="auto" w:fill="EAEAEA"/>
          </w:tcPr>
          <w:p>
            <w:pPr>
              <w:ind w:left="600"/>
              <w:spacing w:after="0"/>
              <w:rPr>
                <w:sz w:val="20"/>
                <w:szCs w:val="20"/>
                <w:color w:val="auto"/>
              </w:rPr>
            </w:pPr>
            <w:r>
              <w:rPr>
                <w:rFonts w:ascii="Arial" w:cs="Arial" w:eastAsia="Arial" w:hAnsi="Arial"/>
                <w:sz w:val="16"/>
                <w:szCs w:val="16"/>
                <w:color w:val="auto"/>
                <w:shd w:val="clear" w:color="auto" w:fill="EAEAEA"/>
              </w:rPr>
              <w:t>2Q19 (a)</w:t>
            </w:r>
          </w:p>
        </w:tc>
        <w:tc>
          <w:tcPr>
            <w:tcW w:w="180" w:type="dxa"/>
            <w:vAlign w:val="bottom"/>
            <w:tcBorders>
              <w:bottom w:val="single" w:sz="8" w:color="EAEAEA"/>
              <w:right w:val="single" w:sz="8" w:color="auto"/>
            </w:tcBorders>
            <w:shd w:val="clear" w:color="auto" w:fill="EAEAEA"/>
          </w:tcPr>
          <w:p>
            <w:pPr>
              <w:spacing w:after="0"/>
              <w:rPr>
                <w:sz w:val="18"/>
                <w:szCs w:val="18"/>
                <w:color w:val="auto"/>
              </w:rPr>
            </w:pPr>
          </w:p>
        </w:tc>
        <w:tc>
          <w:tcPr>
            <w:tcW w:w="1860" w:type="dxa"/>
            <w:vAlign w:val="bottom"/>
            <w:tcBorders>
              <w:right w:val="single" w:sz="8" w:color="auto"/>
            </w:tcBorders>
          </w:tcPr>
          <w:p>
            <w:pPr>
              <w:jc w:val="right"/>
              <w:ind w:right="539"/>
              <w:spacing w:after="0"/>
              <w:rPr>
                <w:sz w:val="20"/>
                <w:szCs w:val="20"/>
                <w:color w:val="auto"/>
              </w:rPr>
            </w:pPr>
            <w:r>
              <w:rPr>
                <w:rFonts w:ascii="Arial" w:cs="Arial" w:eastAsia="Arial" w:hAnsi="Arial"/>
                <w:sz w:val="16"/>
                <w:szCs w:val="16"/>
                <w:color w:val="auto"/>
              </w:rPr>
              <w:t>2Q18 (b)</w:t>
            </w:r>
          </w:p>
        </w:tc>
        <w:tc>
          <w:tcPr>
            <w:tcW w:w="80" w:type="dxa"/>
            <w:vAlign w:val="bottom"/>
            <w:tcBorders>
              <w:bottom w:val="single" w:sz="8" w:color="EAEAEA"/>
            </w:tcBorders>
            <w:shd w:val="clear" w:color="auto" w:fill="EAEAEA"/>
          </w:tcPr>
          <w:p>
            <w:pPr>
              <w:spacing w:after="0"/>
              <w:rPr>
                <w:sz w:val="18"/>
                <w:szCs w:val="18"/>
                <w:color w:val="auto"/>
              </w:rPr>
            </w:pPr>
          </w:p>
        </w:tc>
        <w:tc>
          <w:tcPr>
            <w:tcW w:w="1580" w:type="dxa"/>
            <w:vAlign w:val="bottom"/>
            <w:tcBorders>
              <w:bottom w:val="single" w:sz="8" w:color="EAEAEA"/>
            </w:tcBorders>
            <w:shd w:val="clear" w:color="auto" w:fill="EAEAEA"/>
          </w:tcPr>
          <w:p>
            <w:pPr>
              <w:jc w:val="right"/>
              <w:ind w:right="179"/>
              <w:spacing w:after="0"/>
              <w:rPr>
                <w:sz w:val="20"/>
                <w:szCs w:val="20"/>
                <w:color w:val="auto"/>
              </w:rPr>
            </w:pPr>
            <w:r>
              <w:rPr>
                <w:rFonts w:ascii="Arial" w:cs="Arial" w:eastAsia="Arial" w:hAnsi="Arial"/>
                <w:sz w:val="16"/>
                <w:szCs w:val="16"/>
                <w:color w:val="auto"/>
                <w:shd w:val="clear" w:color="auto" w:fill="EAEAEA"/>
              </w:rPr>
              <w:t>YTD 2019 (c)</w:t>
            </w:r>
          </w:p>
        </w:tc>
        <w:tc>
          <w:tcPr>
            <w:tcW w:w="180" w:type="dxa"/>
            <w:vAlign w:val="bottom"/>
            <w:tcBorders>
              <w:bottom w:val="single" w:sz="8" w:color="EAEAEA"/>
              <w:right w:val="single" w:sz="8" w:color="auto"/>
            </w:tcBorders>
            <w:shd w:val="clear" w:color="auto" w:fill="EAEAEA"/>
          </w:tcPr>
          <w:p>
            <w:pPr>
              <w:spacing w:after="0"/>
              <w:rPr>
                <w:sz w:val="18"/>
                <w:szCs w:val="18"/>
                <w:color w:val="auto"/>
              </w:rPr>
            </w:pPr>
          </w:p>
        </w:tc>
        <w:tc>
          <w:tcPr>
            <w:tcW w:w="1860" w:type="dxa"/>
            <w:vAlign w:val="bottom"/>
            <w:tcBorders>
              <w:right w:val="single" w:sz="8" w:color="auto"/>
            </w:tcBorders>
          </w:tcPr>
          <w:p>
            <w:pPr>
              <w:jc w:val="right"/>
              <w:ind w:right="379"/>
              <w:spacing w:after="0"/>
              <w:rPr>
                <w:sz w:val="20"/>
                <w:szCs w:val="20"/>
                <w:color w:val="auto"/>
              </w:rPr>
            </w:pPr>
            <w:r>
              <w:rPr>
                <w:rFonts w:ascii="Arial" w:cs="Arial" w:eastAsia="Arial" w:hAnsi="Arial"/>
                <w:sz w:val="16"/>
                <w:szCs w:val="16"/>
                <w:color w:val="auto"/>
              </w:rPr>
              <w:t>YTD 2018 (d)</w:t>
            </w:r>
          </w:p>
        </w:tc>
      </w:tr>
      <w:tr>
        <w:trPr>
          <w:trHeight w:val="242"/>
        </w:trPr>
        <w:tc>
          <w:tcPr>
            <w:tcW w:w="4040" w:type="dxa"/>
            <w:vAlign w:val="bottom"/>
            <w:tcBorders>
              <w:top w:val="single" w:sz="8" w:color="auto"/>
              <w:left w:val="single" w:sz="8" w:color="auto"/>
              <w:bottom w:val="single" w:sz="8" w:color="EAEAEA"/>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shd w:val="clear" w:color="auto" w:fill="EAEAEA"/>
              </w:rPr>
              <w:t>Consolidated results:</w:t>
            </w:r>
          </w:p>
        </w:tc>
        <w:tc>
          <w:tcPr>
            <w:tcW w:w="1660" w:type="dxa"/>
            <w:vAlign w:val="bottom"/>
            <w:tcBorders>
              <w:top w:val="single" w:sz="8" w:color="auto"/>
              <w:bottom w:val="single" w:sz="8" w:color="EAEAEA"/>
            </w:tcBorders>
            <w:shd w:val="clear" w:color="auto" w:fill="EAEAEA"/>
          </w:tcPr>
          <w:p>
            <w:pPr>
              <w:spacing w:after="0"/>
              <w:rPr>
                <w:sz w:val="20"/>
                <w:szCs w:val="20"/>
                <w:color w:val="auto"/>
              </w:rPr>
            </w:pPr>
          </w:p>
        </w:tc>
        <w:tc>
          <w:tcPr>
            <w:tcW w:w="180" w:type="dxa"/>
            <w:vAlign w:val="bottom"/>
            <w:tcBorders>
              <w:top w:val="single" w:sz="8" w:color="auto"/>
              <w:bottom w:val="single" w:sz="8" w:color="EAEAEA"/>
              <w:right w:val="single" w:sz="8" w:color="auto"/>
            </w:tcBorders>
            <w:shd w:val="clear" w:color="auto" w:fill="EAEAEA"/>
          </w:tcPr>
          <w:p>
            <w:pPr>
              <w:spacing w:after="0"/>
              <w:rPr>
                <w:sz w:val="20"/>
                <w:szCs w:val="20"/>
                <w:color w:val="auto"/>
              </w:rPr>
            </w:pPr>
          </w:p>
        </w:tc>
        <w:tc>
          <w:tcPr>
            <w:tcW w:w="1860" w:type="dxa"/>
            <w:vAlign w:val="bottom"/>
            <w:tcBorders>
              <w:top w:val="single" w:sz="8" w:color="auto"/>
              <w:bottom w:val="single" w:sz="8" w:color="EAEAEA"/>
              <w:right w:val="single" w:sz="8" w:color="auto"/>
            </w:tcBorders>
            <w:shd w:val="clear" w:color="auto" w:fill="EAEAEA"/>
          </w:tcPr>
          <w:p>
            <w:pPr>
              <w:spacing w:after="0"/>
              <w:rPr>
                <w:sz w:val="20"/>
                <w:szCs w:val="20"/>
                <w:color w:val="auto"/>
              </w:rPr>
            </w:pPr>
          </w:p>
        </w:tc>
        <w:tc>
          <w:tcPr>
            <w:tcW w:w="80" w:type="dxa"/>
            <w:vAlign w:val="bottom"/>
            <w:tcBorders>
              <w:top w:val="single" w:sz="8" w:color="auto"/>
              <w:bottom w:val="single" w:sz="8" w:color="EAEAEA"/>
            </w:tcBorders>
            <w:shd w:val="clear" w:color="auto" w:fill="EAEAEA"/>
          </w:tcPr>
          <w:p>
            <w:pPr>
              <w:spacing w:after="0"/>
              <w:rPr>
                <w:sz w:val="20"/>
                <w:szCs w:val="20"/>
                <w:color w:val="auto"/>
              </w:rPr>
            </w:pPr>
          </w:p>
        </w:tc>
        <w:tc>
          <w:tcPr>
            <w:tcW w:w="1580" w:type="dxa"/>
            <w:vAlign w:val="bottom"/>
            <w:tcBorders>
              <w:top w:val="single" w:sz="8" w:color="auto"/>
              <w:bottom w:val="single" w:sz="8" w:color="EAEAEA"/>
            </w:tcBorders>
            <w:shd w:val="clear" w:color="auto" w:fill="EAEAEA"/>
          </w:tcPr>
          <w:p>
            <w:pPr>
              <w:spacing w:after="0"/>
              <w:rPr>
                <w:sz w:val="20"/>
                <w:szCs w:val="20"/>
                <w:color w:val="auto"/>
              </w:rPr>
            </w:pPr>
          </w:p>
        </w:tc>
        <w:tc>
          <w:tcPr>
            <w:tcW w:w="180" w:type="dxa"/>
            <w:vAlign w:val="bottom"/>
            <w:tcBorders>
              <w:top w:val="single" w:sz="8" w:color="auto"/>
              <w:bottom w:val="single" w:sz="8" w:color="EAEAEA"/>
              <w:right w:val="single" w:sz="8" w:color="auto"/>
            </w:tcBorders>
            <w:shd w:val="clear" w:color="auto" w:fill="EAEAEA"/>
          </w:tcPr>
          <w:p>
            <w:pPr>
              <w:spacing w:after="0"/>
              <w:rPr>
                <w:sz w:val="20"/>
                <w:szCs w:val="20"/>
                <w:color w:val="auto"/>
              </w:rPr>
            </w:pPr>
          </w:p>
        </w:tc>
        <w:tc>
          <w:tcPr>
            <w:tcW w:w="1860" w:type="dxa"/>
            <w:vAlign w:val="bottom"/>
            <w:tcBorders>
              <w:top w:val="single" w:sz="8" w:color="auto"/>
              <w:bottom w:val="single" w:sz="8" w:color="EAEAEA"/>
              <w:right w:val="single" w:sz="8" w:color="auto"/>
            </w:tcBorders>
            <w:shd w:val="clear" w:color="auto" w:fill="EAEAEA"/>
          </w:tcPr>
          <w:p>
            <w:pPr>
              <w:spacing w:after="0"/>
              <w:rPr>
                <w:sz w:val="20"/>
                <w:szCs w:val="20"/>
                <w:color w:val="auto"/>
              </w:rPr>
            </w:pPr>
          </w:p>
        </w:tc>
      </w:tr>
      <w:tr>
        <w:trPr>
          <w:trHeight w:val="230"/>
        </w:trPr>
        <w:tc>
          <w:tcPr>
            <w:tcW w:w="40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40" w:type="dxa"/>
            <w:vAlign w:val="bottom"/>
            <w:tcBorders>
              <w:top w:val="single" w:sz="8" w:color="auto"/>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$16,245</w:t>
            </w:r>
          </w:p>
        </w:tc>
        <w:tc>
          <w:tcPr>
            <w:tcW w:w="18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$14,259</w:t>
            </w:r>
          </w:p>
        </w:tc>
        <w:tc>
          <w:tcPr>
            <w:tcW w:w="1840" w:type="dxa"/>
            <w:vAlign w:val="bottom"/>
            <w:tcBorders>
              <w:top w:val="single" w:sz="8" w:color="auto"/>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$32,352</w:t>
            </w:r>
          </w:p>
        </w:tc>
        <w:tc>
          <w:tcPr>
            <w:tcW w:w="18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$28,538</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Adjusted</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$16,245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$14,249</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$32,352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$28,533</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Pretax income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$1,229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$1,975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$726</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Pretax income - Adjusted</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$1,073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$1,876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$1,496</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EPS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$6.94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$11.10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$4.93</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EPS - Adjusted</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$6.05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$10.53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$7.32</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84.4%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84.1%</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85.3%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84.3%</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Adjusted</w:t>
            </w:r>
          </w:p>
        </w:tc>
        <w:tc>
          <w:tcPr>
            <w:tcW w:w="184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84.4%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18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85.3%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84.6%</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4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10.6%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8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10.5%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64"/>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cash flows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$1,434</w:t>
            </w:r>
          </w:p>
        </w:tc>
        <w:tc>
          <w:tcPr>
            <w:tcW w:w="18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($125)</w:t>
            </w:r>
          </w:p>
        </w:tc>
        <w:tc>
          <w:tcPr>
            <w:tcW w:w="80" w:type="dxa"/>
            <w:vAlign w:val="bottom"/>
            <w:tcBorders>
              <w:bottom w:val="single" w:sz="8" w:color="auto"/>
            </w:tcBorders>
            <w:shd w:val="clear" w:color="auto" w:fill="EAEAEA"/>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w:t>
            </w:r>
          </w:p>
        </w:tc>
        <w:tc>
          <w:tcPr>
            <w:tcW w:w="180" w:type="dxa"/>
            <w:vAlign w:val="bottom"/>
            <w:tcBorders>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$3,561</w:t>
            </w:r>
          </w:p>
        </w:tc>
      </w:tr>
      <w:tr>
        <w:trPr>
          <w:trHeight w:val="264"/>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cash flows - Adjusted</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$1,434</w:t>
            </w:r>
          </w:p>
        </w:tc>
        <w:tc>
          <w:tcPr>
            <w:tcW w:w="18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($99)</w:t>
            </w:r>
          </w:p>
        </w:tc>
        <w:tc>
          <w:tcPr>
            <w:tcW w:w="80" w:type="dxa"/>
            <w:vAlign w:val="bottom"/>
            <w:tcBorders>
              <w:bottom w:val="single" w:sz="8" w:color="auto"/>
            </w:tcBorders>
            <w:shd w:val="clear" w:color="auto" w:fill="EAEAEA"/>
          </w:tcPr>
          <w:p>
            <w:pPr>
              <w:spacing w:after="0"/>
              <w:rPr>
                <w:sz w:val="22"/>
                <w:szCs w:val="22"/>
                <w:color w:val="auto"/>
              </w:rPr>
            </w:pPr>
          </w:p>
        </w:tc>
        <w:tc>
          <w:tcPr>
            <w:tcW w:w="15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$2,330</w:t>
            </w:r>
          </w:p>
        </w:tc>
        <w:tc>
          <w:tcPr>
            <w:tcW w:w="180" w:type="dxa"/>
            <w:vAlign w:val="bottom"/>
            <w:tcBorders>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$252</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Parent company cash and short term investments</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$1,871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$1,816</w:t>
            </w:r>
          </w:p>
        </w:tc>
        <w:tc>
          <w:tcPr>
            <w:tcW w:w="80" w:type="dxa"/>
            <w:vAlign w:val="bottom"/>
            <w:tcBorders>
              <w:bottom w:val="single" w:sz="8" w:color="auto"/>
            </w:tcBorders>
            <w:shd w:val="clear" w:color="auto" w:fill="EAEAEA"/>
          </w:tcPr>
          <w:p>
            <w:pPr>
              <w:spacing w:after="0"/>
              <w:rPr>
                <w:sz w:val="20"/>
                <w:szCs w:val="20"/>
                <w:color w:val="auto"/>
              </w:rPr>
            </w:pPr>
          </w:p>
        </w:tc>
        <w:tc>
          <w:tcPr>
            <w:tcW w:w="1580" w:type="dxa"/>
            <w:vAlign w:val="bottom"/>
            <w:tcBorders>
              <w:bottom w:val="single" w:sz="8" w:color="auto"/>
            </w:tcBorders>
            <w:shd w:val="clear" w:color="auto" w:fill="EAEAEA"/>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Debt-to-total capitalization</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32.5%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80" w:type="dxa"/>
            <w:vAlign w:val="bottom"/>
            <w:tcBorders>
              <w:bottom w:val="single" w:sz="8" w:color="auto"/>
            </w:tcBorders>
            <w:shd w:val="clear" w:color="auto" w:fill="EAEAEA"/>
          </w:tcPr>
          <w:p>
            <w:pPr>
              <w:spacing w:after="0"/>
              <w:rPr>
                <w:sz w:val="20"/>
                <w:szCs w:val="20"/>
                <w:color w:val="auto"/>
              </w:rPr>
            </w:pPr>
          </w:p>
        </w:tc>
        <w:tc>
          <w:tcPr>
            <w:tcW w:w="1580" w:type="dxa"/>
            <w:vAlign w:val="bottom"/>
            <w:tcBorders>
              <w:bottom w:val="single" w:sz="8" w:color="auto"/>
            </w:tcBorders>
            <w:shd w:val="clear" w:color="auto" w:fill="EAEAEA"/>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r>
      <w:tr>
        <w:trPr>
          <w:trHeight w:val="243"/>
        </w:trPr>
        <w:tc>
          <w:tcPr>
            <w:tcW w:w="4040" w:type="dxa"/>
            <w:vAlign w:val="bottom"/>
            <w:tcBorders>
              <w:left w:val="single" w:sz="8" w:color="auto"/>
              <w:bottom w:val="single" w:sz="8" w:color="EAEAEA"/>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shd w:val="clear" w:color="auto" w:fill="EAEAEA"/>
              </w:rPr>
              <w:t>Retail segment results:</w:t>
            </w:r>
          </w:p>
        </w:tc>
        <w:tc>
          <w:tcPr>
            <w:tcW w:w="1660" w:type="dxa"/>
            <w:vAlign w:val="bottom"/>
          </w:tcPr>
          <w:p>
            <w:pPr>
              <w:spacing w:after="0"/>
              <w:rPr>
                <w:sz w:val="21"/>
                <w:szCs w:val="21"/>
                <w:color w:val="auto"/>
              </w:rPr>
            </w:pPr>
          </w:p>
        </w:tc>
        <w:tc>
          <w:tcPr>
            <w:tcW w:w="180" w:type="dxa"/>
            <w:vAlign w:val="bottom"/>
            <w:tcBorders>
              <w:bottom w:val="single" w:sz="8" w:color="EAEAEA"/>
              <w:right w:val="single" w:sz="8" w:color="auto"/>
            </w:tcBorders>
            <w:shd w:val="clear" w:color="auto" w:fill="EAEAEA"/>
          </w:tcPr>
          <w:p>
            <w:pPr>
              <w:spacing w:after="0"/>
              <w:rPr>
                <w:sz w:val="21"/>
                <w:szCs w:val="21"/>
                <w:color w:val="auto"/>
              </w:rPr>
            </w:pPr>
          </w:p>
        </w:tc>
        <w:tc>
          <w:tcPr>
            <w:tcW w:w="1860" w:type="dxa"/>
            <w:vAlign w:val="bottom"/>
            <w:tcBorders>
              <w:bottom w:val="single" w:sz="8" w:color="EAEAEA"/>
              <w:right w:val="single" w:sz="8" w:color="auto"/>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158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860" w:type="dxa"/>
            <w:vAlign w:val="bottom"/>
            <w:tcBorders>
              <w:bottom w:val="single" w:sz="8" w:color="EAEAEA"/>
              <w:right w:val="single" w:sz="8" w:color="auto"/>
            </w:tcBorders>
            <w:shd w:val="clear" w:color="auto" w:fill="EAEAEA"/>
          </w:tcPr>
          <w:p>
            <w:pPr>
              <w:spacing w:after="0"/>
              <w:rPr>
                <w:sz w:val="21"/>
                <w:szCs w:val="21"/>
                <w:color w:val="auto"/>
              </w:rPr>
            </w:pPr>
          </w:p>
        </w:tc>
      </w:tr>
      <w:tr>
        <w:trPr>
          <w:trHeight w:val="230"/>
        </w:trPr>
        <w:tc>
          <w:tcPr>
            <w:tcW w:w="40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40" w:type="dxa"/>
            <w:vAlign w:val="bottom"/>
            <w:tcBorders>
              <w:top w:val="single" w:sz="8" w:color="auto"/>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$14,158</w:t>
            </w:r>
          </w:p>
        </w:tc>
        <w:tc>
          <w:tcPr>
            <w:tcW w:w="18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$12,039</w:t>
            </w:r>
          </w:p>
        </w:tc>
        <w:tc>
          <w:tcPr>
            <w:tcW w:w="1840" w:type="dxa"/>
            <w:vAlign w:val="bottom"/>
            <w:tcBorders>
              <w:top w:val="single" w:sz="8" w:color="auto"/>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$28,171</w:t>
            </w:r>
          </w:p>
        </w:tc>
        <w:tc>
          <w:tcPr>
            <w:tcW w:w="18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$24,146</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85.2%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86.7%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86.5%</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4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8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8.4%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$856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$1,321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$760</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Adjusted</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$860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$1,329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$771</w:t>
            </w:r>
          </w:p>
        </w:tc>
      </w:tr>
      <w:tr>
        <w:trPr>
          <w:trHeight w:val="248"/>
        </w:trPr>
        <w:tc>
          <w:tcPr>
            <w:tcW w:w="4040" w:type="dxa"/>
            <w:vAlign w:val="bottom"/>
            <w:tcBorders>
              <w:left w:val="single" w:sz="8" w:color="auto"/>
              <w:bottom w:val="single" w:sz="8" w:color="EAEAEA"/>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shd w:val="clear" w:color="auto" w:fill="EAEAEA"/>
              </w:rPr>
              <w:t>Group and Specialty segment results:</w:t>
            </w:r>
          </w:p>
        </w:tc>
        <w:tc>
          <w:tcPr>
            <w:tcW w:w="166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right w:val="single" w:sz="8" w:color="auto"/>
            </w:tcBorders>
            <w:shd w:val="clear" w:color="auto" w:fill="EAEAEA"/>
          </w:tcPr>
          <w:p>
            <w:pPr>
              <w:spacing w:after="0"/>
              <w:rPr>
                <w:sz w:val="21"/>
                <w:szCs w:val="21"/>
                <w:color w:val="auto"/>
              </w:rPr>
            </w:pPr>
          </w:p>
        </w:tc>
        <w:tc>
          <w:tcPr>
            <w:tcW w:w="1860" w:type="dxa"/>
            <w:vAlign w:val="bottom"/>
            <w:tcBorders>
              <w:bottom w:val="single" w:sz="8" w:color="EAEAEA"/>
              <w:right w:val="single" w:sz="8" w:color="auto"/>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158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right w:val="single" w:sz="8" w:color="auto"/>
            </w:tcBorders>
            <w:shd w:val="clear" w:color="auto" w:fill="EAEAEA"/>
          </w:tcPr>
          <w:p>
            <w:pPr>
              <w:spacing w:after="0"/>
              <w:rPr>
                <w:sz w:val="21"/>
                <w:szCs w:val="21"/>
                <w:color w:val="auto"/>
              </w:rPr>
            </w:pPr>
          </w:p>
        </w:tc>
        <w:tc>
          <w:tcPr>
            <w:tcW w:w="1860" w:type="dxa"/>
            <w:vAlign w:val="bottom"/>
            <w:tcBorders>
              <w:bottom w:val="single" w:sz="8" w:color="EAEAEA"/>
              <w:right w:val="single" w:sz="8" w:color="auto"/>
            </w:tcBorders>
            <w:shd w:val="clear" w:color="auto" w:fill="EAEAEA"/>
          </w:tcPr>
          <w:p>
            <w:pPr>
              <w:spacing w:after="0"/>
              <w:rPr>
                <w:sz w:val="21"/>
                <w:szCs w:val="21"/>
                <w:color w:val="auto"/>
              </w:rPr>
            </w:pPr>
          </w:p>
        </w:tc>
      </w:tr>
      <w:tr>
        <w:trPr>
          <w:trHeight w:val="230"/>
        </w:trPr>
        <w:tc>
          <w:tcPr>
            <w:tcW w:w="40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40" w:type="dxa"/>
            <w:vAlign w:val="bottom"/>
            <w:tcBorders>
              <w:top w:val="single" w:sz="8" w:color="auto"/>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$1,874</w:t>
            </w:r>
          </w:p>
        </w:tc>
        <w:tc>
          <w:tcPr>
            <w:tcW w:w="18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$1,906</w:t>
            </w:r>
          </w:p>
        </w:tc>
        <w:tc>
          <w:tcPr>
            <w:tcW w:w="1840" w:type="dxa"/>
            <w:vAlign w:val="bottom"/>
            <w:tcBorders>
              <w:top w:val="single" w:sz="8" w:color="auto"/>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$3,761</w:t>
            </w:r>
          </w:p>
        </w:tc>
        <w:tc>
          <w:tcPr>
            <w:tcW w:w="18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$3,876</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86.3%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81.3%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76.7%</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4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21.7%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8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21.8%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23.6%</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$170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$291</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Adjusted</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$172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$294</w:t>
            </w:r>
          </w:p>
        </w:tc>
      </w:tr>
      <w:tr>
        <w:trPr>
          <w:trHeight w:val="248"/>
        </w:trPr>
        <w:tc>
          <w:tcPr>
            <w:tcW w:w="4040" w:type="dxa"/>
            <w:vAlign w:val="bottom"/>
            <w:tcBorders>
              <w:left w:val="single" w:sz="8" w:color="auto"/>
              <w:bottom w:val="single" w:sz="8" w:color="EAEAEA"/>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shd w:val="clear" w:color="auto" w:fill="EAEAEA"/>
              </w:rPr>
              <w:t>Healthcare Services segment results:</w:t>
            </w:r>
          </w:p>
        </w:tc>
        <w:tc>
          <w:tcPr>
            <w:tcW w:w="166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right w:val="single" w:sz="8" w:color="auto"/>
            </w:tcBorders>
            <w:shd w:val="clear" w:color="auto" w:fill="EAEAEA"/>
          </w:tcPr>
          <w:p>
            <w:pPr>
              <w:spacing w:after="0"/>
              <w:rPr>
                <w:sz w:val="21"/>
                <w:szCs w:val="21"/>
                <w:color w:val="auto"/>
              </w:rPr>
            </w:pPr>
          </w:p>
        </w:tc>
        <w:tc>
          <w:tcPr>
            <w:tcW w:w="1860" w:type="dxa"/>
            <w:vAlign w:val="bottom"/>
            <w:tcBorders>
              <w:bottom w:val="single" w:sz="8" w:color="EAEAEA"/>
              <w:right w:val="single" w:sz="8" w:color="auto"/>
            </w:tcBorders>
            <w:shd w:val="clear" w:color="auto" w:fill="EAEAEA"/>
          </w:tcPr>
          <w:p>
            <w:pPr>
              <w:spacing w:after="0"/>
              <w:rPr>
                <w:sz w:val="21"/>
                <w:szCs w:val="21"/>
                <w:color w:val="auto"/>
              </w:rPr>
            </w:pPr>
          </w:p>
        </w:tc>
        <w:tc>
          <w:tcPr>
            <w:tcW w:w="80" w:type="dxa"/>
            <w:vAlign w:val="bottom"/>
            <w:tcBorders>
              <w:bottom w:val="single" w:sz="8" w:color="EAEAEA"/>
            </w:tcBorders>
            <w:shd w:val="clear" w:color="auto" w:fill="EAEAEA"/>
          </w:tcPr>
          <w:p>
            <w:pPr>
              <w:spacing w:after="0"/>
              <w:rPr>
                <w:sz w:val="21"/>
                <w:szCs w:val="21"/>
                <w:color w:val="auto"/>
              </w:rPr>
            </w:pPr>
          </w:p>
        </w:tc>
        <w:tc>
          <w:tcPr>
            <w:tcW w:w="1580" w:type="dxa"/>
            <w:vAlign w:val="bottom"/>
            <w:tcBorders>
              <w:bottom w:val="single" w:sz="8" w:color="EAEAEA"/>
            </w:tcBorders>
            <w:shd w:val="clear" w:color="auto" w:fill="EAEAEA"/>
          </w:tcPr>
          <w:p>
            <w:pPr>
              <w:spacing w:after="0"/>
              <w:rPr>
                <w:sz w:val="21"/>
                <w:szCs w:val="21"/>
                <w:color w:val="auto"/>
              </w:rPr>
            </w:pPr>
          </w:p>
        </w:tc>
        <w:tc>
          <w:tcPr>
            <w:tcW w:w="180" w:type="dxa"/>
            <w:vAlign w:val="bottom"/>
            <w:tcBorders>
              <w:bottom w:val="single" w:sz="8" w:color="EAEAEA"/>
              <w:right w:val="single" w:sz="8" w:color="auto"/>
            </w:tcBorders>
            <w:shd w:val="clear" w:color="auto" w:fill="EAEAEA"/>
          </w:tcPr>
          <w:p>
            <w:pPr>
              <w:spacing w:after="0"/>
              <w:rPr>
                <w:sz w:val="21"/>
                <w:szCs w:val="21"/>
                <w:color w:val="auto"/>
              </w:rPr>
            </w:pPr>
          </w:p>
        </w:tc>
        <w:tc>
          <w:tcPr>
            <w:tcW w:w="1860" w:type="dxa"/>
            <w:vAlign w:val="bottom"/>
            <w:tcBorders>
              <w:bottom w:val="single" w:sz="8" w:color="EAEAEA"/>
              <w:right w:val="single" w:sz="8" w:color="auto"/>
            </w:tcBorders>
            <w:shd w:val="clear" w:color="auto" w:fill="EAEAEA"/>
          </w:tcPr>
          <w:p>
            <w:pPr>
              <w:spacing w:after="0"/>
              <w:rPr>
                <w:sz w:val="21"/>
                <w:szCs w:val="21"/>
                <w:color w:val="auto"/>
              </w:rPr>
            </w:pPr>
          </w:p>
        </w:tc>
      </w:tr>
      <w:tr>
        <w:trPr>
          <w:trHeight w:val="230"/>
        </w:trPr>
        <w:tc>
          <w:tcPr>
            <w:tcW w:w="40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40" w:type="dxa"/>
            <w:vAlign w:val="bottom"/>
            <w:tcBorders>
              <w:top w:val="single" w:sz="8" w:color="auto"/>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$6,387</w:t>
            </w:r>
          </w:p>
        </w:tc>
        <w:tc>
          <w:tcPr>
            <w:tcW w:w="18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$5,991</w:t>
            </w:r>
          </w:p>
        </w:tc>
        <w:tc>
          <w:tcPr>
            <w:tcW w:w="1840" w:type="dxa"/>
            <w:vAlign w:val="bottom"/>
            <w:tcBorders>
              <w:top w:val="single" w:sz="8" w:color="auto"/>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$12,485</w:t>
            </w:r>
          </w:p>
        </w:tc>
        <w:tc>
          <w:tcPr>
            <w:tcW w:w="18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$11,654</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96.1%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96.2%</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96.3%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96.2%</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$224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$399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$379</w:t>
            </w:r>
          </w:p>
        </w:tc>
      </w:tr>
      <w:tr>
        <w:trPr>
          <w:trHeight w:val="218"/>
        </w:trPr>
        <w:tc>
          <w:tcPr>
            <w:tcW w:w="4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Adjusted earnings before interest, taxes, depreciation</w:t>
            </w:r>
          </w:p>
        </w:tc>
        <w:tc>
          <w:tcPr>
            <w:tcW w:w="1660" w:type="dxa"/>
            <w:vAlign w:val="bottom"/>
            <w:shd w:val="clear" w:color="auto" w:fill="EAEAEA"/>
          </w:tcPr>
          <w:p>
            <w:pPr>
              <w:spacing w:after="0"/>
              <w:rPr>
                <w:sz w:val="18"/>
                <w:szCs w:val="18"/>
                <w:color w:val="auto"/>
              </w:rPr>
            </w:pPr>
          </w:p>
        </w:tc>
        <w:tc>
          <w:tcPr>
            <w:tcW w:w="180" w:type="dxa"/>
            <w:vAlign w:val="bottom"/>
            <w:tcBorders>
              <w:right w:val="single" w:sz="8" w:color="auto"/>
            </w:tcBorders>
            <w:shd w:val="clear" w:color="auto" w:fill="EAEAEA"/>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580" w:type="dxa"/>
            <w:vAlign w:val="bottom"/>
            <w:shd w:val="clear" w:color="auto" w:fill="EAEAEA"/>
          </w:tcPr>
          <w:p>
            <w:pPr>
              <w:spacing w:after="0"/>
              <w:rPr>
                <w:sz w:val="18"/>
                <w:szCs w:val="18"/>
                <w:color w:val="auto"/>
              </w:rPr>
            </w:pPr>
          </w:p>
        </w:tc>
        <w:tc>
          <w:tcPr>
            <w:tcW w:w="180" w:type="dxa"/>
            <w:vAlign w:val="bottom"/>
            <w:tcBorders>
              <w:right w:val="single" w:sz="8" w:color="auto"/>
            </w:tcBorders>
            <w:shd w:val="clear" w:color="auto" w:fill="EAEAEA"/>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r>
      <w:tr>
        <w:trPr>
          <w:trHeight w:val="208"/>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and amortization (Adjusted EBITDA) (e)</w:t>
            </w:r>
          </w:p>
        </w:tc>
        <w:tc>
          <w:tcPr>
            <w:tcW w:w="1840" w:type="dxa"/>
            <w:vAlign w:val="bottom"/>
            <w:tcBorders>
              <w:bottom w:val="single" w:sz="8" w:color="auto"/>
              <w:right w:val="single" w:sz="8" w:color="auto"/>
            </w:tcBorders>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$294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$532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-4072890</wp:posOffset>
            </wp:positionV>
            <wp:extent cx="1174750"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74750" cy="48895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-4072890</wp:posOffset>
            </wp:positionV>
            <wp:extent cx="3524885" cy="1826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24885" cy="182689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-1594485</wp:posOffset>
            </wp:positionV>
            <wp:extent cx="106362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3625" cy="3257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-1594485</wp:posOffset>
            </wp:positionV>
            <wp:extent cx="106362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36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40"/>
          </w:cols>
          <w:pgMar w:left="240" w:top="943" w:right="21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u w:val="single" w:color="auto"/>
          <w:color w:val="auto"/>
        </w:rPr>
        <w:t>2019 Earnings Guidance</w:t>
      </w:r>
    </w:p>
    <w:p>
      <w:pPr>
        <w:spacing w:after="0" w:line="25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Humana today raised its GAAP and Adjusted EPS guidance for the year ended December 31, 2019 (FY19). The company now expects FY19 GAAP EPS guidance to be in a range of approximately $17.97, while Adjusted EPS is expected to be approximately $17.60.</w:t>
      </w:r>
    </w:p>
    <w:p>
      <w:pPr>
        <w:spacing w:after="0" w:line="206"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A reconciliation of GAAP to Adjusted EPS for the company’s FY19 projections as well as comparable numbers for the year ended December 31, 2018 (FY18) is shown below for comparison.</w:t>
      </w: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392"/>
        </w:trPr>
        <w:tc>
          <w:tcPr>
            <w:tcW w:w="8480" w:type="dxa"/>
            <w:vAlign w:val="bottom"/>
            <w:tcBorders>
              <w:top w:val="single" w:sz="8" w:color="auto"/>
              <w:left w:val="single" w:sz="8" w:color="auto"/>
              <w:bottom w:val="single" w:sz="8" w:color="EAEAEA"/>
              <w:right w:val="single" w:sz="8" w:color="auto"/>
            </w:tcBorders>
            <w:shd w:val="clear" w:color="auto" w:fill="EAEAEA"/>
          </w:tcPr>
          <w:p>
            <w:pPr>
              <w:ind w:left="3020"/>
              <w:spacing w:after="0"/>
              <w:rPr>
                <w:sz w:val="20"/>
                <w:szCs w:val="20"/>
                <w:color w:val="auto"/>
              </w:rPr>
            </w:pPr>
            <w:r>
              <w:rPr>
                <w:rFonts w:ascii="Arial" w:cs="Arial" w:eastAsia="Arial" w:hAnsi="Arial"/>
                <w:sz w:val="14"/>
                <w:szCs w:val="14"/>
                <w:b w:val="1"/>
                <w:bCs w:val="1"/>
                <w:color w:val="auto"/>
                <w:shd w:val="clear" w:color="auto" w:fill="EAEAEA"/>
              </w:rPr>
              <w:t>Diluted earnings per common share</w:t>
            </w:r>
          </w:p>
        </w:tc>
        <w:tc>
          <w:tcPr>
            <w:tcW w:w="1500" w:type="dxa"/>
            <w:vAlign w:val="bottom"/>
            <w:tcBorders>
              <w:top w:val="single" w:sz="8" w:color="auto"/>
              <w:bottom w:val="single" w:sz="8" w:color="EAEAEA"/>
              <w:right w:val="single" w:sz="8" w:color="auto"/>
            </w:tcBorders>
            <w:shd w:val="clear" w:color="auto" w:fill="EAEAEA"/>
          </w:tcPr>
          <w:p>
            <w:pPr>
              <w:jc w:val="right"/>
              <w:ind w:right="80"/>
              <w:spacing w:after="0"/>
              <w:rPr>
                <w:sz w:val="20"/>
                <w:szCs w:val="20"/>
                <w:color w:val="auto"/>
              </w:rPr>
            </w:pPr>
            <w:r>
              <w:rPr>
                <w:rFonts w:ascii="Arial" w:cs="Arial" w:eastAsia="Arial" w:hAnsi="Arial"/>
                <w:sz w:val="14"/>
                <w:szCs w:val="14"/>
                <w:b w:val="1"/>
                <w:bCs w:val="1"/>
                <w:color w:val="auto"/>
                <w:shd w:val="clear" w:color="auto" w:fill="EAEAEA"/>
              </w:rPr>
              <w:t>FY19 Guidance (f)</w:t>
            </w:r>
          </w:p>
        </w:tc>
        <w:tc>
          <w:tcPr>
            <w:tcW w:w="1460" w:type="dxa"/>
            <w:vAlign w:val="bottom"/>
            <w:tcBorders>
              <w:top w:val="single" w:sz="8" w:color="auto"/>
              <w:right w:val="single" w:sz="8" w:color="auto"/>
            </w:tcBorders>
          </w:tcPr>
          <w:p>
            <w:pPr>
              <w:jc w:val="right"/>
              <w:ind w:right="380"/>
              <w:spacing w:after="0"/>
              <w:rPr>
                <w:sz w:val="20"/>
                <w:szCs w:val="20"/>
                <w:color w:val="auto"/>
              </w:rPr>
            </w:pPr>
            <w:r>
              <w:rPr>
                <w:rFonts w:ascii="Arial" w:cs="Arial" w:eastAsia="Arial" w:hAnsi="Arial"/>
                <w:sz w:val="14"/>
                <w:szCs w:val="14"/>
                <w:color w:val="auto"/>
              </w:rPr>
              <w:t>FY18 (g)</w:t>
            </w:r>
          </w:p>
        </w:tc>
      </w:tr>
      <w:tr>
        <w:trPr>
          <w:trHeight w:val="257"/>
        </w:trPr>
        <w:tc>
          <w:tcPr>
            <w:tcW w:w="8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500" w:type="dxa"/>
            <w:vAlign w:val="bottom"/>
            <w:tcBorders>
              <w:top w:val="single" w:sz="8" w:color="auto"/>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b w:val="1"/>
                <w:bCs w:val="1"/>
                <w:color w:val="auto"/>
              </w:rPr>
              <w:t>~$17.97</w:t>
            </w:r>
          </w:p>
        </w:tc>
        <w:tc>
          <w:tcPr>
            <w:tcW w:w="1460" w:type="dxa"/>
            <w:vAlign w:val="bottom"/>
            <w:tcBorders>
              <w:top w:val="single" w:sz="8" w:color="auto"/>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$12.16</w:t>
            </w:r>
          </w:p>
        </w:tc>
      </w:tr>
      <w:tr>
        <w:trPr>
          <w:trHeight w:val="237"/>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of identifiable intangibles</w:t>
            </w:r>
          </w:p>
        </w:tc>
        <w:tc>
          <w:tcPr>
            <w:tcW w:w="1500" w:type="dxa"/>
            <w:vAlign w:val="bottom"/>
            <w:tcBorders>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color w:val="auto"/>
              </w:rPr>
              <w:t>0.40</w:t>
            </w:r>
          </w:p>
        </w:tc>
        <w:tc>
          <w:tcPr>
            <w:tcW w:w="14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0.49</w:t>
            </w:r>
          </w:p>
        </w:tc>
      </w:tr>
      <w:tr>
        <w:trPr>
          <w:trHeight w:val="237"/>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40% minority interest in Kindred at Home</w:t>
            </w:r>
          </w:p>
        </w:tc>
        <w:tc>
          <w:tcPr>
            <w:tcW w:w="1500" w:type="dxa"/>
            <w:vAlign w:val="bottom"/>
            <w:tcBorders>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color w:val="auto"/>
              </w:rPr>
              <w:t>(0.77)</w:t>
            </w:r>
          </w:p>
        </w:tc>
        <w:tc>
          <w:tcPr>
            <w:tcW w:w="14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0.18</w:t>
            </w:r>
          </w:p>
        </w:tc>
      </w:tr>
      <w:tr>
        <w:trPr>
          <w:trHeight w:val="237"/>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Loss on sale of KMG, a wholly -owned subsidiary</w:t>
            </w:r>
          </w:p>
        </w:tc>
        <w:tc>
          <w:tcPr>
            <w:tcW w:w="1500" w:type="dxa"/>
            <w:vAlign w:val="bottom"/>
            <w:tcBorders>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2.41</w:t>
            </w:r>
          </w:p>
        </w:tc>
      </w:tr>
      <w:tr>
        <w:trPr>
          <w:trHeight w:val="237"/>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associated with the Individual Commercial segment</w:t>
            </w:r>
          </w:p>
        </w:tc>
        <w:tc>
          <w:tcPr>
            <w:tcW w:w="1500" w:type="dxa"/>
            <w:vAlign w:val="bottom"/>
            <w:tcBorders>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(0.41)</w:t>
            </w:r>
          </w:p>
        </w:tc>
      </w:tr>
      <w:tr>
        <w:trPr>
          <w:trHeight w:val="237"/>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Adjustments to provisional estimates for the income tax effects related to the Tax Reform Law</w:t>
            </w:r>
          </w:p>
        </w:tc>
        <w:tc>
          <w:tcPr>
            <w:tcW w:w="1500" w:type="dxa"/>
            <w:vAlign w:val="bottom"/>
            <w:tcBorders>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(0.28)</w:t>
            </w:r>
          </w:p>
        </w:tc>
      </w:tr>
      <w:tr>
        <w:trPr>
          <w:trHeight w:val="264"/>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 – FY19 projected</w:t>
            </w:r>
          </w:p>
        </w:tc>
        <w:tc>
          <w:tcPr>
            <w:tcW w:w="1500" w:type="dxa"/>
            <w:vAlign w:val="bottom"/>
            <w:tcBorders>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b w:val="1"/>
                <w:bCs w:val="1"/>
                <w:color w:val="auto"/>
              </w:rPr>
              <w:t>~$17.60</w:t>
            </w:r>
          </w:p>
        </w:tc>
        <w:tc>
          <w:tcPr>
            <w:tcW w:w="14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$14.55</w:t>
            </w:r>
          </w:p>
        </w:tc>
      </w:tr>
    </w:tbl>
    <w:p>
      <w:pPr>
        <w:spacing w:after="0" w:line="200" w:lineRule="exact"/>
        <w:rPr>
          <w:sz w:val="20"/>
          <w:szCs w:val="20"/>
          <w:color w:val="auto"/>
        </w:rPr>
      </w:pPr>
    </w:p>
    <w:p>
      <w:pPr>
        <w:spacing w:after="0" w:line="229"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“The favorable performance that we experienced early in the year in our Retail segment has persisted through the second quarter, and we are also seeing better than expected results in our Healthcare Services segment,” said Brian A. Kane, Chief Financial Officer. “The strong 2019 financial results and membership growth have enabled us, in our Medicare Advantage bidding process, to lessen the member impact of the headwinds we face in 2020 and make additional strategic investments in the back half of 2019 to support our members' health and enhance customer experience, all while increasing our full year 2019 consolidated revenue and Adjusted EPS outlook.”</w:t>
      </w:r>
    </w:p>
    <w:p>
      <w:pPr>
        <w:spacing w:after="0" w:line="397"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Detailed Press Release</w:t>
      </w:r>
    </w:p>
    <w:p>
      <w:pPr>
        <w:spacing w:after="0" w:line="253"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 xml:space="preserve">Humana’s full earnings press release including the statistical pages has been posted to the company’s Investor Relations site and may be accessed at </w:t>
      </w:r>
      <w:r>
        <w:rPr>
          <w:rFonts w:ascii="Arial" w:cs="Arial" w:eastAsia="Arial" w:hAnsi="Arial"/>
          <w:sz w:val="20"/>
          <w:szCs w:val="20"/>
          <w:u w:val="single" w:color="auto"/>
          <w:color w:val="auto"/>
        </w:rPr>
        <w:t>https://humana.gcs-web.com/</w:t>
      </w:r>
      <w:r>
        <w:rPr>
          <w:rFonts w:ascii="Arial" w:cs="Arial" w:eastAsia="Arial" w:hAnsi="Arial"/>
          <w:sz w:val="20"/>
          <w:szCs w:val="20"/>
          <w:color w:val="auto"/>
        </w:rPr>
        <w:t xml:space="preserve"> or via a current report on Form 8-K filed by the company with the Securities and Exchange Commission this morning (available at </w:t>
      </w:r>
      <w:r>
        <w:rPr>
          <w:rFonts w:ascii="Arial" w:cs="Arial" w:eastAsia="Arial" w:hAnsi="Arial"/>
          <w:sz w:val="20"/>
          <w:szCs w:val="20"/>
          <w:u w:val="single" w:color="auto"/>
          <w:color w:val="auto"/>
        </w:rPr>
        <w:t>www.sec.gov</w:t>
      </w:r>
      <w:r>
        <w:rPr>
          <w:rFonts w:ascii="Arial" w:cs="Arial" w:eastAsia="Arial" w:hAnsi="Arial"/>
          <w:sz w:val="20"/>
          <w:szCs w:val="20"/>
          <w:color w:val="auto"/>
        </w:rPr>
        <w:t xml:space="preserve"> or on the company’s website).</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Conference Call</w:t>
      </w:r>
    </w:p>
    <w:p>
      <w:pPr>
        <w:spacing w:after="0" w:line="253" w:lineRule="exact"/>
        <w:rPr>
          <w:sz w:val="20"/>
          <w:szCs w:val="20"/>
          <w:color w:val="auto"/>
        </w:rPr>
      </w:pPr>
    </w:p>
    <w:p>
      <w:pPr>
        <w:ind w:right="940"/>
        <w:spacing w:after="0" w:line="247" w:lineRule="auto"/>
        <w:rPr>
          <w:sz w:val="20"/>
          <w:szCs w:val="20"/>
          <w:color w:val="auto"/>
        </w:rPr>
      </w:pPr>
      <w:r>
        <w:rPr>
          <w:rFonts w:ascii="Arial" w:cs="Arial" w:eastAsia="Arial" w:hAnsi="Arial"/>
          <w:sz w:val="20"/>
          <w:szCs w:val="20"/>
          <w:color w:val="auto"/>
        </w:rPr>
        <w:t>Humana will host a conference call at 9:00 a.m. Eastern time today to discuss its financial results for the quarter and the company’s expectations for future earnings.</w:t>
      </w:r>
    </w:p>
    <w:p>
      <w:pPr>
        <w:spacing w:after="0" w:line="202"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 xml:space="preserve">All parties interested in the company’s 2Q19 earnings conference call are invited to dial 888-625-7430. No password is required. The audio-only webcast of the 2Q19 earnings call may be accessed via Humana’s Investor Relations page at </w:t>
      </w:r>
      <w:r>
        <w:rPr>
          <w:rFonts w:ascii="Arial" w:cs="Arial" w:eastAsia="Arial" w:hAnsi="Arial"/>
          <w:sz w:val="20"/>
          <w:szCs w:val="20"/>
          <w:u w:val="single" w:color="auto"/>
          <w:color w:val="auto"/>
        </w:rPr>
        <w:t>humana.com.</w:t>
      </w:r>
      <w:r>
        <w:rPr>
          <w:rFonts w:ascii="Arial" w:cs="Arial" w:eastAsia="Arial" w:hAnsi="Arial"/>
          <w:sz w:val="20"/>
          <w:szCs w:val="20"/>
          <w:color w:val="auto"/>
        </w:rPr>
        <w:t xml:space="preserve"> The company suggests participants for both the conference call and those listening via the web dial in or sign on at least 15 minutes in advance of the call.</w:t>
      </w:r>
    </w:p>
    <w:p>
      <w:pPr>
        <w:spacing w:after="0" w:line="207"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 xml:space="preserve">For those unable to participate in the live event, the archive will be available in the Historical Webcasts and Presentations section of the Investor Relations page at </w:t>
      </w:r>
      <w:r>
        <w:rPr>
          <w:rFonts w:ascii="Arial" w:cs="Arial" w:eastAsia="Arial" w:hAnsi="Arial"/>
          <w:sz w:val="20"/>
          <w:szCs w:val="20"/>
          <w:u w:val="single" w:color="auto"/>
          <w:color w:val="auto"/>
        </w:rPr>
        <w:t>humana.com</w:t>
      </w:r>
      <w:r>
        <w:rPr>
          <w:rFonts w:ascii="Arial" w:cs="Arial" w:eastAsia="Arial" w:hAnsi="Arial"/>
          <w:sz w:val="20"/>
          <w:szCs w:val="20"/>
          <w:color w:val="auto"/>
        </w:rPr>
        <w:t>, approximately two hours following the live webcast. Telephone replays will also be available from approximately 2:00 p.m. Eastern time on July 31, 2019 until 11:00 p.m. Eastern time on September 25, 2019 and can be accessed by dialing 855-859-2056 and providing the conference ID #6673878.</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40"/>
          </w:cols>
          <w:pgMar w:left="240" w:top="798" w:right="21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Footnotes</w:t>
      </w:r>
    </w:p>
    <w:p>
      <w:pPr>
        <w:spacing w:after="0" w:line="253" w:lineRule="exact"/>
        <w:rPr>
          <w:sz w:val="20"/>
          <w:szCs w:val="20"/>
          <w:color w:val="auto"/>
        </w:rPr>
      </w:pPr>
    </w:p>
    <w:p>
      <w:pPr>
        <w:ind w:left="360" w:hanging="298"/>
        <w:spacing w:after="0"/>
        <w:tabs>
          <w:tab w:leader="none" w:pos="360" w:val="left"/>
        </w:tabs>
        <w:numPr>
          <w:ilvl w:val="0"/>
          <w:numId w:val="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2Q19 Adjusted results exclude the following:</w:t>
      </w:r>
    </w:p>
    <w:p>
      <w:pPr>
        <w:spacing w:after="0" w:line="2" w:lineRule="exact"/>
        <w:rPr>
          <w:rFonts w:ascii="Arial" w:cs="Arial" w:eastAsia="Arial" w:hAnsi="Arial"/>
          <w:sz w:val="20"/>
          <w:szCs w:val="20"/>
          <w:u w:val="single" w:color="auto"/>
          <w:color w:val="auto"/>
        </w:rPr>
      </w:pPr>
    </w:p>
    <w:p>
      <w:pPr>
        <w:ind w:left="1000" w:right="20" w:hanging="317"/>
        <w:spacing w:after="0" w:line="239" w:lineRule="auto"/>
        <w:tabs>
          <w:tab w:leader="none" w:pos="1000" w:val="left"/>
        </w:tabs>
        <w:numPr>
          <w:ilvl w:val="1"/>
          <w:numId w:val="3"/>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$18 million pretax income, or $0.10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20"/>
          <w:szCs w:val="20"/>
          <w:color w:val="auto"/>
        </w:rPr>
      </w:pPr>
    </w:p>
    <w:p>
      <w:pPr>
        <w:ind w:left="1000" w:right="380" w:hanging="317"/>
        <w:spacing w:after="0" w:line="298"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Put/call valuation adjustments of approximately $174 million, or $$0.99 per diluted common share, associated with Humana’s 40% minority interest in Kindred at Home. GAAP measures affected in this release include consolidated pretax and EPS.</w:t>
      </w:r>
    </w:p>
    <w:p>
      <w:pPr>
        <w:spacing w:after="0" w:line="171" w:lineRule="exact"/>
        <w:rPr>
          <w:rFonts w:ascii="Arial" w:cs="Arial" w:eastAsia="Arial" w:hAnsi="Arial"/>
          <w:sz w:val="18"/>
          <w:szCs w:val="18"/>
          <w:color w:val="auto"/>
        </w:rPr>
      </w:pPr>
    </w:p>
    <w:p>
      <w:pPr>
        <w:ind w:left="360" w:hanging="298"/>
        <w:spacing w:after="0"/>
        <w:tabs>
          <w:tab w:leader="none" w:pos="360" w:val="left"/>
        </w:tabs>
        <w:numPr>
          <w:ilvl w:val="0"/>
          <w:numId w:val="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2Q18 Adjusted results exclude the following:</w:t>
      </w:r>
    </w:p>
    <w:p>
      <w:pPr>
        <w:spacing w:after="0" w:line="2" w:lineRule="exact"/>
        <w:rPr>
          <w:rFonts w:ascii="Arial" w:cs="Arial" w:eastAsia="Arial" w:hAnsi="Arial"/>
          <w:sz w:val="20"/>
          <w:szCs w:val="20"/>
          <w:u w:val="single" w:color="auto"/>
          <w:color w:val="auto"/>
        </w:rPr>
      </w:pPr>
    </w:p>
    <w:p>
      <w:pPr>
        <w:ind w:left="1000" w:right="80" w:hanging="317"/>
        <w:spacing w:after="0" w:line="239" w:lineRule="auto"/>
        <w:tabs>
          <w:tab w:leader="none" w:pos="1000" w:val="left"/>
        </w:tabs>
        <w:numPr>
          <w:ilvl w:val="1"/>
          <w:numId w:val="3"/>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$21 million pretax, or $0.12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20"/>
          <w:szCs w:val="20"/>
          <w:color w:val="auto"/>
        </w:rPr>
      </w:pPr>
    </w:p>
    <w:p>
      <w:pPr>
        <w:ind w:left="1000" w:right="40" w:hanging="317"/>
        <w:spacing w:after="0" w:line="239" w:lineRule="auto"/>
        <w:tabs>
          <w:tab w:leader="none" w:pos="1000" w:val="left"/>
        </w:tabs>
        <w:numPr>
          <w:ilvl w:val="1"/>
          <w:numId w:val="3"/>
        </w:numPr>
        <w:rPr>
          <w:rFonts w:ascii="Arial" w:cs="Arial" w:eastAsia="Arial" w:hAnsi="Arial"/>
          <w:sz w:val="20"/>
          <w:szCs w:val="20"/>
          <w:color w:val="auto"/>
        </w:rPr>
      </w:pPr>
      <w:r>
        <w:rPr>
          <w:rFonts w:ascii="Arial" w:cs="Arial" w:eastAsia="Arial" w:hAnsi="Arial"/>
          <w:sz w:val="20"/>
          <w:szCs w:val="20"/>
          <w:color w:val="auto"/>
        </w:rPr>
        <w:t>Segment earnings of $18 million, or $0.10 per diluted common share, for the company’s Individual Commercial segment given the company’s exit on January 1, 2018, as previously disclosed. GAAP measures affected in this release include consolidated pretax income, EPS, consolidated revenues, and consolidated benefit ratio.</w:t>
      </w:r>
    </w:p>
    <w:p>
      <w:pPr>
        <w:spacing w:after="0" w:line="1" w:lineRule="exact"/>
        <w:rPr>
          <w:rFonts w:ascii="Arial" w:cs="Arial" w:eastAsia="Arial" w:hAnsi="Arial"/>
          <w:sz w:val="20"/>
          <w:szCs w:val="20"/>
          <w:color w:val="auto"/>
        </w:rPr>
      </w:pPr>
    </w:p>
    <w:p>
      <w:pPr>
        <w:ind w:left="1000" w:right="180" w:hanging="317"/>
        <w:spacing w:after="0" w:line="239" w:lineRule="auto"/>
        <w:tabs>
          <w:tab w:leader="none" w:pos="1000" w:val="left"/>
        </w:tabs>
        <w:numPr>
          <w:ilvl w:val="1"/>
          <w:numId w:val="3"/>
        </w:numPr>
        <w:rPr>
          <w:rFonts w:ascii="Arial" w:cs="Arial" w:eastAsia="Arial" w:hAnsi="Arial"/>
          <w:sz w:val="20"/>
          <w:szCs w:val="20"/>
          <w:color w:val="auto"/>
        </w:rPr>
      </w:pPr>
      <w:r>
        <w:rPr>
          <w:rFonts w:ascii="Arial" w:cs="Arial" w:eastAsia="Arial" w:hAnsi="Arial"/>
          <w:sz w:val="20"/>
          <w:szCs w:val="20"/>
          <w:color w:val="auto"/>
        </w:rPr>
        <w:t>Loss of approximately $790 million pretax, or $2.59 per diluted common share, associated with the company's sale of its wholly-owned subsidiary, KMG America Corporation (KMG). GAAP measures affected in this release include consolidated pretax and EPS.</w:t>
      </w:r>
    </w:p>
    <w:p>
      <w:pPr>
        <w:spacing w:after="0" w:line="1" w:lineRule="exact"/>
        <w:rPr>
          <w:rFonts w:ascii="Arial" w:cs="Arial" w:eastAsia="Arial" w:hAnsi="Arial"/>
          <w:sz w:val="20"/>
          <w:szCs w:val="20"/>
          <w:color w:val="auto"/>
        </w:rPr>
      </w:pPr>
    </w:p>
    <w:p>
      <w:pPr>
        <w:ind w:left="1000" w:hanging="317"/>
        <w:spacing w:after="0" w:line="244" w:lineRule="auto"/>
        <w:tabs>
          <w:tab w:leader="none" w:pos="1000" w:val="left"/>
        </w:tabs>
        <w:numPr>
          <w:ilvl w:val="1"/>
          <w:numId w:val="3"/>
        </w:numPr>
        <w:rPr>
          <w:rFonts w:ascii="Arial" w:cs="Arial" w:eastAsia="Arial" w:hAnsi="Arial"/>
          <w:sz w:val="20"/>
          <w:szCs w:val="20"/>
          <w:color w:val="auto"/>
        </w:rPr>
      </w:pPr>
      <w:r>
        <w:rPr>
          <w:rFonts w:ascii="Arial" w:cs="Arial" w:eastAsia="Arial" w:hAnsi="Arial"/>
          <w:sz w:val="20"/>
          <w:szCs w:val="20"/>
          <w:color w:val="auto"/>
        </w:rPr>
        <w:t>Adjustment of $0.04 per diluted common share related to provisional estimates for the income tax effects related to the Tax Reform Law. The only GAAP measure affected in this release is EPS.</w:t>
      </w:r>
    </w:p>
    <w:p>
      <w:pPr>
        <w:spacing w:after="0" w:line="218" w:lineRule="exact"/>
        <w:rPr>
          <w:rFonts w:ascii="Arial" w:cs="Arial" w:eastAsia="Arial" w:hAnsi="Arial"/>
          <w:sz w:val="20"/>
          <w:szCs w:val="20"/>
          <w:color w:val="auto"/>
        </w:rPr>
      </w:pPr>
    </w:p>
    <w:p>
      <w:pPr>
        <w:ind w:left="340" w:hanging="278"/>
        <w:spacing w:after="0"/>
        <w:tabs>
          <w:tab w:leader="none" w:pos="340" w:val="left"/>
        </w:tabs>
        <w:numPr>
          <w:ilvl w:val="0"/>
          <w:numId w:val="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YTD 2019 Adjusted results exclude the following:</w:t>
      </w:r>
    </w:p>
    <w:p>
      <w:pPr>
        <w:spacing w:after="0" w:line="215" w:lineRule="exact"/>
        <w:rPr>
          <w:rFonts w:ascii="Arial" w:cs="Arial" w:eastAsia="Arial" w:hAnsi="Arial"/>
          <w:sz w:val="20"/>
          <w:szCs w:val="20"/>
          <w:u w:val="single" w:color="auto"/>
          <w:color w:val="auto"/>
        </w:rPr>
      </w:pPr>
    </w:p>
    <w:p>
      <w:pPr>
        <w:ind w:left="1000" w:right="20" w:hanging="317"/>
        <w:spacing w:after="0" w:line="245" w:lineRule="auto"/>
        <w:tabs>
          <w:tab w:leader="none" w:pos="1000" w:val="left"/>
        </w:tabs>
        <w:numPr>
          <w:ilvl w:val="1"/>
          <w:numId w:val="3"/>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$36 million pretax income, or $0.20 per diluted common share; GAAP measures affected in this release include consolidated pretax, EPS, and segment earnings (for respective amortization expense for the Retail and Group and Specialty segments).</w:t>
      </w:r>
    </w:p>
    <w:p>
      <w:pPr>
        <w:ind w:left="1000" w:right="160" w:hanging="317"/>
        <w:spacing w:after="0" w:line="298"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Put/call valuation adjustments of approximately $135 million, or $0.77per diluted common share, associated with Humana’s 40% minority interest in Kindred at Home. GAAP measures affected in this release include consolidated pretax and EPS.</w:t>
      </w:r>
    </w:p>
    <w:p>
      <w:pPr>
        <w:spacing w:after="0" w:line="171" w:lineRule="exact"/>
        <w:rPr>
          <w:rFonts w:ascii="Arial" w:cs="Arial" w:eastAsia="Arial" w:hAnsi="Arial"/>
          <w:sz w:val="18"/>
          <w:szCs w:val="18"/>
          <w:color w:val="auto"/>
        </w:rPr>
      </w:pPr>
    </w:p>
    <w:p>
      <w:pPr>
        <w:ind w:left="360" w:hanging="298"/>
        <w:spacing w:after="0"/>
        <w:tabs>
          <w:tab w:leader="none" w:pos="360" w:val="left"/>
        </w:tabs>
        <w:numPr>
          <w:ilvl w:val="0"/>
          <w:numId w:val="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YTD 2018 Adjusted results exclude the following:</w:t>
      </w:r>
    </w:p>
    <w:p>
      <w:pPr>
        <w:spacing w:after="0" w:line="215" w:lineRule="exact"/>
        <w:rPr>
          <w:rFonts w:ascii="Arial" w:cs="Arial" w:eastAsia="Arial" w:hAnsi="Arial"/>
          <w:sz w:val="20"/>
          <w:szCs w:val="20"/>
          <w:u w:val="single" w:color="auto"/>
          <w:color w:val="auto"/>
        </w:rPr>
      </w:pPr>
    </w:p>
    <w:p>
      <w:pPr>
        <w:ind w:left="1000" w:right="80" w:hanging="317"/>
        <w:spacing w:after="0" w:line="245" w:lineRule="auto"/>
        <w:tabs>
          <w:tab w:leader="none" w:pos="1000" w:val="left"/>
        </w:tabs>
        <w:numPr>
          <w:ilvl w:val="1"/>
          <w:numId w:val="3"/>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$51 million pretax, or $0.28 per diluted common share; GAAP measures affected in this release include consolidated pretax, EPS, and segment earnings (for respective amortization expense for the Retail and Group and Specialty segments).</w:t>
      </w:r>
    </w:p>
    <w:p>
      <w:pPr>
        <w:jc w:val="both"/>
        <w:ind w:left="1000" w:right="340" w:hanging="317"/>
        <w:spacing w:after="0" w:line="252" w:lineRule="auto"/>
        <w:tabs>
          <w:tab w:leader="none" w:pos="1000" w:val="left"/>
        </w:tabs>
        <w:numPr>
          <w:ilvl w:val="1"/>
          <w:numId w:val="3"/>
        </w:numPr>
        <w:rPr>
          <w:rFonts w:ascii="Arial" w:cs="Arial" w:eastAsia="Arial" w:hAnsi="Arial"/>
          <w:sz w:val="19"/>
          <w:szCs w:val="19"/>
          <w:color w:val="auto"/>
        </w:rPr>
      </w:pPr>
      <w:r>
        <w:rPr>
          <w:rFonts w:ascii="Arial" w:cs="Arial" w:eastAsia="Arial" w:hAnsi="Arial"/>
          <w:sz w:val="19"/>
          <w:szCs w:val="19"/>
          <w:color w:val="auto"/>
        </w:rPr>
        <w:t>Segment earnings of approximately $71 million, or $0.39 per diluted common share, for the company’s Individual Commercial segment given the company’s exit on January 1, 2018, as previously disclosed. GAAP measures affected in this release include consolidated pretax income, EPS, consolidated revenues, and consolidated benefit ratio.</w:t>
      </w:r>
    </w:p>
    <w:p>
      <w:pPr>
        <w:ind w:left="1000" w:right="180" w:hanging="317"/>
        <w:spacing w:after="0" w:line="239" w:lineRule="auto"/>
        <w:tabs>
          <w:tab w:leader="none" w:pos="1000" w:val="left"/>
        </w:tabs>
        <w:numPr>
          <w:ilvl w:val="1"/>
          <w:numId w:val="3"/>
        </w:numPr>
        <w:rPr>
          <w:rFonts w:ascii="Arial" w:cs="Arial" w:eastAsia="Arial" w:hAnsi="Arial"/>
          <w:sz w:val="20"/>
          <w:szCs w:val="20"/>
          <w:color w:val="auto"/>
        </w:rPr>
      </w:pPr>
      <w:r>
        <w:rPr>
          <w:rFonts w:ascii="Arial" w:cs="Arial" w:eastAsia="Arial" w:hAnsi="Arial"/>
          <w:sz w:val="20"/>
          <w:szCs w:val="20"/>
          <w:color w:val="auto"/>
        </w:rPr>
        <w:t>Loss of approximately $790 million pretax, or $2.59 per diluted common share, associated with the company's sale of its wholly-owned subsidiary, KMG America Corporation (KMG). GAAP measures affected in this release include consolidated pretax and EPS.</w:t>
      </w:r>
    </w:p>
    <w:p>
      <w:pPr>
        <w:spacing w:after="0" w:line="1" w:lineRule="exact"/>
        <w:rPr>
          <w:rFonts w:ascii="Arial" w:cs="Arial" w:eastAsia="Arial" w:hAnsi="Arial"/>
          <w:sz w:val="20"/>
          <w:szCs w:val="20"/>
          <w:color w:val="auto"/>
        </w:rPr>
      </w:pPr>
    </w:p>
    <w:p>
      <w:pPr>
        <w:ind w:left="1000" w:hanging="317"/>
        <w:spacing w:after="0" w:line="244" w:lineRule="auto"/>
        <w:tabs>
          <w:tab w:leader="none" w:pos="1000" w:val="left"/>
        </w:tabs>
        <w:numPr>
          <w:ilvl w:val="1"/>
          <w:numId w:val="3"/>
        </w:numPr>
        <w:rPr>
          <w:rFonts w:ascii="Arial" w:cs="Arial" w:eastAsia="Arial" w:hAnsi="Arial"/>
          <w:sz w:val="20"/>
          <w:szCs w:val="20"/>
          <w:color w:val="auto"/>
        </w:rPr>
      </w:pPr>
      <w:r>
        <w:rPr>
          <w:rFonts w:ascii="Arial" w:cs="Arial" w:eastAsia="Arial" w:hAnsi="Arial"/>
          <w:sz w:val="20"/>
          <w:szCs w:val="20"/>
          <w:color w:val="auto"/>
        </w:rPr>
        <w:t>Adjustment of $0.09 per diluted common share related to provisional estimates for the income tax effects related to the Tax Reform Law. The only GAAP measure affected in this release is EPS.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798" w:right="239" w:bottom="1440" w:gutter="0" w:footer="0" w:header="0"/>
        </w:sectPr>
      </w:pPr>
    </w:p>
    <w:bookmarkStart w:id="8" w:name="page9"/>
    <w:bookmarkEnd w:id="8"/>
    <w:p>
      <w:pPr>
        <w:ind w:left="340" w:right="220" w:hanging="332"/>
        <w:spacing w:after="0" w:line="243" w:lineRule="auto"/>
        <w:tabs>
          <w:tab w:leader="none" w:pos="313"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Healthcare Services segment Adjusted EBITDA includes GAAP segment earnings with adjustments to add back depreciation and amortization expense, interest expense, and income taxes. The Adjusted EBITDA includes results from the all lines of business within the segment, as well as the impact of Humana’s 40% minority interest in Kindred at Home.</w:t>
      </w:r>
    </w:p>
    <w:p>
      <w:pPr>
        <w:spacing w:after="0" w:line="219" w:lineRule="exact"/>
        <w:rPr>
          <w:rFonts w:ascii="Arial" w:cs="Arial" w:eastAsia="Arial" w:hAnsi="Arial"/>
          <w:sz w:val="20"/>
          <w:szCs w:val="20"/>
          <w:color w:val="auto"/>
        </w:rPr>
      </w:pPr>
    </w:p>
    <w:p>
      <w:pPr>
        <w:ind w:left="240" w:hanging="232"/>
        <w:spacing w:after="0"/>
        <w:tabs>
          <w:tab w:leader="none" w:pos="240" w:val="left"/>
        </w:tabs>
        <w:numPr>
          <w:ilvl w:val="0"/>
          <w:numId w:val="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FY19 Adjusted EPS projections exclude the following:</w:t>
      </w:r>
    </w:p>
    <w:p>
      <w:pPr>
        <w:spacing w:after="0" w:line="2" w:lineRule="exact"/>
        <w:rPr>
          <w:rFonts w:ascii="Arial" w:cs="Arial" w:eastAsia="Arial" w:hAnsi="Arial"/>
          <w:sz w:val="20"/>
          <w:szCs w:val="20"/>
          <w:u w:val="single" w:color="auto"/>
          <w:color w:val="auto"/>
        </w:rPr>
      </w:pPr>
    </w:p>
    <w:p>
      <w:pPr>
        <w:ind w:left="1000" w:hanging="317"/>
        <w:spacing w:after="0"/>
        <w:tabs>
          <w:tab w:leader="none" w:pos="1000" w:val="left"/>
        </w:tabs>
        <w:numPr>
          <w:ilvl w:val="1"/>
          <w:numId w:val="4"/>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$0.40 per diluted common share.</w:t>
      </w:r>
    </w:p>
    <w:p>
      <w:pPr>
        <w:ind w:left="1000" w:right="60" w:hanging="317"/>
        <w:spacing w:after="0" w:line="241" w:lineRule="auto"/>
        <w:tabs>
          <w:tab w:leader="none" w:pos="1000" w:val="left"/>
        </w:tabs>
        <w:numPr>
          <w:ilvl w:val="1"/>
          <w:numId w:val="4"/>
        </w:numPr>
        <w:rPr>
          <w:rFonts w:ascii="Arial" w:cs="Arial" w:eastAsia="Arial" w:hAnsi="Arial"/>
          <w:sz w:val="20"/>
          <w:szCs w:val="20"/>
          <w:color w:val="auto"/>
        </w:rPr>
      </w:pPr>
      <w:r>
        <w:rPr>
          <w:rFonts w:ascii="Arial" w:cs="Arial" w:eastAsia="Arial" w:hAnsi="Arial"/>
          <w:sz w:val="20"/>
          <w:szCs w:val="20"/>
          <w:color w:val="auto"/>
        </w:rPr>
        <w:t>Put/call valuation adjustments of approximately $0.77 per diluted common share, associated with Humana’s 40% minority interest in Kindred at Home. FY19 GAAP EPS guidance excludes the impact of future value changes of the Kindred at Home put/call option, which cannot be estimated.</w:t>
      </w:r>
    </w:p>
    <w:p>
      <w:pPr>
        <w:spacing w:after="0" w:line="222" w:lineRule="exact"/>
        <w:rPr>
          <w:rFonts w:ascii="Arial" w:cs="Arial" w:eastAsia="Arial" w:hAnsi="Arial"/>
          <w:sz w:val="20"/>
          <w:szCs w:val="20"/>
          <w:color w:val="auto"/>
        </w:rPr>
      </w:pPr>
    </w:p>
    <w:p>
      <w:pPr>
        <w:ind w:left="300" w:hanging="292"/>
        <w:spacing w:after="0"/>
        <w:tabs>
          <w:tab w:leader="none" w:pos="300" w:val="left"/>
        </w:tabs>
        <w:numPr>
          <w:ilvl w:val="0"/>
          <w:numId w:val="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FY18 Adjusted results exclude the following:</w:t>
      </w:r>
    </w:p>
    <w:p>
      <w:pPr>
        <w:spacing w:after="0" w:line="2" w:lineRule="exact"/>
        <w:rPr>
          <w:rFonts w:ascii="Arial" w:cs="Arial" w:eastAsia="Arial" w:hAnsi="Arial"/>
          <w:sz w:val="20"/>
          <w:szCs w:val="20"/>
          <w:u w:val="single" w:color="auto"/>
          <w:color w:val="auto"/>
        </w:rPr>
      </w:pPr>
    </w:p>
    <w:p>
      <w:pPr>
        <w:ind w:left="1000" w:hanging="317"/>
        <w:spacing w:after="0"/>
        <w:tabs>
          <w:tab w:leader="none" w:pos="1000" w:val="left"/>
        </w:tabs>
        <w:numPr>
          <w:ilvl w:val="1"/>
          <w:numId w:val="4"/>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$90 million pretax, or $0.49 per diluted common share.</w:t>
      </w:r>
    </w:p>
    <w:p>
      <w:pPr>
        <w:spacing w:after="0" w:line="11" w:lineRule="exact"/>
        <w:rPr>
          <w:rFonts w:ascii="Arial" w:cs="Arial" w:eastAsia="Arial" w:hAnsi="Arial"/>
          <w:sz w:val="19"/>
          <w:szCs w:val="19"/>
          <w:color w:val="auto"/>
        </w:rPr>
      </w:pPr>
    </w:p>
    <w:p>
      <w:pPr>
        <w:ind w:left="1000" w:right="220" w:hanging="317"/>
        <w:spacing w:after="0" w:line="239" w:lineRule="auto"/>
        <w:tabs>
          <w:tab w:leader="none" w:pos="1000" w:val="left"/>
        </w:tabs>
        <w:numPr>
          <w:ilvl w:val="1"/>
          <w:numId w:val="4"/>
        </w:numPr>
        <w:rPr>
          <w:rFonts w:ascii="Arial" w:cs="Arial" w:eastAsia="Arial" w:hAnsi="Arial"/>
          <w:sz w:val="20"/>
          <w:szCs w:val="20"/>
          <w:color w:val="auto"/>
        </w:rPr>
      </w:pPr>
      <w:r>
        <w:rPr>
          <w:rFonts w:ascii="Arial" w:cs="Arial" w:eastAsia="Arial" w:hAnsi="Arial"/>
          <w:sz w:val="20"/>
          <w:szCs w:val="20"/>
          <w:color w:val="auto"/>
        </w:rPr>
        <w:t>Put/call valuation adjustments of approximately $33 million, or $0.18 per diluted common share, associated with Humana's 40% minority interest in Kindred at Home.</w:t>
      </w:r>
    </w:p>
    <w:p>
      <w:pPr>
        <w:spacing w:after="0" w:line="1" w:lineRule="exact"/>
        <w:rPr>
          <w:rFonts w:ascii="Arial" w:cs="Arial" w:eastAsia="Arial" w:hAnsi="Arial"/>
          <w:sz w:val="20"/>
          <w:szCs w:val="20"/>
          <w:color w:val="auto"/>
        </w:rPr>
      </w:pPr>
    </w:p>
    <w:p>
      <w:pPr>
        <w:ind w:left="1000" w:right="160" w:hanging="317"/>
        <w:spacing w:after="0" w:line="239" w:lineRule="auto"/>
        <w:tabs>
          <w:tab w:leader="none" w:pos="1000" w:val="left"/>
        </w:tabs>
        <w:numPr>
          <w:ilvl w:val="1"/>
          <w:numId w:val="4"/>
        </w:numPr>
        <w:rPr>
          <w:rFonts w:ascii="Arial" w:cs="Arial" w:eastAsia="Arial" w:hAnsi="Arial"/>
          <w:sz w:val="20"/>
          <w:szCs w:val="20"/>
          <w:color w:val="auto"/>
        </w:rPr>
      </w:pPr>
      <w:r>
        <w:rPr>
          <w:rFonts w:ascii="Arial" w:cs="Arial" w:eastAsia="Arial" w:hAnsi="Arial"/>
          <w:sz w:val="20"/>
          <w:szCs w:val="20"/>
          <w:color w:val="auto"/>
        </w:rPr>
        <w:t>Loss of approximately $786 million pretax, or $2.41 per diluted common share, associated with the company's pending sale of its wholly-owned subsidiary, KMG America Corporation (KMG).</w:t>
      </w:r>
    </w:p>
    <w:p>
      <w:pPr>
        <w:spacing w:after="0" w:line="1" w:lineRule="exact"/>
        <w:rPr>
          <w:rFonts w:ascii="Arial" w:cs="Arial" w:eastAsia="Arial" w:hAnsi="Arial"/>
          <w:sz w:val="20"/>
          <w:szCs w:val="20"/>
          <w:color w:val="auto"/>
        </w:rPr>
      </w:pPr>
    </w:p>
    <w:p>
      <w:pPr>
        <w:ind w:left="1000" w:right="340" w:hanging="317"/>
        <w:spacing w:after="0" w:line="239" w:lineRule="auto"/>
        <w:tabs>
          <w:tab w:leader="none" w:pos="1000" w:val="left"/>
        </w:tabs>
        <w:numPr>
          <w:ilvl w:val="1"/>
          <w:numId w:val="4"/>
        </w:numPr>
        <w:rPr>
          <w:rFonts w:ascii="Arial" w:cs="Arial" w:eastAsia="Arial" w:hAnsi="Arial"/>
          <w:sz w:val="20"/>
          <w:szCs w:val="20"/>
          <w:color w:val="auto"/>
        </w:rPr>
      </w:pPr>
      <w:r>
        <w:rPr>
          <w:rFonts w:ascii="Arial" w:cs="Arial" w:eastAsia="Arial" w:hAnsi="Arial"/>
          <w:sz w:val="20"/>
          <w:szCs w:val="20"/>
          <w:color w:val="auto"/>
        </w:rPr>
        <w:t>Segment earnings of approximately $74 million, or $0.41 per diluted common share, for the company’s Individual Commercial segment given the company’s exit on January 1, 2018, as previously disclosed.</w:t>
      </w:r>
    </w:p>
    <w:p>
      <w:pPr>
        <w:spacing w:after="0" w:line="1" w:lineRule="exact"/>
        <w:rPr>
          <w:rFonts w:ascii="Arial" w:cs="Arial" w:eastAsia="Arial" w:hAnsi="Arial"/>
          <w:sz w:val="20"/>
          <w:szCs w:val="20"/>
          <w:color w:val="auto"/>
        </w:rPr>
      </w:pPr>
    </w:p>
    <w:p>
      <w:pPr>
        <w:ind w:left="1000" w:hanging="317"/>
        <w:spacing w:after="0" w:line="244" w:lineRule="auto"/>
        <w:tabs>
          <w:tab w:leader="none" w:pos="1000" w:val="left"/>
        </w:tabs>
        <w:numPr>
          <w:ilvl w:val="1"/>
          <w:numId w:val="4"/>
        </w:numPr>
        <w:rPr>
          <w:rFonts w:ascii="Arial" w:cs="Arial" w:eastAsia="Arial" w:hAnsi="Arial"/>
          <w:sz w:val="20"/>
          <w:szCs w:val="20"/>
          <w:color w:val="auto"/>
        </w:rPr>
      </w:pPr>
      <w:r>
        <w:rPr>
          <w:rFonts w:ascii="Arial" w:cs="Arial" w:eastAsia="Arial" w:hAnsi="Arial"/>
          <w:sz w:val="20"/>
          <w:szCs w:val="20"/>
          <w:color w:val="auto"/>
        </w:rPr>
        <w:t>Adjustment of $0.28 per diluted common share related to provisional estimates for the income tax effects related to the Tax Reform Law.</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Cautionary Statement</w:t>
      </w:r>
    </w:p>
    <w:p>
      <w:pPr>
        <w:spacing w:after="0" w:line="24" w:lineRule="exact"/>
        <w:rPr>
          <w:sz w:val="20"/>
          <w:szCs w:val="20"/>
          <w:color w:val="auto"/>
        </w:rPr>
      </w:pPr>
    </w:p>
    <w:p>
      <w:pPr>
        <w:ind w:left="640" w:right="80"/>
        <w:spacing w:after="0" w:line="241" w:lineRule="auto"/>
        <w:rPr>
          <w:sz w:val="20"/>
          <w:szCs w:val="20"/>
          <w:color w:val="auto"/>
        </w:rPr>
      </w:pPr>
      <w:r>
        <w:rPr>
          <w:rFonts w:ascii="Arial" w:cs="Arial" w:eastAsia="Arial" w:hAnsi="Arial"/>
          <w:sz w:val="20"/>
          <w:szCs w:val="20"/>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223" w:lineRule="exact"/>
        <w:rPr>
          <w:sz w:val="20"/>
          <w:szCs w:val="20"/>
          <w:color w:val="auto"/>
        </w:rPr>
      </w:pPr>
    </w:p>
    <w:p>
      <w:pPr>
        <w:ind w:left="640" w:right="360"/>
        <w:spacing w:after="0" w:line="243" w:lineRule="auto"/>
        <w:rPr>
          <w:sz w:val="20"/>
          <w:szCs w:val="20"/>
          <w:color w:val="auto"/>
        </w:rPr>
      </w:pPr>
      <w:r>
        <w:rPr>
          <w:rFonts w:ascii="Arial" w:cs="Arial" w:eastAsia="Arial" w:hAnsi="Arial"/>
          <w:sz w:val="20"/>
          <w:szCs w:val="20"/>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220" w:lineRule="exact"/>
        <w:rPr>
          <w:sz w:val="20"/>
          <w:szCs w:val="20"/>
          <w:color w:val="auto"/>
        </w:rPr>
      </w:pPr>
    </w:p>
    <w:p>
      <w:pPr>
        <w:ind w:left="640" w:firstLine="3"/>
        <w:spacing w:after="0" w:line="302" w:lineRule="auto"/>
        <w:tabs>
          <w:tab w:leader="none" w:pos="1357"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609" w:right="239" w:bottom="1440" w:gutter="0" w:footer="0" w:header="0"/>
        </w:sectPr>
      </w:pPr>
    </w:p>
    <w:bookmarkStart w:id="9" w:name="page10"/>
    <w:bookmarkEnd w:id="9"/>
    <w:p>
      <w:pPr>
        <w:ind w:left="-3" w:right="60" w:firstLine="3"/>
        <w:spacing w:after="0" w:line="267" w:lineRule="auto"/>
        <w:tabs>
          <w:tab w:leader="none" w:pos="715" w:val="left"/>
        </w:tabs>
        <w:numPr>
          <w:ilvl w:val="0"/>
          <w:numId w:val="6"/>
        </w:numPr>
        <w:rPr>
          <w:rFonts w:ascii="Arial" w:cs="Arial" w:eastAsia="Arial" w:hAnsi="Arial"/>
          <w:sz w:val="20"/>
          <w:szCs w:val="20"/>
          <w:color w:val="auto"/>
        </w:rPr>
      </w:pPr>
      <w:r>
        <w:rPr>
          <w:rFonts w:ascii="Arial" w:cs="Arial" w:eastAsia="Arial" w:hAnsi="Arial"/>
          <w:sz w:val="20"/>
          <w:szCs w:val="20"/>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2" w:lineRule="exact"/>
        <w:rPr>
          <w:rFonts w:ascii="Arial" w:cs="Arial" w:eastAsia="Arial" w:hAnsi="Arial"/>
          <w:sz w:val="20"/>
          <w:szCs w:val="20"/>
          <w:color w:val="auto"/>
        </w:rPr>
      </w:pPr>
    </w:p>
    <w:p>
      <w:pPr>
        <w:ind w:left="-3" w:right="240" w:firstLine="3"/>
        <w:spacing w:after="0" w:line="267" w:lineRule="auto"/>
        <w:tabs>
          <w:tab w:leader="none" w:pos="715" w:val="left"/>
        </w:tabs>
        <w:numPr>
          <w:ilvl w:val="0"/>
          <w:numId w:val="6"/>
        </w:numPr>
        <w:rPr>
          <w:rFonts w:ascii="Arial" w:cs="Arial" w:eastAsia="Arial" w:hAnsi="Arial"/>
          <w:sz w:val="20"/>
          <w:szCs w:val="20"/>
          <w:color w:val="auto"/>
        </w:rPr>
      </w:pPr>
      <w:r>
        <w:rPr>
          <w:rFonts w:ascii="Arial" w:cs="Arial" w:eastAsia="Arial" w:hAnsi="Arial"/>
          <w:sz w:val="20"/>
          <w:szCs w:val="20"/>
          <w:color w:val="auto"/>
        </w:rPr>
        <w:t>If Humana fails to properly maintain the integrity of its data, to strategically implement new information systems, to protect Humana’s proprietary rights to its systems, or to defend against cyber-security attacks, the company’s business may be materially adversely affected.</w:t>
      </w:r>
    </w:p>
    <w:p>
      <w:pPr>
        <w:spacing w:after="0" w:line="2" w:lineRule="exact"/>
        <w:rPr>
          <w:rFonts w:ascii="Arial" w:cs="Arial" w:eastAsia="Arial" w:hAnsi="Arial"/>
          <w:sz w:val="20"/>
          <w:szCs w:val="20"/>
          <w:color w:val="auto"/>
        </w:rPr>
      </w:pPr>
    </w:p>
    <w:p>
      <w:pPr>
        <w:ind w:left="-3" w:right="60" w:firstLine="3"/>
        <w:spacing w:after="0" w:line="267" w:lineRule="auto"/>
        <w:tabs>
          <w:tab w:leader="none" w:pos="715" w:val="left"/>
        </w:tabs>
        <w:numPr>
          <w:ilvl w:val="0"/>
          <w:numId w:val="6"/>
        </w:numPr>
        <w:rPr>
          <w:rFonts w:ascii="Arial" w:cs="Arial" w:eastAsia="Arial" w:hAnsi="Arial"/>
          <w:sz w:val="20"/>
          <w:szCs w:val="20"/>
          <w:color w:val="auto"/>
        </w:rPr>
      </w:pPr>
      <w:r>
        <w:rPr>
          <w:rFonts w:ascii="Arial" w:cs="Arial" w:eastAsia="Arial" w:hAnsi="Arial"/>
          <w:sz w:val="20"/>
          <w:szCs w:val="20"/>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3" w:lineRule="exact"/>
        <w:rPr>
          <w:rFonts w:ascii="Arial" w:cs="Arial" w:eastAsia="Arial" w:hAnsi="Arial"/>
          <w:sz w:val="20"/>
          <w:szCs w:val="20"/>
          <w:color w:val="auto"/>
        </w:rPr>
      </w:pPr>
    </w:p>
    <w:p>
      <w:pPr>
        <w:ind w:left="-3" w:right="80" w:firstLine="3"/>
        <w:spacing w:after="0" w:line="281" w:lineRule="auto"/>
        <w:tabs>
          <w:tab w:leader="none" w:pos="715" w:val="left"/>
        </w:tabs>
        <w:numPr>
          <w:ilvl w:val="0"/>
          <w:numId w:val="6"/>
        </w:numPr>
        <w:rPr>
          <w:rFonts w:ascii="Arial" w:cs="Arial" w:eastAsia="Arial" w:hAnsi="Arial"/>
          <w:sz w:val="19"/>
          <w:szCs w:val="19"/>
          <w:color w:val="auto"/>
        </w:rPr>
      </w:pPr>
      <w:r>
        <w:rPr>
          <w:rFonts w:ascii="Arial" w:cs="Arial" w:eastAsia="Arial" w:hAnsi="Arial"/>
          <w:sz w:val="19"/>
          <w:szCs w:val="19"/>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 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7" w:lineRule="exact"/>
        <w:rPr>
          <w:rFonts w:ascii="Arial" w:cs="Arial" w:eastAsia="Arial" w:hAnsi="Arial"/>
          <w:sz w:val="19"/>
          <w:szCs w:val="19"/>
          <w:color w:val="auto"/>
        </w:rPr>
      </w:pPr>
    </w:p>
    <w:p>
      <w:pPr>
        <w:ind w:left="-3" w:firstLine="3"/>
        <w:spacing w:after="0" w:line="297" w:lineRule="auto"/>
        <w:tabs>
          <w:tab w:leader="none" w:pos="7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Healthcare Reform Law, including The Patient Protection and Affordable Care Act and The Healthcare and Education Reconciliation Act of 2010, could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 Additionally, potential legislative or judicial changes, including activities to invalidate, repeal or replace, in whole or in part, the Health Care Reform Law, creates uncertainty for Humana’s business, and when, or in what form, such legislative or judicial changes may occur cannot be predicted with certainty.</w:t>
      </w:r>
    </w:p>
    <w:p>
      <w:pPr>
        <w:spacing w:after="0" w:line="4" w:lineRule="exact"/>
        <w:rPr>
          <w:rFonts w:ascii="Arial" w:cs="Arial" w:eastAsia="Arial" w:hAnsi="Arial"/>
          <w:sz w:val="18"/>
          <w:szCs w:val="18"/>
          <w:color w:val="auto"/>
        </w:rPr>
      </w:pPr>
    </w:p>
    <w:p>
      <w:pPr>
        <w:ind w:left="-3" w:right="40" w:firstLine="3"/>
        <w:spacing w:after="0" w:line="267" w:lineRule="auto"/>
        <w:tabs>
          <w:tab w:leader="none" w:pos="715" w:val="left"/>
        </w:tabs>
        <w:numPr>
          <w:ilvl w:val="0"/>
          <w:numId w:val="6"/>
        </w:numPr>
        <w:rPr>
          <w:rFonts w:ascii="Arial" w:cs="Arial" w:eastAsia="Arial" w:hAnsi="Arial"/>
          <w:sz w:val="20"/>
          <w:szCs w:val="20"/>
          <w:color w:val="auto"/>
        </w:rPr>
      </w:pPr>
      <w:r>
        <w:rPr>
          <w:rFonts w:ascii="Arial" w:cs="Arial" w:eastAsia="Arial" w:hAnsi="Arial"/>
          <w:sz w:val="20"/>
          <w:szCs w:val="20"/>
          <w:color w:val="auto"/>
        </w:rPr>
        <w:t>Humana’s business activities are subject to substantial government regulation. New laws or regulations, or changes in existing laws or regulations or their manner of application could increase the company’s cost of doing business and may adversely affect the company’s business, profitability and cash flows.</w:t>
      </w:r>
    </w:p>
    <w:p>
      <w:pPr>
        <w:spacing w:after="0" w:line="2" w:lineRule="exact"/>
        <w:rPr>
          <w:rFonts w:ascii="Arial" w:cs="Arial" w:eastAsia="Arial" w:hAnsi="Arial"/>
          <w:sz w:val="20"/>
          <w:szCs w:val="20"/>
          <w:color w:val="auto"/>
        </w:rPr>
      </w:pPr>
    </w:p>
    <w:p>
      <w:pPr>
        <w:ind w:left="-3" w:right="460" w:firstLine="3"/>
        <w:spacing w:after="0" w:line="267" w:lineRule="auto"/>
        <w:tabs>
          <w:tab w:leader="none" w:pos="715" w:val="left"/>
        </w:tabs>
        <w:numPr>
          <w:ilvl w:val="0"/>
          <w:numId w:val="6"/>
        </w:numPr>
        <w:rPr>
          <w:rFonts w:ascii="Arial" w:cs="Arial" w:eastAsia="Arial" w:hAnsi="Arial"/>
          <w:sz w:val="20"/>
          <w:szCs w:val="20"/>
          <w:color w:val="auto"/>
        </w:rPr>
      </w:pPr>
      <w:r>
        <w:rPr>
          <w:rFonts w:ascii="Arial" w:cs="Arial" w:eastAsia="Arial" w:hAnsi="Arial"/>
          <w:sz w:val="20"/>
          <w:szCs w:val="20"/>
          <w:color w:val="auto"/>
        </w:rPr>
        <w:t>Humana’s failure to manage acquisitions, divestitures and other significant transactions successfully may have a material adverse effect on the company’s results of operations, financial position, and cash flows.</w:t>
      </w:r>
    </w:p>
    <w:p>
      <w:pPr>
        <w:spacing w:after="0" w:line="1" w:lineRule="exact"/>
        <w:rPr>
          <w:rFonts w:ascii="Arial" w:cs="Arial" w:eastAsia="Arial" w:hAnsi="Arial"/>
          <w:sz w:val="20"/>
          <w:szCs w:val="20"/>
          <w:color w:val="auto"/>
        </w:rPr>
      </w:pPr>
    </w:p>
    <w:p>
      <w:pPr>
        <w:ind w:left="-3" w:right="280" w:firstLine="3"/>
        <w:spacing w:after="0" w:line="267" w:lineRule="auto"/>
        <w:tabs>
          <w:tab w:leader="none" w:pos="715" w:val="left"/>
        </w:tabs>
        <w:numPr>
          <w:ilvl w:val="0"/>
          <w:numId w:val="6"/>
        </w:numPr>
        <w:rPr>
          <w:rFonts w:ascii="Arial" w:cs="Arial" w:eastAsia="Arial" w:hAnsi="Arial"/>
          <w:sz w:val="20"/>
          <w:szCs w:val="20"/>
          <w:color w:val="auto"/>
        </w:rPr>
      </w:pPr>
      <w:r>
        <w:rPr>
          <w:rFonts w:ascii="Arial" w:cs="Arial" w:eastAsia="Arial" w:hAnsi="Arial"/>
          <w:sz w:val="20"/>
          <w:szCs w:val="20"/>
          <w:color w:val="auto"/>
        </w:rPr>
        <w:t>If Humana fails to develop and maintain satisfactory relationships with the providers of care to its members, the company’s business may be adversely affected.</w:t>
      </w:r>
    </w:p>
    <w:p>
      <w:pPr>
        <w:spacing w:after="0" w:line="1" w:lineRule="exact"/>
        <w:rPr>
          <w:rFonts w:ascii="Arial" w:cs="Arial" w:eastAsia="Arial" w:hAnsi="Arial"/>
          <w:sz w:val="20"/>
          <w:szCs w:val="20"/>
          <w:color w:val="auto"/>
        </w:rPr>
      </w:pPr>
    </w:p>
    <w:p>
      <w:pPr>
        <w:ind w:left="-3" w:right="160" w:firstLine="3"/>
        <w:spacing w:after="0" w:line="267" w:lineRule="auto"/>
        <w:tabs>
          <w:tab w:leader="none" w:pos="715" w:val="left"/>
        </w:tabs>
        <w:numPr>
          <w:ilvl w:val="0"/>
          <w:numId w:val="6"/>
        </w:numPr>
        <w:rPr>
          <w:rFonts w:ascii="Arial" w:cs="Arial" w:eastAsia="Arial" w:hAnsi="Arial"/>
          <w:sz w:val="20"/>
          <w:szCs w:val="20"/>
          <w:color w:val="auto"/>
        </w:rPr>
      </w:pPr>
      <w:r>
        <w:rPr>
          <w:rFonts w:ascii="Arial" w:cs="Arial" w:eastAsia="Arial" w:hAnsi="Arial"/>
          <w:sz w:val="20"/>
          <w:szCs w:val="20"/>
          <w:color w:val="auto"/>
        </w:rPr>
        <w:t>Humana’s pharmacy business is highly competitive and subjects it to regulations in addition to those the company faces with its core health benefits businesses.</w:t>
      </w:r>
    </w:p>
    <w:p>
      <w:pPr>
        <w:spacing w:after="0" w:line="1" w:lineRule="exact"/>
        <w:rPr>
          <w:rFonts w:ascii="Arial" w:cs="Arial" w:eastAsia="Arial" w:hAnsi="Arial"/>
          <w:sz w:val="20"/>
          <w:szCs w:val="20"/>
          <w:color w:val="auto"/>
        </w:rPr>
      </w:pPr>
    </w:p>
    <w:p>
      <w:pPr>
        <w:ind w:left="717" w:hanging="717"/>
        <w:spacing w:after="0"/>
        <w:tabs>
          <w:tab w:leader="none" w:pos="717" w:val="left"/>
        </w:tabs>
        <w:numPr>
          <w:ilvl w:val="0"/>
          <w:numId w:val="6"/>
        </w:numPr>
        <w:rPr>
          <w:rFonts w:ascii="Arial" w:cs="Arial" w:eastAsia="Arial" w:hAnsi="Arial"/>
          <w:sz w:val="19"/>
          <w:szCs w:val="19"/>
          <w:color w:val="auto"/>
        </w:rPr>
      </w:pPr>
      <w:r>
        <w:rPr>
          <w:rFonts w:ascii="Arial" w:cs="Arial" w:eastAsia="Arial" w:hAnsi="Arial"/>
          <w:sz w:val="19"/>
          <w:szCs w:val="19"/>
          <w:color w:val="auto"/>
        </w:rPr>
        <w:t>Changes in the prescription drug industry pricing benchmarks may adversely affect Humana’s financial performance.</w:t>
      </w:r>
    </w:p>
    <w:p>
      <w:pPr>
        <w:spacing w:after="0" w:line="38" w:lineRule="exact"/>
        <w:rPr>
          <w:rFonts w:ascii="Arial" w:cs="Arial" w:eastAsia="Arial" w:hAnsi="Arial"/>
          <w:sz w:val="19"/>
          <w:szCs w:val="19"/>
          <w:color w:val="auto"/>
        </w:rPr>
      </w:pPr>
    </w:p>
    <w:p>
      <w:pPr>
        <w:ind w:left="-3" w:right="100" w:firstLine="3"/>
        <w:spacing w:after="0" w:line="267" w:lineRule="auto"/>
        <w:tabs>
          <w:tab w:leader="none" w:pos="715" w:val="left"/>
        </w:tabs>
        <w:numPr>
          <w:ilvl w:val="0"/>
          <w:numId w:val="6"/>
        </w:numPr>
        <w:rPr>
          <w:rFonts w:ascii="Arial" w:cs="Arial" w:eastAsia="Arial" w:hAnsi="Arial"/>
          <w:sz w:val="20"/>
          <w:szCs w:val="20"/>
          <w:color w:val="auto"/>
        </w:rPr>
      </w:pPr>
      <w:r>
        <w:rPr>
          <w:rFonts w:ascii="Arial" w:cs="Arial" w:eastAsia="Arial" w:hAnsi="Arial"/>
          <w:sz w:val="20"/>
          <w:szCs w:val="20"/>
          <w:color w:val="auto"/>
        </w:rPr>
        <w:t>If Humana does not continue to earn and retain purchase discounts and volume rebates from pharmaceutical manufacturers at current levels, Humana’s gross margins may decline.</w:t>
      </w:r>
    </w:p>
    <w:p>
      <w:pPr>
        <w:spacing w:after="0" w:line="1" w:lineRule="exact"/>
        <w:rPr>
          <w:rFonts w:ascii="Arial" w:cs="Arial" w:eastAsia="Arial" w:hAnsi="Arial"/>
          <w:sz w:val="20"/>
          <w:szCs w:val="20"/>
          <w:color w:val="auto"/>
        </w:rPr>
      </w:pPr>
    </w:p>
    <w:p>
      <w:pPr>
        <w:ind w:left="717" w:hanging="717"/>
        <w:spacing w:after="0"/>
        <w:tabs>
          <w:tab w:leader="none" w:pos="717" w:val="left"/>
        </w:tabs>
        <w:numPr>
          <w:ilvl w:val="0"/>
          <w:numId w:val="6"/>
        </w:numPr>
        <w:rPr>
          <w:rFonts w:ascii="Arial" w:cs="Arial" w:eastAsia="Arial" w:hAnsi="Arial"/>
          <w:sz w:val="19"/>
          <w:szCs w:val="19"/>
          <w:color w:val="auto"/>
        </w:rPr>
      </w:pPr>
      <w:r>
        <w:rPr>
          <w:rFonts w:ascii="Arial" w:cs="Arial" w:eastAsia="Arial" w:hAnsi="Arial"/>
          <w:sz w:val="19"/>
          <w:szCs w:val="19"/>
          <w:color w:val="auto"/>
        </w:rPr>
        <w:t>Humana’s ability to obtain funds from certain of its licensed subsidiaries is restricted by state insurance regulations.</w:t>
      </w:r>
    </w:p>
    <w:p>
      <w:pPr>
        <w:spacing w:after="0" w:line="268" w:lineRule="exact"/>
        <w:rPr>
          <w:sz w:val="20"/>
          <w:szCs w:val="20"/>
          <w:color w:val="auto"/>
        </w:rPr>
      </w:pPr>
    </w:p>
    <w:p>
      <w:pPr>
        <w:ind w:left="5017"/>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57"/>
          </w:cols>
          <w:pgMar w:left="883" w:top="609" w:right="259" w:bottom="1440" w:gutter="0" w:footer="0" w:header="0"/>
        </w:sectPr>
      </w:pPr>
    </w:p>
    <w:bookmarkStart w:id="10" w:name="page11"/>
    <w:bookmarkEnd w:id="10"/>
    <w:p>
      <w:pPr>
        <w:ind w:left="640" w:right="720" w:firstLine="3"/>
        <w:spacing w:after="0" w:line="267" w:lineRule="auto"/>
        <w:tabs>
          <w:tab w:leader="none" w:pos="1357" w:val="left"/>
        </w:tabs>
        <w:numPr>
          <w:ilvl w:val="0"/>
          <w:numId w:val="7"/>
        </w:numPr>
        <w:rPr>
          <w:rFonts w:ascii="Arial" w:cs="Arial" w:eastAsia="Arial" w:hAnsi="Arial"/>
          <w:sz w:val="20"/>
          <w:szCs w:val="20"/>
          <w:color w:val="auto"/>
        </w:rPr>
      </w:pPr>
      <w:r>
        <w:rPr>
          <w:rFonts w:ascii="Arial" w:cs="Arial" w:eastAsia="Arial" w:hAnsi="Arial"/>
          <w:sz w:val="20"/>
          <w:szCs w:val="20"/>
          <w:color w:val="auto"/>
        </w:rPr>
        <w:t>Downgrades in Humana’s debt ratings, should they occur, may adversely affect its business, results of operations, and financial condition.</w:t>
      </w:r>
    </w:p>
    <w:p>
      <w:pPr>
        <w:spacing w:after="0" w:line="1" w:lineRule="exact"/>
        <w:rPr>
          <w:rFonts w:ascii="Arial" w:cs="Arial" w:eastAsia="Arial" w:hAnsi="Arial"/>
          <w:sz w:val="20"/>
          <w:szCs w:val="20"/>
          <w:color w:val="auto"/>
        </w:rPr>
      </w:pPr>
    </w:p>
    <w:p>
      <w:pPr>
        <w:ind w:left="1360" w:hanging="717"/>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securities and credit markets may experience volatility and disruption, which may adversely affect Humana’s business.</w:t>
      </w:r>
    </w:p>
    <w:p>
      <w:pPr>
        <w:spacing w:after="0" w:line="279"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205"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Humana advises investors to read the following documents as filed by the company with the SEC for further discussion both of the risks it faces and its historical performance:</w:t>
      </w:r>
    </w:p>
    <w:p>
      <w:pPr>
        <w:spacing w:after="0" w:line="21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Form 10-K for the year ended December 31, 2018;</w:t>
      </w:r>
    </w:p>
    <w:p>
      <w:pPr>
        <w:spacing w:after="0" w:line="2" w:lineRule="exact"/>
        <w:rPr>
          <w:rFonts w:ascii="Arial" w:cs="Arial" w:eastAsia="Arial" w:hAnsi="Arial"/>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Form 10-Q for the quarter ended March 31, 2019; and</w:t>
      </w: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Form 8-Ks filed during 2019.</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About Humana</w:t>
      </w:r>
    </w:p>
    <w:p>
      <w:pPr>
        <w:spacing w:after="0" w:line="253"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207"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207" w:lineRule="exact"/>
        <w:rPr>
          <w:sz w:val="20"/>
          <w:szCs w:val="20"/>
          <w:color w:val="auto"/>
        </w:rPr>
      </w:pPr>
    </w:p>
    <w:p>
      <w:pPr>
        <w:ind w:right="840"/>
        <w:spacing w:after="0" w:line="247" w:lineRule="auto"/>
        <w:rPr>
          <w:sz w:val="20"/>
          <w:szCs w:val="20"/>
          <w:color w:val="auto"/>
        </w:rPr>
      </w:pPr>
      <w:r>
        <w:rPr>
          <w:rFonts w:ascii="Arial" w:cs="Arial" w:eastAsia="Arial" w:hAnsi="Arial"/>
          <w:sz w:val="20"/>
          <w:szCs w:val="20"/>
          <w:color w:val="auto"/>
        </w:rPr>
        <w:t xml:space="preserve">More information regarding Humana is available to investors via the Investor Relations page of the company’s website at </w:t>
      </w:r>
      <w:r>
        <w:rPr>
          <w:rFonts w:ascii="Arial" w:cs="Arial" w:eastAsia="Arial" w:hAnsi="Arial"/>
          <w:sz w:val="20"/>
          <w:szCs w:val="20"/>
          <w:u w:val="single" w:color="auto"/>
          <w:color w:val="auto"/>
        </w:rPr>
        <w:t>humana.com</w:t>
      </w:r>
      <w:r>
        <w:rPr>
          <w:rFonts w:ascii="Arial" w:cs="Arial" w:eastAsia="Arial" w:hAnsi="Arial"/>
          <w:sz w:val="20"/>
          <w:szCs w:val="20"/>
          <w:color w:val="auto"/>
        </w:rPr>
        <w:t>, including copies of:</w:t>
      </w:r>
    </w:p>
    <w:p>
      <w:pPr>
        <w:spacing w:after="0" w:line="200" w:lineRule="exact"/>
        <w:rPr>
          <w:sz w:val="20"/>
          <w:szCs w:val="20"/>
          <w:color w:val="auto"/>
        </w:rPr>
      </w:pPr>
    </w:p>
    <w:p>
      <w:pPr>
        <w:spacing w:after="0" w:line="218" w:lineRule="exact"/>
        <w:rPr>
          <w:sz w:val="20"/>
          <w:szCs w:val="20"/>
          <w:color w:val="auto"/>
        </w:rPr>
      </w:pPr>
    </w:p>
    <w:p>
      <w:pPr>
        <w:ind w:left="640" w:hanging="321"/>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Annual reports to stockholders</w:t>
      </w:r>
    </w:p>
    <w:p>
      <w:pPr>
        <w:spacing w:after="0" w:line="15" w:lineRule="exact"/>
        <w:rPr>
          <w:rFonts w:ascii="Arial" w:cs="Arial" w:eastAsia="Arial" w:hAnsi="Arial"/>
          <w:sz w:val="20"/>
          <w:szCs w:val="20"/>
          <w:color w:val="auto"/>
        </w:rPr>
      </w:pPr>
    </w:p>
    <w:p>
      <w:pPr>
        <w:ind w:left="640" w:hanging="321"/>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Securities and Exchange Commission filings</w:t>
      </w:r>
    </w:p>
    <w:p>
      <w:pPr>
        <w:ind w:left="640" w:hanging="321"/>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Most recent investor conference presentations</w:t>
      </w:r>
    </w:p>
    <w:p>
      <w:pPr>
        <w:ind w:left="640" w:hanging="321"/>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Quarterly earnings news releases and conference calls</w:t>
      </w:r>
    </w:p>
    <w:p>
      <w:pPr>
        <w:ind w:left="640" w:hanging="321"/>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Calendar of events</w:t>
      </w:r>
    </w:p>
    <w:p>
      <w:pPr>
        <w:ind w:left="640" w:hanging="321"/>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Corporate Governance information</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00"/>
          </w:cols>
          <w:pgMar w:left="240" w:top="609" w:right="259" w:bottom="1440" w:gutter="0" w:footer="0" w:header="0"/>
        </w:sectPr>
      </w:pPr>
    </w:p>
    <w:bookmarkStart w:id="11" w:name="page12"/>
    <w:bookmarkEnd w:id="11"/>
    <w:p>
      <w:pPr>
        <w:ind w:left="8780"/>
        <w:spacing w:after="0"/>
        <w:rPr>
          <w:sz w:val="20"/>
          <w:szCs w:val="20"/>
          <w:color w:val="auto"/>
        </w:rPr>
      </w:pPr>
      <w:r>
        <w:rPr>
          <w:rFonts w:ascii="Arial" w:cs="Arial" w:eastAsia="Arial" w:hAnsi="Arial"/>
          <w:sz w:val="27"/>
          <w:szCs w:val="27"/>
          <w:b w:val="1"/>
          <w:bCs w:val="1"/>
          <w:color w:val="auto"/>
        </w:rPr>
        <w:t xml:space="preserve">n e w s </w:t>
      </w:r>
      <w:r>
        <w:rPr>
          <w:rFonts w:ascii="Arial" w:cs="Arial" w:eastAsia="Arial" w:hAnsi="Arial"/>
          <w:sz w:val="27"/>
          <w:szCs w:val="27"/>
          <w:color w:val="auto"/>
        </w:rPr>
        <w:t>r e l e a s e</w:t>
      </w:r>
    </w:p>
    <w:p>
      <w:pPr>
        <w:spacing w:after="0" w:line="89"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auto"/>
        </w:rPr>
        <w:t>Exhibit 99.2</w:t>
      </w:r>
    </w:p>
    <w:p>
      <w:pPr>
        <w:spacing w:after="0" w:line="200" w:lineRule="exact"/>
        <w:rPr>
          <w:sz w:val="20"/>
          <w:szCs w:val="20"/>
          <w:color w:val="auto"/>
        </w:rPr>
      </w:pPr>
    </w:p>
    <w:p>
      <w:pPr>
        <w:spacing w:after="0" w:line="350" w:lineRule="exact"/>
        <w:rPr>
          <w:sz w:val="20"/>
          <w:szCs w:val="20"/>
          <w:color w:val="auto"/>
        </w:rPr>
      </w:pPr>
    </w:p>
    <w:p>
      <w:pPr>
        <w:ind w:left="9200"/>
        <w:spacing w:after="0"/>
        <w:rPr>
          <w:sz w:val="20"/>
          <w:szCs w:val="20"/>
          <w:color w:val="auto"/>
        </w:rPr>
      </w:pPr>
      <w:r>
        <w:rPr>
          <w:rFonts w:ascii="Arial" w:cs="Arial" w:eastAsia="Arial" w:hAnsi="Arial"/>
          <w:sz w:val="20"/>
          <w:szCs w:val="20"/>
          <w:color w:val="auto"/>
        </w:rPr>
        <w:t>Humana Inc.</w:t>
      </w:r>
    </w:p>
    <w:p>
      <w:pPr>
        <w:ind w:left="9200"/>
        <w:spacing w:after="0" w:line="225" w:lineRule="auto"/>
        <w:rPr>
          <w:sz w:val="20"/>
          <w:szCs w:val="20"/>
          <w:color w:val="auto"/>
        </w:rPr>
      </w:pPr>
      <w:r>
        <w:rPr>
          <w:rFonts w:ascii="Arial" w:cs="Arial" w:eastAsia="Arial" w:hAnsi="Arial"/>
          <w:sz w:val="20"/>
          <w:szCs w:val="20"/>
          <w:color w:val="auto"/>
        </w:rPr>
        <w:t>500 West Main Street</w:t>
      </w:r>
    </w:p>
    <w:p>
      <w:pPr>
        <w:ind w:left="9200"/>
        <w:spacing w:after="0" w:line="226" w:lineRule="auto"/>
        <w:rPr>
          <w:sz w:val="20"/>
          <w:szCs w:val="20"/>
          <w:color w:val="auto"/>
        </w:rPr>
      </w:pPr>
      <w:r>
        <w:rPr>
          <w:rFonts w:ascii="Arial" w:cs="Arial" w:eastAsia="Arial" w:hAnsi="Arial"/>
          <w:sz w:val="20"/>
          <w:szCs w:val="20"/>
          <w:color w:val="auto"/>
        </w:rPr>
        <w:t>P.O. Box 1438</w:t>
      </w:r>
    </w:p>
    <w:p>
      <w:pPr>
        <w:ind w:left="9200"/>
        <w:spacing w:after="0" w:line="225" w:lineRule="auto"/>
        <w:rPr>
          <w:sz w:val="20"/>
          <w:szCs w:val="20"/>
          <w:color w:val="auto"/>
        </w:rPr>
      </w:pPr>
      <w:r>
        <w:rPr>
          <w:rFonts w:ascii="Arial" w:cs="Arial" w:eastAsia="Arial" w:hAnsi="Arial"/>
          <w:sz w:val="20"/>
          <w:szCs w:val="20"/>
          <w:color w:val="auto"/>
        </w:rPr>
        <w:t>Louisville, KY 40202</w:t>
      </w:r>
    </w:p>
    <w:p>
      <w:pPr>
        <w:ind w:left="9200"/>
        <w:spacing w:after="0"/>
        <w:rPr>
          <w:sz w:val="20"/>
          <w:szCs w:val="20"/>
          <w:color w:val="auto"/>
        </w:rPr>
      </w:pPr>
      <w:r>
        <w:rPr>
          <w:rFonts w:ascii="Arial" w:cs="Arial" w:eastAsia="Arial" w:hAnsi="Arial"/>
          <w:sz w:val="20"/>
          <w:szCs w:val="20"/>
          <w:u w:val="single" w:color="auto"/>
          <w:color w:val="auto"/>
        </w:rPr>
        <w:t>http://www.humana.com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104775</wp:posOffset>
            </wp:positionV>
            <wp:extent cx="1861185"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1185" cy="55753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20"/>
          <w:szCs w:val="20"/>
          <w:color w:val="auto"/>
        </w:rPr>
        <w:t>Amy Smith</w:t>
      </w:r>
    </w:p>
    <w:p>
      <w:pPr>
        <w:ind w:left="40"/>
        <w:spacing w:after="0" w:line="225" w:lineRule="auto"/>
        <w:rPr>
          <w:sz w:val="20"/>
          <w:szCs w:val="20"/>
          <w:color w:val="auto"/>
        </w:rPr>
      </w:pPr>
      <w:r>
        <w:rPr>
          <w:rFonts w:ascii="Arial" w:cs="Arial" w:eastAsia="Arial" w:hAnsi="Arial"/>
          <w:sz w:val="20"/>
          <w:szCs w:val="20"/>
          <w:color w:val="auto"/>
        </w:rPr>
        <w:t>Humana Investor Relations</w:t>
      </w:r>
    </w:p>
    <w:p>
      <w:pPr>
        <w:ind w:left="40"/>
        <w:spacing w:after="0" w:line="225" w:lineRule="auto"/>
        <w:rPr>
          <w:sz w:val="20"/>
          <w:szCs w:val="20"/>
          <w:color w:val="auto"/>
        </w:rPr>
      </w:pPr>
      <w:r>
        <w:rPr>
          <w:rFonts w:ascii="Arial" w:cs="Arial" w:eastAsia="Arial" w:hAnsi="Arial"/>
          <w:sz w:val="20"/>
          <w:szCs w:val="20"/>
          <w:color w:val="auto"/>
        </w:rPr>
        <w:t>(502) 580-2811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Amysmith@humana.com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Alex Kepnes</w:t>
      </w:r>
    </w:p>
    <w:p>
      <w:pPr>
        <w:spacing w:after="0"/>
        <w:rPr>
          <w:sz w:val="20"/>
          <w:szCs w:val="20"/>
          <w:color w:val="auto"/>
        </w:rPr>
      </w:pPr>
      <w:r>
        <w:rPr>
          <w:rFonts w:ascii="Arial" w:cs="Arial" w:eastAsia="Arial" w:hAnsi="Arial"/>
          <w:sz w:val="20"/>
          <w:szCs w:val="20"/>
          <w:color w:val="auto"/>
        </w:rPr>
        <w:t>Humana Corporate Communications</w:t>
      </w:r>
    </w:p>
    <w:p>
      <w:pPr>
        <w:spacing w:after="0"/>
        <w:rPr>
          <w:sz w:val="20"/>
          <w:szCs w:val="20"/>
          <w:color w:val="auto"/>
        </w:rPr>
      </w:pPr>
      <w:r>
        <w:rPr>
          <w:rFonts w:ascii="Arial" w:cs="Arial" w:eastAsia="Arial" w:hAnsi="Arial"/>
          <w:sz w:val="20"/>
          <w:szCs w:val="20"/>
          <w:color w:val="auto"/>
        </w:rPr>
        <w:t>(502) 580-2990</w:t>
      </w: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Akepnes@humana.com</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Humana Reports Second Quarter 2019 Financial Results;</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Raises Full Year 2019 EPS Guidance</w:t>
      </w:r>
    </w:p>
    <w:p>
      <w:pPr>
        <w:spacing w:after="0" w:line="153"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2Q19 earnings per diluted common share (EPS) of $6.94 on a GAAP basis, $6.05 on an Adjusted basis</w:t>
      </w:r>
    </w:p>
    <w:p>
      <w:pPr>
        <w:spacing w:after="0" w:line="15" w:lineRule="exact"/>
        <w:rPr>
          <w:rFonts w:ascii="Arial" w:cs="Arial" w:eastAsia="Arial" w:hAnsi="Arial"/>
          <w:sz w:val="20"/>
          <w:szCs w:val="20"/>
          <w:color w:val="auto"/>
        </w:rPr>
      </w:pPr>
    </w:p>
    <w:p>
      <w:pPr>
        <w:ind w:left="640" w:right="460" w:hanging="321"/>
        <w:spacing w:after="0" w:line="239"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2019 EPS guidance raised to approximately $17.97 on a GAAP basis, approximately $17.60 on an Adjusted basis, representing 21 percent growth in 2019</w:t>
      </w:r>
    </w:p>
    <w:p>
      <w:pPr>
        <w:spacing w:after="0" w:line="1" w:lineRule="exact"/>
        <w:rPr>
          <w:rFonts w:ascii="Arial" w:cs="Arial" w:eastAsia="Arial" w:hAnsi="Arial"/>
          <w:sz w:val="20"/>
          <w:szCs w:val="20"/>
          <w:color w:val="auto"/>
        </w:rPr>
      </w:pPr>
    </w:p>
    <w:p>
      <w:pPr>
        <w:ind w:left="640" w:right="440" w:hanging="321"/>
        <w:spacing w:after="0" w:line="239"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Retail segment results continue to exceed management expectations driven by favorable utilization and higher revenue; Healthcare Services segment is also outperforming expectations</w:t>
      </w:r>
    </w:p>
    <w:p>
      <w:pPr>
        <w:spacing w:after="0" w:line="1" w:lineRule="exact"/>
        <w:rPr>
          <w:rFonts w:ascii="Arial" w:cs="Arial" w:eastAsia="Arial" w:hAnsi="Arial"/>
          <w:sz w:val="20"/>
          <w:szCs w:val="20"/>
          <w:color w:val="auto"/>
        </w:rPr>
      </w:pPr>
    </w:p>
    <w:p>
      <w:pPr>
        <w:ind w:left="640" w:right="220" w:hanging="321"/>
        <w:spacing w:after="0" w:line="250" w:lineRule="auto"/>
        <w:tabs>
          <w:tab w:leader="none" w:pos="6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Increased expected full-year individual Medicare Advantage membership growth to a range of 480,000 to 500,000 members from the previous range of 415,000 to 440,000 members, representing approximately 16 percent growth in 2019</w:t>
      </w:r>
    </w:p>
    <w:p>
      <w:pPr>
        <w:spacing w:after="0" w:line="1" w:lineRule="exact"/>
        <w:rPr>
          <w:rFonts w:ascii="Arial" w:cs="Arial" w:eastAsia="Arial" w:hAnsi="Arial"/>
          <w:sz w:val="19"/>
          <w:szCs w:val="19"/>
          <w:color w:val="auto"/>
        </w:rPr>
      </w:pPr>
    </w:p>
    <w:p>
      <w:pPr>
        <w:ind w:left="640" w:hanging="321"/>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Intends to initiate $1.00 billion accelerated share repurchase program after the market close</w:t>
      </w:r>
    </w:p>
    <w:p>
      <w:pPr>
        <w:spacing w:after="0" w:line="205" w:lineRule="exact"/>
        <w:rPr>
          <w:sz w:val="20"/>
          <w:szCs w:val="20"/>
          <w:color w:val="auto"/>
        </w:rPr>
      </w:pPr>
    </w:p>
    <w:p>
      <w:pPr>
        <w:ind w:left="60" w:right="20"/>
        <w:spacing w:after="0" w:line="255" w:lineRule="auto"/>
        <w:rPr>
          <w:sz w:val="20"/>
          <w:szCs w:val="20"/>
          <w:color w:val="auto"/>
        </w:rPr>
      </w:pPr>
      <w:r>
        <w:rPr>
          <w:rFonts w:ascii="Arial" w:cs="Arial" w:eastAsia="Arial" w:hAnsi="Arial"/>
          <w:sz w:val="20"/>
          <w:szCs w:val="20"/>
          <w:b w:val="1"/>
          <w:bCs w:val="1"/>
          <w:color w:val="auto"/>
        </w:rPr>
        <w:t xml:space="preserve">LOUISVILLE, KY (July 31, 2019) </w:t>
      </w:r>
      <w:r>
        <w:rPr>
          <w:rFonts w:ascii="Arial" w:cs="Arial" w:eastAsia="Arial" w:hAnsi="Arial"/>
          <w:sz w:val="20"/>
          <w:szCs w:val="20"/>
          <w:color w:val="auto"/>
        </w:rPr>
        <w:t>– Humana Inc. (NYSE: HUM) today reported consolidated pretax income and diluted earnings</w:t>
      </w:r>
      <w:r>
        <w:rPr>
          <w:rFonts w:ascii="Arial" w:cs="Arial" w:eastAsia="Arial" w:hAnsi="Arial"/>
          <w:sz w:val="20"/>
          <w:szCs w:val="20"/>
          <w:b w:val="1"/>
          <w:bCs w:val="1"/>
          <w:color w:val="auto"/>
        </w:rPr>
        <w:t xml:space="preserve"> </w:t>
      </w:r>
      <w:r>
        <w:rPr>
          <w:rFonts w:ascii="Arial" w:cs="Arial" w:eastAsia="Arial" w:hAnsi="Arial"/>
          <w:sz w:val="20"/>
          <w:szCs w:val="20"/>
          <w:color w:val="auto"/>
        </w:rPr>
        <w:t>per common share (EPS) for the quarter ended June 30, 2019 (2Q19) versus the quarter ended June 30, 2018 (2Q18) and for the six months ended June 30, 2019 (YTD 2019) versus the six months ended June 30, 2018 (YTD 2018) as follows: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9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pretax income</w:t>
            </w:r>
          </w:p>
        </w:tc>
        <w:tc>
          <w:tcPr>
            <w:tcW w:w="340" w:type="dxa"/>
            <w:vAlign w:val="bottom"/>
            <w:tcBorders>
              <w:top w:val="single" w:sz="8" w:color="auto"/>
            </w:tcBorders>
            <w:shd w:val="clear" w:color="auto" w:fill="EAEAEA"/>
          </w:tcPr>
          <w:p>
            <w:pPr>
              <w:spacing w:after="0"/>
              <w:rPr>
                <w:sz w:val="19"/>
                <w:szCs w:val="19"/>
                <w:color w:val="auto"/>
              </w:rPr>
            </w:pPr>
          </w:p>
        </w:tc>
        <w:tc>
          <w:tcPr>
            <w:tcW w:w="660" w:type="dxa"/>
            <w:vAlign w:val="bottom"/>
            <w:tcBorders>
              <w:top w:val="single" w:sz="8" w:color="auto"/>
            </w:tcBorders>
            <w:vMerge w:val="restart"/>
            <w:shd w:val="clear" w:color="auto" w:fill="EAEAEA"/>
          </w:tcPr>
          <w:p>
            <w:pPr>
              <w:ind w:left="20"/>
              <w:spacing w:after="0"/>
              <w:rPr>
                <w:sz w:val="20"/>
                <w:szCs w:val="20"/>
                <w:color w:val="auto"/>
              </w:rPr>
            </w:pPr>
            <w:r>
              <w:rPr>
                <w:rFonts w:ascii="Arial" w:cs="Arial" w:eastAsia="Arial" w:hAnsi="Arial"/>
                <w:sz w:val="16"/>
                <w:szCs w:val="16"/>
                <w:b w:val="1"/>
                <w:bCs w:val="1"/>
                <w:color w:val="auto"/>
                <w:w w:val="98"/>
                <w:shd w:val="clear" w:color="auto" w:fill="EAEAEA"/>
              </w:rPr>
              <w:t>2Q19 (a)</w:t>
            </w:r>
          </w:p>
        </w:tc>
        <w:tc>
          <w:tcPr>
            <w:tcW w:w="380" w:type="dxa"/>
            <w:vAlign w:val="bottom"/>
            <w:tcBorders>
              <w:top w:val="single" w:sz="8" w:color="auto"/>
              <w:right w:val="single" w:sz="8" w:color="auto"/>
            </w:tcBorders>
            <w:shd w:val="clear" w:color="auto" w:fill="EAEAEA"/>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160" w:type="dxa"/>
            <w:vAlign w:val="bottom"/>
            <w:tcBorders>
              <w:top w:val="single" w:sz="8" w:color="auto"/>
            </w:tcBorders>
            <w:shd w:val="clear" w:color="auto" w:fill="EAEAEA"/>
          </w:tcPr>
          <w:p>
            <w:pPr>
              <w:spacing w:after="0"/>
              <w:rPr>
                <w:sz w:val="19"/>
                <w:szCs w:val="19"/>
                <w:color w:val="auto"/>
              </w:rPr>
            </w:pPr>
          </w:p>
        </w:tc>
        <w:tc>
          <w:tcPr>
            <w:tcW w:w="1000" w:type="dxa"/>
            <w:vAlign w:val="bottom"/>
            <w:tcBorders>
              <w:top w:val="single" w:sz="8" w:color="auto"/>
            </w:tcBorders>
            <w:vMerge w:val="restart"/>
            <w:shd w:val="clear" w:color="auto" w:fill="EAEAEA"/>
          </w:tcPr>
          <w:p>
            <w:pPr>
              <w:ind w:left="20"/>
              <w:spacing w:after="0"/>
              <w:rPr>
                <w:sz w:val="20"/>
                <w:szCs w:val="20"/>
                <w:color w:val="auto"/>
              </w:rPr>
            </w:pPr>
            <w:r>
              <w:rPr>
                <w:rFonts w:ascii="Arial" w:cs="Arial" w:eastAsia="Arial" w:hAnsi="Arial"/>
                <w:sz w:val="16"/>
                <w:szCs w:val="16"/>
                <w:b w:val="1"/>
                <w:bCs w:val="1"/>
                <w:color w:val="auto"/>
                <w:w w:val="99"/>
                <w:shd w:val="clear" w:color="auto" w:fill="EAEAEA"/>
              </w:rPr>
              <w:t>YTD 2019 (c)</w:t>
            </w:r>
          </w:p>
        </w:tc>
        <w:tc>
          <w:tcPr>
            <w:tcW w:w="180" w:type="dxa"/>
            <w:vAlign w:val="bottom"/>
            <w:tcBorders>
              <w:top w:val="single" w:sz="8" w:color="auto"/>
              <w:right w:val="single" w:sz="8" w:color="auto"/>
            </w:tcBorders>
            <w:shd w:val="clear" w:color="auto" w:fill="EAEAEA"/>
          </w:tcPr>
          <w:p>
            <w:pPr>
              <w:spacing w:after="0"/>
              <w:rPr>
                <w:sz w:val="19"/>
                <w:szCs w:val="19"/>
                <w:color w:val="auto"/>
              </w:rPr>
            </w:pPr>
          </w:p>
        </w:tc>
        <w:tc>
          <w:tcPr>
            <w:tcW w:w="13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bottom w:val="single" w:sz="8" w:color="EAEAEA"/>
            </w:tcBorders>
            <w:shd w:val="clear" w:color="auto" w:fill="EAEAEA"/>
          </w:tcPr>
          <w:p>
            <w:pPr>
              <w:spacing w:after="0"/>
              <w:rPr>
                <w:sz w:val="18"/>
                <w:szCs w:val="18"/>
                <w:color w:val="auto"/>
              </w:rPr>
            </w:pPr>
          </w:p>
        </w:tc>
        <w:tc>
          <w:tcPr>
            <w:tcW w:w="660" w:type="dxa"/>
            <w:vAlign w:val="bottom"/>
            <w:tcBorders>
              <w:bottom w:val="single" w:sz="8" w:color="EAEAEA"/>
            </w:tcBorders>
            <w:vMerge w:val="continue"/>
            <w:shd w:val="clear" w:color="auto" w:fill="EAEAEA"/>
          </w:tcPr>
          <w:p>
            <w:pPr>
              <w:spacing w:after="0"/>
              <w:rPr>
                <w:sz w:val="18"/>
                <w:szCs w:val="18"/>
                <w:color w:val="auto"/>
              </w:rPr>
            </w:pPr>
          </w:p>
        </w:tc>
        <w:tc>
          <w:tcPr>
            <w:tcW w:w="380" w:type="dxa"/>
            <w:vAlign w:val="bottom"/>
            <w:tcBorders>
              <w:bottom w:val="single" w:sz="8" w:color="EAEAEA"/>
              <w:right w:val="single" w:sz="8" w:color="auto"/>
            </w:tcBorders>
            <w:shd w:val="clear" w:color="auto" w:fill="EAEAEA"/>
          </w:tcPr>
          <w:p>
            <w:pPr>
              <w:spacing w:after="0"/>
              <w:rPr>
                <w:sz w:val="18"/>
                <w:szCs w:val="18"/>
                <w:color w:val="auto"/>
              </w:rPr>
            </w:pPr>
          </w:p>
        </w:tc>
        <w:tc>
          <w:tcPr>
            <w:tcW w:w="1380" w:type="dxa"/>
            <w:vAlign w:val="bottom"/>
            <w:tcBorders>
              <w:right w:val="single" w:sz="8" w:color="auto"/>
            </w:tcBorders>
          </w:tcPr>
          <w:p>
            <w:pPr>
              <w:jc w:val="right"/>
              <w:ind w:right="307"/>
              <w:spacing w:after="0"/>
              <w:rPr>
                <w:sz w:val="20"/>
                <w:szCs w:val="20"/>
                <w:color w:val="auto"/>
              </w:rPr>
            </w:pPr>
            <w:r>
              <w:rPr>
                <w:rFonts w:ascii="Arial" w:cs="Arial" w:eastAsia="Arial" w:hAnsi="Arial"/>
                <w:sz w:val="16"/>
                <w:szCs w:val="16"/>
                <w:color w:val="auto"/>
              </w:rPr>
              <w:t>2Q18 (b)</w:t>
            </w:r>
          </w:p>
        </w:tc>
        <w:tc>
          <w:tcPr>
            <w:tcW w:w="160" w:type="dxa"/>
            <w:vAlign w:val="bottom"/>
            <w:tcBorders>
              <w:bottom w:val="single" w:sz="8" w:color="EAEAEA"/>
            </w:tcBorders>
            <w:shd w:val="clear" w:color="auto" w:fill="EAEAEA"/>
          </w:tcPr>
          <w:p>
            <w:pPr>
              <w:spacing w:after="0"/>
              <w:rPr>
                <w:sz w:val="18"/>
                <w:szCs w:val="18"/>
                <w:color w:val="auto"/>
              </w:rPr>
            </w:pPr>
          </w:p>
        </w:tc>
        <w:tc>
          <w:tcPr>
            <w:tcW w:w="1000" w:type="dxa"/>
            <w:vAlign w:val="bottom"/>
            <w:tcBorders>
              <w:bottom w:val="single" w:sz="8" w:color="EAEAEA"/>
            </w:tcBorders>
            <w:vMerge w:val="continue"/>
            <w:shd w:val="clear" w:color="auto" w:fill="EAEAEA"/>
          </w:tcPr>
          <w:p>
            <w:pPr>
              <w:spacing w:after="0"/>
              <w:rPr>
                <w:sz w:val="18"/>
                <w:szCs w:val="18"/>
                <w:color w:val="auto"/>
              </w:rPr>
            </w:pPr>
          </w:p>
        </w:tc>
        <w:tc>
          <w:tcPr>
            <w:tcW w:w="180" w:type="dxa"/>
            <w:vAlign w:val="bottom"/>
            <w:tcBorders>
              <w:bottom w:val="single" w:sz="8" w:color="EAEAEA"/>
              <w:right w:val="single" w:sz="8" w:color="auto"/>
            </w:tcBorders>
            <w:shd w:val="clear" w:color="auto" w:fill="EAEAEA"/>
          </w:tcPr>
          <w:p>
            <w:pPr>
              <w:spacing w:after="0"/>
              <w:rPr>
                <w:sz w:val="18"/>
                <w:szCs w:val="18"/>
                <w:color w:val="auto"/>
              </w:rPr>
            </w:pPr>
          </w:p>
        </w:tc>
        <w:tc>
          <w:tcPr>
            <w:tcW w:w="1360" w:type="dxa"/>
            <w:vAlign w:val="bottom"/>
            <w:tcBorders>
              <w:right w:val="single" w:sz="8" w:color="auto"/>
            </w:tcBorders>
          </w:tcPr>
          <w:p>
            <w:pPr>
              <w:jc w:val="right"/>
              <w:ind w:right="127"/>
              <w:spacing w:after="0"/>
              <w:rPr>
                <w:sz w:val="20"/>
                <w:szCs w:val="20"/>
                <w:color w:val="auto"/>
              </w:rPr>
            </w:pPr>
            <w:r>
              <w:rPr>
                <w:rFonts w:ascii="Arial" w:cs="Arial" w:eastAsia="Arial" w:hAnsi="Arial"/>
                <w:sz w:val="16"/>
                <w:szCs w:val="16"/>
                <w:color w:val="auto"/>
              </w:rPr>
              <w:t>YTD 2018 (d)</w:t>
            </w:r>
          </w:p>
        </w:tc>
        <w:tc>
          <w:tcPr>
            <w:tcW w:w="0" w:type="dxa"/>
            <w:vAlign w:val="bottom"/>
          </w:tcPr>
          <w:p>
            <w:pPr>
              <w:spacing w:after="0"/>
              <w:rPr>
                <w:sz w:val="1"/>
                <w:szCs w:val="1"/>
                <w:color w:val="auto"/>
              </w:rPr>
            </w:pPr>
          </w:p>
        </w:tc>
      </w:tr>
      <w:tr>
        <w:trPr>
          <w:trHeight w:val="258"/>
        </w:trPr>
        <w:tc>
          <w:tcPr>
            <w:tcW w:w="59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Generally Accepted Accounting Principles (GAAP)</w:t>
            </w:r>
          </w:p>
        </w:tc>
        <w:tc>
          <w:tcPr>
            <w:tcW w:w="1380" w:type="dxa"/>
            <w:vAlign w:val="bottom"/>
            <w:tcBorders>
              <w:top w:val="single" w:sz="8" w:color="auto"/>
              <w:bottom w:val="single" w:sz="8" w:color="auto"/>
              <w:right w:val="single" w:sz="8" w:color="auto"/>
            </w:tcBorders>
            <w:gridSpan w:val="3"/>
            <w:shd w:val="clear" w:color="auto" w:fill="EAEAEA"/>
          </w:tcPr>
          <w:p>
            <w:pPr>
              <w:jc w:val="right"/>
              <w:ind w:right="68"/>
              <w:spacing w:after="0"/>
              <w:rPr>
                <w:sz w:val="20"/>
                <w:szCs w:val="20"/>
                <w:color w:val="auto"/>
              </w:rPr>
            </w:pPr>
            <w:r>
              <w:rPr>
                <w:rFonts w:ascii="Arial" w:cs="Arial" w:eastAsia="Arial" w:hAnsi="Arial"/>
                <w:sz w:val="14"/>
                <w:szCs w:val="14"/>
                <w:b w:val="1"/>
                <w:bCs w:val="1"/>
                <w:color w:val="auto"/>
              </w:rPr>
              <w:t>$1,229</w:t>
            </w:r>
          </w:p>
        </w:tc>
        <w:tc>
          <w:tcPr>
            <w:tcW w:w="1380" w:type="dxa"/>
            <w:vAlign w:val="bottom"/>
            <w:tcBorders>
              <w:top w:val="single" w:sz="8" w:color="auto"/>
              <w:bottom w:val="single" w:sz="8" w:color="auto"/>
              <w:right w:val="single" w:sz="8" w:color="auto"/>
            </w:tcBorders>
          </w:tcPr>
          <w:p>
            <w:pPr>
              <w:jc w:val="right"/>
              <w:ind w:right="47"/>
              <w:spacing w:after="0"/>
              <w:rPr>
                <w:sz w:val="20"/>
                <w:szCs w:val="20"/>
                <w:color w:val="auto"/>
              </w:rPr>
            </w:pPr>
            <w:r>
              <w:rPr>
                <w:rFonts w:ascii="Arial" w:cs="Arial" w:eastAsia="Arial" w:hAnsi="Arial"/>
                <w:sz w:val="14"/>
                <w:szCs w:val="14"/>
                <w:color w:val="auto"/>
              </w:rPr>
              <w:t>$19</w:t>
            </w:r>
          </w:p>
        </w:tc>
        <w:tc>
          <w:tcPr>
            <w:tcW w:w="1340" w:type="dxa"/>
            <w:vAlign w:val="bottom"/>
            <w:tcBorders>
              <w:top w:val="single" w:sz="8" w:color="auto"/>
              <w:bottom w:val="single" w:sz="8" w:color="auto"/>
              <w:right w:val="single" w:sz="8" w:color="auto"/>
            </w:tcBorders>
            <w:gridSpan w:val="3"/>
            <w:shd w:val="clear" w:color="auto" w:fill="EAEAEA"/>
          </w:tcPr>
          <w:p>
            <w:pPr>
              <w:jc w:val="right"/>
              <w:ind w:right="120"/>
              <w:spacing w:after="0"/>
              <w:rPr>
                <w:sz w:val="20"/>
                <w:szCs w:val="20"/>
                <w:color w:val="auto"/>
              </w:rPr>
            </w:pPr>
            <w:r>
              <w:rPr>
                <w:rFonts w:ascii="Arial" w:cs="Arial" w:eastAsia="Arial" w:hAnsi="Arial"/>
                <w:sz w:val="14"/>
                <w:szCs w:val="14"/>
                <w:b w:val="1"/>
                <w:bCs w:val="1"/>
                <w:color w:val="auto"/>
              </w:rPr>
              <w:t>$1,975</w:t>
            </w:r>
          </w:p>
        </w:tc>
        <w:tc>
          <w:tcPr>
            <w:tcW w:w="1360" w:type="dxa"/>
            <w:vAlign w:val="bottom"/>
            <w:tcBorders>
              <w:top w:val="single" w:sz="8" w:color="auto"/>
              <w:bottom w:val="single" w:sz="8" w:color="auto"/>
              <w:right w:val="single" w:sz="8" w:color="auto"/>
            </w:tcBorders>
          </w:tcPr>
          <w:p>
            <w:pPr>
              <w:jc w:val="right"/>
              <w:ind w:right="47"/>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380" w:type="dxa"/>
            <w:vAlign w:val="bottom"/>
            <w:tcBorders>
              <w:bottom w:val="single" w:sz="8" w:color="auto"/>
              <w:right w:val="single" w:sz="8" w:color="auto"/>
            </w:tcBorders>
            <w:gridSpan w:val="3"/>
            <w:shd w:val="clear" w:color="auto" w:fill="EAEAEA"/>
          </w:tcPr>
          <w:p>
            <w:pPr>
              <w:jc w:val="right"/>
              <w:ind w:right="68"/>
              <w:spacing w:after="0"/>
              <w:rPr>
                <w:sz w:val="20"/>
                <w:szCs w:val="20"/>
                <w:color w:val="auto"/>
              </w:rPr>
            </w:pPr>
            <w:r>
              <w:rPr>
                <w:rFonts w:ascii="Arial" w:cs="Arial" w:eastAsia="Arial" w:hAnsi="Arial"/>
                <w:sz w:val="14"/>
                <w:szCs w:val="14"/>
                <w:b w:val="1"/>
                <w:bCs w:val="1"/>
                <w:color w:val="auto"/>
              </w:rPr>
              <w:t>18</w:t>
            </w:r>
          </w:p>
        </w:tc>
        <w:tc>
          <w:tcPr>
            <w:tcW w:w="138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4"/>
                <w:szCs w:val="14"/>
                <w:color w:val="auto"/>
              </w:rPr>
              <w:t>21</w:t>
            </w:r>
          </w:p>
        </w:tc>
        <w:tc>
          <w:tcPr>
            <w:tcW w:w="1340" w:type="dxa"/>
            <w:vAlign w:val="bottom"/>
            <w:tcBorders>
              <w:bottom w:val="single" w:sz="8" w:color="auto"/>
              <w:right w:val="single" w:sz="8" w:color="auto"/>
            </w:tcBorders>
            <w:gridSpan w:val="3"/>
            <w:shd w:val="clear" w:color="auto" w:fill="EAEAEA"/>
          </w:tcPr>
          <w:p>
            <w:pPr>
              <w:jc w:val="right"/>
              <w:ind w:right="120"/>
              <w:spacing w:after="0"/>
              <w:rPr>
                <w:sz w:val="20"/>
                <w:szCs w:val="20"/>
                <w:color w:val="auto"/>
              </w:rPr>
            </w:pPr>
            <w:r>
              <w:rPr>
                <w:rFonts w:ascii="Arial" w:cs="Arial" w:eastAsia="Arial" w:hAnsi="Arial"/>
                <w:sz w:val="14"/>
                <w:szCs w:val="14"/>
                <w:b w:val="1"/>
                <w:bCs w:val="1"/>
                <w:color w:val="auto"/>
              </w:rPr>
              <w:t>36</w:t>
            </w:r>
          </w:p>
        </w:tc>
        <w:tc>
          <w:tcPr>
            <w:tcW w:w="13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7"/>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40% minority interest in Kindred at</w:t>
            </w:r>
          </w:p>
        </w:tc>
        <w:tc>
          <w:tcPr>
            <w:tcW w:w="340" w:type="dxa"/>
            <w:vAlign w:val="bottom"/>
            <w:shd w:val="clear" w:color="auto" w:fill="EAEAEA"/>
          </w:tcPr>
          <w:p>
            <w:pPr>
              <w:spacing w:after="0"/>
              <w:rPr>
                <w:sz w:val="18"/>
                <w:szCs w:val="18"/>
                <w:color w:val="auto"/>
              </w:rPr>
            </w:pPr>
          </w:p>
        </w:tc>
        <w:tc>
          <w:tcPr>
            <w:tcW w:w="660" w:type="dxa"/>
            <w:vAlign w:val="bottom"/>
            <w:shd w:val="clear" w:color="auto" w:fill="EAEAEA"/>
          </w:tcPr>
          <w:p>
            <w:pPr>
              <w:spacing w:after="0"/>
              <w:rPr>
                <w:sz w:val="18"/>
                <w:szCs w:val="18"/>
                <w:color w:val="auto"/>
              </w:rPr>
            </w:pPr>
          </w:p>
        </w:tc>
        <w:tc>
          <w:tcPr>
            <w:tcW w:w="380" w:type="dxa"/>
            <w:vAlign w:val="bottom"/>
            <w:tcBorders>
              <w:right w:val="single" w:sz="8" w:color="auto"/>
            </w:tcBorders>
            <w:shd w:val="clear" w:color="auto" w:fill="EAEAEA"/>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000" w:type="dxa"/>
            <w:vAlign w:val="bottom"/>
            <w:shd w:val="clear" w:color="auto" w:fill="EAEAEA"/>
          </w:tcPr>
          <w:p>
            <w:pPr>
              <w:spacing w:after="0"/>
              <w:rPr>
                <w:sz w:val="18"/>
                <w:szCs w:val="18"/>
                <w:color w:val="auto"/>
              </w:rPr>
            </w:pPr>
          </w:p>
        </w:tc>
        <w:tc>
          <w:tcPr>
            <w:tcW w:w="180" w:type="dxa"/>
            <w:vAlign w:val="bottom"/>
            <w:tcBorders>
              <w:right w:val="single" w:sz="8" w:color="auto"/>
            </w:tcBorders>
            <w:shd w:val="clear" w:color="auto" w:fill="EAEAEA"/>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Home</w:t>
            </w:r>
          </w:p>
        </w:tc>
        <w:tc>
          <w:tcPr>
            <w:tcW w:w="1380" w:type="dxa"/>
            <w:vAlign w:val="bottom"/>
            <w:tcBorders>
              <w:bottom w:val="single" w:sz="8" w:color="auto"/>
              <w:right w:val="single" w:sz="8" w:color="auto"/>
            </w:tcBorders>
            <w:gridSpan w:val="3"/>
            <w:shd w:val="clear" w:color="auto" w:fill="EAEAEA"/>
          </w:tcPr>
          <w:p>
            <w:pPr>
              <w:jc w:val="right"/>
              <w:ind w:right="68"/>
              <w:spacing w:after="0"/>
              <w:rPr>
                <w:sz w:val="20"/>
                <w:szCs w:val="20"/>
                <w:color w:val="auto"/>
              </w:rPr>
            </w:pPr>
            <w:r>
              <w:rPr>
                <w:rFonts w:ascii="Arial" w:cs="Arial" w:eastAsia="Arial" w:hAnsi="Arial"/>
                <w:sz w:val="14"/>
                <w:szCs w:val="14"/>
                <w:b w:val="1"/>
                <w:bCs w:val="1"/>
                <w:color w:val="auto"/>
              </w:rPr>
              <w:t>(174)</w:t>
            </w:r>
          </w:p>
        </w:tc>
        <w:tc>
          <w:tcPr>
            <w:tcW w:w="138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right w:val="single" w:sz="8" w:color="auto"/>
            </w:tcBorders>
            <w:gridSpan w:val="3"/>
            <w:shd w:val="clear" w:color="auto" w:fill="EAEAEA"/>
          </w:tcPr>
          <w:p>
            <w:pPr>
              <w:jc w:val="right"/>
              <w:ind w:right="120"/>
              <w:spacing w:after="0"/>
              <w:rPr>
                <w:sz w:val="20"/>
                <w:szCs w:val="20"/>
                <w:color w:val="auto"/>
              </w:rPr>
            </w:pPr>
            <w:r>
              <w:rPr>
                <w:rFonts w:ascii="Arial" w:cs="Arial" w:eastAsia="Arial" w:hAnsi="Arial"/>
                <w:sz w:val="14"/>
                <w:szCs w:val="14"/>
                <w:b w:val="1"/>
                <w:bCs w:val="1"/>
                <w:color w:val="auto"/>
              </w:rPr>
              <w:t>(135)</w:t>
            </w:r>
          </w:p>
        </w:tc>
        <w:tc>
          <w:tcPr>
            <w:tcW w:w="13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Loss on sale of KMG America Corporation (KMG), a wholly-owned subsidiary</w:t>
            </w:r>
          </w:p>
        </w:tc>
        <w:tc>
          <w:tcPr>
            <w:tcW w:w="340" w:type="dxa"/>
            <w:vAlign w:val="bottom"/>
            <w:tcBorders>
              <w:bottom w:val="single" w:sz="8" w:color="auto"/>
            </w:tcBorders>
            <w:shd w:val="clear" w:color="auto" w:fill="EAEAEA"/>
          </w:tcPr>
          <w:p>
            <w:pPr>
              <w:spacing w:after="0"/>
              <w:rPr>
                <w:sz w:val="20"/>
                <w:szCs w:val="20"/>
                <w:color w:val="auto"/>
              </w:rPr>
            </w:pPr>
          </w:p>
        </w:tc>
        <w:tc>
          <w:tcPr>
            <w:tcW w:w="660" w:type="dxa"/>
            <w:vAlign w:val="bottom"/>
            <w:tcBorders>
              <w:bottom w:val="single" w:sz="8" w:color="auto"/>
            </w:tcBorders>
            <w:shd w:val="clear" w:color="auto" w:fill="EAEAEA"/>
          </w:tcPr>
          <w:p>
            <w:pPr>
              <w:spacing w:after="0"/>
              <w:rPr>
                <w:sz w:val="20"/>
                <w:szCs w:val="20"/>
                <w:color w:val="auto"/>
              </w:rPr>
            </w:pPr>
          </w:p>
        </w:tc>
        <w:tc>
          <w:tcPr>
            <w:tcW w:w="380" w:type="dxa"/>
            <w:vAlign w:val="bottom"/>
            <w:tcBorders>
              <w:bottom w:val="single" w:sz="8" w:color="auto"/>
              <w:right w:val="single" w:sz="8" w:color="auto"/>
            </w:tcBorders>
            <w:shd w:val="clear" w:color="auto" w:fill="EAEAEA"/>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4"/>
                <w:szCs w:val="14"/>
                <w:color w:val="auto"/>
              </w:rPr>
              <w:t>790</w:t>
            </w:r>
          </w:p>
        </w:tc>
        <w:tc>
          <w:tcPr>
            <w:tcW w:w="160" w:type="dxa"/>
            <w:vAlign w:val="bottom"/>
            <w:tcBorders>
              <w:bottom w:val="single" w:sz="8" w:color="auto"/>
            </w:tcBorders>
            <w:shd w:val="clear" w:color="auto" w:fill="EAEAEA"/>
          </w:tcPr>
          <w:p>
            <w:pPr>
              <w:spacing w:after="0"/>
              <w:rPr>
                <w:sz w:val="20"/>
                <w:szCs w:val="20"/>
                <w:color w:val="auto"/>
              </w:rPr>
            </w:pPr>
          </w:p>
        </w:tc>
        <w:tc>
          <w:tcPr>
            <w:tcW w:w="1180" w:type="dxa"/>
            <w:vAlign w:val="bottom"/>
            <w:tcBorders>
              <w:bottom w:val="single" w:sz="8" w:color="auto"/>
              <w:right w:val="single" w:sz="8" w:color="auto"/>
            </w:tcBorders>
            <w:gridSpan w:val="2"/>
            <w:shd w:val="clear" w:color="auto" w:fill="EAEAEA"/>
          </w:tcPr>
          <w:p>
            <w:pPr>
              <w:jc w:val="right"/>
              <w:ind w:right="12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associated with the Individual Commercial segment</w:t>
            </w:r>
          </w:p>
        </w:tc>
        <w:tc>
          <w:tcPr>
            <w:tcW w:w="340" w:type="dxa"/>
            <w:vAlign w:val="bottom"/>
            <w:tcBorders>
              <w:bottom w:val="single" w:sz="8" w:color="auto"/>
            </w:tcBorders>
            <w:shd w:val="clear" w:color="auto" w:fill="EAEAEA"/>
          </w:tcPr>
          <w:p>
            <w:pPr>
              <w:spacing w:after="0"/>
              <w:rPr>
                <w:sz w:val="20"/>
                <w:szCs w:val="20"/>
                <w:color w:val="auto"/>
              </w:rPr>
            </w:pPr>
          </w:p>
        </w:tc>
        <w:tc>
          <w:tcPr>
            <w:tcW w:w="660" w:type="dxa"/>
            <w:vAlign w:val="bottom"/>
            <w:tcBorders>
              <w:bottom w:val="single" w:sz="8" w:color="auto"/>
            </w:tcBorders>
            <w:shd w:val="clear" w:color="auto" w:fill="EAEAEA"/>
          </w:tcPr>
          <w:p>
            <w:pPr>
              <w:spacing w:after="0"/>
              <w:rPr>
                <w:sz w:val="20"/>
                <w:szCs w:val="20"/>
                <w:color w:val="auto"/>
              </w:rPr>
            </w:pPr>
          </w:p>
        </w:tc>
        <w:tc>
          <w:tcPr>
            <w:tcW w:w="380" w:type="dxa"/>
            <w:vAlign w:val="bottom"/>
            <w:tcBorders>
              <w:bottom w:val="single" w:sz="8" w:color="auto"/>
              <w:right w:val="single" w:sz="8" w:color="auto"/>
            </w:tcBorders>
            <w:shd w:val="clear" w:color="auto" w:fill="EAEAEA"/>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7"/>
              <w:spacing w:after="0"/>
              <w:rPr>
                <w:sz w:val="20"/>
                <w:szCs w:val="20"/>
                <w:color w:val="auto"/>
              </w:rPr>
            </w:pPr>
            <w:r>
              <w:rPr>
                <w:rFonts w:ascii="Arial" w:cs="Arial" w:eastAsia="Arial" w:hAnsi="Arial"/>
                <w:sz w:val="14"/>
                <w:szCs w:val="14"/>
                <w:color w:val="auto"/>
              </w:rPr>
              <w:t>(18)</w:t>
            </w:r>
          </w:p>
        </w:tc>
        <w:tc>
          <w:tcPr>
            <w:tcW w:w="160" w:type="dxa"/>
            <w:vAlign w:val="bottom"/>
            <w:tcBorders>
              <w:bottom w:val="single" w:sz="8" w:color="auto"/>
            </w:tcBorders>
            <w:shd w:val="clear" w:color="auto" w:fill="EAEAEA"/>
          </w:tcPr>
          <w:p>
            <w:pPr>
              <w:spacing w:after="0"/>
              <w:rPr>
                <w:sz w:val="20"/>
                <w:szCs w:val="20"/>
                <w:color w:val="auto"/>
              </w:rPr>
            </w:pPr>
          </w:p>
        </w:tc>
        <w:tc>
          <w:tcPr>
            <w:tcW w:w="1180" w:type="dxa"/>
            <w:vAlign w:val="bottom"/>
            <w:tcBorders>
              <w:bottom w:val="single" w:sz="8" w:color="auto"/>
              <w:right w:val="single" w:sz="8" w:color="auto"/>
            </w:tcBorders>
            <w:gridSpan w:val="2"/>
            <w:shd w:val="clear" w:color="auto" w:fill="EAEAEA"/>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right w:val="single" w:sz="8" w:color="auto"/>
            </w:tcBorders>
          </w:tcPr>
          <w:p>
            <w:pPr>
              <w:jc w:val="right"/>
              <w:ind w:right="7"/>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64"/>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380" w:type="dxa"/>
            <w:vAlign w:val="bottom"/>
            <w:tcBorders>
              <w:bottom w:val="single" w:sz="8" w:color="auto"/>
              <w:right w:val="single" w:sz="8" w:color="auto"/>
            </w:tcBorders>
            <w:gridSpan w:val="3"/>
            <w:shd w:val="clear" w:color="auto" w:fill="EAEAEA"/>
          </w:tcPr>
          <w:p>
            <w:pPr>
              <w:jc w:val="right"/>
              <w:ind w:right="68"/>
              <w:spacing w:after="0"/>
              <w:rPr>
                <w:sz w:val="20"/>
                <w:szCs w:val="20"/>
                <w:color w:val="auto"/>
              </w:rPr>
            </w:pPr>
            <w:r>
              <w:rPr>
                <w:rFonts w:ascii="Arial" w:cs="Arial" w:eastAsia="Arial" w:hAnsi="Arial"/>
                <w:sz w:val="14"/>
                <w:szCs w:val="14"/>
                <w:b w:val="1"/>
                <w:bCs w:val="1"/>
                <w:color w:val="auto"/>
              </w:rPr>
              <w:t>$1,073</w:t>
            </w:r>
          </w:p>
        </w:tc>
        <w:tc>
          <w:tcPr>
            <w:tcW w:w="138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$812</w:t>
            </w:r>
          </w:p>
        </w:tc>
        <w:tc>
          <w:tcPr>
            <w:tcW w:w="1340" w:type="dxa"/>
            <w:vAlign w:val="bottom"/>
            <w:tcBorders>
              <w:bottom w:val="single" w:sz="8" w:color="auto"/>
              <w:right w:val="single" w:sz="8" w:color="auto"/>
            </w:tcBorders>
            <w:gridSpan w:val="3"/>
            <w:shd w:val="clear" w:color="auto" w:fill="EAEAEA"/>
          </w:tcPr>
          <w:p>
            <w:pPr>
              <w:jc w:val="right"/>
              <w:ind w:right="120"/>
              <w:spacing w:after="0"/>
              <w:rPr>
                <w:sz w:val="20"/>
                <w:szCs w:val="20"/>
                <w:color w:val="auto"/>
              </w:rPr>
            </w:pPr>
            <w:r>
              <w:rPr>
                <w:rFonts w:ascii="Arial" w:cs="Arial" w:eastAsia="Arial" w:hAnsi="Arial"/>
                <w:sz w:val="14"/>
                <w:szCs w:val="14"/>
                <w:b w:val="1"/>
                <w:bCs w:val="1"/>
                <w:color w:val="auto"/>
              </w:rPr>
              <w:t>$1,876</w:t>
            </w:r>
          </w:p>
        </w:tc>
        <w:tc>
          <w:tcPr>
            <w:tcW w:w="136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40"/>
          </w:cols>
          <w:pgMar w:left="240" w:top="968" w:right="21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7"/>
        </w:trPr>
        <w:tc>
          <w:tcPr>
            <w:tcW w:w="59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Diluted earnings per common share (EPS)</w:t>
            </w:r>
          </w:p>
        </w:tc>
        <w:tc>
          <w:tcPr>
            <w:tcW w:w="1000" w:type="dxa"/>
            <w:vAlign w:val="bottom"/>
            <w:tcBorders>
              <w:top w:val="single" w:sz="8" w:color="auto"/>
              <w:bottom w:val="single" w:sz="8" w:color="EAEAEA"/>
            </w:tcBorders>
            <w:shd w:val="clear" w:color="auto" w:fill="EAEAEA"/>
          </w:tcPr>
          <w:p>
            <w:pPr>
              <w:ind w:left="360"/>
              <w:spacing w:after="0"/>
              <w:rPr>
                <w:sz w:val="20"/>
                <w:szCs w:val="20"/>
                <w:color w:val="auto"/>
              </w:rPr>
            </w:pPr>
            <w:r>
              <w:rPr>
                <w:rFonts w:ascii="Arial" w:cs="Arial" w:eastAsia="Arial" w:hAnsi="Arial"/>
                <w:sz w:val="16"/>
                <w:szCs w:val="16"/>
                <w:b w:val="1"/>
                <w:bCs w:val="1"/>
                <w:color w:val="auto"/>
                <w:w w:val="98"/>
                <w:shd w:val="clear" w:color="auto" w:fill="EAEAEA"/>
              </w:rPr>
              <w:t>2Q19 (a)</w:t>
            </w:r>
          </w:p>
        </w:tc>
        <w:tc>
          <w:tcPr>
            <w:tcW w:w="380" w:type="dxa"/>
            <w:vAlign w:val="bottom"/>
            <w:tcBorders>
              <w:top w:val="single" w:sz="8" w:color="auto"/>
              <w:bottom w:val="single" w:sz="8" w:color="EAEAEA"/>
              <w:right w:val="single" w:sz="8" w:color="auto"/>
            </w:tcBorders>
            <w:gridSpan w:val="2"/>
            <w:shd w:val="clear" w:color="auto" w:fill="EAEAEA"/>
          </w:tcPr>
          <w:p>
            <w:pPr>
              <w:spacing w:after="0"/>
              <w:rPr>
                <w:sz w:val="22"/>
                <w:szCs w:val="22"/>
                <w:color w:val="auto"/>
              </w:rPr>
            </w:pPr>
          </w:p>
        </w:tc>
        <w:tc>
          <w:tcPr>
            <w:tcW w:w="1380" w:type="dxa"/>
            <w:vAlign w:val="bottom"/>
            <w:tcBorders>
              <w:top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2Q18 (b)</w:t>
            </w:r>
          </w:p>
        </w:tc>
        <w:tc>
          <w:tcPr>
            <w:tcW w:w="160" w:type="dxa"/>
            <w:vAlign w:val="bottom"/>
            <w:tcBorders>
              <w:top w:val="single" w:sz="8" w:color="auto"/>
              <w:bottom w:val="single" w:sz="8" w:color="EAEAEA"/>
            </w:tcBorders>
            <w:shd w:val="clear" w:color="auto" w:fill="EAEAEA"/>
          </w:tcPr>
          <w:p>
            <w:pPr>
              <w:spacing w:after="0"/>
              <w:rPr>
                <w:sz w:val="22"/>
                <w:szCs w:val="22"/>
                <w:color w:val="auto"/>
              </w:rPr>
            </w:pPr>
          </w:p>
        </w:tc>
        <w:tc>
          <w:tcPr>
            <w:tcW w:w="10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b w:val="1"/>
                <w:bCs w:val="1"/>
                <w:color w:val="auto"/>
                <w:w w:val="99"/>
                <w:shd w:val="clear" w:color="auto" w:fill="EAEAEA"/>
              </w:rPr>
              <w:t>YTD 2019 (c)</w:t>
            </w:r>
          </w:p>
        </w:tc>
        <w:tc>
          <w:tcPr>
            <w:tcW w:w="120" w:type="dxa"/>
            <w:vAlign w:val="bottom"/>
            <w:tcBorders>
              <w:top w:val="single" w:sz="8" w:color="auto"/>
              <w:bottom w:val="single" w:sz="8" w:color="EAEAEA"/>
              <w:right w:val="single" w:sz="8" w:color="auto"/>
            </w:tcBorders>
            <w:shd w:val="clear" w:color="auto" w:fill="EAEAEA"/>
          </w:tcPr>
          <w:p>
            <w:pPr>
              <w:spacing w:after="0"/>
              <w:rPr>
                <w:sz w:val="22"/>
                <w:szCs w:val="22"/>
                <w:color w:val="auto"/>
              </w:rPr>
            </w:pPr>
          </w:p>
        </w:tc>
        <w:tc>
          <w:tcPr>
            <w:tcW w:w="1360" w:type="dxa"/>
            <w:vAlign w:val="bottom"/>
            <w:tcBorders>
              <w:top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YTD 2018 (d)</w:t>
            </w:r>
          </w:p>
        </w:tc>
        <w:tc>
          <w:tcPr>
            <w:tcW w:w="0" w:type="dxa"/>
            <w:vAlign w:val="bottom"/>
          </w:tcPr>
          <w:p>
            <w:pPr>
              <w:spacing w:after="0"/>
              <w:rPr>
                <w:sz w:val="1"/>
                <w:szCs w:val="1"/>
                <w:color w:val="auto"/>
              </w:rPr>
            </w:pPr>
          </w:p>
        </w:tc>
      </w:tr>
      <w:tr>
        <w:trPr>
          <w:trHeight w:val="257"/>
        </w:trPr>
        <w:tc>
          <w:tcPr>
            <w:tcW w:w="59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240" w:type="dxa"/>
            <w:vAlign w:val="bottom"/>
            <w:tcBorders>
              <w:top w:val="single" w:sz="8" w:color="auto"/>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$6.94</w:t>
            </w:r>
          </w:p>
        </w:tc>
        <w:tc>
          <w:tcPr>
            <w:tcW w:w="140" w:type="dxa"/>
            <w:vAlign w:val="bottom"/>
            <w:tcBorders>
              <w:top w:val="single" w:sz="8" w:color="auto"/>
              <w:bottom w:val="single" w:sz="8" w:color="auto"/>
              <w:right w:val="single" w:sz="8" w:color="auto"/>
            </w:tcBorders>
            <w:shd w:val="clear" w:color="auto" w:fill="EAEAEA"/>
          </w:tcPr>
          <w:p>
            <w:pPr>
              <w:spacing w:after="0"/>
              <w:rPr>
                <w:sz w:val="22"/>
                <w:szCs w:val="22"/>
                <w:color w:val="auto"/>
              </w:rPr>
            </w:pPr>
          </w:p>
        </w:tc>
        <w:tc>
          <w:tcPr>
            <w:tcW w:w="1380" w:type="dxa"/>
            <w:vAlign w:val="bottom"/>
            <w:tcBorders>
              <w:top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$1.39</w:t>
            </w:r>
          </w:p>
        </w:tc>
        <w:tc>
          <w:tcPr>
            <w:tcW w:w="1220" w:type="dxa"/>
            <w:vAlign w:val="bottom"/>
            <w:tcBorders>
              <w:top w:val="single" w:sz="8" w:color="auto"/>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$11.10</w:t>
            </w:r>
          </w:p>
        </w:tc>
        <w:tc>
          <w:tcPr>
            <w:tcW w:w="120" w:type="dxa"/>
            <w:vAlign w:val="bottom"/>
            <w:tcBorders>
              <w:top w:val="single" w:sz="8" w:color="auto"/>
              <w:bottom w:val="single" w:sz="8" w:color="auto"/>
              <w:right w:val="single" w:sz="8" w:color="auto"/>
            </w:tcBorders>
            <w:shd w:val="clear" w:color="auto" w:fill="EAEAEA"/>
          </w:tcPr>
          <w:p>
            <w:pPr>
              <w:spacing w:after="0"/>
              <w:rPr>
                <w:sz w:val="22"/>
                <w:szCs w:val="22"/>
                <w:color w:val="auto"/>
              </w:rPr>
            </w:pPr>
          </w:p>
        </w:tc>
        <w:tc>
          <w:tcPr>
            <w:tcW w:w="1360" w:type="dxa"/>
            <w:vAlign w:val="bottom"/>
            <w:tcBorders>
              <w:top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0.10</w:t>
            </w:r>
          </w:p>
        </w:tc>
        <w:tc>
          <w:tcPr>
            <w:tcW w:w="140" w:type="dxa"/>
            <w:vAlign w:val="bottom"/>
            <w:tcBorders>
              <w:bottom w:val="single" w:sz="8" w:color="auto"/>
              <w:right w:val="single" w:sz="8" w:color="auto"/>
            </w:tcBorders>
            <w:shd w:val="clear" w:color="auto" w:fill="EAEAEA"/>
          </w:tcPr>
          <w:p>
            <w:pPr>
              <w:spacing w:after="0"/>
              <w:rPr>
                <w:sz w:val="20"/>
                <w:szCs w:val="20"/>
                <w:color w:val="auto"/>
              </w:rPr>
            </w:pPr>
          </w:p>
        </w:tc>
        <w:tc>
          <w:tcPr>
            <w:tcW w:w="13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0.12</w:t>
            </w:r>
          </w:p>
        </w:tc>
        <w:tc>
          <w:tcPr>
            <w:tcW w:w="12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0.20</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18"/>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40% minority interest in Kindred at</w:t>
            </w:r>
          </w:p>
        </w:tc>
        <w:tc>
          <w:tcPr>
            <w:tcW w:w="1240" w:type="dxa"/>
            <w:vAlign w:val="bottom"/>
            <w:gridSpan w:val="2"/>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(0.99)</w:t>
            </w:r>
          </w:p>
        </w:tc>
        <w:tc>
          <w:tcPr>
            <w:tcW w:w="140" w:type="dxa"/>
            <w:vAlign w:val="bottom"/>
            <w:tcBorders>
              <w:right w:val="single" w:sz="8" w:color="auto"/>
            </w:tcBorders>
            <w:shd w:val="clear" w:color="auto" w:fill="EAEAEA"/>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20" w:type="dxa"/>
            <w:vAlign w:val="bottom"/>
            <w:gridSpan w:val="2"/>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(0.77)</w:t>
            </w:r>
          </w:p>
        </w:tc>
        <w:tc>
          <w:tcPr>
            <w:tcW w:w="120" w:type="dxa"/>
            <w:vAlign w:val="bottom"/>
            <w:tcBorders>
              <w:right w:val="single" w:sz="8" w:color="auto"/>
            </w:tcBorders>
            <w:shd w:val="clear" w:color="auto" w:fill="EAEAEA"/>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Home</w:t>
            </w:r>
          </w:p>
        </w:tc>
        <w:tc>
          <w:tcPr>
            <w:tcW w:w="1240" w:type="dxa"/>
            <w:vAlign w:val="bottom"/>
            <w:tcBorders>
              <w:bottom w:val="single" w:sz="8" w:color="auto"/>
            </w:tcBorders>
            <w:gridSpan w:val="2"/>
            <w:vMerge w:val="continue"/>
            <w:shd w:val="clear" w:color="auto" w:fill="EAEAEA"/>
          </w:tcPr>
          <w:p>
            <w:pPr>
              <w:spacing w:after="0"/>
              <w:rPr>
                <w:sz w:val="18"/>
                <w:szCs w:val="18"/>
                <w:color w:val="auto"/>
              </w:rPr>
            </w:pPr>
          </w:p>
        </w:tc>
        <w:tc>
          <w:tcPr>
            <w:tcW w:w="140" w:type="dxa"/>
            <w:vAlign w:val="bottom"/>
            <w:tcBorders>
              <w:bottom w:val="single" w:sz="8" w:color="auto"/>
              <w:right w:val="single" w:sz="8" w:color="auto"/>
            </w:tcBorders>
            <w:shd w:val="clear" w:color="auto" w:fill="EAEAEA"/>
          </w:tcPr>
          <w:p>
            <w:pPr>
              <w:spacing w:after="0"/>
              <w:rPr>
                <w:sz w:val="18"/>
                <w:szCs w:val="18"/>
                <w:color w:val="auto"/>
              </w:rPr>
            </w:pPr>
          </w:p>
        </w:tc>
        <w:tc>
          <w:tcPr>
            <w:tcW w:w="13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vMerge w:val="continue"/>
            <w:shd w:val="clear" w:color="auto" w:fill="EAEAEA"/>
          </w:tcPr>
          <w:p>
            <w:pPr>
              <w:spacing w:after="0"/>
              <w:rPr>
                <w:sz w:val="18"/>
                <w:szCs w:val="18"/>
                <w:color w:val="auto"/>
              </w:rPr>
            </w:pPr>
          </w:p>
        </w:tc>
        <w:tc>
          <w:tcPr>
            <w:tcW w:w="120" w:type="dxa"/>
            <w:vAlign w:val="bottom"/>
            <w:tcBorders>
              <w:bottom w:val="single" w:sz="8" w:color="auto"/>
              <w:right w:val="single" w:sz="8" w:color="auto"/>
            </w:tcBorders>
            <w:shd w:val="clear" w:color="auto" w:fill="EAEAEA"/>
          </w:tcPr>
          <w:p>
            <w:pPr>
              <w:spacing w:after="0"/>
              <w:rPr>
                <w:sz w:val="18"/>
                <w:szCs w:val="18"/>
                <w:color w:val="auto"/>
              </w:rPr>
            </w:pPr>
          </w:p>
        </w:tc>
        <w:tc>
          <w:tcPr>
            <w:tcW w:w="13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Loss on sale of KMG, a wholly-owned subsidiary</w:t>
            </w:r>
          </w:p>
        </w:tc>
        <w:tc>
          <w:tcPr>
            <w:tcW w:w="1000" w:type="dxa"/>
            <w:vAlign w:val="bottom"/>
            <w:tcBorders>
              <w:bottom w:val="single" w:sz="8" w:color="auto"/>
            </w:tcBorders>
            <w:shd w:val="clear" w:color="auto" w:fill="EAEAEA"/>
          </w:tcPr>
          <w:p>
            <w:pPr>
              <w:spacing w:after="0"/>
              <w:rPr>
                <w:sz w:val="20"/>
                <w:szCs w:val="20"/>
                <w:color w:val="auto"/>
              </w:rPr>
            </w:pPr>
          </w:p>
        </w:tc>
        <w:tc>
          <w:tcPr>
            <w:tcW w:w="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right w:val="single" w:sz="8" w:color="auto"/>
            </w:tcBorders>
            <w:shd w:val="clear" w:color="auto" w:fill="EAEAEA"/>
          </w:tcPr>
          <w:p>
            <w:pPr>
              <w:spacing w:after="0"/>
              <w:rPr>
                <w:sz w:val="20"/>
                <w:szCs w:val="20"/>
                <w:color w:val="auto"/>
              </w:rPr>
            </w:pPr>
          </w:p>
        </w:tc>
        <w:tc>
          <w:tcPr>
            <w:tcW w:w="13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2.59</w:t>
            </w:r>
          </w:p>
        </w:tc>
        <w:tc>
          <w:tcPr>
            <w:tcW w:w="160" w:type="dxa"/>
            <w:vAlign w:val="bottom"/>
            <w:tcBorders>
              <w:bottom w:val="single" w:sz="8" w:color="auto"/>
            </w:tcBorders>
            <w:shd w:val="clear" w:color="auto" w:fill="EAEAEA"/>
          </w:tcPr>
          <w:p>
            <w:pPr>
              <w:spacing w:after="0"/>
              <w:rPr>
                <w:sz w:val="20"/>
                <w:szCs w:val="20"/>
                <w:color w:val="auto"/>
              </w:rPr>
            </w:pPr>
          </w:p>
        </w:tc>
        <w:tc>
          <w:tcPr>
            <w:tcW w:w="10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associated with the Individual Commercial segment</w:t>
            </w:r>
          </w:p>
        </w:tc>
        <w:tc>
          <w:tcPr>
            <w:tcW w:w="1000" w:type="dxa"/>
            <w:vAlign w:val="bottom"/>
            <w:tcBorders>
              <w:bottom w:val="single" w:sz="8" w:color="auto"/>
            </w:tcBorders>
            <w:shd w:val="clear" w:color="auto" w:fill="EAEAEA"/>
          </w:tcPr>
          <w:p>
            <w:pPr>
              <w:spacing w:after="0"/>
              <w:rPr>
                <w:sz w:val="20"/>
                <w:szCs w:val="20"/>
                <w:color w:val="auto"/>
              </w:rPr>
            </w:pPr>
          </w:p>
        </w:tc>
        <w:tc>
          <w:tcPr>
            <w:tcW w:w="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right w:val="single" w:sz="8" w:color="auto"/>
            </w:tcBorders>
            <w:shd w:val="clear" w:color="auto" w:fill="EAEAEA"/>
          </w:tcPr>
          <w:p>
            <w:pPr>
              <w:spacing w:after="0"/>
              <w:rPr>
                <w:sz w:val="20"/>
                <w:szCs w:val="20"/>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60" w:type="dxa"/>
            <w:vAlign w:val="bottom"/>
            <w:tcBorders>
              <w:bottom w:val="single" w:sz="8" w:color="auto"/>
            </w:tcBorders>
            <w:shd w:val="clear" w:color="auto" w:fill="EAEAEA"/>
          </w:tcPr>
          <w:p>
            <w:pPr>
              <w:spacing w:after="0"/>
              <w:rPr>
                <w:sz w:val="20"/>
                <w:szCs w:val="20"/>
                <w:color w:val="auto"/>
              </w:rPr>
            </w:pPr>
          </w:p>
        </w:tc>
        <w:tc>
          <w:tcPr>
            <w:tcW w:w="10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18"/>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Adjustments to provisional estimates for the income tax effects related to the tax</w:t>
            </w:r>
          </w:p>
        </w:tc>
        <w:tc>
          <w:tcPr>
            <w:tcW w:w="1000" w:type="dxa"/>
            <w:vAlign w:val="bottom"/>
            <w:shd w:val="clear" w:color="auto" w:fill="EAEAEA"/>
          </w:tcPr>
          <w:p>
            <w:pPr>
              <w:spacing w:after="0"/>
              <w:rPr>
                <w:sz w:val="18"/>
                <w:szCs w:val="18"/>
                <w:color w:val="auto"/>
              </w:rPr>
            </w:pPr>
          </w:p>
        </w:tc>
        <w:tc>
          <w:tcPr>
            <w:tcW w:w="24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right w:val="single" w:sz="8" w:color="auto"/>
            </w:tcBorders>
            <w:shd w:val="clear" w:color="auto" w:fill="EAEAEA"/>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06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right w:val="single" w:sz="8" w:color="auto"/>
            </w:tcBorders>
            <w:shd w:val="clear" w:color="auto" w:fill="EAEAEA"/>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reform law enacted on December 22, 2017 (Tax Reform Law)</w:t>
            </w:r>
          </w:p>
        </w:tc>
        <w:tc>
          <w:tcPr>
            <w:tcW w:w="1000" w:type="dxa"/>
            <w:vAlign w:val="bottom"/>
            <w:tcBorders>
              <w:bottom w:val="single" w:sz="8" w:color="auto"/>
            </w:tcBorders>
            <w:shd w:val="clear" w:color="auto" w:fill="EAEAEA"/>
          </w:tcPr>
          <w:p>
            <w:pPr>
              <w:spacing w:after="0"/>
              <w:rPr>
                <w:sz w:val="18"/>
                <w:szCs w:val="18"/>
                <w:color w:val="auto"/>
              </w:rPr>
            </w:pPr>
          </w:p>
        </w:tc>
        <w:tc>
          <w:tcPr>
            <w:tcW w:w="240" w:type="dxa"/>
            <w:vAlign w:val="bottom"/>
            <w:tcBorders>
              <w:bottom w:val="single" w:sz="8" w:color="auto"/>
            </w:tcBorders>
            <w:vMerge w:val="continue"/>
            <w:shd w:val="clear" w:color="auto" w:fill="EAEAEA"/>
          </w:tcPr>
          <w:p>
            <w:pPr>
              <w:spacing w:after="0"/>
              <w:rPr>
                <w:sz w:val="18"/>
                <w:szCs w:val="18"/>
                <w:color w:val="auto"/>
              </w:rPr>
            </w:pPr>
          </w:p>
        </w:tc>
        <w:tc>
          <w:tcPr>
            <w:tcW w:w="140" w:type="dxa"/>
            <w:vAlign w:val="bottom"/>
            <w:tcBorders>
              <w:bottom w:val="single" w:sz="8" w:color="auto"/>
              <w:right w:val="single" w:sz="8" w:color="auto"/>
            </w:tcBorders>
            <w:shd w:val="clear" w:color="auto" w:fill="EAEAEA"/>
          </w:tcPr>
          <w:p>
            <w:pPr>
              <w:spacing w:after="0"/>
              <w:rPr>
                <w:sz w:val="18"/>
                <w:szCs w:val="18"/>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60" w:type="dxa"/>
            <w:vAlign w:val="bottom"/>
            <w:tcBorders>
              <w:bottom w:val="single" w:sz="8" w:color="auto"/>
            </w:tcBorders>
            <w:shd w:val="clear" w:color="auto" w:fill="EAEAEA"/>
          </w:tcPr>
          <w:p>
            <w:pPr>
              <w:spacing w:after="0"/>
              <w:rPr>
                <w:sz w:val="18"/>
                <w:szCs w:val="18"/>
                <w:color w:val="auto"/>
              </w:rPr>
            </w:pPr>
          </w:p>
        </w:tc>
        <w:tc>
          <w:tcPr>
            <w:tcW w:w="1060" w:type="dxa"/>
            <w:vAlign w:val="bottom"/>
            <w:tcBorders>
              <w:bottom w:val="single" w:sz="8" w:color="auto"/>
            </w:tcBorders>
            <w:vMerge w:val="continue"/>
            <w:shd w:val="clear" w:color="auto" w:fill="EAEAEA"/>
          </w:tcPr>
          <w:p>
            <w:pPr>
              <w:spacing w:after="0"/>
              <w:rPr>
                <w:sz w:val="18"/>
                <w:szCs w:val="18"/>
                <w:color w:val="auto"/>
              </w:rPr>
            </w:pPr>
          </w:p>
        </w:tc>
        <w:tc>
          <w:tcPr>
            <w:tcW w:w="120" w:type="dxa"/>
            <w:vAlign w:val="bottom"/>
            <w:tcBorders>
              <w:bottom w:val="single" w:sz="8" w:color="auto"/>
              <w:right w:val="single" w:sz="8" w:color="auto"/>
            </w:tcBorders>
            <w:shd w:val="clear" w:color="auto" w:fill="EAEAEA"/>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64"/>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24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$6.05</w:t>
            </w:r>
          </w:p>
        </w:tc>
        <w:tc>
          <w:tcPr>
            <w:tcW w:w="140" w:type="dxa"/>
            <w:vAlign w:val="bottom"/>
            <w:tcBorders>
              <w:bottom w:val="single" w:sz="8" w:color="auto"/>
              <w:right w:val="single" w:sz="8" w:color="auto"/>
            </w:tcBorders>
            <w:shd w:val="clear" w:color="auto" w:fill="EAEAEA"/>
          </w:tcPr>
          <w:p>
            <w:pPr>
              <w:spacing w:after="0"/>
              <w:rPr>
                <w:sz w:val="22"/>
                <w:szCs w:val="22"/>
                <w:color w:val="auto"/>
              </w:rPr>
            </w:pPr>
          </w:p>
        </w:tc>
        <w:tc>
          <w:tcPr>
            <w:tcW w:w="13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$3.96</w:t>
            </w:r>
          </w:p>
        </w:tc>
        <w:tc>
          <w:tcPr>
            <w:tcW w:w="12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$10.53</w:t>
            </w:r>
          </w:p>
        </w:tc>
        <w:tc>
          <w:tcPr>
            <w:tcW w:w="120" w:type="dxa"/>
            <w:vAlign w:val="bottom"/>
            <w:tcBorders>
              <w:bottom w:val="single" w:sz="8" w:color="auto"/>
              <w:right w:val="single" w:sz="8" w:color="auto"/>
            </w:tcBorders>
            <w:shd w:val="clear" w:color="auto" w:fill="EAEAEA"/>
          </w:tcPr>
          <w:p>
            <w:pPr>
              <w:spacing w:after="0"/>
              <w:rPr>
                <w:sz w:val="22"/>
                <w:szCs w:val="22"/>
                <w:color w:val="auto"/>
              </w:rPr>
            </w:pPr>
          </w:p>
        </w:tc>
        <w:tc>
          <w:tcPr>
            <w:tcW w:w="13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200" w:lineRule="exact"/>
        <w:rPr>
          <w:sz w:val="20"/>
          <w:szCs w:val="20"/>
          <w:color w:val="auto"/>
        </w:rPr>
      </w:pPr>
    </w:p>
    <w:p>
      <w:pPr>
        <w:spacing w:after="0" w:line="228" w:lineRule="exact"/>
        <w:rPr>
          <w:sz w:val="20"/>
          <w:szCs w:val="20"/>
          <w:color w:val="auto"/>
        </w:rPr>
      </w:pPr>
    </w:p>
    <w:p>
      <w:pPr>
        <w:ind w:right="60"/>
        <w:spacing w:after="0"/>
        <w:rPr>
          <w:sz w:val="20"/>
          <w:szCs w:val="20"/>
          <w:color w:val="auto"/>
        </w:rPr>
      </w:pPr>
      <w:r>
        <w:rPr>
          <w:rFonts w:ascii="Arial" w:cs="Arial" w:eastAsia="Arial" w:hAnsi="Arial"/>
          <w:sz w:val="20"/>
          <w:szCs w:val="20"/>
          <w:color w:val="auto"/>
        </w:rPr>
        <w:t>"We are pleased to deliver strong results in a year Humana is experiencing the highest individual Medicare Advantage membership growth we have seen in the last decade, which is reflective of our operating discipline and execution, investments in our integrated care delivery strategy, and our relentless focus on creating a simple and personalized healthcare experience for our members,” said Bruce D. Broussard, Humana’s President and Chief Executive Officer. “Today, we are raising our full year 2019 individual MA membership growth guidance to a range of 480,000 to 500,000 members, representing approximately 16 percent growth in 2019. As the number of seniors choosing Medicare Advantage plans continues to rise, we will continue to work collaboratively with partners across the industry to advance a consumer-centric system that focuses on improving both health outcomes and the affordability of care.”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Summary of 2Q19 Results</w:t>
      </w:r>
    </w:p>
    <w:p>
      <w:pPr>
        <w:spacing w:after="0" w:line="240"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The 2Q19 and YTD 2019 consolidated GAAP and Adjusted pretax results and EPS reflect the continued execution of the company's strategy with the strong performance of its Medicare Advantage business and Healthcare Services segment. Both the quarter and the year-to-date (YTD) comparisons were further impacted by previously implemented productivity initiatives which have led to significant operating cost efficiencies in each of the company's segments. These year-over-year favorable impacts were partially offset by the lower Group and Specialty segment earnings.</w:t>
      </w:r>
    </w:p>
    <w:p>
      <w:pPr>
        <w:spacing w:after="0" w:line="209" w:lineRule="exact"/>
        <w:rPr>
          <w:sz w:val="20"/>
          <w:szCs w:val="20"/>
          <w:color w:val="auto"/>
        </w:rPr>
      </w:pPr>
    </w:p>
    <w:p>
      <w:pPr>
        <w:ind w:right="900"/>
        <w:spacing w:after="0" w:line="247" w:lineRule="auto"/>
        <w:rPr>
          <w:sz w:val="20"/>
          <w:szCs w:val="20"/>
          <w:color w:val="auto"/>
        </w:rPr>
      </w:pPr>
      <w:r>
        <w:rPr>
          <w:rFonts w:ascii="Arial" w:cs="Arial" w:eastAsia="Arial" w:hAnsi="Arial"/>
          <w:sz w:val="20"/>
          <w:szCs w:val="20"/>
          <w:color w:val="auto"/>
        </w:rPr>
        <w:t>Additionally, GAAP pretax and EPS year-over-year comparisons for both the quarter and YTD were impacted by the loss recognized on the sale of KMG, a wholly-owned subsidiary, in 2Q18.</w:t>
      </w:r>
    </w:p>
    <w:p>
      <w:pPr>
        <w:spacing w:after="0" w:line="202" w:lineRule="exact"/>
        <w:rPr>
          <w:sz w:val="20"/>
          <w:szCs w:val="20"/>
          <w:color w:val="auto"/>
        </w:rPr>
      </w:pPr>
    </w:p>
    <w:p>
      <w:pPr>
        <w:ind w:right="700"/>
        <w:spacing w:after="0" w:line="243" w:lineRule="auto"/>
        <w:rPr>
          <w:sz w:val="20"/>
          <w:szCs w:val="20"/>
          <w:color w:val="auto"/>
        </w:rPr>
      </w:pPr>
      <w:r>
        <w:rPr>
          <w:rFonts w:ascii="Arial" w:cs="Arial" w:eastAsia="Arial" w:hAnsi="Arial"/>
          <w:sz w:val="20"/>
          <w:szCs w:val="20"/>
          <w:color w:val="auto"/>
        </w:rPr>
        <w:t>The year-over-year changes in GAAP and Adjusted EPS for 2Q19 and YTD 2019 were further positively impacted by the suspension of the health insurance industry fee (HIF) in 2019, as well as a lower numbers of shares used to compute EPS, primarily reflective of share repurchases.</w:t>
      </w:r>
    </w:p>
    <w:p>
      <w:pPr>
        <w:spacing w:after="0" w:line="206"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Please refer to the consolidated and segment highlight sections that follow for additional discussion of the factors impacting the year-over-year results. In addition, below is a summary of key consolidated and segment statistics comparing 2Q19 to 2Q18 and YTD 2019 to YTD 2018.</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40"/>
          </w:cols>
          <w:pgMar w:left="240" w:top="727" w:right="21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20"/>
        </w:trPr>
        <w:tc>
          <w:tcPr>
            <w:tcW w:w="4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Humana Inc. Summary of Quarterly and YTD</w:t>
            </w:r>
          </w:p>
        </w:tc>
        <w:tc>
          <w:tcPr>
            <w:tcW w:w="80" w:type="dxa"/>
            <w:vAlign w:val="bottom"/>
            <w:tcBorders>
              <w:top w:val="single" w:sz="8" w:color="auto"/>
            </w:tcBorders>
            <w:shd w:val="clear" w:color="auto" w:fill="EAEAEA"/>
          </w:tcPr>
          <w:p>
            <w:pPr>
              <w:spacing w:after="0"/>
              <w:rPr>
                <w:sz w:val="19"/>
                <w:szCs w:val="19"/>
                <w:color w:val="auto"/>
              </w:rPr>
            </w:pPr>
          </w:p>
        </w:tc>
        <w:tc>
          <w:tcPr>
            <w:tcW w:w="1580" w:type="dxa"/>
            <w:vAlign w:val="bottom"/>
            <w:tcBorders>
              <w:top w:val="single" w:sz="8" w:color="auto"/>
            </w:tcBorders>
            <w:shd w:val="clear" w:color="auto" w:fill="EAEAEA"/>
          </w:tcPr>
          <w:p>
            <w:pPr>
              <w:spacing w:after="0"/>
              <w:rPr>
                <w:sz w:val="19"/>
                <w:szCs w:val="19"/>
                <w:color w:val="auto"/>
              </w:rPr>
            </w:pPr>
          </w:p>
        </w:tc>
        <w:tc>
          <w:tcPr>
            <w:tcW w:w="180" w:type="dxa"/>
            <w:vAlign w:val="bottom"/>
            <w:tcBorders>
              <w:top w:val="single" w:sz="8" w:color="auto"/>
              <w:right w:val="single" w:sz="8" w:color="auto"/>
            </w:tcBorders>
            <w:shd w:val="clear" w:color="auto" w:fill="EAEAEA"/>
          </w:tcPr>
          <w:p>
            <w:pPr>
              <w:spacing w:after="0"/>
              <w:rPr>
                <w:sz w:val="19"/>
                <w:szCs w:val="19"/>
                <w:color w:val="auto"/>
              </w:rPr>
            </w:pPr>
          </w:p>
        </w:tc>
        <w:tc>
          <w:tcPr>
            <w:tcW w:w="186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shd w:val="clear" w:color="auto" w:fill="EAEAEA"/>
          </w:tcPr>
          <w:p>
            <w:pPr>
              <w:spacing w:after="0"/>
              <w:rPr>
                <w:sz w:val="19"/>
                <w:szCs w:val="19"/>
                <w:color w:val="auto"/>
              </w:rPr>
            </w:pPr>
          </w:p>
        </w:tc>
        <w:tc>
          <w:tcPr>
            <w:tcW w:w="1580" w:type="dxa"/>
            <w:vAlign w:val="bottom"/>
            <w:tcBorders>
              <w:top w:val="single" w:sz="8" w:color="auto"/>
            </w:tcBorders>
            <w:shd w:val="clear" w:color="auto" w:fill="EAEAEA"/>
          </w:tcPr>
          <w:p>
            <w:pPr>
              <w:spacing w:after="0"/>
              <w:rPr>
                <w:sz w:val="19"/>
                <w:szCs w:val="19"/>
                <w:color w:val="auto"/>
              </w:rPr>
            </w:pPr>
          </w:p>
        </w:tc>
        <w:tc>
          <w:tcPr>
            <w:tcW w:w="180" w:type="dxa"/>
            <w:vAlign w:val="bottom"/>
            <w:tcBorders>
              <w:top w:val="single" w:sz="8" w:color="auto"/>
              <w:right w:val="single" w:sz="8" w:color="auto"/>
            </w:tcBorders>
            <w:shd w:val="clear" w:color="auto" w:fill="EAEAEA"/>
          </w:tcPr>
          <w:p>
            <w:pPr>
              <w:spacing w:after="0"/>
              <w:rPr>
                <w:sz w:val="19"/>
                <w:szCs w:val="19"/>
                <w:color w:val="auto"/>
              </w:rPr>
            </w:pPr>
          </w:p>
        </w:tc>
        <w:tc>
          <w:tcPr>
            <w:tcW w:w="1860" w:type="dxa"/>
            <w:vAlign w:val="bottom"/>
            <w:tcBorders>
              <w:top w:val="single" w:sz="8" w:color="auto"/>
              <w:right w:val="single" w:sz="8" w:color="auto"/>
            </w:tcBorders>
          </w:tcPr>
          <w:p>
            <w:pPr>
              <w:spacing w:after="0"/>
              <w:rPr>
                <w:sz w:val="19"/>
                <w:szCs w:val="19"/>
                <w:color w:val="auto"/>
              </w:rPr>
            </w:pPr>
          </w:p>
        </w:tc>
      </w:tr>
      <w:tr>
        <w:trPr>
          <w:trHeight w:val="227"/>
        </w:trPr>
        <w:tc>
          <w:tcPr>
            <w:tcW w:w="4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Results</w:t>
            </w:r>
          </w:p>
        </w:tc>
        <w:tc>
          <w:tcPr>
            <w:tcW w:w="80" w:type="dxa"/>
            <w:vAlign w:val="bottom"/>
            <w:shd w:val="clear" w:color="auto" w:fill="EAEAEA"/>
          </w:tcPr>
          <w:p>
            <w:pPr>
              <w:spacing w:after="0"/>
              <w:rPr>
                <w:sz w:val="19"/>
                <w:szCs w:val="19"/>
                <w:color w:val="auto"/>
              </w:rPr>
            </w:pPr>
          </w:p>
        </w:tc>
        <w:tc>
          <w:tcPr>
            <w:tcW w:w="1580" w:type="dxa"/>
            <w:vAlign w:val="bottom"/>
            <w:shd w:val="clear" w:color="auto" w:fill="EAEAEA"/>
          </w:tcPr>
          <w:p>
            <w:pPr>
              <w:spacing w:after="0"/>
              <w:rPr>
                <w:sz w:val="19"/>
                <w:szCs w:val="19"/>
                <w:color w:val="auto"/>
              </w:rPr>
            </w:pPr>
          </w:p>
        </w:tc>
        <w:tc>
          <w:tcPr>
            <w:tcW w:w="180" w:type="dxa"/>
            <w:vAlign w:val="bottom"/>
            <w:tcBorders>
              <w:right w:val="single" w:sz="8" w:color="auto"/>
            </w:tcBorders>
            <w:shd w:val="clear" w:color="auto" w:fill="EAEAEA"/>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580" w:type="dxa"/>
            <w:vAlign w:val="bottom"/>
            <w:shd w:val="clear" w:color="auto" w:fill="EAEAEA"/>
          </w:tcPr>
          <w:p>
            <w:pPr>
              <w:spacing w:after="0"/>
              <w:rPr>
                <w:sz w:val="19"/>
                <w:szCs w:val="19"/>
                <w:color w:val="auto"/>
              </w:rPr>
            </w:pPr>
          </w:p>
        </w:tc>
        <w:tc>
          <w:tcPr>
            <w:tcW w:w="180" w:type="dxa"/>
            <w:vAlign w:val="bottom"/>
            <w:tcBorders>
              <w:right w:val="single" w:sz="8" w:color="auto"/>
            </w:tcBorders>
            <w:shd w:val="clear" w:color="auto" w:fill="EAEAEA"/>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r>
      <w:tr>
        <w:trPr>
          <w:trHeight w:val="208"/>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(dollars in millions, except per share amounts)</w:t>
            </w:r>
          </w:p>
        </w:tc>
        <w:tc>
          <w:tcPr>
            <w:tcW w:w="80" w:type="dxa"/>
            <w:vAlign w:val="bottom"/>
            <w:tcBorders>
              <w:bottom w:val="single" w:sz="8" w:color="auto"/>
            </w:tcBorders>
            <w:shd w:val="clear" w:color="auto" w:fill="EAEAEA"/>
          </w:tcPr>
          <w:p>
            <w:pPr>
              <w:spacing w:after="0"/>
              <w:rPr>
                <w:sz w:val="18"/>
                <w:szCs w:val="18"/>
                <w:color w:val="auto"/>
              </w:rPr>
            </w:pPr>
          </w:p>
        </w:tc>
        <w:tc>
          <w:tcPr>
            <w:tcW w:w="1760" w:type="dxa"/>
            <w:vAlign w:val="bottom"/>
            <w:tcBorders>
              <w:bottom w:val="single" w:sz="8" w:color="auto"/>
              <w:right w:val="single" w:sz="8" w:color="auto"/>
            </w:tcBorders>
            <w:gridSpan w:val="2"/>
            <w:shd w:val="clear" w:color="auto" w:fill="EAEAEA"/>
          </w:tcPr>
          <w:p>
            <w:pPr>
              <w:jc w:val="right"/>
              <w:ind w:right="600"/>
              <w:spacing w:after="0"/>
              <w:rPr>
                <w:sz w:val="20"/>
                <w:szCs w:val="20"/>
                <w:color w:val="auto"/>
              </w:rPr>
            </w:pPr>
            <w:r>
              <w:rPr>
                <w:rFonts w:ascii="Arial" w:cs="Arial" w:eastAsia="Arial" w:hAnsi="Arial"/>
                <w:sz w:val="16"/>
                <w:szCs w:val="16"/>
                <w:color w:val="auto"/>
              </w:rPr>
              <w:t>2Q19 (a)</w:t>
            </w:r>
          </w:p>
        </w:tc>
        <w:tc>
          <w:tcPr>
            <w:tcW w:w="1860" w:type="dxa"/>
            <w:vAlign w:val="bottom"/>
            <w:tcBorders>
              <w:bottom w:val="single" w:sz="8" w:color="auto"/>
              <w:right w:val="single" w:sz="8" w:color="auto"/>
            </w:tcBorders>
          </w:tcPr>
          <w:p>
            <w:pPr>
              <w:jc w:val="right"/>
              <w:ind w:right="539"/>
              <w:spacing w:after="0"/>
              <w:rPr>
                <w:sz w:val="20"/>
                <w:szCs w:val="20"/>
                <w:color w:val="auto"/>
              </w:rPr>
            </w:pPr>
            <w:r>
              <w:rPr>
                <w:rFonts w:ascii="Arial" w:cs="Arial" w:eastAsia="Arial" w:hAnsi="Arial"/>
                <w:sz w:val="16"/>
                <w:szCs w:val="16"/>
                <w:color w:val="auto"/>
              </w:rPr>
              <w:t>2Q18 (b)</w:t>
            </w:r>
          </w:p>
        </w:tc>
        <w:tc>
          <w:tcPr>
            <w:tcW w:w="80" w:type="dxa"/>
            <w:vAlign w:val="bottom"/>
            <w:tcBorders>
              <w:bottom w:val="single" w:sz="8" w:color="auto"/>
            </w:tcBorders>
            <w:shd w:val="clear" w:color="auto" w:fill="EAEAEA"/>
          </w:tcPr>
          <w:p>
            <w:pPr>
              <w:spacing w:after="0"/>
              <w:rPr>
                <w:sz w:val="18"/>
                <w:szCs w:val="18"/>
                <w:color w:val="auto"/>
              </w:rPr>
            </w:pPr>
          </w:p>
        </w:tc>
        <w:tc>
          <w:tcPr>
            <w:tcW w:w="1760" w:type="dxa"/>
            <w:vAlign w:val="bottom"/>
            <w:tcBorders>
              <w:bottom w:val="single" w:sz="8" w:color="auto"/>
              <w:right w:val="single" w:sz="8" w:color="auto"/>
            </w:tcBorders>
            <w:gridSpan w:val="2"/>
            <w:shd w:val="clear" w:color="auto" w:fill="EAEAEA"/>
          </w:tcPr>
          <w:p>
            <w:pPr>
              <w:jc w:val="right"/>
              <w:ind w:right="440"/>
              <w:spacing w:after="0"/>
              <w:rPr>
                <w:sz w:val="20"/>
                <w:szCs w:val="20"/>
                <w:color w:val="auto"/>
              </w:rPr>
            </w:pPr>
            <w:r>
              <w:rPr>
                <w:rFonts w:ascii="Arial" w:cs="Arial" w:eastAsia="Arial" w:hAnsi="Arial"/>
                <w:sz w:val="16"/>
                <w:szCs w:val="16"/>
                <w:color w:val="auto"/>
              </w:rPr>
              <w:t>YTD 2019 (c)</w:t>
            </w:r>
          </w:p>
        </w:tc>
        <w:tc>
          <w:tcPr>
            <w:tcW w:w="186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YTD 2018 (d)</w:t>
            </w:r>
          </w:p>
        </w:tc>
      </w:tr>
      <w:tr>
        <w:trPr>
          <w:trHeight w:val="237"/>
        </w:trPr>
        <w:tc>
          <w:tcPr>
            <w:tcW w:w="40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80" w:type="dxa"/>
            <w:vAlign w:val="bottom"/>
            <w:tcBorders>
              <w:bottom w:val="single" w:sz="8" w:color="auto"/>
            </w:tcBorders>
            <w:shd w:val="clear" w:color="auto" w:fill="EAEAEA"/>
          </w:tcPr>
          <w:p>
            <w:pPr>
              <w:spacing w:after="0"/>
              <w:rPr>
                <w:sz w:val="20"/>
                <w:szCs w:val="20"/>
                <w:color w:val="auto"/>
              </w:rPr>
            </w:pPr>
          </w:p>
        </w:tc>
        <w:tc>
          <w:tcPr>
            <w:tcW w:w="1580" w:type="dxa"/>
            <w:vAlign w:val="bottom"/>
            <w:tcBorders>
              <w:bottom w:val="single" w:sz="8" w:color="auto"/>
            </w:tcBorders>
            <w:shd w:val="clear" w:color="auto" w:fill="EAEAEA"/>
          </w:tcPr>
          <w:p>
            <w:pPr>
              <w:spacing w:after="0"/>
              <w:rPr>
                <w:sz w:val="20"/>
                <w:szCs w:val="20"/>
                <w:color w:val="auto"/>
              </w:rPr>
            </w:pPr>
          </w:p>
        </w:tc>
        <w:tc>
          <w:tcPr>
            <w:tcW w:w="180" w:type="dxa"/>
            <w:vAlign w:val="bottom"/>
            <w:tcBorders>
              <w:bottom w:val="single" w:sz="8" w:color="auto"/>
              <w:right w:val="single" w:sz="8" w:color="auto"/>
            </w:tcBorders>
            <w:shd w:val="clear" w:color="auto" w:fill="EAEAEA"/>
          </w:tcPr>
          <w:p>
            <w:pPr>
              <w:spacing w:after="0"/>
              <w:rPr>
                <w:sz w:val="20"/>
                <w:szCs w:val="20"/>
                <w:color w:val="auto"/>
              </w:rPr>
            </w:pPr>
          </w:p>
        </w:tc>
        <w:tc>
          <w:tcPr>
            <w:tcW w:w="1860" w:type="dxa"/>
            <w:vAlign w:val="bottom"/>
            <w:tcBorders>
              <w:bottom w:val="single" w:sz="8" w:color="auto"/>
              <w:right w:val="single" w:sz="8" w:color="auto"/>
            </w:tcBorders>
            <w:shd w:val="clear" w:color="auto" w:fill="EAEAEA"/>
          </w:tcPr>
          <w:p>
            <w:pPr>
              <w:spacing w:after="0"/>
              <w:rPr>
                <w:sz w:val="20"/>
                <w:szCs w:val="20"/>
                <w:color w:val="auto"/>
              </w:rPr>
            </w:pPr>
          </w:p>
        </w:tc>
        <w:tc>
          <w:tcPr>
            <w:tcW w:w="80" w:type="dxa"/>
            <w:vAlign w:val="bottom"/>
            <w:tcBorders>
              <w:bottom w:val="single" w:sz="8" w:color="auto"/>
            </w:tcBorders>
            <w:shd w:val="clear" w:color="auto" w:fill="EAEAEA"/>
          </w:tcPr>
          <w:p>
            <w:pPr>
              <w:spacing w:after="0"/>
              <w:rPr>
                <w:sz w:val="20"/>
                <w:szCs w:val="20"/>
                <w:color w:val="auto"/>
              </w:rPr>
            </w:pPr>
          </w:p>
        </w:tc>
        <w:tc>
          <w:tcPr>
            <w:tcW w:w="1580" w:type="dxa"/>
            <w:vAlign w:val="bottom"/>
            <w:tcBorders>
              <w:bottom w:val="single" w:sz="8" w:color="auto"/>
            </w:tcBorders>
            <w:shd w:val="clear" w:color="auto" w:fill="EAEAEA"/>
          </w:tcPr>
          <w:p>
            <w:pPr>
              <w:spacing w:after="0"/>
              <w:rPr>
                <w:sz w:val="20"/>
                <w:szCs w:val="20"/>
                <w:color w:val="auto"/>
              </w:rPr>
            </w:pPr>
          </w:p>
        </w:tc>
        <w:tc>
          <w:tcPr>
            <w:tcW w:w="180" w:type="dxa"/>
            <w:vAlign w:val="bottom"/>
            <w:tcBorders>
              <w:bottom w:val="single" w:sz="8" w:color="auto"/>
              <w:right w:val="single" w:sz="8" w:color="auto"/>
            </w:tcBorders>
            <w:shd w:val="clear" w:color="auto" w:fill="EAEAEA"/>
          </w:tcPr>
          <w:p>
            <w:pPr>
              <w:spacing w:after="0"/>
              <w:rPr>
                <w:sz w:val="20"/>
                <w:szCs w:val="20"/>
                <w:color w:val="auto"/>
              </w:rPr>
            </w:pPr>
          </w:p>
        </w:tc>
        <w:tc>
          <w:tcPr>
            <w:tcW w:w="1860" w:type="dxa"/>
            <w:vAlign w:val="bottom"/>
            <w:tcBorders>
              <w:bottom w:val="single" w:sz="8" w:color="auto"/>
              <w:right w:val="single" w:sz="8" w:color="auto"/>
            </w:tcBorders>
            <w:shd w:val="clear" w:color="auto" w:fill="EAEAEA"/>
          </w:tcPr>
          <w:p>
            <w:pPr>
              <w:spacing w:after="0"/>
              <w:rPr>
                <w:sz w:val="20"/>
                <w:szCs w:val="20"/>
                <w:color w:val="auto"/>
              </w:rPr>
            </w:pP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$16,245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$14,259</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$32,352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$28,538</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Adjusted</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$16,245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$14,249</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$32,352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$28,533</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Pretax income - GAAP</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$1,229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$1,975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$726</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Pretax income - Adjusted</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$1,073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$1,876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$1,496</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EPS - GAAP</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$6.94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$11.10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$4.93</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EPS - Adjusted</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$6.05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$10.53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$7.32</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84.4%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84.1%</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85.3%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84.3%</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Adjusted</w:t>
            </w:r>
          </w:p>
        </w:tc>
        <w:tc>
          <w:tcPr>
            <w:tcW w:w="18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84.4%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18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85.3%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84.6%</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10.6%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8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10.5%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64"/>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cash flows - GAAP</w:t>
            </w:r>
          </w:p>
        </w:tc>
        <w:tc>
          <w:tcPr>
            <w:tcW w:w="80" w:type="dxa"/>
            <w:vAlign w:val="bottom"/>
            <w:tcBorders>
              <w:bottom w:val="single" w:sz="8" w:color="auto"/>
            </w:tcBorders>
            <w:shd w:val="clear" w:color="auto" w:fill="EAEAEA"/>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w:t>
            </w:r>
          </w:p>
        </w:tc>
        <w:tc>
          <w:tcPr>
            <w:tcW w:w="180" w:type="dxa"/>
            <w:vAlign w:val="bottom"/>
            <w:tcBorders>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Borders>
              <w:bottom w:val="single" w:sz="8" w:color="auto"/>
            </w:tcBorders>
            <w:shd w:val="clear" w:color="auto" w:fill="EAEAEA"/>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w:t>
            </w:r>
          </w:p>
        </w:tc>
        <w:tc>
          <w:tcPr>
            <w:tcW w:w="180" w:type="dxa"/>
            <w:vAlign w:val="bottom"/>
            <w:tcBorders>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$3,561</w:t>
            </w:r>
          </w:p>
        </w:tc>
      </w:tr>
      <w:tr>
        <w:trPr>
          <w:trHeight w:val="263"/>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cash flows - Adjusted</w:t>
            </w:r>
          </w:p>
        </w:tc>
        <w:tc>
          <w:tcPr>
            <w:tcW w:w="80" w:type="dxa"/>
            <w:vAlign w:val="bottom"/>
            <w:tcBorders>
              <w:bottom w:val="single" w:sz="8" w:color="auto"/>
            </w:tcBorders>
            <w:shd w:val="clear" w:color="auto" w:fill="EAEAEA"/>
          </w:tcPr>
          <w:p>
            <w:pPr>
              <w:spacing w:after="0"/>
              <w:rPr>
                <w:sz w:val="22"/>
                <w:szCs w:val="22"/>
                <w:color w:val="auto"/>
              </w:rPr>
            </w:pPr>
          </w:p>
        </w:tc>
        <w:tc>
          <w:tcPr>
            <w:tcW w:w="15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$1,434</w:t>
            </w:r>
          </w:p>
        </w:tc>
        <w:tc>
          <w:tcPr>
            <w:tcW w:w="180" w:type="dxa"/>
            <w:vAlign w:val="bottom"/>
            <w:tcBorders>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($99)</w:t>
            </w:r>
          </w:p>
        </w:tc>
        <w:tc>
          <w:tcPr>
            <w:tcW w:w="80" w:type="dxa"/>
            <w:vAlign w:val="bottom"/>
            <w:tcBorders>
              <w:bottom w:val="single" w:sz="8" w:color="auto"/>
            </w:tcBorders>
            <w:shd w:val="clear" w:color="auto" w:fill="EAEAEA"/>
          </w:tcPr>
          <w:p>
            <w:pPr>
              <w:spacing w:after="0"/>
              <w:rPr>
                <w:sz w:val="22"/>
                <w:szCs w:val="22"/>
                <w:color w:val="auto"/>
              </w:rPr>
            </w:pPr>
          </w:p>
        </w:tc>
        <w:tc>
          <w:tcPr>
            <w:tcW w:w="15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$2,330</w:t>
            </w:r>
          </w:p>
        </w:tc>
        <w:tc>
          <w:tcPr>
            <w:tcW w:w="180" w:type="dxa"/>
            <w:vAlign w:val="bottom"/>
            <w:tcBorders>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$252</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Parent company cash and short term investments</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$1,871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$1,816</w:t>
            </w:r>
          </w:p>
        </w:tc>
        <w:tc>
          <w:tcPr>
            <w:tcW w:w="80" w:type="dxa"/>
            <w:vAlign w:val="bottom"/>
            <w:tcBorders>
              <w:bottom w:val="single" w:sz="8" w:color="auto"/>
            </w:tcBorders>
            <w:shd w:val="clear" w:color="auto" w:fill="EAEAEA"/>
          </w:tcPr>
          <w:p>
            <w:pPr>
              <w:spacing w:after="0"/>
              <w:rPr>
                <w:sz w:val="20"/>
                <w:szCs w:val="20"/>
                <w:color w:val="auto"/>
              </w:rPr>
            </w:pPr>
          </w:p>
        </w:tc>
        <w:tc>
          <w:tcPr>
            <w:tcW w:w="1580" w:type="dxa"/>
            <w:vAlign w:val="bottom"/>
            <w:tcBorders>
              <w:bottom w:val="single" w:sz="8" w:color="auto"/>
            </w:tcBorders>
            <w:shd w:val="clear" w:color="auto" w:fill="EAEAEA"/>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Debt-to-total capitalization</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32.5%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80" w:type="dxa"/>
            <w:vAlign w:val="bottom"/>
            <w:tcBorders>
              <w:bottom w:val="single" w:sz="8" w:color="auto"/>
            </w:tcBorders>
            <w:shd w:val="clear" w:color="auto" w:fill="EAEAEA"/>
          </w:tcPr>
          <w:p>
            <w:pPr>
              <w:spacing w:after="0"/>
              <w:rPr>
                <w:sz w:val="20"/>
                <w:szCs w:val="20"/>
                <w:color w:val="auto"/>
              </w:rPr>
            </w:pPr>
          </w:p>
        </w:tc>
        <w:tc>
          <w:tcPr>
            <w:tcW w:w="1580" w:type="dxa"/>
            <w:vAlign w:val="bottom"/>
            <w:tcBorders>
              <w:bottom w:val="single" w:sz="8" w:color="auto"/>
            </w:tcBorders>
            <w:shd w:val="clear" w:color="auto" w:fill="EAEAEA"/>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r>
      <w:tr>
        <w:trPr>
          <w:trHeight w:val="237"/>
        </w:trPr>
        <w:tc>
          <w:tcPr>
            <w:tcW w:w="40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Retail segment results:</w:t>
            </w: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shd w:val="clear" w:color="auto" w:fill="EAEAEA"/>
          </w:tcPr>
          <w:p>
            <w:pPr>
              <w:spacing w:after="0"/>
              <w:rPr>
                <w:sz w:val="20"/>
                <w:szCs w:val="20"/>
                <w:color w:val="auto"/>
              </w:rPr>
            </w:pPr>
          </w:p>
        </w:tc>
        <w:tc>
          <w:tcPr>
            <w:tcW w:w="1860" w:type="dxa"/>
            <w:vAlign w:val="bottom"/>
            <w:tcBorders>
              <w:bottom w:val="single" w:sz="8" w:color="auto"/>
              <w:right w:val="single" w:sz="8" w:color="auto"/>
            </w:tcBorders>
            <w:shd w:val="clear" w:color="auto" w:fill="EAEAEA"/>
          </w:tcPr>
          <w:p>
            <w:pPr>
              <w:spacing w:after="0"/>
              <w:rPr>
                <w:sz w:val="20"/>
                <w:szCs w:val="20"/>
                <w:color w:val="auto"/>
              </w:rPr>
            </w:pPr>
          </w:p>
        </w:tc>
        <w:tc>
          <w:tcPr>
            <w:tcW w:w="80" w:type="dxa"/>
            <w:vAlign w:val="bottom"/>
            <w:tcBorders>
              <w:bottom w:val="single" w:sz="8" w:color="auto"/>
            </w:tcBorders>
            <w:shd w:val="clear" w:color="auto" w:fill="EAEAEA"/>
          </w:tcPr>
          <w:p>
            <w:pPr>
              <w:spacing w:after="0"/>
              <w:rPr>
                <w:sz w:val="20"/>
                <w:szCs w:val="20"/>
                <w:color w:val="auto"/>
              </w:rPr>
            </w:pPr>
          </w:p>
        </w:tc>
        <w:tc>
          <w:tcPr>
            <w:tcW w:w="1580" w:type="dxa"/>
            <w:vAlign w:val="bottom"/>
            <w:tcBorders>
              <w:bottom w:val="single" w:sz="8" w:color="auto"/>
            </w:tcBorders>
            <w:shd w:val="clear" w:color="auto" w:fill="EAEAEA"/>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shd w:val="clear" w:color="auto" w:fill="EAEAEA"/>
          </w:tcPr>
          <w:p>
            <w:pPr>
              <w:spacing w:after="0"/>
              <w:rPr>
                <w:sz w:val="20"/>
                <w:szCs w:val="20"/>
                <w:color w:val="auto"/>
              </w:rPr>
            </w:pP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$14,158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$12,039</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$28,171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$24,146</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85.2%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86.7%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86.5%</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8.5%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8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8.4%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$856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$1,321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$760</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Adjusted</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$860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$1,329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$771</w:t>
            </w:r>
          </w:p>
        </w:tc>
      </w:tr>
      <w:tr>
        <w:trPr>
          <w:trHeight w:val="237"/>
        </w:trPr>
        <w:tc>
          <w:tcPr>
            <w:tcW w:w="40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Group and Specialty segment results:</w:t>
            </w:r>
          </w:p>
        </w:tc>
        <w:tc>
          <w:tcPr>
            <w:tcW w:w="80" w:type="dxa"/>
            <w:vAlign w:val="bottom"/>
            <w:tcBorders>
              <w:bottom w:val="single" w:sz="8" w:color="auto"/>
            </w:tcBorders>
            <w:shd w:val="clear" w:color="auto" w:fill="EAEAEA"/>
          </w:tcPr>
          <w:p>
            <w:pPr>
              <w:spacing w:after="0"/>
              <w:rPr>
                <w:sz w:val="20"/>
                <w:szCs w:val="20"/>
                <w:color w:val="auto"/>
              </w:rPr>
            </w:pPr>
          </w:p>
        </w:tc>
        <w:tc>
          <w:tcPr>
            <w:tcW w:w="1580" w:type="dxa"/>
            <w:vAlign w:val="bottom"/>
            <w:tcBorders>
              <w:bottom w:val="single" w:sz="8" w:color="auto"/>
            </w:tcBorders>
            <w:shd w:val="clear" w:color="auto" w:fill="EAEAEA"/>
          </w:tcPr>
          <w:p>
            <w:pPr>
              <w:spacing w:after="0"/>
              <w:rPr>
                <w:sz w:val="20"/>
                <w:szCs w:val="20"/>
                <w:color w:val="auto"/>
              </w:rPr>
            </w:pPr>
          </w:p>
        </w:tc>
        <w:tc>
          <w:tcPr>
            <w:tcW w:w="180" w:type="dxa"/>
            <w:vAlign w:val="bottom"/>
            <w:tcBorders>
              <w:bottom w:val="single" w:sz="8" w:color="auto"/>
              <w:right w:val="single" w:sz="8" w:color="auto"/>
            </w:tcBorders>
            <w:shd w:val="clear" w:color="auto" w:fill="EAEAEA"/>
          </w:tcPr>
          <w:p>
            <w:pPr>
              <w:spacing w:after="0"/>
              <w:rPr>
                <w:sz w:val="20"/>
                <w:szCs w:val="20"/>
                <w:color w:val="auto"/>
              </w:rPr>
            </w:pPr>
          </w:p>
        </w:tc>
        <w:tc>
          <w:tcPr>
            <w:tcW w:w="1860" w:type="dxa"/>
            <w:vAlign w:val="bottom"/>
            <w:tcBorders>
              <w:bottom w:val="single" w:sz="8" w:color="auto"/>
              <w:right w:val="single" w:sz="8" w:color="auto"/>
            </w:tcBorders>
            <w:shd w:val="clear" w:color="auto" w:fill="EAEAEA"/>
          </w:tcPr>
          <w:p>
            <w:pPr>
              <w:spacing w:after="0"/>
              <w:rPr>
                <w:sz w:val="20"/>
                <w:szCs w:val="20"/>
                <w:color w:val="auto"/>
              </w:rPr>
            </w:pPr>
          </w:p>
        </w:tc>
        <w:tc>
          <w:tcPr>
            <w:tcW w:w="80" w:type="dxa"/>
            <w:vAlign w:val="bottom"/>
            <w:tcBorders>
              <w:bottom w:val="single" w:sz="8" w:color="auto"/>
            </w:tcBorders>
            <w:shd w:val="clear" w:color="auto" w:fill="EAEAEA"/>
          </w:tcPr>
          <w:p>
            <w:pPr>
              <w:spacing w:after="0"/>
              <w:rPr>
                <w:sz w:val="20"/>
                <w:szCs w:val="20"/>
                <w:color w:val="auto"/>
              </w:rPr>
            </w:pPr>
          </w:p>
        </w:tc>
        <w:tc>
          <w:tcPr>
            <w:tcW w:w="1580" w:type="dxa"/>
            <w:vAlign w:val="bottom"/>
            <w:tcBorders>
              <w:bottom w:val="single" w:sz="8" w:color="auto"/>
            </w:tcBorders>
            <w:shd w:val="clear" w:color="auto" w:fill="EAEAEA"/>
          </w:tcPr>
          <w:p>
            <w:pPr>
              <w:spacing w:after="0"/>
              <w:rPr>
                <w:sz w:val="20"/>
                <w:szCs w:val="20"/>
                <w:color w:val="auto"/>
              </w:rPr>
            </w:pPr>
          </w:p>
        </w:tc>
        <w:tc>
          <w:tcPr>
            <w:tcW w:w="180" w:type="dxa"/>
            <w:vAlign w:val="bottom"/>
            <w:tcBorders>
              <w:bottom w:val="single" w:sz="8" w:color="auto"/>
              <w:right w:val="single" w:sz="8" w:color="auto"/>
            </w:tcBorders>
            <w:shd w:val="clear" w:color="auto" w:fill="EAEAEA"/>
          </w:tcPr>
          <w:p>
            <w:pPr>
              <w:spacing w:after="0"/>
              <w:rPr>
                <w:sz w:val="20"/>
                <w:szCs w:val="20"/>
                <w:color w:val="auto"/>
              </w:rPr>
            </w:pPr>
          </w:p>
        </w:tc>
        <w:tc>
          <w:tcPr>
            <w:tcW w:w="1860" w:type="dxa"/>
            <w:vAlign w:val="bottom"/>
            <w:tcBorders>
              <w:bottom w:val="single" w:sz="8" w:color="auto"/>
              <w:right w:val="single" w:sz="8" w:color="auto"/>
            </w:tcBorders>
            <w:shd w:val="clear" w:color="auto" w:fill="EAEAEA"/>
          </w:tcPr>
          <w:p>
            <w:pPr>
              <w:spacing w:after="0"/>
              <w:rPr>
                <w:sz w:val="20"/>
                <w:szCs w:val="20"/>
                <w:color w:val="auto"/>
              </w:rPr>
            </w:pP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$1,874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$1,906</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$3,761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$3,876</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86.3%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81.3%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76.7%</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21.7%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8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21.8%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23.6%</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$170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$291</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Adjusted</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$172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$294</w:t>
            </w:r>
          </w:p>
        </w:tc>
      </w:tr>
      <w:tr>
        <w:trPr>
          <w:trHeight w:val="237"/>
        </w:trPr>
        <w:tc>
          <w:tcPr>
            <w:tcW w:w="40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Healthcare Services segment results:</w:t>
            </w:r>
          </w:p>
        </w:tc>
        <w:tc>
          <w:tcPr>
            <w:tcW w:w="80" w:type="dxa"/>
            <w:vAlign w:val="bottom"/>
            <w:tcBorders>
              <w:bottom w:val="single" w:sz="8" w:color="auto"/>
            </w:tcBorders>
            <w:shd w:val="clear" w:color="auto" w:fill="EAEAEA"/>
          </w:tcPr>
          <w:p>
            <w:pPr>
              <w:spacing w:after="0"/>
              <w:rPr>
                <w:sz w:val="20"/>
                <w:szCs w:val="20"/>
                <w:color w:val="auto"/>
              </w:rPr>
            </w:pPr>
          </w:p>
        </w:tc>
        <w:tc>
          <w:tcPr>
            <w:tcW w:w="1580" w:type="dxa"/>
            <w:vAlign w:val="bottom"/>
            <w:tcBorders>
              <w:bottom w:val="single" w:sz="8" w:color="auto"/>
            </w:tcBorders>
            <w:shd w:val="clear" w:color="auto" w:fill="EAEAEA"/>
          </w:tcPr>
          <w:p>
            <w:pPr>
              <w:spacing w:after="0"/>
              <w:rPr>
                <w:sz w:val="20"/>
                <w:szCs w:val="20"/>
                <w:color w:val="auto"/>
              </w:rPr>
            </w:pPr>
          </w:p>
        </w:tc>
        <w:tc>
          <w:tcPr>
            <w:tcW w:w="180" w:type="dxa"/>
            <w:vAlign w:val="bottom"/>
            <w:tcBorders>
              <w:bottom w:val="single" w:sz="8" w:color="auto"/>
              <w:right w:val="single" w:sz="8" w:color="auto"/>
            </w:tcBorders>
            <w:shd w:val="clear" w:color="auto" w:fill="EAEAEA"/>
          </w:tcPr>
          <w:p>
            <w:pPr>
              <w:spacing w:after="0"/>
              <w:rPr>
                <w:sz w:val="20"/>
                <w:szCs w:val="20"/>
                <w:color w:val="auto"/>
              </w:rPr>
            </w:pPr>
          </w:p>
        </w:tc>
        <w:tc>
          <w:tcPr>
            <w:tcW w:w="1860" w:type="dxa"/>
            <w:vAlign w:val="bottom"/>
            <w:tcBorders>
              <w:bottom w:val="single" w:sz="8" w:color="auto"/>
              <w:right w:val="single" w:sz="8" w:color="auto"/>
            </w:tcBorders>
            <w:shd w:val="clear" w:color="auto" w:fill="EAEAEA"/>
          </w:tcPr>
          <w:p>
            <w:pPr>
              <w:spacing w:after="0"/>
              <w:rPr>
                <w:sz w:val="20"/>
                <w:szCs w:val="20"/>
                <w:color w:val="auto"/>
              </w:rPr>
            </w:pPr>
          </w:p>
        </w:tc>
        <w:tc>
          <w:tcPr>
            <w:tcW w:w="80" w:type="dxa"/>
            <w:vAlign w:val="bottom"/>
            <w:tcBorders>
              <w:bottom w:val="single" w:sz="8" w:color="auto"/>
            </w:tcBorders>
            <w:shd w:val="clear" w:color="auto" w:fill="EAEAEA"/>
          </w:tcPr>
          <w:p>
            <w:pPr>
              <w:spacing w:after="0"/>
              <w:rPr>
                <w:sz w:val="20"/>
                <w:szCs w:val="20"/>
                <w:color w:val="auto"/>
              </w:rPr>
            </w:pPr>
          </w:p>
        </w:tc>
        <w:tc>
          <w:tcPr>
            <w:tcW w:w="1580" w:type="dxa"/>
            <w:vAlign w:val="bottom"/>
            <w:tcBorders>
              <w:bottom w:val="single" w:sz="8" w:color="auto"/>
            </w:tcBorders>
            <w:shd w:val="clear" w:color="auto" w:fill="EAEAEA"/>
          </w:tcPr>
          <w:p>
            <w:pPr>
              <w:spacing w:after="0"/>
              <w:rPr>
                <w:sz w:val="20"/>
                <w:szCs w:val="20"/>
                <w:color w:val="auto"/>
              </w:rPr>
            </w:pPr>
          </w:p>
        </w:tc>
        <w:tc>
          <w:tcPr>
            <w:tcW w:w="180" w:type="dxa"/>
            <w:vAlign w:val="bottom"/>
            <w:tcBorders>
              <w:bottom w:val="single" w:sz="8" w:color="auto"/>
              <w:right w:val="single" w:sz="8" w:color="auto"/>
            </w:tcBorders>
            <w:shd w:val="clear" w:color="auto" w:fill="EAEAEA"/>
          </w:tcPr>
          <w:p>
            <w:pPr>
              <w:spacing w:after="0"/>
              <w:rPr>
                <w:sz w:val="20"/>
                <w:szCs w:val="20"/>
                <w:color w:val="auto"/>
              </w:rPr>
            </w:pPr>
          </w:p>
        </w:tc>
        <w:tc>
          <w:tcPr>
            <w:tcW w:w="1860" w:type="dxa"/>
            <w:vAlign w:val="bottom"/>
            <w:tcBorders>
              <w:bottom w:val="single" w:sz="8" w:color="auto"/>
              <w:right w:val="single" w:sz="8" w:color="auto"/>
            </w:tcBorders>
            <w:shd w:val="clear" w:color="auto" w:fill="EAEAEA"/>
          </w:tcPr>
          <w:p>
            <w:pPr>
              <w:spacing w:after="0"/>
              <w:rPr>
                <w:sz w:val="20"/>
                <w:szCs w:val="20"/>
                <w:color w:val="auto"/>
              </w:rPr>
            </w:pP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$6,387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$5,991</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$12,485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$11,654</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96.1%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96.2%</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96.3%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96.2%</w:t>
            </w:r>
          </w:p>
        </w:tc>
      </w:tr>
      <w:tr>
        <w:trPr>
          <w:trHeight w:val="237"/>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$224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$399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$379</w:t>
            </w:r>
          </w:p>
        </w:tc>
      </w:tr>
      <w:tr>
        <w:trPr>
          <w:trHeight w:val="218"/>
        </w:trPr>
        <w:tc>
          <w:tcPr>
            <w:tcW w:w="4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Adjusted earnings before interest, taxes, depreciation</w:t>
            </w:r>
          </w:p>
        </w:tc>
        <w:tc>
          <w:tcPr>
            <w:tcW w:w="80" w:type="dxa"/>
            <w:vAlign w:val="bottom"/>
            <w:shd w:val="clear" w:color="auto" w:fill="EAEAEA"/>
          </w:tcPr>
          <w:p>
            <w:pPr>
              <w:spacing w:after="0"/>
              <w:rPr>
                <w:sz w:val="18"/>
                <w:szCs w:val="18"/>
                <w:color w:val="auto"/>
              </w:rPr>
            </w:pPr>
          </w:p>
        </w:tc>
        <w:tc>
          <w:tcPr>
            <w:tcW w:w="1580" w:type="dxa"/>
            <w:vAlign w:val="bottom"/>
            <w:shd w:val="clear" w:color="auto" w:fill="EAEAEA"/>
          </w:tcPr>
          <w:p>
            <w:pPr>
              <w:spacing w:after="0"/>
              <w:rPr>
                <w:sz w:val="18"/>
                <w:szCs w:val="18"/>
                <w:color w:val="auto"/>
              </w:rPr>
            </w:pPr>
          </w:p>
        </w:tc>
        <w:tc>
          <w:tcPr>
            <w:tcW w:w="180" w:type="dxa"/>
            <w:vAlign w:val="bottom"/>
            <w:tcBorders>
              <w:right w:val="single" w:sz="8" w:color="auto"/>
            </w:tcBorders>
            <w:shd w:val="clear" w:color="auto" w:fill="EAEAEA"/>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580" w:type="dxa"/>
            <w:vAlign w:val="bottom"/>
            <w:shd w:val="clear" w:color="auto" w:fill="EAEAEA"/>
          </w:tcPr>
          <w:p>
            <w:pPr>
              <w:spacing w:after="0"/>
              <w:rPr>
                <w:sz w:val="18"/>
                <w:szCs w:val="18"/>
                <w:color w:val="auto"/>
              </w:rPr>
            </w:pPr>
          </w:p>
        </w:tc>
        <w:tc>
          <w:tcPr>
            <w:tcW w:w="180" w:type="dxa"/>
            <w:vAlign w:val="bottom"/>
            <w:tcBorders>
              <w:right w:val="single" w:sz="8" w:color="auto"/>
            </w:tcBorders>
            <w:shd w:val="clear" w:color="auto" w:fill="EAEAEA"/>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r>
      <w:tr>
        <w:trPr>
          <w:trHeight w:val="208"/>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and amortization (Adjusted EBITDA) (e)</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$294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840" w:type="dxa"/>
            <w:vAlign w:val="bottom"/>
            <w:tcBorders>
              <w:bottom w:val="single" w:sz="8" w:color="auto"/>
              <w:right w:val="single" w:sz="8" w:color="auto"/>
            </w:tcBorders>
            <w:gridSpan w:val="3"/>
            <w:shd w:val="clear" w:color="auto" w:fill="EAEAEA"/>
          </w:tcPr>
          <w:p>
            <w:pPr>
              <w:jc w:val="right"/>
              <w:ind w:right="40"/>
              <w:spacing w:after="0"/>
              <w:rPr>
                <w:sz w:val="20"/>
                <w:szCs w:val="20"/>
                <w:color w:val="auto"/>
              </w:rPr>
            </w:pPr>
            <w:r>
              <w:rPr>
                <w:rFonts w:ascii="Arial" w:cs="Arial" w:eastAsia="Arial" w:hAnsi="Arial"/>
                <w:sz w:val="16"/>
                <w:szCs w:val="16"/>
                <w:color w:val="auto"/>
              </w:rPr>
              <w:t>$532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-4072890</wp:posOffset>
            </wp:positionV>
            <wp:extent cx="3524885" cy="1826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24885" cy="182689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-1594485</wp:posOffset>
            </wp:positionV>
            <wp:extent cx="106362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3625" cy="3257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-1594485</wp:posOffset>
            </wp:positionV>
            <wp:extent cx="106362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36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40"/>
          </w:cols>
          <w:pgMar w:left="240" w:top="943" w:right="21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u w:val="single" w:color="auto"/>
          <w:color w:val="auto"/>
        </w:rPr>
        <w:t>2019 Earnings Guidance</w:t>
      </w:r>
    </w:p>
    <w:p>
      <w:pPr>
        <w:spacing w:after="0" w:line="25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Humana today raised its GAAP and Adjusted EPS guidance for the year ended December 31, 2019 (FY19). The company now expects FY19 GAAP EPS guidance to be in a range of approximately $17.97, while Adjusted EPS is expected to be approximately $17.60. Additional FY19 guidance points are included in the table beginning on page 20 of this earnings release.</w:t>
      </w:r>
    </w:p>
    <w:p>
      <w:pPr>
        <w:spacing w:after="0" w:line="206"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A reconciliation of GAAP to Adjusted EPS for the company’s FY19 projections as well as comparable numbers for the year ended December 31, 2018 (FY18) is shown below for comparison.</w:t>
      </w: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386"/>
        </w:trPr>
        <w:tc>
          <w:tcPr>
            <w:tcW w:w="8480" w:type="dxa"/>
            <w:vAlign w:val="bottom"/>
            <w:tcBorders>
              <w:top w:val="single" w:sz="8" w:color="auto"/>
              <w:left w:val="single" w:sz="8" w:color="auto"/>
              <w:bottom w:val="single" w:sz="8" w:color="auto"/>
              <w:right w:val="single" w:sz="8" w:color="auto"/>
            </w:tcBorders>
            <w:shd w:val="clear" w:color="auto" w:fill="EAEAEA"/>
          </w:tcPr>
          <w:p>
            <w:pPr>
              <w:ind w:left="3020"/>
              <w:spacing w:after="0"/>
              <w:rPr>
                <w:sz w:val="20"/>
                <w:szCs w:val="20"/>
                <w:color w:val="auto"/>
              </w:rPr>
            </w:pPr>
            <w:r>
              <w:rPr>
                <w:rFonts w:ascii="Arial" w:cs="Arial" w:eastAsia="Arial" w:hAnsi="Arial"/>
                <w:sz w:val="14"/>
                <w:szCs w:val="14"/>
                <w:b w:val="1"/>
                <w:bCs w:val="1"/>
                <w:color w:val="auto"/>
              </w:rPr>
              <w:t>Diluted earnings per common share</w:t>
            </w:r>
          </w:p>
        </w:tc>
        <w:tc>
          <w:tcPr>
            <w:tcW w:w="1500" w:type="dxa"/>
            <w:vAlign w:val="bottom"/>
            <w:tcBorders>
              <w:top w:val="single" w:sz="8" w:color="auto"/>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4"/>
                <w:szCs w:val="14"/>
                <w:b w:val="1"/>
                <w:bCs w:val="1"/>
                <w:color w:val="auto"/>
              </w:rPr>
              <w:t>FY19 Guidance (f)</w:t>
            </w:r>
          </w:p>
        </w:tc>
        <w:tc>
          <w:tcPr>
            <w:tcW w:w="1460" w:type="dxa"/>
            <w:vAlign w:val="bottom"/>
            <w:tcBorders>
              <w:top w:val="single" w:sz="8" w:color="auto"/>
              <w:bottom w:val="single" w:sz="8" w:color="auto"/>
              <w:right w:val="single" w:sz="8" w:color="auto"/>
            </w:tcBorders>
          </w:tcPr>
          <w:p>
            <w:pPr>
              <w:jc w:val="right"/>
              <w:ind w:right="380"/>
              <w:spacing w:after="0"/>
              <w:rPr>
                <w:sz w:val="20"/>
                <w:szCs w:val="20"/>
                <w:color w:val="auto"/>
              </w:rPr>
            </w:pPr>
            <w:r>
              <w:rPr>
                <w:rFonts w:ascii="Arial" w:cs="Arial" w:eastAsia="Arial" w:hAnsi="Arial"/>
                <w:sz w:val="14"/>
                <w:szCs w:val="14"/>
                <w:color w:val="auto"/>
              </w:rPr>
              <w:t>FY18 (g)</w:t>
            </w:r>
          </w:p>
        </w:tc>
      </w:tr>
      <w:tr>
        <w:trPr>
          <w:trHeight w:val="263"/>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500" w:type="dxa"/>
            <w:vAlign w:val="bottom"/>
            <w:tcBorders>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b w:val="1"/>
                <w:bCs w:val="1"/>
                <w:color w:val="auto"/>
              </w:rPr>
              <w:t>~$17.97</w:t>
            </w:r>
          </w:p>
        </w:tc>
        <w:tc>
          <w:tcPr>
            <w:tcW w:w="14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$12.16</w:t>
            </w:r>
          </w:p>
        </w:tc>
      </w:tr>
      <w:tr>
        <w:trPr>
          <w:trHeight w:val="237"/>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of identifiable intangibles</w:t>
            </w:r>
          </w:p>
        </w:tc>
        <w:tc>
          <w:tcPr>
            <w:tcW w:w="1500" w:type="dxa"/>
            <w:vAlign w:val="bottom"/>
            <w:tcBorders>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color w:val="auto"/>
              </w:rPr>
              <w:t>0.40</w:t>
            </w:r>
          </w:p>
        </w:tc>
        <w:tc>
          <w:tcPr>
            <w:tcW w:w="14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0.49</w:t>
            </w:r>
          </w:p>
        </w:tc>
      </w:tr>
      <w:tr>
        <w:trPr>
          <w:trHeight w:val="237"/>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40% minority interest in Kindred at Home</w:t>
            </w:r>
          </w:p>
        </w:tc>
        <w:tc>
          <w:tcPr>
            <w:tcW w:w="1500" w:type="dxa"/>
            <w:vAlign w:val="bottom"/>
            <w:tcBorders>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color w:val="auto"/>
              </w:rPr>
              <w:t>(0.77)</w:t>
            </w:r>
          </w:p>
        </w:tc>
        <w:tc>
          <w:tcPr>
            <w:tcW w:w="14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0.18</w:t>
            </w:r>
          </w:p>
        </w:tc>
      </w:tr>
      <w:tr>
        <w:trPr>
          <w:trHeight w:val="237"/>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Loss on sale of KMG, a wholly -owned subsidiary</w:t>
            </w:r>
          </w:p>
        </w:tc>
        <w:tc>
          <w:tcPr>
            <w:tcW w:w="1500" w:type="dxa"/>
            <w:vAlign w:val="bottom"/>
            <w:tcBorders>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2.41</w:t>
            </w:r>
          </w:p>
        </w:tc>
      </w:tr>
      <w:tr>
        <w:trPr>
          <w:trHeight w:val="237"/>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associated with the Individual Commercial segment</w:t>
            </w:r>
          </w:p>
        </w:tc>
        <w:tc>
          <w:tcPr>
            <w:tcW w:w="1500" w:type="dxa"/>
            <w:vAlign w:val="bottom"/>
            <w:tcBorders>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(0.41)</w:t>
            </w:r>
          </w:p>
        </w:tc>
      </w:tr>
      <w:tr>
        <w:trPr>
          <w:trHeight w:val="237"/>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Adjustments to provisional estimates for the income tax effects related to the Tax Reform Law</w:t>
            </w:r>
          </w:p>
        </w:tc>
        <w:tc>
          <w:tcPr>
            <w:tcW w:w="1500" w:type="dxa"/>
            <w:vAlign w:val="bottom"/>
            <w:tcBorders>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(0.28)</w:t>
            </w:r>
          </w:p>
        </w:tc>
      </w:tr>
      <w:tr>
        <w:trPr>
          <w:trHeight w:val="264"/>
        </w:trPr>
        <w:tc>
          <w:tcPr>
            <w:tcW w:w="8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 – FY19 projected</w:t>
            </w:r>
          </w:p>
        </w:tc>
        <w:tc>
          <w:tcPr>
            <w:tcW w:w="1500" w:type="dxa"/>
            <w:vAlign w:val="bottom"/>
            <w:tcBorders>
              <w:bottom w:val="single" w:sz="8" w:color="auto"/>
              <w:right w:val="single" w:sz="8" w:color="auto"/>
            </w:tcBorders>
            <w:shd w:val="clear" w:color="auto" w:fill="EAEAEA"/>
          </w:tcPr>
          <w:p>
            <w:pPr>
              <w:jc w:val="right"/>
              <w:ind w:right="60"/>
              <w:spacing w:after="0"/>
              <w:rPr>
                <w:sz w:val="20"/>
                <w:szCs w:val="20"/>
                <w:color w:val="auto"/>
              </w:rPr>
            </w:pPr>
            <w:r>
              <w:rPr>
                <w:rFonts w:ascii="Arial" w:cs="Arial" w:eastAsia="Arial" w:hAnsi="Arial"/>
                <w:sz w:val="16"/>
                <w:szCs w:val="16"/>
                <w:b w:val="1"/>
                <w:bCs w:val="1"/>
                <w:color w:val="auto"/>
              </w:rPr>
              <w:t>~$17.60</w:t>
            </w:r>
          </w:p>
        </w:tc>
        <w:tc>
          <w:tcPr>
            <w:tcW w:w="146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$14.55</w:t>
            </w:r>
          </w:p>
        </w:tc>
      </w:tr>
    </w:tbl>
    <w:p>
      <w:pPr>
        <w:spacing w:after="0" w:line="200" w:lineRule="exact"/>
        <w:rPr>
          <w:sz w:val="20"/>
          <w:szCs w:val="20"/>
          <w:color w:val="auto"/>
        </w:rPr>
      </w:pPr>
    </w:p>
    <w:p>
      <w:pPr>
        <w:spacing w:after="0" w:line="229"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“The favorable performance that we experienced early in the year in our Retail segment has persisted through the second quarter, and we are also seeing better than expected results in our Healthcare Services segment,” said Brian A. Kane, Chief Financial Officer. “The strong 2019 financial results and membership growth have enabled us, in our Medicare Advantage bidding process, to lessen the member impact of the headwinds we face in 2020 and make additional strategic investments in the back half of 2019 to support our members' health and enhance customer experience, all while increasing our full year 2019 consolidated revenue and Adjusted EPS outlook.”</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Humana Consolidated Highlights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Consolidated revenues</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55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Consolidated revenues</w:t>
            </w:r>
          </w:p>
        </w:tc>
        <w:tc>
          <w:tcPr>
            <w:tcW w:w="440" w:type="dxa"/>
            <w:vAlign w:val="bottom"/>
            <w:tcBorders>
              <w:top w:val="single" w:sz="8" w:color="auto"/>
            </w:tcBorders>
            <w:shd w:val="clear" w:color="auto" w:fill="EAEAEA"/>
          </w:tcPr>
          <w:p>
            <w:pPr>
              <w:spacing w:after="0"/>
              <w:rPr>
                <w:sz w:val="16"/>
                <w:szCs w:val="16"/>
                <w:color w:val="auto"/>
              </w:rPr>
            </w:pPr>
          </w:p>
        </w:tc>
        <w:tc>
          <w:tcPr>
            <w:tcW w:w="580" w:type="dxa"/>
            <w:vAlign w:val="bottom"/>
            <w:tcBorders>
              <w:top w:val="single" w:sz="8" w:color="auto"/>
            </w:tcBorders>
            <w:shd w:val="clear" w:color="auto" w:fill="EAEAEA"/>
          </w:tcPr>
          <w:p>
            <w:pPr>
              <w:spacing w:after="0"/>
              <w:rPr>
                <w:sz w:val="16"/>
                <w:szCs w:val="16"/>
                <w:color w:val="auto"/>
              </w:rPr>
            </w:pPr>
          </w:p>
        </w:tc>
        <w:tc>
          <w:tcPr>
            <w:tcW w:w="460" w:type="dxa"/>
            <w:vAlign w:val="bottom"/>
            <w:tcBorders>
              <w:top w:val="single" w:sz="8" w:color="auto"/>
              <w:right w:val="single" w:sz="8" w:color="auto"/>
            </w:tcBorders>
            <w:shd w:val="clear" w:color="auto" w:fill="EAEAEA"/>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spacing w:after="0"/>
              <w:rPr>
                <w:sz w:val="16"/>
                <w:szCs w:val="16"/>
                <w:color w:val="auto"/>
              </w:rPr>
            </w:pPr>
          </w:p>
        </w:tc>
        <w:tc>
          <w:tcPr>
            <w:tcW w:w="220" w:type="dxa"/>
            <w:vAlign w:val="bottom"/>
            <w:tcBorders>
              <w:top w:val="single" w:sz="8" w:color="auto"/>
            </w:tcBorders>
            <w:shd w:val="clear" w:color="auto" w:fill="EAEAEA"/>
          </w:tcPr>
          <w:p>
            <w:pPr>
              <w:spacing w:after="0"/>
              <w:rPr>
                <w:sz w:val="16"/>
                <w:szCs w:val="16"/>
                <w:color w:val="auto"/>
              </w:rPr>
            </w:pPr>
          </w:p>
        </w:tc>
        <w:tc>
          <w:tcPr>
            <w:tcW w:w="940" w:type="dxa"/>
            <w:vAlign w:val="bottom"/>
            <w:tcBorders>
              <w:top w:val="single" w:sz="8" w:color="auto"/>
            </w:tcBorders>
            <w:shd w:val="clear" w:color="auto" w:fill="EAEAEA"/>
          </w:tcPr>
          <w:p>
            <w:pPr>
              <w:spacing w:after="0"/>
              <w:rPr>
                <w:sz w:val="16"/>
                <w:szCs w:val="16"/>
                <w:color w:val="auto"/>
              </w:rPr>
            </w:pPr>
          </w:p>
        </w:tc>
        <w:tc>
          <w:tcPr>
            <w:tcW w:w="340" w:type="dxa"/>
            <w:vAlign w:val="bottom"/>
            <w:tcBorders>
              <w:top w:val="single" w:sz="8" w:color="auto"/>
              <w:right w:val="single" w:sz="8" w:color="auto"/>
            </w:tcBorders>
            <w:shd w:val="clear" w:color="auto" w:fill="EAEAEA"/>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spacing w:after="0"/>
              <w:rPr>
                <w:sz w:val="16"/>
                <w:szCs w:val="16"/>
                <w:color w:val="auto"/>
              </w:rPr>
            </w:pPr>
          </w:p>
        </w:tc>
      </w:tr>
      <w:tr>
        <w:trPr>
          <w:trHeight w:val="230"/>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440" w:type="dxa"/>
            <w:vAlign w:val="bottom"/>
            <w:tcBorders>
              <w:bottom w:val="single" w:sz="8" w:color="EAEAEA"/>
            </w:tcBorders>
            <w:shd w:val="clear" w:color="auto" w:fill="EAEAEA"/>
          </w:tcPr>
          <w:p>
            <w:pPr>
              <w:spacing w:after="0"/>
              <w:rPr>
                <w:sz w:val="20"/>
                <w:szCs w:val="20"/>
                <w:color w:val="auto"/>
              </w:rPr>
            </w:pPr>
          </w:p>
        </w:tc>
        <w:tc>
          <w:tcPr>
            <w:tcW w:w="58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4"/>
                <w:szCs w:val="14"/>
                <w:b w:val="1"/>
                <w:bCs w:val="1"/>
                <w:color w:val="auto"/>
                <w:shd w:val="clear" w:color="auto" w:fill="EAEAEA"/>
              </w:rPr>
              <w:t>2Q19 (a)</w:t>
            </w:r>
          </w:p>
        </w:tc>
        <w:tc>
          <w:tcPr>
            <w:tcW w:w="460" w:type="dxa"/>
            <w:vAlign w:val="bottom"/>
            <w:tcBorders>
              <w:bottom w:val="single" w:sz="8" w:color="EAEAEA"/>
              <w:right w:val="single" w:sz="8" w:color="auto"/>
            </w:tcBorders>
            <w:shd w:val="clear" w:color="auto" w:fill="EAEAEA"/>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Borders>
              <w:right w:val="single" w:sz="8" w:color="auto"/>
            </w:tcBorders>
          </w:tcPr>
          <w:p>
            <w:pPr>
              <w:jc w:val="right"/>
              <w:ind w:right="381"/>
              <w:spacing w:after="0"/>
              <w:rPr>
                <w:sz w:val="20"/>
                <w:szCs w:val="20"/>
                <w:color w:val="auto"/>
              </w:rPr>
            </w:pPr>
            <w:r>
              <w:rPr>
                <w:rFonts w:ascii="Arial" w:cs="Arial" w:eastAsia="Arial" w:hAnsi="Arial"/>
                <w:sz w:val="14"/>
                <w:szCs w:val="14"/>
                <w:color w:val="auto"/>
              </w:rPr>
              <w:t>2Q18 (b)</w:t>
            </w:r>
          </w:p>
        </w:tc>
        <w:tc>
          <w:tcPr>
            <w:tcW w:w="220" w:type="dxa"/>
            <w:vAlign w:val="bottom"/>
            <w:tcBorders>
              <w:bottom w:val="single" w:sz="8" w:color="EAEAEA"/>
            </w:tcBorders>
            <w:shd w:val="clear" w:color="auto" w:fill="EAEAEA"/>
          </w:tcPr>
          <w:p>
            <w:pPr>
              <w:spacing w:after="0"/>
              <w:rPr>
                <w:sz w:val="20"/>
                <w:szCs w:val="20"/>
                <w:color w:val="auto"/>
              </w:rPr>
            </w:pPr>
          </w:p>
        </w:tc>
        <w:tc>
          <w:tcPr>
            <w:tcW w:w="94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b w:val="1"/>
                <w:bCs w:val="1"/>
                <w:color w:val="auto"/>
                <w:w w:val="97"/>
                <w:shd w:val="clear" w:color="auto" w:fill="EAEAEA"/>
              </w:rPr>
              <w:t>YTD 2019 (c)</w:t>
            </w:r>
          </w:p>
        </w:tc>
        <w:tc>
          <w:tcPr>
            <w:tcW w:w="340" w:type="dxa"/>
            <w:vAlign w:val="bottom"/>
            <w:tcBorders>
              <w:bottom w:val="single" w:sz="8" w:color="EAEAEA"/>
              <w:right w:val="single" w:sz="8" w:color="auto"/>
            </w:tcBorders>
            <w:shd w:val="clear" w:color="auto" w:fill="EAEAEA"/>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Borders>
              <w:right w:val="single" w:sz="8" w:color="auto"/>
            </w:tcBorders>
          </w:tcPr>
          <w:p>
            <w:pPr>
              <w:jc w:val="right"/>
              <w:ind w:right="241"/>
              <w:spacing w:after="0"/>
              <w:rPr>
                <w:sz w:val="20"/>
                <w:szCs w:val="20"/>
                <w:color w:val="auto"/>
              </w:rPr>
            </w:pPr>
            <w:r>
              <w:rPr>
                <w:rFonts w:ascii="Arial" w:cs="Arial" w:eastAsia="Arial" w:hAnsi="Arial"/>
                <w:sz w:val="14"/>
                <w:szCs w:val="14"/>
                <w:color w:val="auto"/>
              </w:rPr>
              <w:t>YTD 2018 (d)</w:t>
            </w:r>
          </w:p>
        </w:tc>
      </w:tr>
      <w:tr>
        <w:trPr>
          <w:trHeight w:val="230"/>
        </w:trPr>
        <w:tc>
          <w:tcPr>
            <w:tcW w:w="5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440" w:type="dxa"/>
            <w:vAlign w:val="bottom"/>
            <w:tcBorders>
              <w:top w:val="single" w:sz="8" w:color="auto"/>
              <w:bottom w:val="single" w:sz="8" w:color="auto"/>
            </w:tcBorders>
            <w:shd w:val="clear" w:color="auto" w:fill="EAEAEA"/>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right w:val="single" w:sz="8" w:color="auto"/>
            </w:tcBorders>
            <w:gridSpan w:val="2"/>
            <w:shd w:val="clear" w:color="auto" w:fill="EAEAEA"/>
          </w:tcPr>
          <w:p>
            <w:pPr>
              <w:jc w:val="right"/>
              <w:ind w:right="39"/>
              <w:spacing w:after="0"/>
              <w:rPr>
                <w:sz w:val="20"/>
                <w:szCs w:val="20"/>
                <w:color w:val="auto"/>
              </w:rPr>
            </w:pPr>
            <w:r>
              <w:rPr>
                <w:rFonts w:ascii="Arial" w:cs="Arial" w:eastAsia="Arial" w:hAnsi="Arial"/>
                <w:sz w:val="16"/>
                <w:szCs w:val="16"/>
                <w:b w:val="1"/>
                <w:bCs w:val="1"/>
                <w:color w:val="auto"/>
              </w:rPr>
              <w:t>16,245</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14,259</w:t>
            </w:r>
          </w:p>
        </w:tc>
        <w:tc>
          <w:tcPr>
            <w:tcW w:w="220" w:type="dxa"/>
            <w:vAlign w:val="bottom"/>
            <w:tcBorders>
              <w:top w:val="single" w:sz="8" w:color="auto"/>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right w:val="single" w:sz="8" w:color="auto"/>
            </w:tcBorders>
            <w:gridSpan w:val="2"/>
            <w:shd w:val="clear" w:color="auto" w:fill="EAEAEA"/>
          </w:tcPr>
          <w:p>
            <w:pPr>
              <w:jc w:val="right"/>
              <w:ind w:right="59"/>
              <w:spacing w:after="0"/>
              <w:rPr>
                <w:sz w:val="20"/>
                <w:szCs w:val="20"/>
                <w:color w:val="auto"/>
              </w:rPr>
            </w:pPr>
            <w:r>
              <w:rPr>
                <w:rFonts w:ascii="Arial" w:cs="Arial" w:eastAsia="Arial" w:hAnsi="Arial"/>
                <w:sz w:val="16"/>
                <w:szCs w:val="16"/>
                <w:b w:val="1"/>
                <w:bCs w:val="1"/>
                <w:color w:val="auto"/>
              </w:rPr>
              <w:t>32,352</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28,538</w:t>
            </w:r>
          </w:p>
        </w:tc>
      </w:tr>
      <w:tr>
        <w:trPr>
          <w:trHeight w:val="237"/>
        </w:trPr>
        <w:tc>
          <w:tcPr>
            <w:tcW w:w="5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associated with the Individual Commercial segment</w:t>
            </w:r>
          </w:p>
        </w:tc>
        <w:tc>
          <w:tcPr>
            <w:tcW w:w="440" w:type="dxa"/>
            <w:vAlign w:val="bottom"/>
            <w:tcBorders>
              <w:bottom w:val="single" w:sz="8" w:color="auto"/>
            </w:tcBorders>
            <w:shd w:val="clear" w:color="auto" w:fill="EAEAEA"/>
          </w:tcPr>
          <w:p>
            <w:pPr>
              <w:spacing w:after="0"/>
              <w:rPr>
                <w:sz w:val="20"/>
                <w:szCs w:val="20"/>
                <w:color w:val="auto"/>
              </w:rPr>
            </w:pPr>
          </w:p>
        </w:tc>
        <w:tc>
          <w:tcPr>
            <w:tcW w:w="580" w:type="dxa"/>
            <w:vAlign w:val="bottom"/>
            <w:tcBorders>
              <w:bottom w:val="single" w:sz="8" w:color="auto"/>
            </w:tcBorders>
            <w:shd w:val="clear" w:color="auto" w:fill="EAEAEA"/>
          </w:tcPr>
          <w:p>
            <w:pPr>
              <w:spacing w:after="0"/>
              <w:rPr>
                <w:sz w:val="20"/>
                <w:szCs w:val="20"/>
                <w:color w:val="auto"/>
              </w:rPr>
            </w:pPr>
          </w:p>
        </w:tc>
        <w:tc>
          <w:tcPr>
            <w:tcW w:w="460" w:type="dxa"/>
            <w:vAlign w:val="bottom"/>
            <w:tcBorders>
              <w:bottom w:val="single" w:sz="8" w:color="auto"/>
              <w:right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auto"/>
            </w:tcBorders>
            <w:shd w:val="clear" w:color="auto" w:fill="EAEAEA"/>
          </w:tcPr>
          <w:p>
            <w:pPr>
              <w:spacing w:after="0"/>
              <w:rPr>
                <w:sz w:val="20"/>
                <w:szCs w:val="20"/>
                <w:color w:val="auto"/>
              </w:rPr>
            </w:pPr>
          </w:p>
        </w:tc>
        <w:tc>
          <w:tcPr>
            <w:tcW w:w="940" w:type="dxa"/>
            <w:vAlign w:val="bottom"/>
            <w:tcBorders>
              <w:bottom w:val="single" w:sz="8" w:color="auto"/>
            </w:tcBorders>
            <w:shd w:val="clear" w:color="auto" w:fill="EAEAEA"/>
          </w:tcPr>
          <w:p>
            <w:pPr>
              <w:spacing w:after="0"/>
              <w:rPr>
                <w:sz w:val="20"/>
                <w:szCs w:val="20"/>
                <w:color w:val="auto"/>
              </w:rPr>
            </w:pPr>
          </w:p>
        </w:tc>
        <w:tc>
          <w:tcPr>
            <w:tcW w:w="340" w:type="dxa"/>
            <w:vAlign w:val="bottom"/>
            <w:tcBorders>
              <w:bottom w:val="single" w:sz="8" w:color="auto"/>
              <w:right w:val="single" w:sz="8" w:color="auto"/>
            </w:tcBorders>
            <w:shd w:val="clear" w:color="auto" w:fill="EAEAEA"/>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16"/>
                <w:szCs w:val="16"/>
                <w:color w:val="auto"/>
              </w:rPr>
              <w:t>(5)</w:t>
            </w:r>
          </w:p>
        </w:tc>
      </w:tr>
      <w:tr>
        <w:trPr>
          <w:trHeight w:val="237"/>
        </w:trPr>
        <w:tc>
          <w:tcPr>
            <w:tcW w:w="5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440" w:type="dxa"/>
            <w:vAlign w:val="bottom"/>
            <w:tcBorders>
              <w:bottom w:val="single" w:sz="8" w:color="auto"/>
            </w:tcBorders>
            <w:shd w:val="clear" w:color="auto" w:fill="EAEAEA"/>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right w:val="single" w:sz="8" w:color="auto"/>
            </w:tcBorders>
            <w:gridSpan w:val="2"/>
            <w:shd w:val="clear" w:color="auto" w:fill="EAEAEA"/>
          </w:tcPr>
          <w:p>
            <w:pPr>
              <w:jc w:val="right"/>
              <w:ind w:right="39"/>
              <w:spacing w:after="0"/>
              <w:rPr>
                <w:sz w:val="20"/>
                <w:szCs w:val="20"/>
                <w:color w:val="auto"/>
              </w:rPr>
            </w:pPr>
            <w:r>
              <w:rPr>
                <w:rFonts w:ascii="Arial" w:cs="Arial" w:eastAsia="Arial" w:hAnsi="Arial"/>
                <w:sz w:val="16"/>
                <w:szCs w:val="16"/>
                <w:b w:val="1"/>
                <w:bCs w:val="1"/>
                <w:color w:val="auto"/>
              </w:rPr>
              <w:t>16,245</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14,249</w:t>
            </w:r>
          </w:p>
        </w:tc>
        <w:tc>
          <w:tcPr>
            <w:tcW w:w="220" w:type="dxa"/>
            <w:vAlign w:val="bottom"/>
            <w:tcBorders>
              <w:bottom w:val="single" w:sz="8" w:color="auto"/>
            </w:tcBorders>
            <w:shd w:val="clear" w:color="auto" w:fill="EAEAEA"/>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right w:val="single" w:sz="8" w:color="auto"/>
            </w:tcBorders>
            <w:gridSpan w:val="2"/>
            <w:shd w:val="clear" w:color="auto" w:fill="EAEAEA"/>
          </w:tcPr>
          <w:p>
            <w:pPr>
              <w:jc w:val="right"/>
              <w:ind w:right="59"/>
              <w:spacing w:after="0"/>
              <w:rPr>
                <w:sz w:val="20"/>
                <w:szCs w:val="20"/>
                <w:color w:val="auto"/>
              </w:rPr>
            </w:pPr>
            <w:r>
              <w:rPr>
                <w:rFonts w:ascii="Arial" w:cs="Arial" w:eastAsia="Arial" w:hAnsi="Arial"/>
                <w:sz w:val="16"/>
                <w:szCs w:val="16"/>
                <w:b w:val="1"/>
                <w:bCs w:val="1"/>
                <w:color w:val="auto"/>
              </w:rPr>
              <w:t>32,352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28,533</w:t>
            </w:r>
          </w:p>
        </w:tc>
      </w:tr>
    </w:tbl>
    <w:p>
      <w:pPr>
        <w:spacing w:after="0" w:line="21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GAAP consolidated revenues for 2Q19 were $16.25 billion, an increase of $1.99 billion, or 14 percent, from $14.26 billion in 2Q18. Total premiums and services revenues of $ 16.13 billion in 2Q19 increased $2.04 billion, or 14 percent, from $14.10 billion in 2Q18. The favorable year-over-year comparisons were primarily driven by higher premium revenues from the company’s Medicare Advantage business resulting from membership growth and higher per member premiums. These increases were partially offset by the impact of declining stand-alone PDP membership year-over-year, as well as lower Group and Specialty segment revenues as further discussed below.</w:t>
      </w:r>
    </w:p>
    <w:p>
      <w:pPr>
        <w:spacing w:after="0" w:line="208"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color w:val="auto"/>
        </w:rPr>
        <w:t>GAAP consolidated revenues for YTD 2019 increased $3.81 billion, or 13 percent, to $32.35 billion from $28.54 billion in YTD 2018. Total premiums and services revenues also increased to $32.14 billion, increasing $ 3.90 billion, or 14 percent, from $28.23 billion in the prior-year period. The YTD 2019 increases were primarily driven by the same factors impacting the quarterly GAAP comparison.</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40"/>
          </w:cols>
          <w:pgMar w:left="240" w:top="798" w:right="21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u w:val="single" w:color="auto"/>
          <w:color w:val="auto"/>
        </w:rPr>
        <w:t>Consolidated benefits expense</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5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Consolidated benefit ratio</w:t>
            </w:r>
          </w:p>
        </w:tc>
        <w:tc>
          <w:tcPr>
            <w:tcW w:w="980" w:type="dxa"/>
            <w:vAlign w:val="bottom"/>
            <w:tcBorders>
              <w:top w:val="single" w:sz="8" w:color="auto"/>
            </w:tcBorders>
            <w:shd w:val="clear" w:color="auto" w:fill="EAEAEA"/>
          </w:tcPr>
          <w:p>
            <w:pPr>
              <w:spacing w:after="0"/>
              <w:rPr>
                <w:sz w:val="16"/>
                <w:szCs w:val="16"/>
                <w:color w:val="auto"/>
              </w:rPr>
            </w:pPr>
          </w:p>
        </w:tc>
        <w:tc>
          <w:tcPr>
            <w:tcW w:w="420" w:type="dxa"/>
            <w:vAlign w:val="bottom"/>
            <w:tcBorders>
              <w:top w:val="single" w:sz="8" w:color="auto"/>
              <w:right w:val="single" w:sz="8" w:color="auto"/>
            </w:tcBorders>
            <w:shd w:val="clear" w:color="auto" w:fill="EAEAEA"/>
          </w:tcPr>
          <w:p>
            <w:pPr>
              <w:spacing w:after="0"/>
              <w:rPr>
                <w:sz w:val="16"/>
                <w:szCs w:val="16"/>
                <w:color w:val="auto"/>
              </w:rPr>
            </w:pPr>
          </w:p>
        </w:tc>
        <w:tc>
          <w:tcPr>
            <w:tcW w:w="130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right w:val="single" w:sz="8" w:color="auto"/>
            </w:tcBorders>
            <w:shd w:val="clear" w:color="auto" w:fill="EAEAEA"/>
          </w:tcPr>
          <w:p>
            <w:pPr>
              <w:spacing w:after="0"/>
              <w:rPr>
                <w:sz w:val="16"/>
                <w:szCs w:val="16"/>
                <w:color w:val="auto"/>
              </w:rPr>
            </w:pPr>
          </w:p>
        </w:tc>
        <w:tc>
          <w:tcPr>
            <w:tcW w:w="1420" w:type="dxa"/>
            <w:vAlign w:val="bottom"/>
            <w:tcBorders>
              <w:top w:val="single" w:sz="8" w:color="auto"/>
              <w:right w:val="single" w:sz="8" w:color="auto"/>
            </w:tcBorders>
          </w:tcPr>
          <w:p>
            <w:pPr>
              <w:spacing w:after="0"/>
              <w:rPr>
                <w:sz w:val="16"/>
                <w:szCs w:val="16"/>
                <w:color w:val="auto"/>
              </w:rPr>
            </w:pPr>
          </w:p>
        </w:tc>
      </w:tr>
      <w:tr>
        <w:trPr>
          <w:trHeight w:val="230"/>
        </w:trPr>
        <w:tc>
          <w:tcPr>
            <w:tcW w:w="5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(benefits expense as a percent of premiums)</w:t>
            </w:r>
          </w:p>
        </w:tc>
        <w:tc>
          <w:tcPr>
            <w:tcW w:w="980" w:type="dxa"/>
            <w:vAlign w:val="bottom"/>
            <w:tcBorders>
              <w:bottom w:val="single" w:sz="8" w:color="EAEAEA"/>
            </w:tcBorders>
            <w:shd w:val="clear" w:color="auto" w:fill="EAEAEA"/>
          </w:tcPr>
          <w:p>
            <w:pPr>
              <w:ind w:left="400"/>
              <w:spacing w:after="0"/>
              <w:rPr>
                <w:sz w:val="20"/>
                <w:szCs w:val="20"/>
                <w:color w:val="auto"/>
              </w:rPr>
            </w:pPr>
            <w:r>
              <w:rPr>
                <w:rFonts w:ascii="Arial" w:cs="Arial" w:eastAsia="Arial" w:hAnsi="Arial"/>
                <w:sz w:val="14"/>
                <w:szCs w:val="14"/>
                <w:b w:val="1"/>
                <w:bCs w:val="1"/>
                <w:color w:val="auto"/>
                <w:shd w:val="clear" w:color="auto" w:fill="EAEAEA"/>
              </w:rPr>
              <w:t>2Q19 (a)</w:t>
            </w:r>
          </w:p>
        </w:tc>
        <w:tc>
          <w:tcPr>
            <w:tcW w:w="420" w:type="dxa"/>
            <w:vAlign w:val="bottom"/>
            <w:tcBorders>
              <w:bottom w:val="single" w:sz="8" w:color="EAEAEA"/>
              <w:right w:val="single" w:sz="8" w:color="auto"/>
            </w:tcBorders>
            <w:shd w:val="clear" w:color="auto" w:fill="EAEAEA"/>
          </w:tcPr>
          <w:p>
            <w:pPr>
              <w:spacing w:after="0"/>
              <w:rPr>
                <w:sz w:val="20"/>
                <w:szCs w:val="20"/>
                <w:color w:val="auto"/>
              </w:rPr>
            </w:pPr>
          </w:p>
        </w:tc>
        <w:tc>
          <w:tcPr>
            <w:tcW w:w="1300" w:type="dxa"/>
            <w:vAlign w:val="bottom"/>
            <w:tcBorders>
              <w:right w:val="single" w:sz="8" w:color="auto"/>
            </w:tcBorders>
          </w:tcPr>
          <w:p>
            <w:pPr>
              <w:jc w:val="right"/>
              <w:ind w:right="301"/>
              <w:spacing w:after="0"/>
              <w:rPr>
                <w:sz w:val="20"/>
                <w:szCs w:val="20"/>
                <w:color w:val="auto"/>
              </w:rPr>
            </w:pPr>
            <w:r>
              <w:rPr>
                <w:rFonts w:ascii="Arial" w:cs="Arial" w:eastAsia="Arial" w:hAnsi="Arial"/>
                <w:sz w:val="14"/>
                <w:szCs w:val="14"/>
                <w:color w:val="auto"/>
              </w:rPr>
              <w:t>2Q18 (b)</w:t>
            </w:r>
          </w:p>
        </w:tc>
        <w:tc>
          <w:tcPr>
            <w:tcW w:w="1420" w:type="dxa"/>
            <w:vAlign w:val="bottom"/>
            <w:tcBorders>
              <w:bottom w:val="single" w:sz="8" w:color="EAEAEA"/>
              <w:right w:val="single" w:sz="8" w:color="auto"/>
            </w:tcBorders>
            <w:shd w:val="clear" w:color="auto" w:fill="EAEAEA"/>
          </w:tcPr>
          <w:p>
            <w:pPr>
              <w:jc w:val="right"/>
              <w:ind w:right="201"/>
              <w:spacing w:after="0"/>
              <w:rPr>
                <w:sz w:val="20"/>
                <w:szCs w:val="20"/>
                <w:color w:val="auto"/>
              </w:rPr>
            </w:pPr>
            <w:r>
              <w:rPr>
                <w:rFonts w:ascii="Arial" w:cs="Arial" w:eastAsia="Arial" w:hAnsi="Arial"/>
                <w:sz w:val="14"/>
                <w:szCs w:val="14"/>
                <w:b w:val="1"/>
                <w:bCs w:val="1"/>
                <w:color w:val="auto"/>
                <w:shd w:val="clear" w:color="auto" w:fill="EAEAEA"/>
              </w:rPr>
              <w:t>YTD 2019 (c)</w:t>
            </w:r>
          </w:p>
        </w:tc>
        <w:tc>
          <w:tcPr>
            <w:tcW w:w="1420" w:type="dxa"/>
            <w:vAlign w:val="bottom"/>
            <w:tcBorders>
              <w:right w:val="single" w:sz="8" w:color="auto"/>
            </w:tcBorders>
          </w:tcPr>
          <w:p>
            <w:pPr>
              <w:jc w:val="right"/>
              <w:ind w:right="221"/>
              <w:spacing w:after="0"/>
              <w:rPr>
                <w:sz w:val="20"/>
                <w:szCs w:val="20"/>
                <w:color w:val="auto"/>
              </w:rPr>
            </w:pPr>
            <w:r>
              <w:rPr>
                <w:rFonts w:ascii="Arial" w:cs="Arial" w:eastAsia="Arial" w:hAnsi="Arial"/>
                <w:sz w:val="14"/>
                <w:szCs w:val="14"/>
                <w:color w:val="auto"/>
              </w:rPr>
              <w:t>YTD 2018 (d)</w:t>
            </w:r>
          </w:p>
        </w:tc>
      </w:tr>
      <w:tr>
        <w:trPr>
          <w:trHeight w:val="230"/>
        </w:trPr>
        <w:tc>
          <w:tcPr>
            <w:tcW w:w="5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400" w:type="dxa"/>
            <w:vAlign w:val="bottom"/>
            <w:tcBorders>
              <w:top w:val="single" w:sz="8" w:color="auto"/>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b w:val="1"/>
                <w:bCs w:val="1"/>
                <w:color w:val="auto"/>
              </w:rPr>
              <w:t>84.4%</w:t>
            </w:r>
          </w:p>
        </w:tc>
        <w:tc>
          <w:tcPr>
            <w:tcW w:w="13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84.1%</w:t>
            </w:r>
          </w:p>
        </w:tc>
        <w:tc>
          <w:tcPr>
            <w:tcW w:w="1420" w:type="dxa"/>
            <w:vAlign w:val="bottom"/>
            <w:tcBorders>
              <w:top w:val="single" w:sz="8" w:color="auto"/>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85.3%</w:t>
            </w:r>
          </w:p>
        </w:tc>
        <w:tc>
          <w:tcPr>
            <w:tcW w:w="14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84.3%</w:t>
            </w:r>
          </w:p>
        </w:tc>
      </w:tr>
      <w:tr>
        <w:trPr>
          <w:trHeight w:val="237"/>
        </w:trPr>
        <w:tc>
          <w:tcPr>
            <w:tcW w:w="5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 ratio impact associated with the Individual Commercial segment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5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4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84.4%</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85.3%</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-496570</wp:posOffset>
            </wp:positionV>
            <wp:extent cx="892175" cy="488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92175" cy="48895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-496570</wp:posOffset>
            </wp:positionV>
            <wp:extent cx="900430"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0430" cy="488950"/>
                    </a:xfrm>
                    <a:prstGeom prst="rect">
                      <a:avLst/>
                    </a:prstGeom>
                    <a:noFill/>
                  </pic:spPr>
                </pic:pic>
              </a:graphicData>
            </a:graphic>
          </wp:anchor>
        </w:drawing>
      </w:r>
    </w:p>
    <w:p>
      <w:pPr>
        <w:spacing w:after="0" w:line="192" w:lineRule="exact"/>
        <w:rPr>
          <w:sz w:val="20"/>
          <w:szCs w:val="20"/>
          <w:color w:val="auto"/>
        </w:rPr>
      </w:pPr>
    </w:p>
    <w:p>
      <w:pPr>
        <w:ind w:right="280"/>
        <w:spacing w:after="0" w:line="247" w:lineRule="auto"/>
        <w:rPr>
          <w:sz w:val="20"/>
          <w:szCs w:val="20"/>
          <w:color w:val="auto"/>
        </w:rPr>
      </w:pPr>
      <w:r>
        <w:rPr>
          <w:rFonts w:ascii="Arial" w:cs="Arial" w:eastAsia="Arial" w:hAnsi="Arial"/>
          <w:sz w:val="20"/>
          <w:szCs w:val="20"/>
          <w:color w:val="auto"/>
        </w:rPr>
        <w:t>The 2Q19 GAAP consolidated benefit ratio of 84.4 percent increased 30 basis points from the 2Q18 GAAP consolidated benefit ratio of 84.1 percent. The year-over-year comparison of the ratio was unfavorably impacted by the following factors:</w:t>
      </w:r>
    </w:p>
    <w:p>
      <w:pPr>
        <w:spacing w:after="0" w:line="202" w:lineRule="exact"/>
        <w:rPr>
          <w:sz w:val="20"/>
          <w:szCs w:val="20"/>
          <w:color w:val="auto"/>
        </w:rPr>
      </w:pPr>
    </w:p>
    <w:p>
      <w:pPr>
        <w:ind w:left="1380" w:right="480" w:hanging="319"/>
        <w:spacing w:after="0" w:line="247" w:lineRule="auto"/>
        <w:tabs>
          <w:tab w:leader="none" w:pos="13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suspension of the HIF in 2019 which was contemplated in the pricing and benefit design of the company's products,</w:t>
      </w:r>
    </w:p>
    <w:p>
      <w:pPr>
        <w:spacing w:after="0" w:line="147" w:lineRule="exact"/>
        <w:rPr>
          <w:rFonts w:ascii="Arial" w:cs="Arial" w:eastAsia="Arial" w:hAnsi="Arial"/>
          <w:sz w:val="20"/>
          <w:szCs w:val="20"/>
          <w:color w:val="auto"/>
        </w:rPr>
      </w:pPr>
    </w:p>
    <w:p>
      <w:pPr>
        <w:ind w:left="1380" w:right="80" w:hanging="319"/>
        <w:spacing w:after="0" w:line="247" w:lineRule="auto"/>
        <w:tabs>
          <w:tab w:leader="none" w:pos="13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lower favorable prior period medical claims reserve development (Prior Period Development), including the impact of the exit of the Individual Commercial business, and</w:t>
      </w:r>
    </w:p>
    <w:p>
      <w:pPr>
        <w:spacing w:after="0" w:line="147" w:lineRule="exact"/>
        <w:rPr>
          <w:rFonts w:ascii="Arial" w:cs="Arial" w:eastAsia="Arial" w:hAnsi="Arial"/>
          <w:sz w:val="20"/>
          <w:szCs w:val="20"/>
          <w:color w:val="auto"/>
        </w:rPr>
      </w:pPr>
    </w:p>
    <w:p>
      <w:pPr>
        <w:ind w:left="1380" w:right="400" w:hanging="319"/>
        <w:spacing w:after="0" w:line="247" w:lineRule="auto"/>
        <w:tabs>
          <w:tab w:leader="none" w:pos="13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 increase in the Group and Specialty benefit ratio year over year as discussed in the segment highlights that follow.</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These increases were partially offset by the following items:</w:t>
      </w:r>
    </w:p>
    <w:p>
      <w:pPr>
        <w:spacing w:after="0" w:line="216" w:lineRule="exact"/>
        <w:rPr>
          <w:sz w:val="20"/>
          <w:szCs w:val="20"/>
          <w:color w:val="auto"/>
        </w:rPr>
      </w:pPr>
    </w:p>
    <w:p>
      <w:pPr>
        <w:ind w:left="1380" w:right="860" w:hanging="319"/>
        <w:spacing w:after="0" w:line="247" w:lineRule="auto"/>
        <w:tabs>
          <w:tab w:leader="none" w:pos="13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engaging the company's Medicare Advantage members in clinical programs, as well as ensuring they are appropriately documented under the CMS risk-adjustment model; and</w:t>
      </w:r>
    </w:p>
    <w:p>
      <w:pPr>
        <w:spacing w:after="0" w:line="201" w:lineRule="exact"/>
        <w:rPr>
          <w:rFonts w:ascii="Arial" w:cs="Arial" w:eastAsia="Arial" w:hAnsi="Arial"/>
          <w:sz w:val="20"/>
          <w:szCs w:val="20"/>
          <w:color w:val="auto"/>
        </w:rPr>
      </w:pPr>
    </w:p>
    <w:p>
      <w:pPr>
        <w:ind w:left="1380" w:right="20" w:hanging="319"/>
        <w:spacing w:after="0" w:line="247" w:lineRule="auto"/>
        <w:tabs>
          <w:tab w:leader="none" w:pos="13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lower than expected medical costs as compared to the assumptions used in the pricing of the company's individual Medicare Advantage business for 2019.</w:t>
      </w:r>
    </w:p>
    <w:p>
      <w:pPr>
        <w:spacing w:after="0" w:line="202" w:lineRule="exact"/>
        <w:rPr>
          <w:sz w:val="20"/>
          <w:szCs w:val="20"/>
          <w:color w:val="auto"/>
        </w:rPr>
      </w:pPr>
    </w:p>
    <w:p>
      <w:pPr>
        <w:ind w:right="340"/>
        <w:spacing w:after="0" w:line="243" w:lineRule="auto"/>
        <w:rPr>
          <w:sz w:val="20"/>
          <w:szCs w:val="20"/>
          <w:color w:val="auto"/>
        </w:rPr>
      </w:pPr>
      <w:r>
        <w:rPr>
          <w:rFonts w:ascii="Arial" w:cs="Arial" w:eastAsia="Arial" w:hAnsi="Arial"/>
          <w:sz w:val="20"/>
          <w:szCs w:val="20"/>
          <w:color w:val="auto"/>
        </w:rPr>
        <w:t>The GAAP consolidated benefit ratio for YTD 2019 of 85.3 percent increased 100 basis points from the YTD 2018 GAAP consolidated benefit ratio of 84.3 percent. The year-over-year increase was unfavorably impacted by the same factors affecting the quarterly GAAP comparison.</w:t>
      </w: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6660" w:type="dxa"/>
            <w:vAlign w:val="bottom"/>
            <w:tcBorders>
              <w:top w:val="single" w:sz="8" w:color="auto"/>
              <w:left w:val="single" w:sz="8" w:color="auto"/>
              <w:right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EAEAEA"/>
            </w:tcBorders>
            <w:shd w:val="clear" w:color="auto" w:fill="EAEAEA"/>
          </w:tcPr>
          <w:p>
            <w:pPr>
              <w:spacing w:after="0"/>
              <w:rPr>
                <w:sz w:val="19"/>
                <w:szCs w:val="19"/>
                <w:color w:val="auto"/>
              </w:rPr>
            </w:pPr>
          </w:p>
        </w:tc>
        <w:tc>
          <w:tcPr>
            <w:tcW w:w="1580" w:type="dxa"/>
            <w:vAlign w:val="bottom"/>
            <w:tcBorders>
              <w:top w:val="single" w:sz="8" w:color="auto"/>
              <w:bottom w:val="single" w:sz="8" w:color="auto"/>
              <w:right w:val="single" w:sz="8" w:color="EAEAEA"/>
            </w:tcBorders>
            <w:shd w:val="clear" w:color="auto" w:fill="EAEAEA"/>
          </w:tcPr>
          <w:p>
            <w:pPr>
              <w:jc w:val="center"/>
              <w:spacing w:after="0"/>
              <w:rPr>
                <w:sz w:val="20"/>
                <w:szCs w:val="20"/>
                <w:color w:val="auto"/>
              </w:rPr>
            </w:pPr>
            <w:r>
              <w:rPr>
                <w:rFonts w:ascii="Arial" w:cs="Arial" w:eastAsia="Arial" w:hAnsi="Arial"/>
                <w:sz w:val="14"/>
                <w:szCs w:val="14"/>
                <w:b w:val="1"/>
                <w:bCs w:val="1"/>
                <w:color w:val="auto"/>
              </w:rPr>
              <w:t>Second Quarter</w:t>
            </w:r>
          </w:p>
        </w:tc>
        <w:tc>
          <w:tcPr>
            <w:tcW w:w="1580" w:type="dxa"/>
            <w:vAlign w:val="bottom"/>
            <w:tcBorders>
              <w:top w:val="single" w:sz="8" w:color="auto"/>
              <w:bottom w:val="single" w:sz="8" w:color="auto"/>
              <w:right w:val="single" w:sz="8" w:color="auto"/>
            </w:tcBorders>
            <w:shd w:val="clear" w:color="auto" w:fill="EAEAEA"/>
          </w:tcPr>
          <w:p>
            <w:pPr>
              <w:spacing w:after="0"/>
              <w:rPr>
                <w:sz w:val="19"/>
                <w:szCs w:val="19"/>
                <w:color w:val="auto"/>
              </w:rPr>
            </w:pPr>
          </w:p>
        </w:tc>
      </w:tr>
      <w:tr>
        <w:trPr>
          <w:trHeight w:val="217"/>
        </w:trPr>
        <w:tc>
          <w:tcPr>
            <w:tcW w:w="6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Consolidated Prior Period Development </w:t>
            </w:r>
            <w:r>
              <w:rPr>
                <w:rFonts w:ascii="Arial" w:cs="Arial" w:eastAsia="Arial" w:hAnsi="Arial"/>
                <w:sz w:val="14"/>
                <w:szCs w:val="14"/>
                <w:i w:val="1"/>
                <w:iCs w:val="1"/>
                <w:color w:val="auto"/>
              </w:rPr>
              <w:t>(in millions)</w:t>
            </w:r>
          </w:p>
        </w:tc>
        <w:tc>
          <w:tcPr>
            <w:tcW w:w="1620" w:type="dxa"/>
            <w:vAlign w:val="bottom"/>
            <w:tcBorders>
              <w:right w:val="single" w:sz="8" w:color="auto"/>
            </w:tcBorders>
          </w:tcPr>
          <w:p>
            <w:pPr>
              <w:jc w:val="right"/>
              <w:ind w:right="399"/>
              <w:spacing w:after="0"/>
              <w:rPr>
                <w:sz w:val="20"/>
                <w:szCs w:val="20"/>
                <w:color w:val="auto"/>
              </w:rPr>
            </w:pPr>
            <w:r>
              <w:rPr>
                <w:rFonts w:ascii="Arial" w:cs="Arial" w:eastAsia="Arial" w:hAnsi="Arial"/>
                <w:sz w:val="16"/>
                <w:szCs w:val="16"/>
                <w:color w:val="auto"/>
              </w:rPr>
              <w:t>Individual</w:t>
            </w:r>
          </w:p>
        </w:tc>
        <w:tc>
          <w:tcPr>
            <w:tcW w:w="15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shd w:val="clear" w:color="auto" w:fill="EAEAEA"/>
          </w:tcPr>
          <w:p>
            <w:pPr>
              <w:spacing w:after="0"/>
              <w:rPr>
                <w:sz w:val="18"/>
                <w:szCs w:val="18"/>
                <w:color w:val="auto"/>
              </w:rPr>
            </w:pPr>
          </w:p>
        </w:tc>
      </w:tr>
      <w:tr>
        <w:trPr>
          <w:trHeight w:val="208"/>
        </w:trPr>
        <w:tc>
          <w:tcPr>
            <w:tcW w:w="6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Favorable (unfavorable)</w:t>
            </w:r>
          </w:p>
        </w:tc>
        <w:tc>
          <w:tcPr>
            <w:tcW w:w="162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color w:val="auto"/>
              </w:rPr>
              <w:t>Commercial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All Other</w:t>
            </w:r>
          </w:p>
        </w:tc>
        <w:tc>
          <w:tcPr>
            <w:tcW w:w="1580" w:type="dxa"/>
            <w:vAlign w:val="bottom"/>
            <w:tcBorders>
              <w:bottom w:val="single" w:sz="8" w:color="auto"/>
              <w:right w:val="single" w:sz="8" w:color="auto"/>
            </w:tcBorders>
            <w:shd w:val="clear" w:color="auto" w:fill="EAEAEA"/>
          </w:tcPr>
          <w:p>
            <w:pPr>
              <w:jc w:val="right"/>
              <w:ind w:right="561"/>
              <w:spacing w:after="0"/>
              <w:rPr>
                <w:sz w:val="20"/>
                <w:szCs w:val="20"/>
                <w:color w:val="auto"/>
              </w:rPr>
            </w:pPr>
            <w:r>
              <w:rPr>
                <w:rFonts w:ascii="Arial" w:cs="Arial" w:eastAsia="Arial" w:hAnsi="Arial"/>
                <w:sz w:val="14"/>
                <w:szCs w:val="14"/>
                <w:b w:val="1"/>
                <w:bCs w:val="1"/>
                <w:color w:val="auto"/>
              </w:rPr>
              <w:t>Total</w:t>
            </w:r>
          </w:p>
        </w:tc>
      </w:tr>
      <w:tr>
        <w:trPr>
          <w:trHeight w:val="263"/>
        </w:trPr>
        <w:tc>
          <w:tcPr>
            <w:tcW w:w="6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Prior Period Development from prior years recognized in 2Q19</w:t>
            </w:r>
          </w:p>
        </w:tc>
        <w:tc>
          <w:tcPr>
            <w:tcW w:w="1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$8</w:t>
            </w:r>
          </w:p>
        </w:tc>
        <w:tc>
          <w:tcPr>
            <w:tcW w:w="1580" w:type="dxa"/>
            <w:vAlign w:val="bottom"/>
            <w:tcBorders>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b w:val="1"/>
                <w:bCs w:val="1"/>
                <w:color w:val="auto"/>
              </w:rPr>
              <w:t>$8</w:t>
            </w:r>
          </w:p>
        </w:tc>
      </w:tr>
      <w:tr>
        <w:trPr>
          <w:trHeight w:val="264"/>
        </w:trPr>
        <w:tc>
          <w:tcPr>
            <w:tcW w:w="6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Prior Period Development from prior years recognized in 2Q18</w:t>
            </w:r>
          </w:p>
        </w:tc>
        <w:tc>
          <w:tcPr>
            <w:tcW w:w="1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15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color w:val="auto"/>
              </w:rPr>
              <w:t>$60</w:t>
            </w:r>
          </w:p>
        </w:tc>
        <w:tc>
          <w:tcPr>
            <w:tcW w:w="1580" w:type="dxa"/>
            <w:vAlign w:val="bottom"/>
            <w:tcBorders>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color w:val="auto"/>
              </w:rPr>
              <w:t>$71</w:t>
            </w:r>
          </w:p>
        </w:tc>
      </w:tr>
      <w:tr>
        <w:trPr>
          <w:trHeight w:val="210"/>
        </w:trPr>
        <w:tc>
          <w:tcPr>
            <w:tcW w:w="666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EAEAEA"/>
            </w:tcBorders>
            <w:shd w:val="clear" w:color="auto" w:fill="EAEAEA"/>
          </w:tcPr>
          <w:p>
            <w:pPr>
              <w:spacing w:after="0"/>
              <w:rPr>
                <w:sz w:val="18"/>
                <w:szCs w:val="18"/>
                <w:color w:val="auto"/>
              </w:rPr>
            </w:pPr>
          </w:p>
        </w:tc>
        <w:tc>
          <w:tcPr>
            <w:tcW w:w="1580" w:type="dxa"/>
            <w:vAlign w:val="bottom"/>
            <w:tcBorders>
              <w:bottom w:val="single" w:sz="8" w:color="auto"/>
              <w:right w:val="single" w:sz="8" w:color="EAEAEA"/>
            </w:tcBorders>
            <w:shd w:val="clear" w:color="auto" w:fill="EAEAEA"/>
          </w:tcPr>
          <w:p>
            <w:pPr>
              <w:jc w:val="center"/>
              <w:spacing w:after="0"/>
              <w:rPr>
                <w:sz w:val="20"/>
                <w:szCs w:val="20"/>
                <w:color w:val="auto"/>
              </w:rPr>
            </w:pPr>
            <w:r>
              <w:rPr>
                <w:rFonts w:ascii="Arial" w:cs="Arial" w:eastAsia="Arial" w:hAnsi="Arial"/>
                <w:sz w:val="14"/>
                <w:szCs w:val="14"/>
                <w:b w:val="1"/>
                <w:bCs w:val="1"/>
                <w:color w:val="auto"/>
              </w:rPr>
              <w:t>Year to Date</w:t>
            </w:r>
          </w:p>
        </w:tc>
        <w:tc>
          <w:tcPr>
            <w:tcW w:w="1580" w:type="dxa"/>
            <w:vAlign w:val="bottom"/>
            <w:tcBorders>
              <w:bottom w:val="single" w:sz="8" w:color="auto"/>
              <w:right w:val="single" w:sz="8" w:color="auto"/>
            </w:tcBorders>
            <w:shd w:val="clear" w:color="auto" w:fill="EAEAEA"/>
          </w:tcPr>
          <w:p>
            <w:pPr>
              <w:spacing w:after="0"/>
              <w:rPr>
                <w:sz w:val="18"/>
                <w:szCs w:val="18"/>
                <w:color w:val="auto"/>
              </w:rPr>
            </w:pPr>
          </w:p>
        </w:tc>
      </w:tr>
      <w:tr>
        <w:trPr>
          <w:trHeight w:val="263"/>
        </w:trPr>
        <w:tc>
          <w:tcPr>
            <w:tcW w:w="6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Prior Period Development from prior years recognized in YTD 2019</w:t>
            </w:r>
          </w:p>
        </w:tc>
        <w:tc>
          <w:tcPr>
            <w:tcW w:w="1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$275</w:t>
            </w:r>
          </w:p>
        </w:tc>
        <w:tc>
          <w:tcPr>
            <w:tcW w:w="1580" w:type="dxa"/>
            <w:vAlign w:val="bottom"/>
            <w:tcBorders>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b w:val="1"/>
                <w:bCs w:val="1"/>
                <w:color w:val="auto"/>
              </w:rPr>
              <w:t>$275</w:t>
            </w:r>
          </w:p>
        </w:tc>
      </w:tr>
      <w:tr>
        <w:trPr>
          <w:trHeight w:val="264"/>
        </w:trPr>
        <w:tc>
          <w:tcPr>
            <w:tcW w:w="6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Prior Period Development from prior years recognized in YTD 2018</w:t>
            </w:r>
          </w:p>
        </w:tc>
        <w:tc>
          <w:tcPr>
            <w:tcW w:w="1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$55</w:t>
            </w:r>
          </w:p>
        </w:tc>
        <w:tc>
          <w:tcPr>
            <w:tcW w:w="15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color w:val="auto"/>
              </w:rPr>
              <w:t>$283</w:t>
            </w:r>
          </w:p>
        </w:tc>
        <w:tc>
          <w:tcPr>
            <w:tcW w:w="1580" w:type="dxa"/>
            <w:vAlign w:val="bottom"/>
            <w:tcBorders>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color w:val="auto"/>
              </w:rPr>
              <w:t>$338</w:t>
            </w:r>
          </w:p>
        </w:tc>
      </w:tr>
    </w:tbl>
    <w:p>
      <w:pPr>
        <w:spacing w:after="0" w:line="212"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Favorable Prior Period Development decreased the GAAP consolidated benefit ratio by 10 basis points in 2Q19 and by 50 basis points in 2Q18. Favorable Prior Period Development lowered the YTD 2019 consolidated benefit ratio by 90 basis points and decreased the YTD 2018 consolidated benefit ratio by 120 basis points.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Consolidated operating expenses</w:t>
      </w:r>
    </w:p>
    <w:p>
      <w:pPr>
        <w:spacing w:after="0" w:line="235" w:lineRule="exact"/>
        <w:rPr>
          <w:sz w:val="20"/>
          <w:szCs w:val="20"/>
          <w:color w:val="auto"/>
        </w:rPr>
      </w:pPr>
    </w:p>
    <w:p>
      <w:pPr>
        <w:jc w:val="both"/>
        <w:ind w:right="80"/>
        <w:spacing w:after="0" w:line="272" w:lineRule="auto"/>
        <w:rPr>
          <w:sz w:val="20"/>
          <w:szCs w:val="20"/>
          <w:color w:val="auto"/>
        </w:rPr>
      </w:pPr>
      <w:r>
        <w:rPr>
          <w:rFonts w:ascii="Arial" w:cs="Arial" w:eastAsia="Arial" w:hAnsi="Arial"/>
          <w:sz w:val="19"/>
          <w:szCs w:val="19"/>
          <w:color w:val="auto"/>
        </w:rPr>
        <w:t>The 2Q19 GAAP consolidated operating cost ratio (operating costs as a percent of total revenues less investment income) of 10.6 percent decreased 190 basis points from the 2Q18 ratio of 12.5 percent. The decline was primarily related to the following factors: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40"/>
          </w:cols>
          <w:pgMar w:left="240" w:top="1255" w:right="219" w:bottom="1440" w:gutter="0" w:footer="0" w:header="0"/>
        </w:sectPr>
      </w:pPr>
    </w:p>
    <w:bookmarkStart w:id="16" w:name="page17"/>
    <w:bookmarkEnd w:id="16"/>
    <w:p>
      <w:pPr>
        <w:ind w:left="660" w:right="80" w:hanging="328"/>
        <w:spacing w:after="0" w:line="247"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suspension of the HIF for 2019, which increased the company's 2Q18 GAAP operating cost ratio by approximately 180 basis points in 2Q18; and</w:t>
      </w:r>
    </w:p>
    <w:p>
      <w:pPr>
        <w:spacing w:after="0" w:line="201" w:lineRule="exact"/>
        <w:rPr>
          <w:rFonts w:ascii="Arial" w:cs="Arial" w:eastAsia="Arial" w:hAnsi="Arial"/>
          <w:sz w:val="20"/>
          <w:szCs w:val="20"/>
          <w:color w:val="auto"/>
        </w:rPr>
      </w:pPr>
    </w:p>
    <w:p>
      <w:pPr>
        <w:ind w:left="660" w:hanging="328"/>
        <w:spacing w:after="0"/>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significant operating cost efficiencies in 2019 driven by previously implemented productivity initiatives.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These improvements were partially offset by the following items in 2Q19:</w:t>
      </w:r>
    </w:p>
    <w:p>
      <w:pPr>
        <w:spacing w:after="0" w:line="21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strategic investments in the company's integrated care delivery model; and</w:t>
      </w:r>
    </w:p>
    <w:p>
      <w:pPr>
        <w:spacing w:after="0" w:line="215" w:lineRule="exact"/>
        <w:rPr>
          <w:rFonts w:ascii="Arial" w:cs="Arial" w:eastAsia="Arial" w:hAnsi="Arial"/>
          <w:sz w:val="20"/>
          <w:szCs w:val="20"/>
          <w:color w:val="auto"/>
        </w:rPr>
      </w:pPr>
    </w:p>
    <w:p>
      <w:pPr>
        <w:ind w:left="660" w:right="220" w:hanging="328"/>
        <w:spacing w:after="0" w:line="242"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impact of higher compensation expense accruals for the annual incentive program (AIP) offered to employees across all levels of the company. The higher accruals resulted from the continued strong performance of the company, including improved customer satisfaction as measured by its net promoter score, along with higher than anticipated individual Medicare Advantage membership and Adjusted EPS growth.</w:t>
      </w:r>
    </w:p>
    <w:p>
      <w:pPr>
        <w:spacing w:after="0" w:line="207" w:lineRule="exact"/>
        <w:rPr>
          <w:sz w:val="20"/>
          <w:szCs w:val="20"/>
          <w:color w:val="auto"/>
        </w:rPr>
      </w:pPr>
    </w:p>
    <w:p>
      <w:pPr>
        <w:jc w:val="both"/>
        <w:ind w:right="160"/>
        <w:spacing w:after="0" w:line="243" w:lineRule="auto"/>
        <w:rPr>
          <w:sz w:val="20"/>
          <w:szCs w:val="20"/>
          <w:color w:val="auto"/>
        </w:rPr>
      </w:pPr>
      <w:r>
        <w:rPr>
          <w:rFonts w:ascii="Arial" w:cs="Arial" w:eastAsia="Arial" w:hAnsi="Arial"/>
          <w:sz w:val="20"/>
          <w:szCs w:val="20"/>
          <w:color w:val="auto"/>
        </w:rPr>
        <w:t>The 190 basis point decrease of the YTD 2019 GAAP consolidated operating cost ratio of 10.5 percent from 12.4 percent in YTD 2018 was also primarily impacted by the same factors influencing the second quarter GAAP comparison. The non-deductible HIF increased the YTD 2018 consolidated GAAP operating cost ratio by approximately 180 basis points.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Balance sheet</w:t>
      </w:r>
    </w:p>
    <w:p>
      <w:pPr>
        <w:spacing w:after="0" w:line="222" w:lineRule="exact"/>
        <w:rPr>
          <w:sz w:val="20"/>
          <w:szCs w:val="20"/>
          <w:color w:val="auto"/>
        </w:rPr>
      </w:pPr>
    </w:p>
    <w:p>
      <w:pPr>
        <w:ind w:left="640" w:right="160" w:hanging="321"/>
        <w:spacing w:after="0" w:line="246"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At June 30, 2019, the company had cash, cash equivalents, and investment securities of $15.18 billion, up $1.01 billion, or 7 percent, from $14.18 billion at March 31, 2019, primarily reflecting the timing of Medicare risk adjustment premium revenue collections. Additional changes are outlined in the company’s consolidated statement of cash flows on pages S-6 and S-7 of the statistical supplement included in this release.</w:t>
      </w:r>
    </w:p>
    <w:p>
      <w:pPr>
        <w:spacing w:after="0" w:line="150" w:lineRule="exact"/>
        <w:rPr>
          <w:rFonts w:ascii="Arial" w:cs="Arial" w:eastAsia="Arial" w:hAnsi="Arial"/>
          <w:sz w:val="20"/>
          <w:szCs w:val="20"/>
          <w:color w:val="auto"/>
        </w:rPr>
      </w:pPr>
    </w:p>
    <w:p>
      <w:pPr>
        <w:ind w:left="640" w:right="220" w:hanging="321"/>
        <w:spacing w:after="0" w:line="241"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At June 30, 2019, cash and short-term investments held at the parent company of $1.87 billion increased $1.15 billion, or 160 percent, from $721 million at March 31, 2019 primarily resulting from dividends received from subsidiaries in 2Q19 along with non-regulated subsidiary earnings and other working capital changes. These increases were partially offset by the net repayment of commercial paper borrowings, capital expenditures, cash dividends to shareholders, and capital contributions to regulated subsidiaries.</w:t>
      </w:r>
    </w:p>
    <w:p>
      <w:pPr>
        <w:spacing w:after="0" w:line="142" w:lineRule="exact"/>
        <w:rPr>
          <w:rFonts w:ascii="Arial" w:cs="Arial" w:eastAsia="Arial" w:hAnsi="Arial"/>
          <w:sz w:val="20"/>
          <w:szCs w:val="20"/>
          <w:color w:val="auto"/>
        </w:rPr>
      </w:pPr>
    </w:p>
    <w:p>
      <w:pPr>
        <w:ind w:left="640" w:right="420" w:hanging="321"/>
        <w:spacing w:after="0" w:line="250" w:lineRule="auto"/>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Days in claims payable (DCP) of 39.9 days at June 30, 2019, remained largely unchanged from 40.2 days at March 31, 2019 and 40.1 days at June 30, 2018. Changes are outlined in the DCP rollforward on page S-19 of the statistical supplement included in this release.</w:t>
      </w:r>
    </w:p>
    <w:p>
      <w:pPr>
        <w:spacing w:after="0" w:line="132" w:lineRule="exact"/>
        <w:rPr>
          <w:rFonts w:ascii="Arial" w:cs="Arial" w:eastAsia="Arial" w:hAnsi="Arial"/>
          <w:sz w:val="20"/>
          <w:szCs w:val="20"/>
          <w:color w:val="auto"/>
        </w:rPr>
      </w:pPr>
    </w:p>
    <w:p>
      <w:pPr>
        <w:ind w:left="640" w:right="60" w:hanging="321"/>
        <w:spacing w:after="0" w:line="260" w:lineRule="auto"/>
        <w:tabs>
          <w:tab w:leader="none" w:pos="6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Debt-to-total capitalization at June 30, 2019 was 32.5 percent, down 350 basis points from 36.0 percent at March 31, 2019, primarily resulting from the net impact of the quarter's earnings and the net repayment of commercial paper. The company’s long-term target debt-to-total capitalization target of approximately 35 percent is expected to allow the company to maintain its investment grade credit rating while providing significant financial flexibility. At times, the company's debt-to-total capitalization will exceed this target due to the timing of share repurchases, acquisitions, and debt issuance.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cash flows</w:t>
      </w: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6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Net cash from operating activities</w:t>
            </w:r>
          </w:p>
        </w:tc>
        <w:tc>
          <w:tcPr>
            <w:tcW w:w="820" w:type="dxa"/>
            <w:vAlign w:val="bottom"/>
            <w:tcBorders>
              <w:top w:val="single" w:sz="8" w:color="auto"/>
            </w:tcBorders>
            <w:shd w:val="clear" w:color="auto" w:fill="EAEAEA"/>
          </w:tcPr>
          <w:p>
            <w:pPr>
              <w:spacing w:after="0"/>
              <w:rPr>
                <w:sz w:val="16"/>
                <w:szCs w:val="16"/>
                <w:color w:val="auto"/>
              </w:rPr>
            </w:pPr>
          </w:p>
        </w:tc>
        <w:tc>
          <w:tcPr>
            <w:tcW w:w="480" w:type="dxa"/>
            <w:vAlign w:val="bottom"/>
            <w:tcBorders>
              <w:top w:val="single" w:sz="8" w:color="auto"/>
              <w:right w:val="single" w:sz="8" w:color="auto"/>
            </w:tcBorders>
            <w:shd w:val="clear" w:color="auto" w:fill="EAEAEA"/>
          </w:tcPr>
          <w:p>
            <w:pPr>
              <w:spacing w:after="0"/>
              <w:rPr>
                <w:sz w:val="16"/>
                <w:szCs w:val="16"/>
                <w:color w:val="auto"/>
              </w:rPr>
            </w:pPr>
          </w:p>
        </w:tc>
        <w:tc>
          <w:tcPr>
            <w:tcW w:w="124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tcBorders>
            <w:shd w:val="clear" w:color="auto" w:fill="EAEAEA"/>
          </w:tcPr>
          <w:p>
            <w:pPr>
              <w:spacing w:after="0"/>
              <w:rPr>
                <w:sz w:val="16"/>
                <w:szCs w:val="16"/>
                <w:color w:val="auto"/>
              </w:rPr>
            </w:pPr>
          </w:p>
        </w:tc>
        <w:tc>
          <w:tcPr>
            <w:tcW w:w="320" w:type="dxa"/>
            <w:vAlign w:val="bottom"/>
            <w:tcBorders>
              <w:top w:val="single" w:sz="8" w:color="auto"/>
              <w:right w:val="single" w:sz="8" w:color="auto"/>
            </w:tcBorders>
            <w:shd w:val="clear" w:color="auto" w:fill="EAEAEA"/>
          </w:tcPr>
          <w:p>
            <w:pPr>
              <w:spacing w:after="0"/>
              <w:rPr>
                <w:sz w:val="16"/>
                <w:szCs w:val="16"/>
                <w:color w:val="auto"/>
              </w:rPr>
            </w:pPr>
          </w:p>
        </w:tc>
        <w:tc>
          <w:tcPr>
            <w:tcW w:w="1240" w:type="dxa"/>
            <w:vAlign w:val="bottom"/>
            <w:tcBorders>
              <w:top w:val="single" w:sz="8" w:color="auto"/>
              <w:right w:val="single" w:sz="8" w:color="auto"/>
            </w:tcBorders>
          </w:tcPr>
          <w:p>
            <w:pPr>
              <w:spacing w:after="0"/>
              <w:rPr>
                <w:sz w:val="16"/>
                <w:szCs w:val="16"/>
                <w:color w:val="auto"/>
              </w:rPr>
            </w:pPr>
          </w:p>
        </w:tc>
      </w:tr>
      <w:tr>
        <w:trPr>
          <w:trHeight w:val="157"/>
        </w:trPr>
        <w:tc>
          <w:tcPr>
            <w:tcW w:w="642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i w:val="1"/>
                <w:iCs w:val="1"/>
                <w:color w:val="auto"/>
              </w:rPr>
              <w:t>(in millions)</w:t>
            </w:r>
          </w:p>
        </w:tc>
        <w:tc>
          <w:tcPr>
            <w:tcW w:w="820" w:type="dxa"/>
            <w:vAlign w:val="bottom"/>
            <w:shd w:val="clear" w:color="auto" w:fill="EAEAEA"/>
          </w:tcPr>
          <w:p>
            <w:pPr>
              <w:spacing w:after="0"/>
              <w:rPr>
                <w:sz w:val="13"/>
                <w:szCs w:val="13"/>
                <w:color w:val="auto"/>
              </w:rPr>
            </w:pPr>
          </w:p>
        </w:tc>
        <w:tc>
          <w:tcPr>
            <w:tcW w:w="480" w:type="dxa"/>
            <w:vAlign w:val="bottom"/>
            <w:tcBorders>
              <w:right w:val="single" w:sz="8" w:color="auto"/>
            </w:tcBorders>
            <w:shd w:val="clear" w:color="auto" w:fill="EAEAEA"/>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920" w:type="dxa"/>
            <w:vAlign w:val="bottom"/>
            <w:shd w:val="clear" w:color="auto" w:fill="EAEAEA"/>
          </w:tcPr>
          <w:p>
            <w:pPr>
              <w:spacing w:after="0"/>
              <w:rPr>
                <w:sz w:val="13"/>
                <w:szCs w:val="13"/>
                <w:color w:val="auto"/>
              </w:rPr>
            </w:pPr>
          </w:p>
        </w:tc>
        <w:tc>
          <w:tcPr>
            <w:tcW w:w="320" w:type="dxa"/>
            <w:vAlign w:val="bottom"/>
            <w:tcBorders>
              <w:right w:val="single" w:sz="8" w:color="auto"/>
            </w:tcBorders>
            <w:shd w:val="clear" w:color="auto" w:fill="EAEAEA"/>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r>
      <w:tr>
        <w:trPr>
          <w:trHeight w:val="230"/>
        </w:trPr>
        <w:tc>
          <w:tcPr>
            <w:tcW w:w="6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Provided by (used in)</w:t>
            </w:r>
          </w:p>
        </w:tc>
        <w:tc>
          <w:tcPr>
            <w:tcW w:w="820" w:type="dxa"/>
            <w:vAlign w:val="bottom"/>
            <w:tcBorders>
              <w:bottom w:val="single" w:sz="8" w:color="EAEAEA"/>
            </w:tcBorders>
            <w:shd w:val="clear" w:color="auto" w:fill="EAEAEA"/>
          </w:tcPr>
          <w:p>
            <w:pPr>
              <w:ind w:left="460"/>
              <w:spacing w:after="0"/>
              <w:rPr>
                <w:sz w:val="20"/>
                <w:szCs w:val="20"/>
                <w:color w:val="auto"/>
              </w:rPr>
            </w:pPr>
            <w:r>
              <w:rPr>
                <w:rFonts w:ascii="Arial" w:cs="Arial" w:eastAsia="Arial" w:hAnsi="Arial"/>
                <w:sz w:val="14"/>
                <w:szCs w:val="14"/>
                <w:b w:val="1"/>
                <w:bCs w:val="1"/>
                <w:color w:val="auto"/>
                <w:w w:val="99"/>
                <w:shd w:val="clear" w:color="auto" w:fill="EAEAEA"/>
              </w:rPr>
              <w:t>2Q19</w:t>
            </w:r>
          </w:p>
        </w:tc>
        <w:tc>
          <w:tcPr>
            <w:tcW w:w="480" w:type="dxa"/>
            <w:vAlign w:val="bottom"/>
            <w:tcBorders>
              <w:bottom w:val="single" w:sz="8" w:color="EAEAEA"/>
              <w:right w:val="single" w:sz="8" w:color="auto"/>
            </w:tcBorders>
            <w:shd w:val="clear" w:color="auto" w:fill="EAEAEA"/>
          </w:tcPr>
          <w:p>
            <w:pPr>
              <w:spacing w:after="0"/>
              <w:rPr>
                <w:sz w:val="20"/>
                <w:szCs w:val="20"/>
                <w:color w:val="auto"/>
              </w:rPr>
            </w:pPr>
          </w:p>
        </w:tc>
        <w:tc>
          <w:tcPr>
            <w:tcW w:w="124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2Q18</w:t>
            </w:r>
          </w:p>
        </w:tc>
        <w:tc>
          <w:tcPr>
            <w:tcW w:w="920" w:type="dxa"/>
            <w:vAlign w:val="bottom"/>
            <w:tcBorders>
              <w:bottom w:val="single" w:sz="8" w:color="EAEAEA"/>
            </w:tcBorders>
            <w:shd w:val="clear" w:color="auto" w:fill="EAEAEA"/>
          </w:tcPr>
          <w:p>
            <w:pPr>
              <w:ind w:left="280"/>
              <w:spacing w:after="0"/>
              <w:rPr>
                <w:sz w:val="20"/>
                <w:szCs w:val="20"/>
                <w:color w:val="auto"/>
              </w:rPr>
            </w:pPr>
            <w:r>
              <w:rPr>
                <w:rFonts w:ascii="Arial" w:cs="Arial" w:eastAsia="Arial" w:hAnsi="Arial"/>
                <w:sz w:val="14"/>
                <w:szCs w:val="14"/>
                <w:b w:val="1"/>
                <w:bCs w:val="1"/>
                <w:color w:val="auto"/>
                <w:w w:val="98"/>
                <w:shd w:val="clear" w:color="auto" w:fill="EAEAEA"/>
              </w:rPr>
              <w:t>YTD 2019</w:t>
            </w:r>
          </w:p>
        </w:tc>
        <w:tc>
          <w:tcPr>
            <w:tcW w:w="320" w:type="dxa"/>
            <w:vAlign w:val="bottom"/>
            <w:tcBorders>
              <w:bottom w:val="single" w:sz="8" w:color="EAEAEA"/>
              <w:right w:val="single" w:sz="8" w:color="auto"/>
            </w:tcBorders>
            <w:shd w:val="clear" w:color="auto" w:fill="EAEAEA"/>
          </w:tcPr>
          <w:p>
            <w:pPr>
              <w:spacing w:after="0"/>
              <w:rPr>
                <w:sz w:val="20"/>
                <w:szCs w:val="20"/>
                <w:color w:val="auto"/>
              </w:rPr>
            </w:pPr>
          </w:p>
        </w:tc>
        <w:tc>
          <w:tcPr>
            <w:tcW w:w="124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YTD 2018</w:t>
            </w:r>
          </w:p>
        </w:tc>
      </w:tr>
      <w:tr>
        <w:trPr>
          <w:trHeight w:val="258"/>
        </w:trPr>
        <w:tc>
          <w:tcPr>
            <w:tcW w:w="64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300" w:type="dxa"/>
            <w:vAlign w:val="bottom"/>
            <w:tcBorders>
              <w:top w:val="single" w:sz="8" w:color="auto"/>
              <w:bottom w:val="single" w:sz="8" w:color="auto"/>
              <w:right w:val="single" w:sz="8" w:color="auto"/>
            </w:tcBorders>
            <w:gridSpan w:val="2"/>
            <w:shd w:val="clear" w:color="auto" w:fill="EAEAEA"/>
          </w:tcPr>
          <w:p>
            <w:pPr>
              <w:jc w:val="right"/>
              <w:ind w:right="50"/>
              <w:spacing w:after="0"/>
              <w:rPr>
                <w:sz w:val="20"/>
                <w:szCs w:val="20"/>
                <w:color w:val="auto"/>
              </w:rPr>
            </w:pPr>
            <w:r>
              <w:rPr>
                <w:rFonts w:ascii="Arial" w:cs="Arial" w:eastAsia="Arial" w:hAnsi="Arial"/>
                <w:sz w:val="16"/>
                <w:szCs w:val="16"/>
                <w:b w:val="1"/>
                <w:bCs w:val="1"/>
                <w:color w:val="auto"/>
              </w:rPr>
              <w:t>$1,434</w:t>
            </w:r>
          </w:p>
        </w:tc>
        <w:tc>
          <w:tcPr>
            <w:tcW w:w="12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240" w:type="dxa"/>
            <w:vAlign w:val="bottom"/>
            <w:tcBorders>
              <w:top w:val="single" w:sz="8" w:color="auto"/>
              <w:bottom w:val="single" w:sz="8" w:color="auto"/>
              <w:right w:val="single" w:sz="8" w:color="auto"/>
            </w:tcBorders>
            <w:gridSpan w:val="2"/>
            <w:shd w:val="clear" w:color="auto" w:fill="EAEAEA"/>
          </w:tcPr>
          <w:p>
            <w:pPr>
              <w:jc w:val="right"/>
              <w:ind w:right="68"/>
              <w:spacing w:after="0"/>
              <w:rPr>
                <w:sz w:val="20"/>
                <w:szCs w:val="20"/>
                <w:color w:val="auto"/>
              </w:rPr>
            </w:pPr>
            <w:r>
              <w:rPr>
                <w:rFonts w:ascii="Arial" w:cs="Arial" w:eastAsia="Arial" w:hAnsi="Arial"/>
                <w:sz w:val="16"/>
                <w:szCs w:val="16"/>
                <w:b w:val="1"/>
                <w:bCs w:val="1"/>
                <w:color w:val="auto"/>
              </w:rPr>
              <w:t>$2,330</w:t>
            </w:r>
          </w:p>
        </w:tc>
        <w:tc>
          <w:tcPr>
            <w:tcW w:w="1240" w:type="dxa"/>
            <w:vAlign w:val="bottom"/>
            <w:tcBorders>
              <w:top w:val="single" w:sz="8" w:color="auto"/>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$3,561</w:t>
            </w:r>
          </w:p>
        </w:tc>
      </w:tr>
      <w:tr>
        <w:trPr>
          <w:trHeight w:val="264"/>
        </w:trPr>
        <w:tc>
          <w:tcPr>
            <w:tcW w:w="6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Timing of premium payment from CMS (h)</w:t>
            </w:r>
          </w:p>
        </w:tc>
        <w:tc>
          <w:tcPr>
            <w:tcW w:w="820" w:type="dxa"/>
            <w:vAlign w:val="bottom"/>
            <w:tcBorders>
              <w:bottom w:val="single" w:sz="8" w:color="auto"/>
            </w:tcBorders>
            <w:shd w:val="clear" w:color="auto" w:fill="EAEAEA"/>
          </w:tcPr>
          <w:p>
            <w:pPr>
              <w:spacing w:after="0"/>
              <w:rPr>
                <w:sz w:val="22"/>
                <w:szCs w:val="22"/>
                <w:color w:val="auto"/>
              </w:rPr>
            </w:pPr>
          </w:p>
        </w:tc>
        <w:tc>
          <w:tcPr>
            <w:tcW w:w="480" w:type="dxa"/>
            <w:vAlign w:val="bottom"/>
            <w:tcBorders>
              <w:bottom w:val="single" w:sz="8" w:color="auto"/>
              <w:right w:val="single" w:sz="8" w:color="auto"/>
            </w:tcBorders>
            <w:shd w:val="clear" w:color="auto" w:fill="EAEAEA"/>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26</w:t>
            </w:r>
          </w:p>
        </w:tc>
        <w:tc>
          <w:tcPr>
            <w:tcW w:w="920" w:type="dxa"/>
            <w:vAlign w:val="bottom"/>
            <w:tcBorders>
              <w:bottom w:val="single" w:sz="8" w:color="auto"/>
            </w:tcBorders>
            <w:shd w:val="clear" w:color="auto" w:fill="EAEAEA"/>
          </w:tcPr>
          <w:p>
            <w:pPr>
              <w:spacing w:after="0"/>
              <w:rPr>
                <w:sz w:val="22"/>
                <w:szCs w:val="22"/>
                <w:color w:val="auto"/>
              </w:rPr>
            </w:pPr>
          </w:p>
        </w:tc>
        <w:tc>
          <w:tcPr>
            <w:tcW w:w="320" w:type="dxa"/>
            <w:vAlign w:val="bottom"/>
            <w:tcBorders>
              <w:bottom w:val="single" w:sz="8" w:color="auto"/>
              <w:right w:val="single" w:sz="8" w:color="auto"/>
            </w:tcBorders>
            <w:shd w:val="clear" w:color="auto" w:fill="EAEAEA"/>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(3,309)</w:t>
            </w:r>
          </w:p>
        </w:tc>
      </w:tr>
      <w:tr>
        <w:trPr>
          <w:trHeight w:val="264"/>
        </w:trPr>
        <w:tc>
          <w:tcPr>
            <w:tcW w:w="6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300" w:type="dxa"/>
            <w:vAlign w:val="bottom"/>
            <w:tcBorders>
              <w:bottom w:val="single" w:sz="8" w:color="auto"/>
              <w:right w:val="single" w:sz="8" w:color="auto"/>
            </w:tcBorders>
            <w:gridSpan w:val="2"/>
            <w:shd w:val="clear" w:color="auto" w:fill="EAEAEA"/>
          </w:tcPr>
          <w:p>
            <w:pPr>
              <w:jc w:val="right"/>
              <w:ind w:right="50"/>
              <w:spacing w:after="0"/>
              <w:rPr>
                <w:sz w:val="20"/>
                <w:szCs w:val="20"/>
                <w:color w:val="auto"/>
              </w:rPr>
            </w:pPr>
            <w:r>
              <w:rPr>
                <w:rFonts w:ascii="Arial" w:cs="Arial" w:eastAsia="Arial" w:hAnsi="Arial"/>
                <w:sz w:val="16"/>
                <w:szCs w:val="16"/>
                <w:b w:val="1"/>
                <w:bCs w:val="1"/>
                <w:color w:val="auto"/>
              </w:rPr>
              <w:t>$1,434</w:t>
            </w:r>
          </w:p>
        </w:tc>
        <w:tc>
          <w:tcPr>
            <w:tcW w:w="12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($99)</w:t>
            </w:r>
          </w:p>
        </w:tc>
        <w:tc>
          <w:tcPr>
            <w:tcW w:w="1240" w:type="dxa"/>
            <w:vAlign w:val="bottom"/>
            <w:tcBorders>
              <w:bottom w:val="single" w:sz="8" w:color="auto"/>
              <w:right w:val="single" w:sz="8" w:color="auto"/>
            </w:tcBorders>
            <w:gridSpan w:val="2"/>
            <w:shd w:val="clear" w:color="auto" w:fill="EAEAEA"/>
          </w:tcPr>
          <w:p>
            <w:pPr>
              <w:jc w:val="right"/>
              <w:ind w:right="68"/>
              <w:spacing w:after="0"/>
              <w:rPr>
                <w:sz w:val="20"/>
                <w:szCs w:val="20"/>
                <w:color w:val="auto"/>
              </w:rPr>
            </w:pPr>
            <w:r>
              <w:rPr>
                <w:rFonts w:ascii="Arial" w:cs="Arial" w:eastAsia="Arial" w:hAnsi="Arial"/>
                <w:sz w:val="14"/>
                <w:szCs w:val="14"/>
                <w:b w:val="1"/>
                <w:bCs w:val="1"/>
                <w:color w:val="auto"/>
              </w:rPr>
              <w:t>$2,330</w:t>
            </w:r>
          </w:p>
        </w:tc>
        <w:tc>
          <w:tcPr>
            <w:tcW w:w="12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$252</w:t>
            </w:r>
          </w:p>
        </w:tc>
      </w:tr>
    </w:tbl>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40"/>
          </w:cols>
          <w:pgMar w:left="240" w:top="825" w:right="219" w:bottom="1440" w:gutter="0" w:footer="0" w:header="0"/>
        </w:sectPr>
      </w:pPr>
    </w:p>
    <w:bookmarkStart w:id="17" w:name="page18"/>
    <w:bookmarkEnd w:id="17"/>
    <w:p>
      <w:pPr>
        <w:ind w:left="640" w:hanging="321"/>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GAAP cash flows provided by operations of $1.43 billion in 2Q19 favorably compared to cash flows used in operations of</w:t>
      </w:r>
    </w:p>
    <w:p>
      <w:pPr>
        <w:spacing w:after="0" w:line="12"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19"/>
          <w:szCs w:val="19"/>
          <w:color w:val="auto"/>
        </w:rPr>
        <w:t>$125 million in 2Q18. The year-over-year comparison of GAAP cash flows was favorably impacted by the following factors:</w:t>
      </w:r>
    </w:p>
    <w:p>
      <w:pPr>
        <w:spacing w:after="0" w:line="227" w:lineRule="exact"/>
        <w:rPr>
          <w:rFonts w:ascii="Arial" w:cs="Arial" w:eastAsia="Arial" w:hAnsi="Arial"/>
          <w:sz w:val="20"/>
          <w:szCs w:val="20"/>
          <w:color w:val="auto"/>
        </w:rPr>
      </w:pPr>
    </w:p>
    <w:p>
      <w:pPr>
        <w:ind w:left="1220" w:right="140" w:hanging="321"/>
        <w:spacing w:after="0" w:line="247" w:lineRule="auto"/>
        <w:tabs>
          <w:tab w:leader="none" w:pos="1220" w:val="left"/>
        </w:tabs>
        <w:numPr>
          <w:ilvl w:val="1"/>
          <w:numId w:val="16"/>
        </w:numPr>
        <w:rPr>
          <w:rFonts w:ascii="Arial" w:cs="Arial" w:eastAsia="Arial" w:hAnsi="Arial"/>
          <w:sz w:val="20"/>
          <w:szCs w:val="20"/>
          <w:color w:val="auto"/>
        </w:rPr>
      </w:pPr>
      <w:r>
        <w:rPr>
          <w:rFonts w:ascii="Arial" w:cs="Arial" w:eastAsia="Arial" w:hAnsi="Arial"/>
          <w:sz w:val="20"/>
          <w:szCs w:val="20"/>
          <w:color w:val="auto"/>
        </w:rPr>
        <w:t>the timing of the mid-year Medicare risk adjustment premium revenue collections which were received during 2Q19 versus the third quarter of 2018,</w:t>
      </w:r>
    </w:p>
    <w:p>
      <w:pPr>
        <w:spacing w:after="0" w:line="201" w:lineRule="exact"/>
        <w:rPr>
          <w:rFonts w:ascii="Arial" w:cs="Arial" w:eastAsia="Arial" w:hAnsi="Arial"/>
          <w:sz w:val="20"/>
          <w:szCs w:val="20"/>
          <w:color w:val="auto"/>
        </w:rPr>
      </w:pPr>
    </w:p>
    <w:p>
      <w:pPr>
        <w:ind w:left="1220" w:hanging="321"/>
        <w:spacing w:after="0"/>
        <w:tabs>
          <w:tab w:leader="none" w:pos="1220" w:val="left"/>
        </w:tabs>
        <w:numPr>
          <w:ilvl w:val="1"/>
          <w:numId w:val="16"/>
        </w:numPr>
        <w:rPr>
          <w:rFonts w:ascii="Arial" w:cs="Arial" w:eastAsia="Arial" w:hAnsi="Arial"/>
          <w:sz w:val="20"/>
          <w:szCs w:val="20"/>
          <w:color w:val="auto"/>
        </w:rPr>
      </w:pPr>
      <w:r>
        <w:rPr>
          <w:rFonts w:ascii="Arial" w:cs="Arial" w:eastAsia="Arial" w:hAnsi="Arial"/>
          <w:sz w:val="20"/>
          <w:szCs w:val="20"/>
          <w:color w:val="auto"/>
        </w:rPr>
        <w:t>higher earnings in 2Q19 as compared to 2Q18,</w:t>
      </w:r>
    </w:p>
    <w:p>
      <w:pPr>
        <w:spacing w:after="0" w:line="215" w:lineRule="exact"/>
        <w:rPr>
          <w:rFonts w:ascii="Arial" w:cs="Arial" w:eastAsia="Arial" w:hAnsi="Arial"/>
          <w:sz w:val="20"/>
          <w:szCs w:val="20"/>
          <w:color w:val="auto"/>
        </w:rPr>
      </w:pPr>
    </w:p>
    <w:p>
      <w:pPr>
        <w:ind w:left="1220" w:right="640" w:hanging="321"/>
        <w:spacing w:after="0" w:line="272" w:lineRule="auto"/>
        <w:tabs>
          <w:tab w:leader="none" w:pos="1220"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impact of approximately $230 million related to reinsuring certain workplace voluntary benefits (WVB) and financial protections products (FPP) to a third party in connection with the divestiture of KMG in 2Q18, and</w:t>
      </w:r>
    </w:p>
    <w:p>
      <w:pPr>
        <w:spacing w:after="0" w:line="180" w:lineRule="exact"/>
        <w:rPr>
          <w:rFonts w:ascii="Arial" w:cs="Arial" w:eastAsia="Arial" w:hAnsi="Arial"/>
          <w:sz w:val="19"/>
          <w:szCs w:val="19"/>
          <w:color w:val="auto"/>
        </w:rPr>
      </w:pPr>
    </w:p>
    <w:p>
      <w:pPr>
        <w:ind w:left="1220" w:hanging="321"/>
        <w:spacing w:after="0"/>
        <w:tabs>
          <w:tab w:leader="none" w:pos="1220" w:val="left"/>
        </w:tabs>
        <w:numPr>
          <w:ilvl w:val="1"/>
          <w:numId w:val="16"/>
        </w:numPr>
        <w:rPr>
          <w:rFonts w:ascii="Arial" w:cs="Arial" w:eastAsia="Arial" w:hAnsi="Arial"/>
          <w:sz w:val="20"/>
          <w:szCs w:val="20"/>
          <w:color w:val="auto"/>
        </w:rPr>
      </w:pPr>
      <w:r>
        <w:rPr>
          <w:rFonts w:ascii="Arial" w:cs="Arial" w:eastAsia="Arial" w:hAnsi="Arial"/>
          <w:sz w:val="20"/>
          <w:szCs w:val="20"/>
          <w:color w:val="auto"/>
        </w:rPr>
        <w:t>the timing of other working capital changes.</w:t>
      </w:r>
    </w:p>
    <w:p>
      <w:pPr>
        <w:spacing w:after="0" w:line="216" w:lineRule="exact"/>
        <w:rPr>
          <w:sz w:val="20"/>
          <w:szCs w:val="20"/>
          <w:color w:val="auto"/>
        </w:rPr>
      </w:pPr>
    </w:p>
    <w:p>
      <w:pPr>
        <w:ind w:left="660" w:right="80"/>
        <w:spacing w:after="0" w:line="242" w:lineRule="auto"/>
        <w:rPr>
          <w:sz w:val="20"/>
          <w:szCs w:val="20"/>
          <w:color w:val="auto"/>
        </w:rPr>
      </w:pPr>
      <w:r>
        <w:rPr>
          <w:rFonts w:ascii="Arial" w:cs="Arial" w:eastAsia="Arial" w:hAnsi="Arial"/>
          <w:sz w:val="20"/>
          <w:szCs w:val="20"/>
          <w:color w:val="auto"/>
        </w:rPr>
        <w:t>The year-over-year quarterly comparison of operating cash flows was not significantly impacted by the timing of the monthly premium payment from CMS. The 2Q18 cash flows used in operations did include the early receipt in June 2018 of the July 2018 premium payment from CMS of $3.31 billion; however, this early receipt was more than offset by the early receipt of the April 2018 premium payment of $3.34 billion in the first quarter of 2018.</w:t>
      </w:r>
    </w:p>
    <w:p>
      <w:pPr>
        <w:spacing w:after="0" w:line="194" w:lineRule="exact"/>
        <w:rPr>
          <w:sz w:val="20"/>
          <w:szCs w:val="20"/>
          <w:color w:val="auto"/>
        </w:rPr>
      </w:pPr>
    </w:p>
    <w:p>
      <w:pPr>
        <w:ind w:left="640" w:right="320" w:hanging="321"/>
        <w:spacing w:after="0" w:line="246"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For YTD 2019, GAAP cash flows provided by operations totaled $2.33 billion versus $3.56 billion of GAAP cash flows provided by operations during YTD 2018, a decrease of $1.23 billion year over year. The year-over-year comparison was impacted by the same factors affecting the GAAP second quarter comparison; however, the YTD comparison was more significantly impacted by the timing of Medicare premium payments from CMS, as noted in the table above.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Share repurchases</w:t>
      </w:r>
    </w:p>
    <w:p>
      <w:pPr>
        <w:spacing w:after="0" w:line="240" w:lineRule="exact"/>
        <w:rPr>
          <w:sz w:val="20"/>
          <w:szCs w:val="20"/>
          <w:color w:val="auto"/>
        </w:rPr>
      </w:pPr>
    </w:p>
    <w:p>
      <w:pPr>
        <w:ind w:left="640" w:hanging="321"/>
        <w:spacing w:after="0" w:line="242" w:lineRule="auto"/>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During November 2018, the company entered into an agreement with a third party financial institution to effectuate a $750 million accelerated share repurchase (ASR) program under its previous share repurchase authorization. Under the terms of the program, which was completed in the first quarter of 2019, the company repurchased a total of approximately 2,541,100 of its outstanding shares at an average price of $295.15.</w:t>
      </w:r>
    </w:p>
    <w:p>
      <w:pPr>
        <w:spacing w:after="0" w:line="206"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0"/>
          <w:szCs w:val="20"/>
          <w:color w:val="auto"/>
        </w:rPr>
        <w:t>The company did not complete any open-market share repurchase transactions during 2Q19.</w:t>
      </w:r>
    </w:p>
    <w:p>
      <w:pPr>
        <w:spacing w:after="0" w:line="215" w:lineRule="exact"/>
        <w:rPr>
          <w:rFonts w:ascii="Arial" w:cs="Arial" w:eastAsia="Arial" w:hAnsi="Arial"/>
          <w:sz w:val="20"/>
          <w:szCs w:val="20"/>
          <w:color w:val="auto"/>
        </w:rPr>
      </w:pPr>
    </w:p>
    <w:p>
      <w:pPr>
        <w:ind w:left="640" w:right="120" w:hanging="321"/>
        <w:spacing w:after="0" w:line="243" w:lineRule="auto"/>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July 2019, Humana's Board of Directors approved a new $3.00 billion share repurchase authorization with an expiration date of June 30, 2022, replacing its previous $3.00 billion share repurchase authorization (of which approximately $1.03 billion remained unused).</w:t>
      </w:r>
    </w:p>
    <w:p>
      <w:pPr>
        <w:spacing w:after="0" w:line="206" w:lineRule="exact"/>
        <w:rPr>
          <w:rFonts w:ascii="Arial" w:cs="Arial" w:eastAsia="Arial" w:hAnsi="Arial"/>
          <w:sz w:val="20"/>
          <w:szCs w:val="20"/>
          <w:color w:val="auto"/>
        </w:rPr>
      </w:pPr>
    </w:p>
    <w:p>
      <w:pPr>
        <w:ind w:left="640" w:right="40" w:hanging="321"/>
        <w:spacing w:after="0" w:line="242" w:lineRule="auto"/>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On July 31, 2019, the company announced it intends to enter into an agreement with a third party financial institution to effect a $1.00 billion ASR program after the market close. The company will repurchase the shares through the program as part of the $3.00 billion authorized in July 2019. The actual number of shares repurchased under the agreement will be determined based on a volume-weighted average price of the company's common stock during the purchase period.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Cash dividends</w:t>
      </w:r>
    </w:p>
    <w:p>
      <w:pPr>
        <w:spacing w:after="0" w:line="226" w:lineRule="exact"/>
        <w:rPr>
          <w:sz w:val="20"/>
          <w:szCs w:val="20"/>
          <w:color w:val="auto"/>
        </w:rPr>
      </w:pPr>
    </w:p>
    <w:p>
      <w:pPr>
        <w:ind w:left="640" w:right="140" w:hanging="321"/>
        <w:spacing w:after="0" w:line="246" w:lineRule="auto"/>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company paid cash dividends to its stockholders of $74 million in 2Q19 versus $69 million in 2Q18. Cash dividends of $142 million were paid to the company’s stockholders during YTD 2019 compared to $126 million in YTD 2018. The increases primarily reflect an increase in the per share dividend amount to $0.55 for 2019 from $0.50 per share for 2018, as previously disclosed.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11" w:right="239" w:bottom="1440" w:gutter="0" w:footer="0" w:header="0"/>
        </w:sectPr>
      </w:pPr>
    </w:p>
    <w:bookmarkStart w:id="18" w:name="page19"/>
    <w:bookmarkEnd w:id="18"/>
    <w:p>
      <w:pPr>
        <w:spacing w:after="0"/>
        <w:rPr>
          <w:sz w:val="20"/>
          <w:szCs w:val="20"/>
          <w:color w:val="auto"/>
        </w:rPr>
      </w:pPr>
      <w:r>
        <w:rPr>
          <w:rFonts w:ascii="Arial" w:cs="Arial" w:eastAsia="Arial" w:hAnsi="Arial"/>
          <w:sz w:val="25"/>
          <w:szCs w:val="25"/>
          <w:b w:val="1"/>
          <w:bCs w:val="1"/>
          <w:u w:val="single" w:color="auto"/>
          <w:color w:val="auto"/>
        </w:rPr>
        <w:t>Humana’s Retail Segment</w:t>
      </w:r>
    </w:p>
    <w:p>
      <w:pPr>
        <w:spacing w:after="0" w:line="253"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This segment consists of the company’s Medicare benefits, marketed to individuals directly or via group Medicare accounts, as well as its Medicare Supplement and state-based contracts businesses. State-based contracts include those with various states to provide Medicaid, dual eligible, and Long-Term Support Services benefits. In addition, this segment also includes the company’s contract with CMS to administer the Limited Income Newly Eligible Transition prescription drug plan (PDP) program.</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Retail segment revenues:</w:t>
      </w:r>
    </w:p>
    <w:p>
      <w:pPr>
        <w:spacing w:after="0" w:line="226" w:lineRule="exact"/>
        <w:rPr>
          <w:sz w:val="20"/>
          <w:szCs w:val="20"/>
          <w:color w:val="auto"/>
        </w:rPr>
      </w:pPr>
    </w:p>
    <w:p>
      <w:pPr>
        <w:ind w:left="640" w:right="20" w:hanging="321"/>
        <w:spacing w:after="0" w:line="244" w:lineRule="auto"/>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2Q19 revenues for the Retail segment were $14.16 billion, an increase of $2.12 billion, or 18 percent, from $12.04 billion in 2Q18 primarily reflecting individual and group Medicare Advantage membership growth and higher per member premiums, as well as increased state-based contracts membership. These favorable items were partially offset by the decline in membership in the company's stand-alone PDP offerings. The year-over-year membership changes are further discussed below.</w:t>
      </w:r>
    </w:p>
    <w:p>
      <w:pPr>
        <w:spacing w:after="0" w:line="194" w:lineRule="exact"/>
        <w:rPr>
          <w:rFonts w:ascii="Arial" w:cs="Arial" w:eastAsia="Arial" w:hAnsi="Arial"/>
          <w:sz w:val="20"/>
          <w:szCs w:val="20"/>
          <w:color w:val="auto"/>
        </w:rPr>
      </w:pPr>
    </w:p>
    <w:p>
      <w:pPr>
        <w:ind w:left="640" w:right="100" w:hanging="321"/>
        <w:spacing w:after="0" w:line="260" w:lineRule="auto"/>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YTD 2019 revenues for the Retail segment were $28.17 billion, up $4.03 billion, or 17 percent, from $24.15 billion in YTD 2018, primarily reflecting the same factors impacting the year-over-year second quarter comparison.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Retail segment enrollment:</w:t>
      </w:r>
    </w:p>
    <w:p>
      <w:pPr>
        <w:spacing w:after="0" w:line="216" w:lineRule="exact"/>
        <w:rPr>
          <w:sz w:val="20"/>
          <w:szCs w:val="20"/>
          <w:color w:val="auto"/>
        </w:rPr>
      </w:pPr>
    </w:p>
    <w:p>
      <w:pPr>
        <w:ind w:left="640" w:right="340" w:hanging="321"/>
        <w:spacing w:after="0" w:line="267" w:lineRule="auto"/>
        <w:tabs>
          <w:tab w:leader="none" w:pos="640" w:val="left"/>
        </w:tabs>
        <w:numPr>
          <w:ilvl w:val="0"/>
          <w:numId w:val="2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Individual Medicare Advantage </w:t>
      </w:r>
      <w:r>
        <w:rPr>
          <w:rFonts w:ascii="Arial" w:cs="Arial" w:eastAsia="Arial" w:hAnsi="Arial"/>
          <w:sz w:val="19"/>
          <w:szCs w:val="19"/>
          <w:color w:val="auto"/>
        </w:rPr>
        <w:t>membership was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3,484,500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of June 30, 2019, a net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increase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457,300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15 percent,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3,027,200 as of June 30, 2018, and up 420,500, or 14 percent, from 3,064,000 as of December 31, 2018. These increases were primarily due to membership additions associated with the most recent AEP and OEP for Medicare beneficiaries. The OEP sales period, which ran from January 1 to March 31, added approximately 43,700 members.</w:t>
      </w:r>
    </w:p>
    <w:p>
      <w:pPr>
        <w:spacing w:after="0" w:line="186" w:lineRule="exact"/>
        <w:rPr>
          <w:rFonts w:ascii="Arial" w:cs="Arial" w:eastAsia="Arial" w:hAnsi="Arial"/>
          <w:sz w:val="19"/>
          <w:szCs w:val="19"/>
          <w:color w:val="auto"/>
        </w:rPr>
      </w:pPr>
    </w:p>
    <w:p>
      <w:pPr>
        <w:jc w:val="both"/>
        <w:ind w:left="640" w:right="80"/>
        <w:spacing w:after="0" w:line="243" w:lineRule="auto"/>
        <w:rPr>
          <w:rFonts w:ascii="Arial" w:cs="Arial" w:eastAsia="Arial" w:hAnsi="Arial"/>
          <w:sz w:val="19"/>
          <w:szCs w:val="19"/>
          <w:color w:val="auto"/>
        </w:rPr>
      </w:pPr>
      <w:r>
        <w:rPr>
          <w:rFonts w:ascii="Arial" w:cs="Arial" w:eastAsia="Arial" w:hAnsi="Arial"/>
          <w:sz w:val="20"/>
          <w:szCs w:val="20"/>
          <w:color w:val="auto"/>
        </w:rPr>
        <w:t>The individual Medicare Advantage membership growth as of June 30, 2019 includes the addition of approximately 46,000 Dual Eligible Special Need Plan (D-SNP) members since December 31, 2018 compared to growth of only 4,000 members from December 31, 2017 to June 30, 2018.</w:t>
      </w:r>
    </w:p>
    <w:p>
      <w:pPr>
        <w:spacing w:after="0" w:line="182" w:lineRule="exact"/>
        <w:rPr>
          <w:rFonts w:ascii="Arial" w:cs="Arial" w:eastAsia="Arial" w:hAnsi="Arial"/>
          <w:sz w:val="19"/>
          <w:szCs w:val="19"/>
          <w:color w:val="auto"/>
        </w:rPr>
      </w:pPr>
    </w:p>
    <w:p>
      <w:pPr>
        <w:ind w:left="640" w:right="520" w:hanging="321"/>
        <w:spacing w:after="0" w:line="255" w:lineRule="auto"/>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b w:val="1"/>
          <w:bCs w:val="1"/>
          <w:i w:val="1"/>
          <w:iCs w:val="1"/>
          <w:color w:val="auto"/>
        </w:rPr>
        <w:t>Group Medicare Advantag</w:t>
      </w:r>
      <w:r>
        <w:rPr>
          <w:rFonts w:ascii="Arial" w:cs="Arial" w:eastAsia="Arial" w:hAnsi="Arial"/>
          <w:sz w:val="20"/>
          <w:szCs w:val="20"/>
          <w:b w:val="1"/>
          <w:bCs w:val="1"/>
          <w:color w:val="auto"/>
        </w:rPr>
        <w: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membership was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519,100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of June 30, 2019, a net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increase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26,000,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5 percent, from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493,100 at June 30, 2018, and up 21,300, or 4 percent, from 497,800 as of December 31, 2018. The increases primarily resulted from net membership additions associated with the most recent AEP for Medicare beneficiaries.</w:t>
      </w:r>
    </w:p>
    <w:p>
      <w:pPr>
        <w:spacing w:after="0" w:line="171" w:lineRule="exact"/>
        <w:rPr>
          <w:rFonts w:ascii="Arial" w:cs="Arial" w:eastAsia="Arial" w:hAnsi="Arial"/>
          <w:sz w:val="20"/>
          <w:szCs w:val="20"/>
          <w:color w:val="auto"/>
        </w:rPr>
      </w:pPr>
    </w:p>
    <w:p>
      <w:pPr>
        <w:ind w:left="640" w:hanging="321"/>
        <w:spacing w:after="0" w:line="247" w:lineRule="auto"/>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Membership in the company’s </w:t>
      </w:r>
      <w:r>
        <w:rPr>
          <w:rFonts w:ascii="Arial" w:cs="Arial" w:eastAsia="Arial" w:hAnsi="Arial"/>
          <w:sz w:val="20"/>
          <w:szCs w:val="20"/>
          <w:b w:val="1"/>
          <w:bCs w:val="1"/>
          <w:i w:val="1"/>
          <w:iCs w:val="1"/>
          <w:color w:val="auto"/>
        </w:rPr>
        <w:t>stand-alone PDP</w:t>
      </w:r>
      <w:r>
        <w:rPr>
          <w:rFonts w:ascii="Arial" w:cs="Arial" w:eastAsia="Arial" w:hAnsi="Arial"/>
          <w:sz w:val="20"/>
          <w:szCs w:val="20"/>
          <w:color w:val="auto"/>
        </w:rPr>
        <w:t xml:space="preserve"> offerings was 4,400,500 as of June 30, 2019, a net decrease of 607,700, or 12 percent, from 5,008,200 as of June 30, 2018, and down 603,800, or 12 percent, from 5,004,300 as of December 31, 2018, reflecting net declines during the previous AEP for Medicare beneficiaries. These anticipated declines were primarily due to the competitive nature of the industry and the pricing discipline the company has employed, which has resulted in it no longer being the low cost plan in any market for 2019.</w:t>
      </w:r>
    </w:p>
    <w:p>
      <w:pPr>
        <w:spacing w:after="0" w:line="180" w:lineRule="exact"/>
        <w:rPr>
          <w:rFonts w:ascii="Arial" w:cs="Arial" w:eastAsia="Arial" w:hAnsi="Arial"/>
          <w:sz w:val="20"/>
          <w:szCs w:val="20"/>
          <w:color w:val="auto"/>
        </w:rPr>
      </w:pPr>
    </w:p>
    <w:p>
      <w:pPr>
        <w:ind w:left="640" w:right="180" w:hanging="321"/>
        <w:spacing w:after="0" w:line="250" w:lineRule="auto"/>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State-based contracts </w:t>
      </w:r>
      <w:r>
        <w:rPr>
          <w:rFonts w:ascii="Arial" w:cs="Arial" w:eastAsia="Arial" w:hAnsi="Arial"/>
          <w:sz w:val="20"/>
          <w:szCs w:val="20"/>
          <w:color w:val="auto"/>
        </w:rPr>
        <w:t>membership (including dual-eligible demonstration members) was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465,200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of June 30, 2019,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net increase of 140,000, or 43 percent, from 325,200 at June 30, 2018, and up 124,100, or 36 percent, from 341,100 as of December 31, 2018. The increases primarily resulted from the statewide award of a comprehensive contract under the Managed Medical Assistance (MMA) program in Florida.</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Retail segment benefits expense:</w:t>
      </w:r>
    </w:p>
    <w:p>
      <w:pPr>
        <w:spacing w:after="0" w:line="226" w:lineRule="exact"/>
        <w:rPr>
          <w:sz w:val="20"/>
          <w:szCs w:val="20"/>
          <w:color w:val="auto"/>
        </w:rPr>
      </w:pPr>
    </w:p>
    <w:p>
      <w:pPr>
        <w:ind w:left="640" w:right="180" w:hanging="321"/>
        <w:spacing w:after="0" w:line="260" w:lineRule="auto"/>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2Q19 benefit ratio for the Retail segment of 85.2 percent decreased 30 basis points from 85.5 percent in 2Q18. The year-over-year decrease was primarily the result of the following factors: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82" w:right="239" w:bottom="1440" w:gutter="0" w:footer="0" w:header="0"/>
        </w:sectPr>
      </w:pPr>
    </w:p>
    <w:bookmarkStart w:id="19" w:name="page20"/>
    <w:bookmarkEnd w:id="19"/>
    <w:p>
      <w:pPr>
        <w:ind w:left="640" w:right="380" w:hanging="321"/>
        <w:spacing w:after="0" w:line="247" w:lineRule="auto"/>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engaging the company's Medicare Advantage members in clinical programs, as well as ensuring they are appropriately documented under the CMS risk-adjustment model; and</w:t>
      </w:r>
    </w:p>
    <w:p>
      <w:pPr>
        <w:spacing w:after="0" w:line="201" w:lineRule="exact"/>
        <w:rPr>
          <w:rFonts w:ascii="Arial" w:cs="Arial" w:eastAsia="Arial" w:hAnsi="Arial"/>
          <w:sz w:val="20"/>
          <w:szCs w:val="20"/>
          <w:color w:val="auto"/>
        </w:rPr>
      </w:pPr>
    </w:p>
    <w:p>
      <w:pPr>
        <w:ind w:left="640" w:right="740" w:hanging="321"/>
        <w:spacing w:after="0" w:line="247" w:lineRule="auto"/>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lower than expected medical costs as compared to the assumptions used in the pricing of the company's individual Medicare Advantage business for 2019.</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improvement was partially offset by the following factors:</w:t>
      </w:r>
    </w:p>
    <w:p>
      <w:pPr>
        <w:spacing w:after="0" w:line="216" w:lineRule="exact"/>
        <w:rPr>
          <w:sz w:val="20"/>
          <w:szCs w:val="20"/>
          <w:color w:val="auto"/>
        </w:rPr>
      </w:pPr>
    </w:p>
    <w:p>
      <w:pPr>
        <w:ind w:left="980" w:hanging="324"/>
        <w:spacing w:after="0" w:line="247" w:lineRule="auto"/>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suspension of the HIF in 2019 which was contemplated in the pricing and benefit design of the company's products; and</w:t>
      </w:r>
    </w:p>
    <w:p>
      <w:pPr>
        <w:spacing w:after="0" w:line="201" w:lineRule="exact"/>
        <w:rPr>
          <w:rFonts w:ascii="Arial" w:cs="Arial" w:eastAsia="Arial" w:hAnsi="Arial"/>
          <w:sz w:val="20"/>
          <w:szCs w:val="20"/>
          <w:color w:val="auto"/>
        </w:rPr>
      </w:pPr>
    </w:p>
    <w:p>
      <w:pPr>
        <w:ind w:left="980" w:hanging="324"/>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lower favorable Prior Period Development in the segment in 2Q19.</w:t>
      </w:r>
    </w:p>
    <w:p>
      <w:pPr>
        <w:spacing w:after="0" w:line="216" w:lineRule="exact"/>
        <w:rPr>
          <w:sz w:val="20"/>
          <w:szCs w:val="20"/>
          <w:color w:val="auto"/>
        </w:rPr>
      </w:pPr>
    </w:p>
    <w:p>
      <w:pPr>
        <w:ind w:left="640" w:right="180"/>
        <w:spacing w:after="0" w:line="242" w:lineRule="auto"/>
        <w:rPr>
          <w:sz w:val="20"/>
          <w:szCs w:val="20"/>
          <w:color w:val="auto"/>
        </w:rPr>
      </w:pPr>
      <w:r>
        <w:rPr>
          <w:rFonts w:ascii="Arial" w:cs="Arial" w:eastAsia="Arial" w:hAnsi="Arial"/>
          <w:sz w:val="20"/>
          <w:szCs w:val="20"/>
          <w:color w:val="auto"/>
        </w:rPr>
        <w:t>The YTD 2019 benefit ratio for the Retail segment of 86.7 percent was 20 basis points higher than the YTD 2018 ratio of 86.5 percent. The increase in the benefit ratio primarily reflected the net-negative impact of the same factors that affected the second quarter comparison described above. These increases were partially offset by higher favorable Prior Period Development and a less severe flu season in YTD 2019.</w:t>
      </w:r>
    </w:p>
    <w:p>
      <w:pPr>
        <w:spacing w:after="0" w:line="207" w:lineRule="exact"/>
        <w:rPr>
          <w:sz w:val="20"/>
          <w:szCs w:val="20"/>
          <w:color w:val="auto"/>
        </w:rPr>
      </w:pPr>
    </w:p>
    <w:p>
      <w:pPr>
        <w:jc w:val="both"/>
        <w:ind w:left="640" w:right="180" w:hanging="321"/>
        <w:spacing w:after="0" w:line="243" w:lineRule="auto"/>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Retail segment's favorable Prior Period Development, as noted in the table below, lowered the segment benefit ratio by 20 basis points in 2Q19 and by 50 basis points in 2Q18. Prior Period Development lowered the YTD 2019 ratio by 110 basis points and lowered the YTD 2018 benefit ratio by 100 basis points.</w:t>
      </w: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Retail segment Prior Period Development </w:t>
            </w:r>
            <w:r>
              <w:rPr>
                <w:rFonts w:ascii="Arial" w:cs="Arial" w:eastAsia="Arial" w:hAnsi="Arial"/>
                <w:sz w:val="14"/>
                <w:szCs w:val="14"/>
                <w:color w:val="auto"/>
              </w:rPr>
              <w:t>(in millions)</w:t>
            </w:r>
          </w:p>
        </w:tc>
        <w:tc>
          <w:tcPr>
            <w:tcW w:w="1320" w:type="dxa"/>
            <w:vAlign w:val="bottom"/>
            <w:tcBorders>
              <w:top w:val="single" w:sz="8" w:color="auto"/>
              <w:right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First</w:t>
            </w:r>
          </w:p>
        </w:tc>
        <w:tc>
          <w:tcPr>
            <w:tcW w:w="1320" w:type="dxa"/>
            <w:vAlign w:val="bottom"/>
            <w:tcBorders>
              <w:top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Second</w:t>
            </w:r>
          </w:p>
        </w:tc>
        <w:tc>
          <w:tcPr>
            <w:tcW w:w="1280" w:type="dxa"/>
            <w:vAlign w:val="bottom"/>
            <w:tcBorders>
              <w:top w:val="single" w:sz="8" w:color="auto"/>
              <w:right w:val="single" w:sz="8" w:color="auto"/>
            </w:tcBorders>
            <w:shd w:val="clear" w:color="auto" w:fill="EAEAEA"/>
          </w:tcPr>
          <w:p>
            <w:pPr>
              <w:spacing w:after="0"/>
              <w:rPr>
                <w:sz w:val="18"/>
                <w:szCs w:val="18"/>
                <w:color w:val="auto"/>
              </w:rPr>
            </w:pPr>
          </w:p>
        </w:tc>
      </w:tr>
      <w:tr>
        <w:trPr>
          <w:trHeight w:val="228"/>
        </w:trPr>
        <w:tc>
          <w:tcPr>
            <w:tcW w:w="6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Favorable (unfavorable)</w:t>
            </w:r>
          </w:p>
        </w:tc>
        <w:tc>
          <w:tcPr>
            <w:tcW w:w="13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Quarter</w:t>
            </w:r>
          </w:p>
        </w:tc>
        <w:tc>
          <w:tcPr>
            <w:tcW w:w="13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Quarter</w:t>
            </w:r>
          </w:p>
        </w:tc>
        <w:tc>
          <w:tcPr>
            <w:tcW w:w="1280" w:type="dxa"/>
            <w:vAlign w:val="bottom"/>
            <w:tcBorders>
              <w:bottom w:val="single" w:sz="8" w:color="auto"/>
              <w:right w:val="single" w:sz="8" w:color="auto"/>
            </w:tcBorders>
            <w:shd w:val="clear" w:color="auto" w:fill="EAEAEA"/>
          </w:tcPr>
          <w:p>
            <w:pPr>
              <w:jc w:val="right"/>
              <w:ind w:right="419"/>
              <w:spacing w:after="0"/>
              <w:rPr>
                <w:sz w:val="20"/>
                <w:szCs w:val="20"/>
                <w:color w:val="auto"/>
              </w:rPr>
            </w:pPr>
            <w:r>
              <w:rPr>
                <w:rFonts w:ascii="Arial" w:cs="Arial" w:eastAsia="Arial" w:hAnsi="Arial"/>
                <w:sz w:val="16"/>
                <w:szCs w:val="16"/>
                <w:b w:val="1"/>
                <w:bCs w:val="1"/>
                <w:color w:val="auto"/>
              </w:rPr>
              <w:t>YTD</w:t>
            </w:r>
          </w:p>
        </w:tc>
      </w:tr>
      <w:tr>
        <w:trPr>
          <w:trHeight w:val="264"/>
        </w:trPr>
        <w:tc>
          <w:tcPr>
            <w:tcW w:w="6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Prior Period Development from prior years recognized in YTD 2019</w:t>
            </w:r>
          </w:p>
        </w:tc>
        <w:tc>
          <w:tcPr>
            <w:tcW w:w="13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$283</w:t>
            </w:r>
          </w:p>
        </w:tc>
        <w:tc>
          <w:tcPr>
            <w:tcW w:w="13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w:t>
            </w:r>
          </w:p>
        </w:tc>
        <w:tc>
          <w:tcPr>
            <w:tcW w:w="1280" w:type="dxa"/>
            <w:vAlign w:val="bottom"/>
            <w:tcBorders>
              <w:bottom w:val="single" w:sz="8" w:color="auto"/>
              <w:right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b w:val="1"/>
                <w:bCs w:val="1"/>
                <w:color w:val="auto"/>
              </w:rPr>
              <w:t>$311</w:t>
            </w:r>
          </w:p>
        </w:tc>
      </w:tr>
      <w:tr>
        <w:trPr>
          <w:trHeight w:val="264"/>
        </w:trPr>
        <w:tc>
          <w:tcPr>
            <w:tcW w:w="6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Prior Period Development from prior years recognized in YTD 2018</w:t>
            </w:r>
          </w:p>
        </w:tc>
        <w:tc>
          <w:tcPr>
            <w:tcW w:w="13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$187</w:t>
            </w:r>
          </w:p>
        </w:tc>
        <w:tc>
          <w:tcPr>
            <w:tcW w:w="13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280" w:type="dxa"/>
            <w:vAlign w:val="bottom"/>
            <w:tcBorders>
              <w:bottom w:val="single" w:sz="8" w:color="auto"/>
              <w:right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$247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Retail segment operating costs:</w:t>
      </w:r>
    </w:p>
    <w:p>
      <w:pPr>
        <w:spacing w:after="0" w:line="226" w:lineRule="exact"/>
        <w:rPr>
          <w:sz w:val="20"/>
          <w:szCs w:val="20"/>
          <w:color w:val="auto"/>
        </w:rPr>
      </w:pPr>
    </w:p>
    <w:p>
      <w:pPr>
        <w:ind w:left="640" w:right="320" w:hanging="321"/>
        <w:spacing w:after="0" w:line="260" w:lineRule="auto"/>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Retail segment’s operating cost ratio of 8.5 percent in 2Q19 decreased 160 basis points from 10.1 percent in 2Q18. The year-over-year comparison was positively impacted by the following:</w:t>
      </w:r>
    </w:p>
    <w:p>
      <w:pPr>
        <w:spacing w:after="0" w:line="190" w:lineRule="exact"/>
        <w:rPr>
          <w:rFonts w:ascii="Arial" w:cs="Arial" w:eastAsia="Arial" w:hAnsi="Arial"/>
          <w:sz w:val="20"/>
          <w:szCs w:val="20"/>
          <w:color w:val="auto"/>
        </w:rPr>
      </w:pPr>
    </w:p>
    <w:p>
      <w:pPr>
        <w:ind w:left="1360" w:right="400" w:hanging="677"/>
        <w:spacing w:after="0" w:line="247" w:lineRule="auto"/>
        <w:tabs>
          <w:tab w:leader="none" w:pos="998"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the suspension of the HIF in 2019, which increased the Retail segment’s operating cost ratio by approximately 190 basis points in 2Q18; and</w:t>
      </w:r>
    </w:p>
    <w:p>
      <w:pPr>
        <w:spacing w:after="0" w:line="201" w:lineRule="exact"/>
        <w:rPr>
          <w:rFonts w:ascii="Arial" w:cs="Arial" w:eastAsia="Arial" w:hAnsi="Arial"/>
          <w:sz w:val="20"/>
          <w:szCs w:val="20"/>
          <w:color w:val="auto"/>
        </w:rPr>
      </w:pPr>
    </w:p>
    <w:p>
      <w:pPr>
        <w:ind w:left="1000" w:hanging="317"/>
        <w:spacing w:after="0"/>
        <w:tabs>
          <w:tab w:leader="none" w:pos="10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significant operating cost efficiencies in 2019 driven by previously implemented productivity initiatives.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These improvements were partially offset by the following items:</w:t>
      </w:r>
    </w:p>
    <w:p>
      <w:pPr>
        <w:spacing w:after="0" w:line="216" w:lineRule="exact"/>
        <w:rPr>
          <w:sz w:val="20"/>
          <w:szCs w:val="20"/>
          <w:color w:val="auto"/>
        </w:rPr>
      </w:pPr>
    </w:p>
    <w:p>
      <w:pPr>
        <w:ind w:left="980" w:hanging="324"/>
        <w:spacing w:after="0"/>
        <w:tabs>
          <w:tab w:leader="none" w:pos="980" w:val="left"/>
        </w:tabs>
        <w:numPr>
          <w:ilvl w:val="1"/>
          <w:numId w:val="27"/>
        </w:numPr>
        <w:rPr>
          <w:rFonts w:ascii="Arial" w:cs="Arial" w:eastAsia="Arial" w:hAnsi="Arial"/>
          <w:sz w:val="20"/>
          <w:szCs w:val="20"/>
          <w:color w:val="auto"/>
        </w:rPr>
      </w:pPr>
      <w:r>
        <w:rPr>
          <w:rFonts w:ascii="Arial" w:cs="Arial" w:eastAsia="Arial" w:hAnsi="Arial"/>
          <w:sz w:val="20"/>
          <w:szCs w:val="20"/>
          <w:color w:val="auto"/>
        </w:rPr>
        <w:t>continuation of strategic investments in the company's integrated care delivery model in 2Q19; and</w:t>
      </w:r>
    </w:p>
    <w:p>
      <w:pPr>
        <w:spacing w:after="0" w:line="215" w:lineRule="exact"/>
        <w:rPr>
          <w:rFonts w:ascii="Arial" w:cs="Arial" w:eastAsia="Arial" w:hAnsi="Arial"/>
          <w:sz w:val="20"/>
          <w:szCs w:val="20"/>
          <w:color w:val="auto"/>
        </w:rPr>
      </w:pPr>
    </w:p>
    <w:p>
      <w:pPr>
        <w:ind w:left="980" w:right="1040" w:hanging="324"/>
        <w:spacing w:after="0" w:line="247" w:lineRule="auto"/>
        <w:tabs>
          <w:tab w:leader="none" w:pos="980"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impact of higher compensation expense accruals in 2Q19 for the AIP as a result of the continued strong performance of the company.</w:t>
      </w:r>
    </w:p>
    <w:p>
      <w:pPr>
        <w:spacing w:after="0" w:line="188" w:lineRule="exact"/>
        <w:rPr>
          <w:rFonts w:ascii="Arial" w:cs="Arial" w:eastAsia="Arial" w:hAnsi="Arial"/>
          <w:sz w:val="20"/>
          <w:szCs w:val="20"/>
          <w:color w:val="auto"/>
        </w:rPr>
      </w:pPr>
    </w:p>
    <w:p>
      <w:pPr>
        <w:ind w:left="640" w:right="160" w:hanging="321"/>
        <w:spacing w:after="0" w:line="250" w:lineRule="auto"/>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Retail segment’s YTD 2019 operating cost ratio of 8.4 percent decreased 170 basis points from 10.1 percent in YTD 2018 primarily reflecting the same factors that impacted the year-over-year comparison for the second quarter. The HIF impacted the segment’s YTD 2018 operating cost ratio by approximately 190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825" w:right="2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Retail segment results:</w:t>
      </w: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59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Retail segment earnings</w:t>
            </w:r>
          </w:p>
        </w:tc>
        <w:tc>
          <w:tcPr>
            <w:tcW w:w="1380" w:type="dxa"/>
            <w:vAlign w:val="bottom"/>
            <w:tcBorders>
              <w:top w:val="single" w:sz="8" w:color="auto"/>
              <w:right w:val="single" w:sz="8" w:color="auto"/>
            </w:tcBorders>
            <w:shd w:val="clear" w:color="auto" w:fill="EAEAEA"/>
          </w:tcPr>
          <w:p>
            <w:pPr>
              <w:spacing w:after="0"/>
              <w:rPr>
                <w:sz w:val="16"/>
                <w:szCs w:val="16"/>
                <w:color w:val="auto"/>
              </w:rPr>
            </w:pPr>
          </w:p>
        </w:tc>
        <w:tc>
          <w:tcPr>
            <w:tcW w:w="1380" w:type="dxa"/>
            <w:vAlign w:val="bottom"/>
            <w:tcBorders>
              <w:top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shd w:val="clear" w:color="auto" w:fill="EAEAEA"/>
          </w:tcPr>
          <w:p>
            <w:pPr>
              <w:spacing w:after="0"/>
              <w:rPr>
                <w:sz w:val="16"/>
                <w:szCs w:val="16"/>
                <w:color w:val="auto"/>
              </w:rPr>
            </w:pPr>
          </w:p>
        </w:tc>
        <w:tc>
          <w:tcPr>
            <w:tcW w:w="1360" w:type="dxa"/>
            <w:vAlign w:val="bottom"/>
            <w:tcBorders>
              <w:top w:val="single" w:sz="8" w:color="auto"/>
              <w:right w:val="single" w:sz="8" w:color="auto"/>
            </w:tcBorders>
          </w:tcPr>
          <w:p>
            <w:pPr>
              <w:spacing w:after="0"/>
              <w:rPr>
                <w:sz w:val="16"/>
                <w:szCs w:val="16"/>
                <w:color w:val="auto"/>
              </w:rPr>
            </w:pPr>
          </w:p>
        </w:tc>
      </w:tr>
      <w:tr>
        <w:trPr>
          <w:trHeight w:val="230"/>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1380" w:type="dxa"/>
            <w:vAlign w:val="bottom"/>
            <w:tcBorders>
              <w:bottom w:val="single" w:sz="8" w:color="EAEAEA"/>
              <w:right w:val="single" w:sz="8" w:color="auto"/>
            </w:tcBorders>
            <w:shd w:val="clear" w:color="auto" w:fill="EAEAEA"/>
          </w:tcPr>
          <w:p>
            <w:pPr>
              <w:jc w:val="right"/>
              <w:ind w:right="341"/>
              <w:spacing w:after="0"/>
              <w:rPr>
                <w:sz w:val="20"/>
                <w:szCs w:val="20"/>
                <w:color w:val="auto"/>
              </w:rPr>
            </w:pPr>
            <w:r>
              <w:rPr>
                <w:rFonts w:ascii="Arial" w:cs="Arial" w:eastAsia="Arial" w:hAnsi="Arial"/>
                <w:sz w:val="14"/>
                <w:szCs w:val="14"/>
                <w:b w:val="1"/>
                <w:bCs w:val="1"/>
                <w:color w:val="auto"/>
                <w:shd w:val="clear" w:color="auto" w:fill="EAEAEA"/>
              </w:rPr>
              <w:t>2Q19 (a)</w:t>
            </w:r>
          </w:p>
        </w:tc>
        <w:tc>
          <w:tcPr>
            <w:tcW w:w="1380" w:type="dxa"/>
            <w:vAlign w:val="bottom"/>
            <w:tcBorders>
              <w:right w:val="single" w:sz="8" w:color="auto"/>
            </w:tcBorders>
          </w:tcPr>
          <w:p>
            <w:pPr>
              <w:jc w:val="right"/>
              <w:ind w:right="341"/>
              <w:spacing w:after="0"/>
              <w:rPr>
                <w:sz w:val="20"/>
                <w:szCs w:val="20"/>
                <w:color w:val="auto"/>
              </w:rPr>
            </w:pPr>
            <w:r>
              <w:rPr>
                <w:rFonts w:ascii="Arial" w:cs="Arial" w:eastAsia="Arial" w:hAnsi="Arial"/>
                <w:sz w:val="14"/>
                <w:szCs w:val="14"/>
                <w:color w:val="auto"/>
              </w:rPr>
              <w:t>2Q18 (b)</w:t>
            </w:r>
          </w:p>
        </w:tc>
        <w:tc>
          <w:tcPr>
            <w:tcW w:w="1340" w:type="dxa"/>
            <w:vAlign w:val="bottom"/>
            <w:tcBorders>
              <w:bottom w:val="single" w:sz="8" w:color="EAEAEA"/>
              <w:right w:val="single" w:sz="8" w:color="auto"/>
            </w:tcBorders>
            <w:shd w:val="clear" w:color="auto" w:fill="EAEAEA"/>
          </w:tcPr>
          <w:p>
            <w:pPr>
              <w:jc w:val="right"/>
              <w:ind w:right="181"/>
              <w:spacing w:after="0"/>
              <w:rPr>
                <w:sz w:val="20"/>
                <w:szCs w:val="20"/>
                <w:color w:val="auto"/>
              </w:rPr>
            </w:pPr>
            <w:r>
              <w:rPr>
                <w:rFonts w:ascii="Arial" w:cs="Arial" w:eastAsia="Arial" w:hAnsi="Arial"/>
                <w:sz w:val="14"/>
                <w:szCs w:val="14"/>
                <w:b w:val="1"/>
                <w:bCs w:val="1"/>
                <w:color w:val="auto"/>
                <w:shd w:val="clear" w:color="auto" w:fill="EAEAEA"/>
              </w:rPr>
              <w:t>YTD 2019 (c)</w:t>
            </w:r>
          </w:p>
        </w:tc>
        <w:tc>
          <w:tcPr>
            <w:tcW w:w="1360" w:type="dxa"/>
            <w:vAlign w:val="bottom"/>
            <w:tcBorders>
              <w:right w:val="single" w:sz="8" w:color="auto"/>
            </w:tcBorders>
          </w:tcPr>
          <w:p>
            <w:pPr>
              <w:jc w:val="right"/>
              <w:ind w:right="181"/>
              <w:spacing w:after="0"/>
              <w:rPr>
                <w:sz w:val="20"/>
                <w:szCs w:val="20"/>
                <w:color w:val="auto"/>
              </w:rPr>
            </w:pPr>
            <w:r>
              <w:rPr>
                <w:rFonts w:ascii="Arial" w:cs="Arial" w:eastAsia="Arial" w:hAnsi="Arial"/>
                <w:sz w:val="14"/>
                <w:szCs w:val="14"/>
                <w:color w:val="auto"/>
              </w:rPr>
              <w:t>YTD 2018 (d)</w:t>
            </w:r>
          </w:p>
        </w:tc>
      </w:tr>
      <w:tr>
        <w:trPr>
          <w:trHeight w:val="257"/>
        </w:trPr>
        <w:tc>
          <w:tcPr>
            <w:tcW w:w="59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380" w:type="dxa"/>
            <w:vAlign w:val="bottom"/>
            <w:tcBorders>
              <w:top w:val="single" w:sz="8" w:color="auto"/>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6"/>
                <w:szCs w:val="16"/>
                <w:b w:val="1"/>
                <w:bCs w:val="1"/>
                <w:color w:val="auto"/>
              </w:rPr>
              <w:t>$856</w:t>
            </w:r>
          </w:p>
        </w:tc>
        <w:tc>
          <w:tcPr>
            <w:tcW w:w="1380" w:type="dxa"/>
            <w:vAlign w:val="bottom"/>
            <w:tcBorders>
              <w:top w:val="single" w:sz="8" w:color="auto"/>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$493</w:t>
            </w:r>
          </w:p>
        </w:tc>
        <w:tc>
          <w:tcPr>
            <w:tcW w:w="1340" w:type="dxa"/>
            <w:vAlign w:val="bottom"/>
            <w:tcBorders>
              <w:top w:val="single" w:sz="8" w:color="auto"/>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b w:val="1"/>
                <w:bCs w:val="1"/>
                <w:color w:val="auto"/>
              </w:rPr>
              <w:t>$1,321</w:t>
            </w:r>
          </w:p>
        </w:tc>
        <w:tc>
          <w:tcPr>
            <w:tcW w:w="1360" w:type="dxa"/>
            <w:vAlign w:val="bottom"/>
            <w:tcBorders>
              <w:top w:val="single" w:sz="8" w:color="auto"/>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$760</w:t>
            </w: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380" w:type="dxa"/>
            <w:vAlign w:val="bottom"/>
            <w:tcBorders>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6"/>
                <w:szCs w:val="16"/>
                <w:b w:val="1"/>
                <w:bCs w:val="1"/>
                <w:color w:val="auto"/>
              </w:rPr>
              <w:t>4</w:t>
            </w:r>
          </w:p>
        </w:tc>
        <w:tc>
          <w:tcPr>
            <w:tcW w:w="138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5</w:t>
            </w:r>
          </w:p>
        </w:tc>
        <w:tc>
          <w:tcPr>
            <w:tcW w:w="1340" w:type="dxa"/>
            <w:vAlign w:val="bottom"/>
            <w:tcBorders>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b w:val="1"/>
                <w:bCs w:val="1"/>
                <w:color w:val="auto"/>
              </w:rPr>
              <w:t>8</w:t>
            </w:r>
          </w:p>
        </w:tc>
        <w:tc>
          <w:tcPr>
            <w:tcW w:w="136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r>
      <w:tr>
        <w:trPr>
          <w:trHeight w:val="264"/>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380" w:type="dxa"/>
            <w:vAlign w:val="bottom"/>
            <w:tcBorders>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6"/>
                <w:szCs w:val="16"/>
                <w:b w:val="1"/>
                <w:bCs w:val="1"/>
                <w:color w:val="auto"/>
              </w:rPr>
              <w:t>$860</w:t>
            </w:r>
          </w:p>
        </w:tc>
        <w:tc>
          <w:tcPr>
            <w:tcW w:w="138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$498</w:t>
            </w:r>
          </w:p>
        </w:tc>
        <w:tc>
          <w:tcPr>
            <w:tcW w:w="1340" w:type="dxa"/>
            <w:vAlign w:val="bottom"/>
            <w:tcBorders>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b w:val="1"/>
                <w:bCs w:val="1"/>
                <w:color w:val="auto"/>
              </w:rPr>
              <w:t>$1,329</w:t>
            </w:r>
          </w:p>
        </w:tc>
        <w:tc>
          <w:tcPr>
            <w:tcW w:w="136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$771</w:t>
            </w:r>
          </w:p>
        </w:tc>
      </w:tr>
    </w:tbl>
    <w:p>
      <w:pPr>
        <w:spacing w:after="0" w:line="199" w:lineRule="exact"/>
        <w:rPr>
          <w:sz w:val="20"/>
          <w:szCs w:val="20"/>
          <w:color w:val="auto"/>
        </w:rPr>
      </w:pPr>
    </w:p>
    <w:p>
      <w:pPr>
        <w:ind w:left="640" w:right="20" w:hanging="321"/>
        <w:spacing w:after="0" w:line="246" w:lineRule="auto"/>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Retail segment’s GAAP segment earnings of $856 million in 2Q19 increased $363 million, or 74 percent, from GAAP segment earnings of $493 million in 2Q18. The year-over-year favorable comparison was impacted by the segment's lower benefit and operating cost ratios in 2Q19, as well as increased premiums, primarily associated with significant growth in the company's individual Medicare Advantage membership.</w:t>
      </w:r>
    </w:p>
    <w:p>
      <w:pPr>
        <w:spacing w:after="0" w:line="191" w:lineRule="exact"/>
        <w:rPr>
          <w:rFonts w:ascii="Arial" w:cs="Arial" w:eastAsia="Arial" w:hAnsi="Arial"/>
          <w:sz w:val="20"/>
          <w:szCs w:val="20"/>
          <w:color w:val="auto"/>
        </w:rPr>
      </w:pPr>
    </w:p>
    <w:p>
      <w:pPr>
        <w:ind w:left="640" w:right="20" w:hanging="321"/>
        <w:spacing w:after="0" w:line="242" w:lineRule="auto"/>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For YTD 2019, GAAP segment earnings for the Retail segment of $1.32 billion increased $561 million, or 74 percent, from $760 million in YTD 2018. The year-over-year increase primarily reflects the lower operating cost ratio in 2Q19 along with increased premiums associated with the significant growth in individual Medicare Advantage membership. These increases were partially offset by the segment's higher benefit ratio in YTD 2019 as described above. As expected, the company's higher-than-anticipated individual Medicare Advantage membership growth during the recently completed AEP had a muted impact on the segment's earnings in YTD 2019. While new Medicare Advantage members increase revenues, on average, they have a breakeven impact on segment earnings in the first year as they were not previously engaged in clinical program or appropriately documented under the CMS risk-adjustment model, and accordingly, carry a higher benefit ratio.</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Humana’s Group and Specialty Segment</w:t>
      </w:r>
    </w:p>
    <w:p>
      <w:pPr>
        <w:spacing w:after="0" w:line="253" w:lineRule="exact"/>
        <w:rPr>
          <w:sz w:val="20"/>
          <w:szCs w:val="20"/>
          <w:color w:val="auto"/>
        </w:rPr>
      </w:pPr>
    </w:p>
    <w:p>
      <w:pPr>
        <w:ind w:right="460"/>
        <w:spacing w:after="0" w:line="243" w:lineRule="auto"/>
        <w:rPr>
          <w:sz w:val="20"/>
          <w:szCs w:val="20"/>
          <w:color w:val="auto"/>
        </w:rPr>
      </w:pPr>
      <w:r>
        <w:rPr>
          <w:rFonts w:ascii="Arial" w:cs="Arial" w:eastAsia="Arial" w:hAnsi="Arial"/>
          <w:sz w:val="20"/>
          <w:szCs w:val="20"/>
          <w:color w:val="auto"/>
        </w:rPr>
        <w:t>This segment consists of the company’s employer group fully-insured commercial medical products and specialty insurance benefits marketed to individuals and groups, including dental, vision, and life insurance benefits. In addition, the segment also includes the company’s administrative services only (ASO) products and its military services businesses.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Group and Specialty segment revenues:</w:t>
      </w:r>
    </w:p>
    <w:p>
      <w:pPr>
        <w:spacing w:after="0" w:line="226" w:lineRule="exact"/>
        <w:rPr>
          <w:sz w:val="20"/>
          <w:szCs w:val="20"/>
          <w:color w:val="auto"/>
        </w:rPr>
      </w:pPr>
    </w:p>
    <w:p>
      <w:pPr>
        <w:ind w:left="640" w:right="60" w:hanging="321"/>
        <w:spacing w:after="0" w:line="260" w:lineRule="auto"/>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2Q19 revenues for the Group and Specialty segment were $1.87 billion, down $32 million, or 2 percent, from $1.91 billion in 2Q18. The year-over-year decrease was primarily due to the following factors:</w:t>
      </w:r>
    </w:p>
    <w:p>
      <w:pPr>
        <w:spacing w:after="0" w:line="190" w:lineRule="exact"/>
        <w:rPr>
          <w:rFonts w:ascii="Arial" w:cs="Arial" w:eastAsia="Arial" w:hAnsi="Arial"/>
          <w:sz w:val="20"/>
          <w:szCs w:val="20"/>
          <w:color w:val="auto"/>
        </w:rPr>
      </w:pPr>
    </w:p>
    <w:p>
      <w:pPr>
        <w:ind w:left="980" w:hanging="324"/>
        <w:spacing w:after="0"/>
        <w:tabs>
          <w:tab w:leader="none" w:pos="9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a decline in the company's fully-insured group commercial and specialty membership,</w:t>
      </w:r>
    </w:p>
    <w:p>
      <w:pPr>
        <w:spacing w:after="0" w:line="215" w:lineRule="exact"/>
        <w:rPr>
          <w:rFonts w:ascii="Arial" w:cs="Arial" w:eastAsia="Arial" w:hAnsi="Arial"/>
          <w:sz w:val="20"/>
          <w:szCs w:val="20"/>
          <w:color w:val="auto"/>
        </w:rPr>
      </w:pPr>
    </w:p>
    <w:p>
      <w:pPr>
        <w:ind w:left="980" w:right="500" w:hanging="324"/>
        <w:spacing w:after="0" w:line="247" w:lineRule="auto"/>
        <w:tabs>
          <w:tab w:leader="none" w:pos="98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impact of certain contractual incentives and adjustments related to the previous TRICARE contract received in 2Q18, which did not recur in 2Q19, and</w:t>
      </w:r>
    </w:p>
    <w:p>
      <w:pPr>
        <w:spacing w:after="0" w:line="201" w:lineRule="exact"/>
        <w:rPr>
          <w:rFonts w:ascii="Arial" w:cs="Arial" w:eastAsia="Arial" w:hAnsi="Arial"/>
          <w:sz w:val="20"/>
          <w:szCs w:val="20"/>
          <w:color w:val="auto"/>
        </w:rPr>
      </w:pPr>
    </w:p>
    <w:p>
      <w:pPr>
        <w:ind w:left="1300" w:right="80" w:hanging="644"/>
        <w:spacing w:after="0" w:line="247" w:lineRule="auto"/>
        <w:tabs>
          <w:tab w:leader="none" w:pos="976"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reduction in year-over-year premium revenues related to the company's WVB and FPP lines of business due to the exit of these businesses in connection with Humana's divestiture of KMG during 2Q18.</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These decreases were partially offset by the following factors:</w:t>
      </w:r>
    </w:p>
    <w:p>
      <w:pPr>
        <w:spacing w:after="0" w:line="216" w:lineRule="exact"/>
        <w:rPr>
          <w:sz w:val="20"/>
          <w:szCs w:val="20"/>
          <w:color w:val="auto"/>
        </w:rPr>
      </w:pPr>
    </w:p>
    <w:p>
      <w:pPr>
        <w:ind w:left="980" w:right="280" w:hanging="324"/>
        <w:spacing w:after="0" w:line="247"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higher stop-loss revenues related to the company's level-funded ASO accounts resulting from membership growth in this product as more fully described below; and</w:t>
      </w:r>
    </w:p>
    <w:p>
      <w:pPr>
        <w:spacing w:after="0" w:line="201" w:lineRule="exact"/>
        <w:rPr>
          <w:rFonts w:ascii="Arial" w:cs="Arial" w:eastAsia="Arial" w:hAnsi="Arial"/>
          <w:sz w:val="20"/>
          <w:szCs w:val="20"/>
          <w:color w:val="auto"/>
        </w:rPr>
      </w:pPr>
    </w:p>
    <w:p>
      <w:pPr>
        <w:ind w:left="980" w:right="100" w:hanging="324"/>
        <w:spacing w:after="0" w:line="247" w:lineRule="auto"/>
        <w:tabs>
          <w:tab w:leader="none" w:pos="9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lower unfavorable commercial risk adjustment (CRA) payable estimate in 2Q19 as compared to 2Q18 which resulted in higher small group fully-insured commercial revenues year-over-year.</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40"/>
          </w:cols>
          <w:pgMar w:left="240" w:top="801" w:right="219" w:bottom="1440" w:gutter="0" w:footer="0" w:header="0"/>
        </w:sectPr>
      </w:pPr>
    </w:p>
    <w:bookmarkStart w:id="21" w:name="page22"/>
    <w:bookmarkEnd w:id="21"/>
    <w:p>
      <w:pPr>
        <w:ind w:left="660" w:right="40" w:hanging="328"/>
        <w:spacing w:after="0" w:line="287" w:lineRule="auto"/>
        <w:tabs>
          <w:tab w:leader="none" w:pos="6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The YTD 2019 revenues for the Group and Specialty segment were $3.76 billion, down $115 million, or </w:t>
      </w:r>
      <w:r>
        <w:rPr>
          <w:rFonts w:ascii="Arial" w:cs="Arial" w:eastAsia="Arial" w:hAnsi="Arial"/>
          <w:sz w:val="19"/>
          <w:szCs w:val="19"/>
          <w:color w:val="2C2C2C"/>
        </w:rPr>
        <w:t>3 percent</w:t>
      </w:r>
      <w:r>
        <w:rPr>
          <w:rFonts w:ascii="Arial" w:cs="Arial" w:eastAsia="Arial" w:hAnsi="Arial"/>
          <w:sz w:val="19"/>
          <w:szCs w:val="19"/>
          <w:color w:val="auto"/>
        </w:rPr>
        <w:t>, from $3.88 billion in YTD 2018, primarily reflecting the same factors that impacted the year-over-year second quarter comparison.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Group and Specialty segment enrollment:</w:t>
      </w:r>
    </w:p>
    <w:p>
      <w:pPr>
        <w:spacing w:after="0" w:line="216" w:lineRule="exact"/>
        <w:rPr>
          <w:sz w:val="20"/>
          <w:szCs w:val="20"/>
          <w:color w:val="auto"/>
        </w:rPr>
      </w:pPr>
    </w:p>
    <w:p>
      <w:pPr>
        <w:ind w:left="640" w:right="80" w:hanging="321"/>
        <w:spacing w:after="0" w:line="245"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Group fully-insured commercial medical </w:t>
      </w:r>
      <w:r>
        <w:rPr>
          <w:rFonts w:ascii="Arial" w:cs="Arial" w:eastAsia="Arial" w:hAnsi="Arial"/>
          <w:sz w:val="20"/>
          <w:szCs w:val="20"/>
          <w:color w:val="auto"/>
        </w:rPr>
        <w:t>membership was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942,500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at June 30, 2019,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decrease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108,400,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10 percent,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1,050,900 at June 30, 2018, and down 62,200, or 6 percent, from 1,004,700 at December 31, 2018. These anticipated declines primarily reflect lower membership in small group accounts due in part to more small group accounts selecting level-funded ASO products in 2019, as well as the loss of certain large group accounts due to the competitive pricing environment. The portion of group fully-insured commercial medical membership in small group accounts (2-99 sized employer groups) was approximately 61 percent at June 30, 2019 and at December 31, 2018 versus 62 percent at June 30, 2018.</w:t>
      </w:r>
    </w:p>
    <w:p>
      <w:pPr>
        <w:spacing w:after="0" w:line="179" w:lineRule="exact"/>
        <w:rPr>
          <w:rFonts w:ascii="Arial" w:cs="Arial" w:eastAsia="Arial" w:hAnsi="Arial"/>
          <w:sz w:val="20"/>
          <w:szCs w:val="20"/>
          <w:color w:val="auto"/>
        </w:rPr>
      </w:pPr>
    </w:p>
    <w:p>
      <w:pPr>
        <w:ind w:left="640" w:hanging="321"/>
        <w:spacing w:after="0" w:line="246"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Group ASO commercial medical </w:t>
      </w:r>
      <w:r>
        <w:rPr>
          <w:rFonts w:ascii="Arial" w:cs="Arial" w:eastAsia="Arial" w:hAnsi="Arial"/>
          <w:sz w:val="20"/>
          <w:szCs w:val="20"/>
          <w:color w:val="auto"/>
        </w:rPr>
        <w:t>membership was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496,000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at June 30, 2019,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increase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37,200,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8 percent, from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458,800 at June 30, 2018, and up 14,100, or 3 percent, from 481,900 at December 31, 2018. These increases primarily reflect more small group accounts selecting level-funded ASO products, partially offset by the loss of certain large group accounts due to continued discipline in pricing of services for self-funded accounts amid a highly competitive environment. Small group membership comprised 37 percent of group ASO medical membership at June 30, 2019 versus 18 percent at June 30, 2018 and 26 percent at December 31, 2018.</w:t>
      </w:r>
    </w:p>
    <w:p>
      <w:pPr>
        <w:spacing w:after="0" w:line="179" w:lineRule="exact"/>
        <w:rPr>
          <w:rFonts w:ascii="Arial" w:cs="Arial" w:eastAsia="Arial" w:hAnsi="Arial"/>
          <w:sz w:val="20"/>
          <w:szCs w:val="20"/>
          <w:color w:val="auto"/>
        </w:rPr>
      </w:pPr>
    </w:p>
    <w:p>
      <w:pPr>
        <w:ind w:left="640" w:hanging="321"/>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Military services </w:t>
      </w:r>
      <w:r>
        <w:rPr>
          <w:rFonts w:ascii="Arial" w:cs="Arial" w:eastAsia="Arial" w:hAnsi="Arial"/>
          <w:sz w:val="20"/>
          <w:szCs w:val="20"/>
          <w:color w:val="auto"/>
        </w:rPr>
        <w:t>membership was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5,971,400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at June 30, 2019,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increase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39,900,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 percent, from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5,931,500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at</w:t>
      </w:r>
    </w:p>
    <w:p>
      <w:pPr>
        <w:spacing w:after="0" w:line="23" w:lineRule="exact"/>
        <w:rPr>
          <w:rFonts w:ascii="Arial" w:cs="Arial" w:eastAsia="Arial" w:hAnsi="Arial"/>
          <w:sz w:val="20"/>
          <w:szCs w:val="20"/>
          <w:color w:val="auto"/>
        </w:rPr>
      </w:pPr>
    </w:p>
    <w:p>
      <w:pPr>
        <w:jc w:val="both"/>
        <w:ind w:left="640" w:right="220"/>
        <w:spacing w:after="0" w:line="243" w:lineRule="auto"/>
        <w:rPr>
          <w:rFonts w:ascii="Arial" w:cs="Arial" w:eastAsia="Arial" w:hAnsi="Arial"/>
          <w:sz w:val="20"/>
          <w:szCs w:val="20"/>
          <w:color w:val="auto"/>
        </w:rPr>
      </w:pPr>
      <w:r>
        <w:rPr>
          <w:rFonts w:ascii="Arial" w:cs="Arial" w:eastAsia="Arial" w:hAnsi="Arial"/>
          <w:sz w:val="20"/>
          <w:szCs w:val="20"/>
          <w:color w:val="auto"/>
        </w:rPr>
        <w:t>June 30, 2018, and up 42,800, or 1 percent, versus 5,928,600 at December 31, 2018. Membership includes military service members, retirees, and their families to whom the company is providing healthcare services under the current TRICARE East Region contract. The current contract, which covers 32 states, became effective on January 1, 2018.</w:t>
      </w:r>
    </w:p>
    <w:p>
      <w:pPr>
        <w:spacing w:after="0" w:line="182" w:lineRule="exact"/>
        <w:rPr>
          <w:rFonts w:ascii="Arial" w:cs="Arial" w:eastAsia="Arial" w:hAnsi="Arial"/>
          <w:sz w:val="20"/>
          <w:szCs w:val="20"/>
          <w:color w:val="auto"/>
        </w:rPr>
      </w:pPr>
    </w:p>
    <w:p>
      <w:pPr>
        <w:ind w:left="640" w:right="60" w:hanging="321"/>
        <w:spacing w:after="0" w:line="227"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Membership in </w:t>
      </w:r>
      <w:r>
        <w:rPr>
          <w:rFonts w:ascii="Arial" w:cs="Arial" w:eastAsia="Arial" w:hAnsi="Arial"/>
          <w:sz w:val="20"/>
          <w:szCs w:val="20"/>
          <w:b w:val="1"/>
          <w:bCs w:val="1"/>
          <w:i w:val="1"/>
          <w:iCs w:val="1"/>
          <w:color w:val="auto"/>
        </w:rPr>
        <w:t>specialty products</w:t>
      </w:r>
      <w:r>
        <w:rPr>
          <w:rFonts w:ascii="Arial" w:cs="Arial" w:eastAsia="Arial" w:hAnsi="Arial"/>
          <w:sz w:val="27"/>
          <w:szCs w:val="27"/>
          <w:color w:val="auto"/>
          <w:vertAlign w:val="superscript"/>
        </w:rPr>
        <w:t>(i)</w:t>
      </w:r>
      <w:r>
        <w:rPr>
          <w:rFonts w:ascii="Arial" w:cs="Arial" w:eastAsia="Arial" w:hAnsi="Arial"/>
          <w:sz w:val="20"/>
          <w:szCs w:val="20"/>
          <w:color w:val="auto"/>
        </w:rPr>
        <w:t xml:space="preserve"> was 5,860,000 at June 30, 2019, a decrease of 367,700, or 6 percent, from 6,227,700, at June 30, 2018, and down 212,300, or 3 percent, from 6,072,300 at December 31, 2018. The decreases resulted from the previously disclosed exit of the company’s WVB and FPP lines of business in connection with the KMG divestiture, as well as the loss of some group accounts offering stand-alone dental and vision products.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Group and Specialty segment benefits expense:</w:t>
      </w:r>
    </w:p>
    <w:p>
      <w:pPr>
        <w:spacing w:after="0" w:line="226" w:lineRule="exact"/>
        <w:rPr>
          <w:sz w:val="20"/>
          <w:szCs w:val="20"/>
          <w:color w:val="auto"/>
        </w:rPr>
      </w:pPr>
    </w:p>
    <w:p>
      <w:pPr>
        <w:jc w:val="both"/>
        <w:ind w:left="640" w:right="460" w:hanging="321"/>
        <w:spacing w:after="0" w:line="287" w:lineRule="auto"/>
        <w:tabs>
          <w:tab w:leader="none" w:pos="6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2Q19 benefit ratio for the Group and Specialty segment was 86.3 percent, an increase of 590 basis points from 80.4 percent for 2Q18. The year-over-year increase in the benefit ratio is primarily due to the impact of the following factors:</w:t>
      </w:r>
    </w:p>
    <w:p>
      <w:pPr>
        <w:spacing w:after="0" w:line="165" w:lineRule="exact"/>
        <w:rPr>
          <w:rFonts w:ascii="Arial" w:cs="Arial" w:eastAsia="Arial" w:hAnsi="Arial"/>
          <w:sz w:val="19"/>
          <w:szCs w:val="19"/>
          <w:color w:val="auto"/>
        </w:rPr>
      </w:pPr>
    </w:p>
    <w:p>
      <w:pPr>
        <w:ind w:left="980" w:hanging="324"/>
        <w:spacing w:after="0"/>
        <w:tabs>
          <w:tab w:leader="none" w:pos="980"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 impact of unfavorable Prior Period Development in 2Q19,</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impact of the suspension of the HIF in 2019 which was contemplated in the pricing of the company's products, and</w:t>
      </w:r>
    </w:p>
    <w:p>
      <w:pPr>
        <w:spacing w:after="0" w:line="227" w:lineRule="exact"/>
        <w:rPr>
          <w:sz w:val="20"/>
          <w:szCs w:val="20"/>
          <w:color w:val="auto"/>
        </w:rPr>
      </w:pPr>
    </w:p>
    <w:p>
      <w:pPr>
        <w:ind w:left="960" w:hanging="358"/>
        <w:spacing w:after="0"/>
        <w:tabs>
          <w:tab w:leader="none" w:pos="9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membership mix, including the continued migration of fully-insured groups to level-funded ASO products in 2019.</w:t>
      </w:r>
    </w:p>
    <w:p>
      <w:pPr>
        <w:spacing w:after="0" w:line="216" w:lineRule="exact"/>
        <w:rPr>
          <w:sz w:val="20"/>
          <w:szCs w:val="20"/>
          <w:color w:val="auto"/>
        </w:rPr>
      </w:pPr>
    </w:p>
    <w:p>
      <w:pPr>
        <w:ind w:left="660" w:right="140"/>
        <w:spacing w:after="0" w:line="243" w:lineRule="auto"/>
        <w:rPr>
          <w:sz w:val="20"/>
          <w:szCs w:val="20"/>
          <w:color w:val="auto"/>
        </w:rPr>
      </w:pPr>
      <w:r>
        <w:rPr>
          <w:rFonts w:ascii="Arial" w:cs="Arial" w:eastAsia="Arial" w:hAnsi="Arial"/>
          <w:sz w:val="20"/>
          <w:szCs w:val="20"/>
          <w:color w:val="auto"/>
        </w:rPr>
        <w:t>The above items were partially offset by the smaller unfavorable premium adjustment in 2Q19 versus 2Q18 related to the company's CRA accrual associated with its Affordable Care Act (ACA)-compliant business as a result of the release of CMS’s final 2018 CRA data.</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80"/>
          </w:cols>
          <w:pgMar w:left="240" w:top="811" w:right="279" w:bottom="1440" w:gutter="0" w:footer="0" w:header="0"/>
        </w:sectPr>
      </w:pPr>
    </w:p>
    <w:bookmarkStart w:id="22" w:name="page23"/>
    <w:bookmarkEnd w:id="22"/>
    <w:p>
      <w:pPr>
        <w:ind w:left="640" w:right="80" w:hanging="321"/>
        <w:spacing w:after="0" w:line="287" w:lineRule="auto"/>
        <w:tabs>
          <w:tab w:leader="none" w:pos="6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YTD 2019 benefit ratio for the segment of 81.3 percent was 460 basis points higher than the YTD 2018 ratio of 76.7 percent. The year-to-date comparison was primarily impacted by the same factors affecting the second quarter comparison.</w:t>
      </w:r>
    </w:p>
    <w:p>
      <w:pPr>
        <w:spacing w:after="0" w:line="165" w:lineRule="exact"/>
        <w:rPr>
          <w:rFonts w:ascii="Arial" w:cs="Arial" w:eastAsia="Arial" w:hAnsi="Arial"/>
          <w:sz w:val="19"/>
          <w:szCs w:val="19"/>
          <w:color w:val="auto"/>
        </w:rPr>
      </w:pPr>
    </w:p>
    <w:p>
      <w:pPr>
        <w:ind w:left="640" w:right="140" w:hanging="321"/>
        <w:spacing w:after="0" w:line="243" w:lineRule="auto"/>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Prior Period Development for the Group and Specialty segment, as noted in the table below, increased the 2Q19 segment benefit ratio by 120 basis points but did not impact the 2Q18 ratio. Prior Period Development increased the YTD 2019 segment benefit ratio by 110 basis points while lowering the YTD 2018 ratio by 100 basis points.</w:t>
      </w:r>
    </w:p>
    <w:p>
      <w:pPr>
        <w:spacing w:after="0" w:line="325" w:lineRule="exact"/>
        <w:rPr>
          <w:sz w:val="20"/>
          <w:szCs w:val="20"/>
          <w:color w:val="auto"/>
        </w:rPr>
      </w:pPr>
    </w:p>
    <w:tbl>
      <w:tblPr>
        <w:tblLayout w:type="fixed"/>
        <w:tblInd w:w="670" w:type="dxa"/>
        <w:tblCellMar>
          <w:top w:w="0" w:type="dxa"/>
          <w:left w:w="0" w:type="dxa"/>
          <w:bottom w:w="0" w:type="dxa"/>
          <w:right w:w="0" w:type="dxa"/>
        </w:tblCellMar>
      </w:tblPr>
      <w:tr>
        <w:trPr>
          <w:trHeight w:val="401"/>
        </w:trPr>
        <w:tc>
          <w:tcPr>
            <w:tcW w:w="6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Group and Specialty segment Prior Period Development </w:t>
            </w:r>
            <w:r>
              <w:rPr>
                <w:rFonts w:ascii="Arial" w:cs="Arial" w:eastAsia="Arial" w:hAnsi="Arial"/>
                <w:sz w:val="14"/>
                <w:szCs w:val="14"/>
                <w:color w:val="auto"/>
              </w:rPr>
              <w:t>(in millions)</w:t>
            </w:r>
          </w:p>
        </w:tc>
        <w:tc>
          <w:tcPr>
            <w:tcW w:w="1180" w:type="dxa"/>
            <w:vAlign w:val="bottom"/>
            <w:tcBorders>
              <w:top w:val="single" w:sz="8" w:color="auto"/>
              <w:right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First</w:t>
            </w:r>
          </w:p>
        </w:tc>
        <w:tc>
          <w:tcPr>
            <w:tcW w:w="1180" w:type="dxa"/>
            <w:vAlign w:val="bottom"/>
            <w:tcBorders>
              <w:top w:val="single" w:sz="8" w:color="auto"/>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Second</w:t>
            </w:r>
          </w:p>
        </w:tc>
        <w:tc>
          <w:tcPr>
            <w:tcW w:w="1180" w:type="dxa"/>
            <w:vAlign w:val="bottom"/>
            <w:tcBorders>
              <w:top w:val="single" w:sz="8" w:color="auto"/>
              <w:right w:val="single" w:sz="8" w:color="auto"/>
            </w:tcBorders>
            <w:shd w:val="clear" w:color="auto" w:fill="EAEAEA"/>
          </w:tcPr>
          <w:p>
            <w:pPr>
              <w:jc w:val="right"/>
              <w:ind w:right="259"/>
              <w:spacing w:after="0"/>
              <w:rPr>
                <w:sz w:val="20"/>
                <w:szCs w:val="20"/>
                <w:color w:val="auto"/>
              </w:rPr>
            </w:pPr>
            <w:r>
              <w:rPr>
                <w:rFonts w:ascii="Arial" w:cs="Arial" w:eastAsia="Arial" w:hAnsi="Arial"/>
                <w:sz w:val="16"/>
                <w:szCs w:val="16"/>
                <w:b w:val="1"/>
                <w:bCs w:val="1"/>
                <w:color w:val="auto"/>
              </w:rPr>
              <w:t>Year to</w:t>
            </w:r>
          </w:p>
        </w:tc>
      </w:tr>
      <w:tr>
        <w:trPr>
          <w:trHeight w:val="228"/>
        </w:trPr>
        <w:tc>
          <w:tcPr>
            <w:tcW w:w="6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Favorable (unfavorable)</w:t>
            </w:r>
          </w:p>
        </w:tc>
        <w:tc>
          <w:tcPr>
            <w:tcW w:w="11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Quarter</w:t>
            </w:r>
          </w:p>
        </w:tc>
        <w:tc>
          <w:tcPr>
            <w:tcW w:w="11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Quarter</w:t>
            </w:r>
          </w:p>
        </w:tc>
        <w:tc>
          <w:tcPr>
            <w:tcW w:w="1180" w:type="dxa"/>
            <w:vAlign w:val="bottom"/>
            <w:tcBorders>
              <w:bottom w:val="single" w:sz="8" w:color="auto"/>
              <w:right w:val="single" w:sz="8" w:color="auto"/>
            </w:tcBorders>
            <w:shd w:val="clear" w:color="auto" w:fill="EAEAEA"/>
          </w:tcPr>
          <w:p>
            <w:pPr>
              <w:jc w:val="right"/>
              <w:ind w:right="339"/>
              <w:spacing w:after="0"/>
              <w:rPr>
                <w:sz w:val="20"/>
                <w:szCs w:val="20"/>
                <w:color w:val="auto"/>
              </w:rPr>
            </w:pPr>
            <w:r>
              <w:rPr>
                <w:rFonts w:ascii="Arial" w:cs="Arial" w:eastAsia="Arial" w:hAnsi="Arial"/>
                <w:sz w:val="16"/>
                <w:szCs w:val="16"/>
                <w:b w:val="1"/>
                <w:bCs w:val="1"/>
                <w:color w:val="auto"/>
              </w:rPr>
              <w:t>Date</w:t>
            </w:r>
          </w:p>
        </w:tc>
      </w:tr>
      <w:tr>
        <w:trPr>
          <w:trHeight w:val="264"/>
        </w:trPr>
        <w:tc>
          <w:tcPr>
            <w:tcW w:w="6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Prior Period Development from prior years recognized in YTD 2019</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1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($36)</w:t>
            </w:r>
          </w:p>
        </w:tc>
      </w:tr>
      <w:tr>
        <w:trPr>
          <w:trHeight w:val="264"/>
        </w:trPr>
        <w:tc>
          <w:tcPr>
            <w:tcW w:w="6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Prior Period Development from prior years recognized in YTD 2018</w:t>
            </w:r>
          </w:p>
        </w:tc>
        <w:tc>
          <w:tcPr>
            <w:tcW w:w="11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1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$34</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Group and Specialty segment operating costs:</w:t>
      </w:r>
    </w:p>
    <w:p>
      <w:pPr>
        <w:spacing w:after="0" w:line="226" w:lineRule="exact"/>
        <w:rPr>
          <w:sz w:val="20"/>
          <w:szCs w:val="20"/>
          <w:color w:val="auto"/>
        </w:rPr>
      </w:pPr>
    </w:p>
    <w:p>
      <w:pPr>
        <w:ind w:left="640" w:right="240" w:hanging="321"/>
        <w:spacing w:after="0" w:line="260" w:lineRule="auto"/>
        <w:tabs>
          <w:tab w:leader="none" w:pos="6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Group and Specialty segment’s operating cost ratio was 21.7 percent in 2Q19, a decrease of 180 basis points from 23.5 percent in 2Q18 primarily reflecting the following factors:</w:t>
      </w:r>
    </w:p>
    <w:p>
      <w:pPr>
        <w:spacing w:after="0" w:line="190" w:lineRule="exact"/>
        <w:rPr>
          <w:rFonts w:ascii="Arial" w:cs="Arial" w:eastAsia="Arial" w:hAnsi="Arial"/>
          <w:sz w:val="20"/>
          <w:szCs w:val="20"/>
          <w:color w:val="auto"/>
        </w:rPr>
      </w:pPr>
    </w:p>
    <w:p>
      <w:pPr>
        <w:ind w:left="980" w:right="200" w:hanging="324"/>
        <w:spacing w:after="0" w:line="247" w:lineRule="auto"/>
        <w:tabs>
          <w:tab w:leader="none" w:pos="9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suspension of the HIF in 2019, which increased the segment's 2Q18 GAAP operating cost ratio by approximately 160 basis points,</w:t>
      </w:r>
    </w:p>
    <w:p>
      <w:pPr>
        <w:spacing w:after="0" w:line="201" w:lineRule="exact"/>
        <w:rPr>
          <w:rFonts w:ascii="Arial" w:cs="Arial" w:eastAsia="Arial" w:hAnsi="Arial"/>
          <w:sz w:val="20"/>
          <w:szCs w:val="20"/>
          <w:color w:val="auto"/>
        </w:rPr>
      </w:pPr>
    </w:p>
    <w:p>
      <w:pPr>
        <w:ind w:left="980" w:hanging="324"/>
        <w:spacing w:after="0"/>
        <w:tabs>
          <w:tab w:leader="none" w:pos="9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significant operating cost efficiencies in 2019 driven by previously implemented productivity initiatives, and</w:t>
      </w:r>
    </w:p>
    <w:p>
      <w:pPr>
        <w:spacing w:after="0" w:line="215" w:lineRule="exact"/>
        <w:rPr>
          <w:rFonts w:ascii="Arial" w:cs="Arial" w:eastAsia="Arial" w:hAnsi="Arial"/>
          <w:sz w:val="20"/>
          <w:szCs w:val="20"/>
          <w:color w:val="auto"/>
        </w:rPr>
      </w:pPr>
    </w:p>
    <w:p>
      <w:pPr>
        <w:ind w:left="1220" w:right="40" w:hanging="564"/>
        <w:spacing w:after="0" w:line="247" w:lineRule="auto"/>
        <w:tabs>
          <w:tab w:leader="none" w:pos="977"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exit of the WVB and FPP lines of business in connection with the KMG divestiture during late 2Q18, which carried a higher operating cost ratio.</w:t>
      </w:r>
    </w:p>
    <w:p>
      <w:pPr>
        <w:spacing w:after="0" w:line="202" w:lineRule="exact"/>
        <w:rPr>
          <w:sz w:val="20"/>
          <w:szCs w:val="20"/>
          <w:color w:val="auto"/>
        </w:rPr>
      </w:pPr>
    </w:p>
    <w:p>
      <w:pPr>
        <w:ind w:left="660" w:right="580"/>
        <w:spacing w:after="0" w:line="247" w:lineRule="auto"/>
        <w:rPr>
          <w:sz w:val="20"/>
          <w:szCs w:val="20"/>
          <w:color w:val="auto"/>
        </w:rPr>
      </w:pPr>
      <w:r>
        <w:rPr>
          <w:rFonts w:ascii="Arial" w:cs="Arial" w:eastAsia="Arial" w:hAnsi="Arial"/>
          <w:sz w:val="20"/>
          <w:szCs w:val="20"/>
          <w:color w:val="auto"/>
        </w:rPr>
        <w:t>These improvements were offset by the higher compensation expense accruals in 2Q19 for the AIP as a result of the continued strong performance of the company.</w:t>
      </w:r>
    </w:p>
    <w:p>
      <w:pPr>
        <w:spacing w:after="0" w:line="189" w:lineRule="exact"/>
        <w:rPr>
          <w:sz w:val="20"/>
          <w:szCs w:val="20"/>
          <w:color w:val="auto"/>
        </w:rPr>
      </w:pPr>
    </w:p>
    <w:p>
      <w:pPr>
        <w:ind w:left="640" w:right="140" w:hanging="321"/>
        <w:spacing w:after="0" w:line="246" w:lineRule="auto"/>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Group and Specialty segment’s operating cost ratio of 21.8 percent for YTD 2019 was down 180 basis points compared to 23.6 percent for YTD 2018. The year-over-year decrease was primarily impacted by the same factors influencing the second quarter comparison. The non-deductible HIF impacted the segment’s YTD 2018 operating cost ratio by approximately 160 basis points.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Group and Specialty segment results:</w:t>
      </w:r>
    </w:p>
    <w:p>
      <w:pPr>
        <w:spacing w:after="0" w:line="358" w:lineRule="exact"/>
        <w:rPr>
          <w:sz w:val="20"/>
          <w:szCs w:val="20"/>
          <w:color w:val="auto"/>
        </w:rPr>
      </w:pPr>
    </w:p>
    <w:tbl>
      <w:tblPr>
        <w:tblLayout w:type="fixed"/>
        <w:tblInd w:w="190" w:type="dxa"/>
        <w:tblCellMar>
          <w:top w:w="0" w:type="dxa"/>
          <w:left w:w="0" w:type="dxa"/>
          <w:bottom w:w="0" w:type="dxa"/>
          <w:right w:w="0" w:type="dxa"/>
        </w:tblCellMar>
      </w:tblPr>
      <w:tr>
        <w:trPr>
          <w:trHeight w:val="188"/>
        </w:trPr>
        <w:tc>
          <w:tcPr>
            <w:tcW w:w="6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Group and Specialty segment earnings</w:t>
            </w:r>
          </w:p>
        </w:tc>
        <w:tc>
          <w:tcPr>
            <w:tcW w:w="1260" w:type="dxa"/>
            <w:vAlign w:val="bottom"/>
            <w:tcBorders>
              <w:top w:val="single" w:sz="8" w:color="auto"/>
              <w:right w:val="single" w:sz="8" w:color="auto"/>
            </w:tcBorders>
            <w:shd w:val="clear" w:color="auto" w:fill="EAEAEA"/>
          </w:tcPr>
          <w:p>
            <w:pPr>
              <w:spacing w:after="0"/>
              <w:rPr>
                <w:sz w:val="16"/>
                <w:szCs w:val="16"/>
                <w:color w:val="auto"/>
              </w:rPr>
            </w:pPr>
          </w:p>
        </w:tc>
        <w:tc>
          <w:tcPr>
            <w:tcW w:w="1240" w:type="dxa"/>
            <w:vAlign w:val="bottom"/>
            <w:tcBorders>
              <w:top w:val="single" w:sz="8" w:color="auto"/>
              <w:right w:val="single" w:sz="8" w:color="auto"/>
            </w:tcBorders>
          </w:tcPr>
          <w:p>
            <w:pPr>
              <w:spacing w:after="0"/>
              <w:rPr>
                <w:sz w:val="16"/>
                <w:szCs w:val="16"/>
                <w:color w:val="auto"/>
              </w:rPr>
            </w:pPr>
          </w:p>
        </w:tc>
        <w:tc>
          <w:tcPr>
            <w:tcW w:w="1220" w:type="dxa"/>
            <w:vAlign w:val="bottom"/>
            <w:tcBorders>
              <w:top w:val="single" w:sz="8" w:color="auto"/>
              <w:right w:val="single" w:sz="8" w:color="auto"/>
            </w:tcBorders>
            <w:shd w:val="clear" w:color="auto" w:fill="EAEAEA"/>
          </w:tcPr>
          <w:p>
            <w:pPr>
              <w:spacing w:after="0"/>
              <w:rPr>
                <w:sz w:val="16"/>
                <w:szCs w:val="16"/>
                <w:color w:val="auto"/>
              </w:rPr>
            </w:pPr>
          </w:p>
        </w:tc>
        <w:tc>
          <w:tcPr>
            <w:tcW w:w="1220" w:type="dxa"/>
            <w:vAlign w:val="bottom"/>
            <w:tcBorders>
              <w:top w:val="single" w:sz="8" w:color="auto"/>
              <w:right w:val="single" w:sz="8" w:color="auto"/>
            </w:tcBorders>
          </w:tcPr>
          <w:p>
            <w:pPr>
              <w:spacing w:after="0"/>
              <w:rPr>
                <w:sz w:val="16"/>
                <w:szCs w:val="16"/>
                <w:color w:val="auto"/>
              </w:rPr>
            </w:pPr>
          </w:p>
        </w:tc>
      </w:tr>
      <w:tr>
        <w:trPr>
          <w:trHeight w:val="230"/>
        </w:trPr>
        <w:tc>
          <w:tcPr>
            <w:tcW w:w="6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1260" w:type="dxa"/>
            <w:vAlign w:val="bottom"/>
            <w:tcBorders>
              <w:bottom w:val="single" w:sz="8" w:color="EAEAEA"/>
              <w:right w:val="single" w:sz="8" w:color="auto"/>
            </w:tcBorders>
            <w:shd w:val="clear" w:color="auto" w:fill="EAEAEA"/>
          </w:tcPr>
          <w:p>
            <w:pPr>
              <w:jc w:val="right"/>
              <w:ind w:right="281"/>
              <w:spacing w:after="0"/>
              <w:rPr>
                <w:sz w:val="20"/>
                <w:szCs w:val="20"/>
                <w:color w:val="auto"/>
              </w:rPr>
            </w:pPr>
            <w:r>
              <w:rPr>
                <w:rFonts w:ascii="Arial" w:cs="Arial" w:eastAsia="Arial" w:hAnsi="Arial"/>
                <w:sz w:val="14"/>
                <w:szCs w:val="14"/>
                <w:b w:val="1"/>
                <w:bCs w:val="1"/>
                <w:color w:val="auto"/>
                <w:shd w:val="clear" w:color="auto" w:fill="EAEAEA"/>
              </w:rPr>
              <w:t>2Q19 (a)</w:t>
            </w:r>
          </w:p>
        </w:tc>
        <w:tc>
          <w:tcPr>
            <w:tcW w:w="1240" w:type="dxa"/>
            <w:vAlign w:val="bottom"/>
            <w:tcBorders>
              <w:right w:val="single" w:sz="8" w:color="auto"/>
            </w:tcBorders>
          </w:tcPr>
          <w:p>
            <w:pPr>
              <w:jc w:val="right"/>
              <w:ind w:right="261"/>
              <w:spacing w:after="0"/>
              <w:rPr>
                <w:sz w:val="20"/>
                <w:szCs w:val="20"/>
                <w:color w:val="auto"/>
              </w:rPr>
            </w:pPr>
            <w:r>
              <w:rPr>
                <w:rFonts w:ascii="Arial" w:cs="Arial" w:eastAsia="Arial" w:hAnsi="Arial"/>
                <w:sz w:val="14"/>
                <w:szCs w:val="14"/>
                <w:color w:val="auto"/>
              </w:rPr>
              <w:t>2Q18 (b)</w:t>
            </w:r>
          </w:p>
        </w:tc>
        <w:tc>
          <w:tcPr>
            <w:tcW w:w="1220" w:type="dxa"/>
            <w:vAlign w:val="bottom"/>
            <w:tcBorders>
              <w:bottom w:val="single" w:sz="8" w:color="EAEAEA"/>
              <w:right w:val="single" w:sz="8" w:color="auto"/>
            </w:tcBorders>
            <w:shd w:val="clear" w:color="auto" w:fill="EAEAEA"/>
          </w:tcPr>
          <w:p>
            <w:pPr>
              <w:jc w:val="right"/>
              <w:ind w:right="121"/>
              <w:spacing w:after="0"/>
              <w:rPr>
                <w:sz w:val="20"/>
                <w:szCs w:val="20"/>
                <w:color w:val="auto"/>
              </w:rPr>
            </w:pPr>
            <w:r>
              <w:rPr>
                <w:rFonts w:ascii="Arial" w:cs="Arial" w:eastAsia="Arial" w:hAnsi="Arial"/>
                <w:sz w:val="14"/>
                <w:szCs w:val="14"/>
                <w:b w:val="1"/>
                <w:bCs w:val="1"/>
                <w:color w:val="auto"/>
                <w:shd w:val="clear" w:color="auto" w:fill="EAEAEA"/>
              </w:rPr>
              <w:t>YTD 2019 (c)</w:t>
            </w:r>
          </w:p>
        </w:tc>
        <w:tc>
          <w:tcPr>
            <w:tcW w:w="1220" w:type="dxa"/>
            <w:vAlign w:val="bottom"/>
            <w:tcBorders>
              <w:right w:val="single" w:sz="8" w:color="auto"/>
            </w:tcBorders>
          </w:tcPr>
          <w:p>
            <w:pPr>
              <w:jc w:val="right"/>
              <w:ind w:right="101"/>
              <w:spacing w:after="0"/>
              <w:rPr>
                <w:sz w:val="20"/>
                <w:szCs w:val="20"/>
                <w:color w:val="auto"/>
              </w:rPr>
            </w:pPr>
            <w:r>
              <w:rPr>
                <w:rFonts w:ascii="Arial" w:cs="Arial" w:eastAsia="Arial" w:hAnsi="Arial"/>
                <w:sz w:val="14"/>
                <w:szCs w:val="14"/>
                <w:color w:val="auto"/>
              </w:rPr>
              <w:t>YTD 2018 (d)</w:t>
            </w:r>
          </w:p>
        </w:tc>
      </w:tr>
      <w:tr>
        <w:trPr>
          <w:trHeight w:val="257"/>
        </w:trPr>
        <w:tc>
          <w:tcPr>
            <w:tcW w:w="63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260" w:type="dxa"/>
            <w:vAlign w:val="bottom"/>
            <w:tcBorders>
              <w:top w:val="single" w:sz="8" w:color="auto"/>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6"/>
                <w:szCs w:val="16"/>
                <w:b w:val="1"/>
                <w:bCs w:val="1"/>
                <w:color w:val="auto"/>
              </w:rPr>
              <w:t>$5</w:t>
            </w:r>
          </w:p>
        </w:tc>
        <w:tc>
          <w:tcPr>
            <w:tcW w:w="1240" w:type="dxa"/>
            <w:vAlign w:val="bottom"/>
            <w:tcBorders>
              <w:top w:val="single" w:sz="8" w:color="auto"/>
              <w:bottom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$80</w:t>
            </w:r>
          </w:p>
        </w:tc>
        <w:tc>
          <w:tcPr>
            <w:tcW w:w="1220" w:type="dxa"/>
            <w:vAlign w:val="bottom"/>
            <w:tcBorders>
              <w:top w:val="single" w:sz="8" w:color="auto"/>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b w:val="1"/>
                <w:bCs w:val="1"/>
                <w:color w:val="auto"/>
              </w:rPr>
              <w:t>$170</w:t>
            </w:r>
          </w:p>
        </w:tc>
        <w:tc>
          <w:tcPr>
            <w:tcW w:w="1220" w:type="dxa"/>
            <w:vAlign w:val="bottom"/>
            <w:tcBorders>
              <w:top w:val="single" w:sz="8" w:color="auto"/>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$291</w:t>
            </w:r>
          </w:p>
        </w:tc>
      </w:tr>
      <w:tr>
        <w:trPr>
          <w:trHeight w:val="237"/>
        </w:trPr>
        <w:tc>
          <w:tcPr>
            <w:tcW w:w="6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260" w:type="dxa"/>
            <w:vAlign w:val="bottom"/>
            <w:tcBorders>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6"/>
                <w:szCs w:val="16"/>
                <w:b w:val="1"/>
                <w:bCs w:val="1"/>
                <w:color w:val="auto"/>
              </w:rPr>
              <w:t>1</w:t>
            </w:r>
          </w:p>
        </w:tc>
        <w:tc>
          <w:tcPr>
            <w:tcW w:w="124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b w:val="1"/>
                <w:bCs w:val="1"/>
                <w:color w:val="auto"/>
              </w:rPr>
              <w:t>2</w:t>
            </w:r>
          </w:p>
        </w:tc>
        <w:tc>
          <w:tcPr>
            <w:tcW w:w="122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3</w:t>
            </w:r>
          </w:p>
        </w:tc>
      </w:tr>
      <w:tr>
        <w:trPr>
          <w:trHeight w:val="264"/>
        </w:trPr>
        <w:tc>
          <w:tcPr>
            <w:tcW w:w="6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260" w:type="dxa"/>
            <w:vAlign w:val="bottom"/>
            <w:tcBorders>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6"/>
                <w:szCs w:val="16"/>
                <w:b w:val="1"/>
                <w:bCs w:val="1"/>
                <w:color w:val="auto"/>
              </w:rPr>
              <w:t>$6</w:t>
            </w:r>
          </w:p>
        </w:tc>
        <w:tc>
          <w:tcPr>
            <w:tcW w:w="124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$82</w:t>
            </w:r>
          </w:p>
        </w:tc>
        <w:tc>
          <w:tcPr>
            <w:tcW w:w="1220" w:type="dxa"/>
            <w:vAlign w:val="bottom"/>
            <w:tcBorders>
              <w:bottom w:val="single" w:sz="8" w:color="auto"/>
              <w:right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b w:val="1"/>
                <w:bCs w:val="1"/>
                <w:color w:val="auto"/>
              </w:rPr>
              <w:t>$172</w:t>
            </w:r>
          </w:p>
        </w:tc>
        <w:tc>
          <w:tcPr>
            <w:tcW w:w="122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$294</w:t>
            </w:r>
          </w:p>
        </w:tc>
      </w:tr>
    </w:tbl>
    <w:p>
      <w:pPr>
        <w:spacing w:after="0" w:line="199" w:lineRule="exact"/>
        <w:rPr>
          <w:sz w:val="20"/>
          <w:szCs w:val="20"/>
          <w:color w:val="auto"/>
        </w:rPr>
      </w:pPr>
    </w:p>
    <w:p>
      <w:pPr>
        <w:ind w:left="640" w:right="160" w:hanging="321"/>
        <w:spacing w:after="0" w:line="243" w:lineRule="auto"/>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Group and Specialty segment’s GAAP segment earnings of $5 million in 2Q19 compared to GAAP segment earnings of $80 million in 2Q18, a decrease of $75 million, or 94 percent. The decrease primarily reflects the same factors resulting in the segment's higher benefit ratio, along with lower military services business earnings. Earnings comparisons related to the military services business were unfavorably impacted by the receipt of certain contractual incentives and adjustments in 2Q18 related to the previous TRICARE contract which did not recur in 2Q19. These declines were partially offset by the improvement of the operating cost ratio in 2Q19 compared to 2Q18.</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40"/>
          </w:cols>
          <w:pgMar w:left="240" w:top="811" w:right="219" w:bottom="1440" w:gutter="0" w:footer="0" w:header="0"/>
        </w:sectPr>
      </w:pPr>
    </w:p>
    <w:bookmarkStart w:id="23" w:name="page24"/>
    <w:bookmarkEnd w:id="23"/>
    <w:p>
      <w:pPr>
        <w:ind w:left="640" w:right="360" w:hanging="321"/>
        <w:spacing w:after="0" w:line="250" w:lineRule="auto"/>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Group and Specialty segment’s GAAP segment earnings of $170 million in YTD 2019 compared to GAAP segment earnings of $291 million in YTD 2018, a decrease of $121 million, or 42 percent. The decrease primarily reflects the same factors impacting the second quarter GAAP comparison.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Humana’s Healthcare Services Segment</w:t>
      </w:r>
    </w:p>
    <w:p>
      <w:pPr>
        <w:spacing w:after="0" w:line="253"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This segment includes services offered to the company’s health plan members as well as to third parties, including pharmacy solutions, provider services, and clinical programs, such as home health and other services and capabilities to promote wellness and advance population health, including the company’s minority investment in Kindred at Home.</w:t>
      </w:r>
    </w:p>
    <w:p>
      <w:pPr>
        <w:spacing w:after="0" w:line="206"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Services offered by this segment are designed to enhance members’ healthcare experience with Humana overall. These services may lead to lower utilization associated with improved member health and/or lower drug costs.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Healthcare Services segment revenues:</w:t>
      </w:r>
    </w:p>
    <w:p>
      <w:pPr>
        <w:spacing w:after="0" w:line="226" w:lineRule="exact"/>
        <w:rPr>
          <w:sz w:val="20"/>
          <w:szCs w:val="20"/>
          <w:color w:val="auto"/>
        </w:rPr>
      </w:pPr>
    </w:p>
    <w:p>
      <w:pPr>
        <w:ind w:left="640" w:right="360" w:hanging="321"/>
        <w:spacing w:after="0" w:line="260" w:lineRule="auto"/>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Revenues of $6.39 billion in 2Q19 for the Healthcare Services segment increased by $396 million, or 7 percent, from $5.99 billion in 2Q18. The year-over-year comparison was favorably impacted by the following:</w:t>
      </w:r>
    </w:p>
    <w:p>
      <w:pPr>
        <w:spacing w:after="0" w:line="203" w:lineRule="exact"/>
        <w:rPr>
          <w:rFonts w:ascii="Arial" w:cs="Arial" w:eastAsia="Arial" w:hAnsi="Arial"/>
          <w:sz w:val="20"/>
          <w:szCs w:val="20"/>
          <w:color w:val="auto"/>
        </w:rPr>
      </w:pPr>
    </w:p>
    <w:p>
      <w:pPr>
        <w:ind w:left="1060" w:hanging="404"/>
        <w:spacing w:after="0"/>
        <w:tabs>
          <w:tab w:leader="none" w:pos="1060" w:val="left"/>
        </w:tabs>
        <w:numPr>
          <w:ilvl w:val="1"/>
          <w:numId w:val="40"/>
        </w:numPr>
        <w:rPr>
          <w:rFonts w:ascii="Arial" w:cs="Arial" w:eastAsia="Arial" w:hAnsi="Arial"/>
          <w:sz w:val="20"/>
          <w:szCs w:val="20"/>
          <w:color w:val="auto"/>
        </w:rPr>
      </w:pPr>
      <w:r>
        <w:rPr>
          <w:rFonts w:ascii="Arial" w:cs="Arial" w:eastAsia="Arial" w:hAnsi="Arial"/>
          <w:sz w:val="20"/>
          <w:szCs w:val="20"/>
          <w:color w:val="auto"/>
        </w:rPr>
        <w:t>strong Medicare Advantage membership growth; and</w:t>
      </w:r>
    </w:p>
    <w:p>
      <w:pPr>
        <w:spacing w:after="0" w:line="229" w:lineRule="exact"/>
        <w:rPr>
          <w:sz w:val="20"/>
          <w:szCs w:val="20"/>
          <w:color w:val="auto"/>
        </w:rPr>
      </w:pPr>
    </w:p>
    <w:p>
      <w:pPr>
        <w:ind w:left="1000" w:right="840" w:hanging="317"/>
        <w:spacing w:after="0" w:line="247" w:lineRule="auto"/>
        <w:tabs>
          <w:tab w:leader="none" w:pos="10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higher revenues associated with the company's provider services business reflecting the previously disclosed acquisition of MCCI Holdings, LLC (MCCI) and Family Physicians Group (FPG).</w:t>
      </w:r>
    </w:p>
    <w:p>
      <w:pPr>
        <w:spacing w:after="0" w:line="202" w:lineRule="exact"/>
        <w:rPr>
          <w:sz w:val="20"/>
          <w:szCs w:val="20"/>
          <w:color w:val="auto"/>
        </w:rPr>
      </w:pPr>
    </w:p>
    <w:p>
      <w:pPr>
        <w:ind w:left="660" w:right="60"/>
        <w:spacing w:after="0" w:line="247" w:lineRule="auto"/>
        <w:rPr>
          <w:sz w:val="20"/>
          <w:szCs w:val="20"/>
          <w:color w:val="auto"/>
        </w:rPr>
      </w:pPr>
      <w:r>
        <w:rPr>
          <w:rFonts w:ascii="Arial" w:cs="Arial" w:eastAsia="Arial" w:hAnsi="Arial"/>
          <w:sz w:val="20"/>
          <w:szCs w:val="20"/>
          <w:color w:val="auto"/>
        </w:rPr>
        <w:t>These increases were partially offset by the loss of intersegment revenues associated with the decline in stand-alone PDP membership as previously discussed.</w:t>
      </w:r>
    </w:p>
    <w:p>
      <w:pPr>
        <w:spacing w:after="0" w:line="189" w:lineRule="exact"/>
        <w:rPr>
          <w:sz w:val="20"/>
          <w:szCs w:val="20"/>
          <w:color w:val="auto"/>
        </w:rPr>
      </w:pPr>
    </w:p>
    <w:p>
      <w:pPr>
        <w:ind w:left="640" w:right="300" w:hanging="321"/>
        <w:spacing w:after="0" w:line="250" w:lineRule="auto"/>
        <w:tabs>
          <w:tab w:leader="none" w:pos="6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YTD 2019 revenues for the Healthcare Services segment were $12.49 billion, a increase of $831 million, or 7 percent, from $11.65 billion in YTD 2018 primarily reflecting the same factors affecting the year-over-year comparison for the second quarter.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Healthcare Services segment operating costs:</w:t>
      </w:r>
    </w:p>
    <w:p>
      <w:pPr>
        <w:spacing w:after="0" w:line="226" w:lineRule="exact"/>
        <w:rPr>
          <w:sz w:val="20"/>
          <w:szCs w:val="20"/>
          <w:color w:val="auto"/>
        </w:rPr>
      </w:pPr>
    </w:p>
    <w:p>
      <w:pPr>
        <w:ind w:left="640" w:right="1100" w:hanging="321"/>
        <w:spacing w:after="0" w:line="260" w:lineRule="auto"/>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Healthcare Services segment’s operating cost ratio of 96.1 percent and 96.3 percent in 2Q19 and YTD 2019, respectively, were generally unchanged from 96.2 percent in both 2Q18 and YTD 2018.</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Healthcare Services segment operating statistics:</w:t>
      </w:r>
    </w:p>
    <w:p>
      <w:pPr>
        <w:spacing w:after="0" w:line="226" w:lineRule="exact"/>
        <w:rPr>
          <w:sz w:val="20"/>
          <w:szCs w:val="20"/>
          <w:color w:val="auto"/>
        </w:rPr>
      </w:pPr>
    </w:p>
    <w:p>
      <w:pPr>
        <w:ind w:left="640" w:hanging="321"/>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Primary care providers in value-based (shared risk and path to risk) relationships of 58,500 at June 30, 2019 increased</w:t>
      </w:r>
    </w:p>
    <w:p>
      <w:pPr>
        <w:spacing w:after="0" w:line="12" w:lineRule="exact"/>
        <w:rPr>
          <w:rFonts w:ascii="Arial" w:cs="Arial" w:eastAsia="Arial" w:hAnsi="Arial"/>
          <w:sz w:val="20"/>
          <w:szCs w:val="20"/>
          <w:color w:val="auto"/>
        </w:rPr>
      </w:pPr>
    </w:p>
    <w:p>
      <w:pPr>
        <w:ind w:left="640"/>
        <w:spacing w:after="0" w:line="241" w:lineRule="auto"/>
        <w:rPr>
          <w:rFonts w:ascii="Arial" w:cs="Arial" w:eastAsia="Arial" w:hAnsi="Arial"/>
          <w:sz w:val="20"/>
          <w:szCs w:val="20"/>
          <w:color w:val="auto"/>
        </w:rPr>
      </w:pPr>
      <w:r>
        <w:rPr>
          <w:rFonts w:ascii="Arial" w:cs="Arial" w:eastAsia="Arial" w:hAnsi="Arial"/>
          <w:sz w:val="20"/>
          <w:szCs w:val="20"/>
          <w:color w:val="auto"/>
        </w:rPr>
        <w:t>12 percent from 52,100 at June 30, 2018, and increased 10 percent from 53,400 at December 31, 2018. The percentage of the company’s individual Medicare Advantage members in value-based relationships was 65 percent as of June 30, 2019 and at June 30, 2018, versus 67 percent as of December 31, 2018. The year-to-date decline was impacted by the strong AEP and OEP results which has resulted in a greater proportion of new individual Medicare Advantage members that are not yet assigned to a primary care provider.</w:t>
      </w:r>
    </w:p>
    <w:p>
      <w:pPr>
        <w:spacing w:after="0" w:line="209" w:lineRule="exact"/>
        <w:rPr>
          <w:rFonts w:ascii="Arial" w:cs="Arial" w:eastAsia="Arial" w:hAnsi="Arial"/>
          <w:sz w:val="20"/>
          <w:szCs w:val="20"/>
          <w:color w:val="auto"/>
        </w:rPr>
      </w:pPr>
    </w:p>
    <w:p>
      <w:pPr>
        <w:ind w:left="640" w:right="60" w:hanging="321"/>
        <w:spacing w:after="0" w:line="225" w:lineRule="auto"/>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Medicare Advantage and dual demonstration program membership enrolled in a Humana chronic care management program </w:t>
      </w:r>
      <w:r>
        <w:rPr>
          <w:rFonts w:ascii="Arial" w:cs="Arial" w:eastAsia="Arial" w:hAnsi="Arial"/>
          <w:sz w:val="27"/>
          <w:szCs w:val="27"/>
          <w:color w:val="auto"/>
          <w:vertAlign w:val="superscript"/>
        </w:rPr>
        <w:t>(j)</w:t>
      </w:r>
      <w:r>
        <w:rPr>
          <w:rFonts w:ascii="Arial" w:cs="Arial" w:eastAsia="Arial" w:hAnsi="Arial"/>
          <w:sz w:val="20"/>
          <w:szCs w:val="20"/>
          <w:color w:val="auto"/>
        </w:rPr>
        <w:t xml:space="preserve"> was 853,600 at June 30, 2019, up 13 percent from 752,700 at June 30, 2018 and up 19 percent from 716,000 at December 31, 2018. The increases were driven by the company's improved process for identifying and enrolling members in the appropriate program at the right time, coupled with growth in Special Needs Plans (SNP) membership and the insourcing of certain SNP membership to Humana At Home's care management program.</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00"/>
          </w:cols>
          <w:pgMar w:left="240" w:top="811" w:right="259" w:bottom="1440" w:gutter="0" w:footer="0" w:header="0"/>
        </w:sectPr>
      </w:pPr>
    </w:p>
    <w:bookmarkStart w:id="24" w:name="page25"/>
    <w:bookmarkEnd w:id="24"/>
    <w:p>
      <w:pPr>
        <w:ind w:left="640" w:right="100" w:hanging="321"/>
        <w:spacing w:after="0" w:line="242" w:lineRule="auto"/>
        <w:tabs>
          <w:tab w:leader="none" w:pos="6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Pharmacy script volume on an adjusted 30-day equivalent basis of 113 million for 2Q19 increased 3 percent compared to 110 million for 2Q18. Pharmacy script volume of 223 million for YTD 2019 increased 2 percent compared to 218 million for YTD 2018. These increases primarily were driven by higher individual Medicare Advantage membership, partially offset by the decline in stand-alone PDP membership.</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Healthcare Services segment results:</w:t>
      </w: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6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Healthcare Services segment results</w:t>
            </w:r>
          </w:p>
        </w:tc>
        <w:tc>
          <w:tcPr>
            <w:tcW w:w="1300" w:type="dxa"/>
            <w:vAlign w:val="bottom"/>
            <w:tcBorders>
              <w:top w:val="single" w:sz="8" w:color="auto"/>
              <w:right w:val="single" w:sz="8" w:color="auto"/>
            </w:tcBorders>
            <w:vMerge w:val="restart"/>
            <w:shd w:val="clear" w:color="auto" w:fill="EAEAEA"/>
          </w:tcPr>
          <w:p>
            <w:pPr>
              <w:jc w:val="right"/>
              <w:ind w:right="381"/>
              <w:spacing w:after="0"/>
              <w:rPr>
                <w:sz w:val="20"/>
                <w:szCs w:val="20"/>
                <w:color w:val="auto"/>
              </w:rPr>
            </w:pPr>
            <w:r>
              <w:rPr>
                <w:rFonts w:ascii="Arial" w:cs="Arial" w:eastAsia="Arial" w:hAnsi="Arial"/>
                <w:sz w:val="16"/>
                <w:szCs w:val="16"/>
                <w:b w:val="1"/>
                <w:bCs w:val="1"/>
                <w:color w:val="auto"/>
              </w:rPr>
              <w:t>2Q19</w:t>
            </w:r>
          </w:p>
        </w:tc>
        <w:tc>
          <w:tcPr>
            <w:tcW w:w="1240" w:type="dxa"/>
            <w:vAlign w:val="bottom"/>
            <w:tcBorders>
              <w:top w:val="single" w:sz="8" w:color="auto"/>
              <w:right w:val="single" w:sz="8" w:color="auto"/>
            </w:tcBorders>
          </w:tcPr>
          <w:p>
            <w:pPr>
              <w:spacing w:after="0"/>
              <w:rPr>
                <w:sz w:val="16"/>
                <w:szCs w:val="16"/>
                <w:color w:val="auto"/>
              </w:rPr>
            </w:pPr>
          </w:p>
        </w:tc>
        <w:tc>
          <w:tcPr>
            <w:tcW w:w="1240" w:type="dxa"/>
            <w:vAlign w:val="bottom"/>
            <w:tcBorders>
              <w:top w:val="single" w:sz="8" w:color="auto"/>
              <w:right w:val="single" w:sz="8" w:color="auto"/>
            </w:tcBorders>
            <w:vMerge w:val="restart"/>
            <w:shd w:val="clear" w:color="auto" w:fill="EAEAEA"/>
          </w:tcPr>
          <w:p>
            <w:pPr>
              <w:jc w:val="right"/>
              <w:ind w:right="201"/>
              <w:spacing w:after="0"/>
              <w:rPr>
                <w:sz w:val="20"/>
                <w:szCs w:val="20"/>
                <w:color w:val="auto"/>
              </w:rPr>
            </w:pPr>
            <w:r>
              <w:rPr>
                <w:rFonts w:ascii="Arial" w:cs="Arial" w:eastAsia="Arial" w:hAnsi="Arial"/>
                <w:sz w:val="16"/>
                <w:szCs w:val="16"/>
                <w:b w:val="1"/>
                <w:bCs w:val="1"/>
                <w:color w:val="auto"/>
              </w:rPr>
              <w:t>YTD 2019</w:t>
            </w:r>
          </w:p>
        </w:tc>
        <w:tc>
          <w:tcPr>
            <w:tcW w:w="12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1300" w:type="dxa"/>
            <w:vAlign w:val="bottom"/>
            <w:tcBorders>
              <w:bottom w:val="single" w:sz="8" w:color="auto"/>
              <w:right w:val="single" w:sz="8" w:color="auto"/>
            </w:tcBorders>
            <w:vMerge w:val="continue"/>
            <w:shd w:val="clear" w:color="auto" w:fill="EAEAEA"/>
          </w:tcPr>
          <w:p>
            <w:pPr>
              <w:spacing w:after="0"/>
              <w:rPr>
                <w:sz w:val="19"/>
                <w:szCs w:val="19"/>
                <w:color w:val="auto"/>
              </w:rPr>
            </w:pPr>
          </w:p>
        </w:tc>
        <w:tc>
          <w:tcPr>
            <w:tcW w:w="1240" w:type="dxa"/>
            <w:vAlign w:val="bottom"/>
            <w:tcBorders>
              <w:bottom w:val="single" w:sz="8" w:color="auto"/>
              <w:right w:val="single" w:sz="8" w:color="auto"/>
            </w:tcBorders>
          </w:tcPr>
          <w:p>
            <w:pPr>
              <w:jc w:val="right"/>
              <w:ind w:right="361"/>
              <w:spacing w:after="0"/>
              <w:rPr>
                <w:sz w:val="20"/>
                <w:szCs w:val="20"/>
                <w:color w:val="auto"/>
              </w:rPr>
            </w:pPr>
            <w:r>
              <w:rPr>
                <w:rFonts w:ascii="Arial" w:cs="Arial" w:eastAsia="Arial" w:hAnsi="Arial"/>
                <w:sz w:val="16"/>
                <w:szCs w:val="16"/>
                <w:color w:val="auto"/>
              </w:rPr>
              <w:t>2Q18</w:t>
            </w:r>
          </w:p>
        </w:tc>
        <w:tc>
          <w:tcPr>
            <w:tcW w:w="1240" w:type="dxa"/>
            <w:vAlign w:val="bottom"/>
            <w:tcBorders>
              <w:bottom w:val="single" w:sz="8" w:color="auto"/>
              <w:right w:val="single" w:sz="8" w:color="auto"/>
            </w:tcBorders>
            <w:vMerge w:val="continue"/>
            <w:shd w:val="clear" w:color="auto" w:fill="EAEAEA"/>
          </w:tcPr>
          <w:p>
            <w:pPr>
              <w:spacing w:after="0"/>
              <w:rPr>
                <w:sz w:val="19"/>
                <w:szCs w:val="19"/>
                <w:color w:val="auto"/>
              </w:rPr>
            </w:pPr>
          </w:p>
        </w:tc>
        <w:tc>
          <w:tcPr>
            <w:tcW w:w="124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6"/>
                <w:szCs w:val="16"/>
                <w:color w:val="auto"/>
              </w:rPr>
              <w:t>YTD 2018</w:t>
            </w:r>
          </w:p>
        </w:tc>
        <w:tc>
          <w:tcPr>
            <w:tcW w:w="0" w:type="dxa"/>
            <w:vAlign w:val="bottom"/>
          </w:tcPr>
          <w:p>
            <w:pPr>
              <w:spacing w:after="0"/>
              <w:rPr>
                <w:sz w:val="1"/>
                <w:szCs w:val="1"/>
                <w:color w:val="auto"/>
              </w:rPr>
            </w:pPr>
          </w:p>
        </w:tc>
      </w:tr>
      <w:tr>
        <w:trPr>
          <w:trHeight w:val="264"/>
        </w:trPr>
        <w:tc>
          <w:tcPr>
            <w:tcW w:w="6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 segment earnings</w:t>
            </w:r>
          </w:p>
        </w:tc>
        <w:tc>
          <w:tcPr>
            <w:tcW w:w="1300" w:type="dxa"/>
            <w:vAlign w:val="bottom"/>
            <w:tcBorders>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6"/>
                <w:szCs w:val="16"/>
                <w:b w:val="1"/>
                <w:bCs w:val="1"/>
                <w:color w:val="auto"/>
              </w:rPr>
              <w:t>$224</w:t>
            </w:r>
          </w:p>
        </w:tc>
        <w:tc>
          <w:tcPr>
            <w:tcW w:w="124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$206</w:t>
            </w:r>
          </w:p>
        </w:tc>
        <w:tc>
          <w:tcPr>
            <w:tcW w:w="1240" w:type="dxa"/>
            <w:vAlign w:val="bottom"/>
            <w:tcBorders>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6"/>
                <w:szCs w:val="16"/>
                <w:b w:val="1"/>
                <w:bCs w:val="1"/>
                <w:color w:val="auto"/>
              </w:rPr>
              <w:t>$399</w:t>
            </w:r>
          </w:p>
        </w:tc>
        <w:tc>
          <w:tcPr>
            <w:tcW w:w="124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37"/>
        </w:trPr>
        <w:tc>
          <w:tcPr>
            <w:tcW w:w="6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Depreciation and amortization expense</w:t>
            </w:r>
          </w:p>
        </w:tc>
        <w:tc>
          <w:tcPr>
            <w:tcW w:w="1300" w:type="dxa"/>
            <w:vAlign w:val="bottom"/>
            <w:tcBorders>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4"/>
                <w:szCs w:val="14"/>
                <w:b w:val="1"/>
                <w:bCs w:val="1"/>
                <w:color w:val="auto"/>
              </w:rPr>
              <w:t>45</w:t>
            </w:r>
          </w:p>
        </w:tc>
        <w:tc>
          <w:tcPr>
            <w:tcW w:w="124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4"/>
                <w:szCs w:val="14"/>
                <w:color w:val="auto"/>
              </w:rPr>
              <w:t>36</w:t>
            </w:r>
          </w:p>
        </w:tc>
        <w:tc>
          <w:tcPr>
            <w:tcW w:w="1240" w:type="dxa"/>
            <w:vAlign w:val="bottom"/>
            <w:tcBorders>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4"/>
                <w:szCs w:val="14"/>
                <w:color w:val="auto"/>
              </w:rPr>
              <w:t>87</w:t>
            </w:r>
          </w:p>
        </w:tc>
        <w:tc>
          <w:tcPr>
            <w:tcW w:w="124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36"/>
        </w:trPr>
        <w:tc>
          <w:tcPr>
            <w:tcW w:w="6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Interest and taxes</w:t>
            </w:r>
          </w:p>
        </w:tc>
        <w:tc>
          <w:tcPr>
            <w:tcW w:w="1300" w:type="dxa"/>
            <w:vAlign w:val="bottom"/>
            <w:tcBorders>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6"/>
                <w:szCs w:val="16"/>
                <w:b w:val="1"/>
                <w:bCs w:val="1"/>
                <w:color w:val="auto"/>
              </w:rPr>
              <w:t>25</w:t>
            </w:r>
          </w:p>
        </w:tc>
        <w:tc>
          <w:tcPr>
            <w:tcW w:w="124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6"/>
                <w:szCs w:val="16"/>
                <w:color w:val="auto"/>
              </w:rPr>
              <w:t>46</w:t>
            </w:r>
          </w:p>
        </w:tc>
        <w:tc>
          <w:tcPr>
            <w:tcW w:w="124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EBITDA</w:t>
            </w:r>
          </w:p>
        </w:tc>
        <w:tc>
          <w:tcPr>
            <w:tcW w:w="1300" w:type="dxa"/>
            <w:vAlign w:val="bottom"/>
            <w:tcBorders>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6"/>
                <w:szCs w:val="16"/>
                <w:b w:val="1"/>
                <w:bCs w:val="1"/>
                <w:color w:val="auto"/>
              </w:rPr>
              <w:t>$294</w:t>
            </w:r>
          </w:p>
        </w:tc>
        <w:tc>
          <w:tcPr>
            <w:tcW w:w="124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$242</w:t>
            </w:r>
          </w:p>
        </w:tc>
        <w:tc>
          <w:tcPr>
            <w:tcW w:w="1240" w:type="dxa"/>
            <w:vAlign w:val="bottom"/>
            <w:tcBorders>
              <w:bottom w:val="single" w:sz="8" w:color="auto"/>
              <w:right w:val="single" w:sz="8" w:color="auto"/>
            </w:tcBorders>
            <w:shd w:val="clear" w:color="auto" w:fill="EAEAEA"/>
          </w:tcPr>
          <w:p>
            <w:pPr>
              <w:jc w:val="right"/>
              <w:ind w:right="61"/>
              <w:spacing w:after="0"/>
              <w:rPr>
                <w:sz w:val="20"/>
                <w:szCs w:val="20"/>
                <w:color w:val="auto"/>
              </w:rPr>
            </w:pPr>
            <w:r>
              <w:rPr>
                <w:rFonts w:ascii="Arial" w:cs="Arial" w:eastAsia="Arial" w:hAnsi="Arial"/>
                <w:sz w:val="16"/>
                <w:szCs w:val="16"/>
                <w:b w:val="1"/>
                <w:bCs w:val="1"/>
                <w:color w:val="auto"/>
              </w:rPr>
              <w:t>$532</w:t>
            </w:r>
          </w:p>
        </w:tc>
        <w:tc>
          <w:tcPr>
            <w:tcW w:w="124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40" w:right="300" w:hanging="321"/>
        <w:spacing w:after="0" w:line="287" w:lineRule="auto"/>
        <w:tabs>
          <w:tab w:leader="none" w:pos="6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Healthcare Services segment’s 2Q19 GAAP segment earnings increased $18 million, or 9 percent, to $224 million compared to GAAP segment earnings of $206 million in 2Q18. The increase primarily resulted from the following factors:</w:t>
      </w:r>
    </w:p>
    <w:p>
      <w:pPr>
        <w:spacing w:after="0" w:line="179" w:lineRule="exact"/>
        <w:rPr>
          <w:rFonts w:ascii="Arial" w:cs="Arial" w:eastAsia="Arial" w:hAnsi="Arial"/>
          <w:sz w:val="19"/>
          <w:szCs w:val="19"/>
          <w:color w:val="auto"/>
        </w:rPr>
      </w:pPr>
    </w:p>
    <w:p>
      <w:pPr>
        <w:ind w:left="1380" w:hanging="724"/>
        <w:spacing w:after="0"/>
        <w:tabs>
          <w:tab w:leader="none" w:pos="13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impact of Kindred at Home operations,</w:t>
      </w:r>
    </w:p>
    <w:p>
      <w:pPr>
        <w:spacing w:after="0" w:line="242" w:lineRule="exact"/>
        <w:rPr>
          <w:rFonts w:ascii="Arial" w:cs="Arial" w:eastAsia="Arial" w:hAnsi="Arial"/>
          <w:sz w:val="20"/>
          <w:szCs w:val="20"/>
          <w:color w:val="auto"/>
        </w:rPr>
      </w:pPr>
    </w:p>
    <w:p>
      <w:pPr>
        <w:ind w:left="1380" w:hanging="724"/>
        <w:spacing w:after="0"/>
        <w:tabs>
          <w:tab w:leader="none" w:pos="13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higher earnings from the company's pharmacy operations, and</w:t>
      </w:r>
    </w:p>
    <w:p>
      <w:pPr>
        <w:spacing w:after="0" w:line="242" w:lineRule="exact"/>
        <w:rPr>
          <w:rFonts w:ascii="Arial" w:cs="Arial" w:eastAsia="Arial" w:hAnsi="Arial"/>
          <w:sz w:val="20"/>
          <w:szCs w:val="20"/>
          <w:color w:val="auto"/>
        </w:rPr>
      </w:pPr>
    </w:p>
    <w:p>
      <w:pPr>
        <w:ind w:left="1380" w:hanging="724"/>
        <w:spacing w:after="0"/>
        <w:tabs>
          <w:tab w:leader="none" w:pos="13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improvement in core operating results from the provider services business year over year.</w:t>
      </w:r>
    </w:p>
    <w:p>
      <w:pPr>
        <w:spacing w:after="0" w:line="229" w:lineRule="exact"/>
        <w:rPr>
          <w:sz w:val="20"/>
          <w:szCs w:val="20"/>
          <w:color w:val="auto"/>
        </w:rPr>
      </w:pPr>
    </w:p>
    <w:p>
      <w:pPr>
        <w:ind w:left="660" w:right="560"/>
        <w:spacing w:after="0" w:line="247" w:lineRule="auto"/>
        <w:rPr>
          <w:sz w:val="20"/>
          <w:szCs w:val="20"/>
          <w:color w:val="auto"/>
        </w:rPr>
      </w:pPr>
      <w:r>
        <w:rPr>
          <w:rFonts w:ascii="Arial" w:cs="Arial" w:eastAsia="Arial" w:hAnsi="Arial"/>
          <w:sz w:val="20"/>
          <w:szCs w:val="20"/>
          <w:color w:val="auto"/>
        </w:rPr>
        <w:t>These factors were partially offset by additional investments in clinical assets associated with the company's provider services business.</w:t>
      </w:r>
    </w:p>
    <w:p>
      <w:pPr>
        <w:spacing w:after="0" w:line="202" w:lineRule="exact"/>
        <w:rPr>
          <w:sz w:val="20"/>
          <w:szCs w:val="20"/>
          <w:color w:val="auto"/>
        </w:rPr>
      </w:pPr>
    </w:p>
    <w:p>
      <w:pPr>
        <w:ind w:left="660" w:right="220"/>
        <w:spacing w:after="0" w:line="242" w:lineRule="auto"/>
        <w:rPr>
          <w:sz w:val="20"/>
          <w:szCs w:val="20"/>
          <w:color w:val="auto"/>
        </w:rPr>
      </w:pPr>
      <w:r>
        <w:rPr>
          <w:rFonts w:ascii="Arial" w:cs="Arial" w:eastAsia="Arial" w:hAnsi="Arial"/>
          <w:sz w:val="20"/>
          <w:szCs w:val="20"/>
          <w:color w:val="auto"/>
        </w:rPr>
        <w:t>Adjusted EBITDA in 2Q19 for the Healthcare Services segment of $294 million was up $52 million, or 21 percent, compared to Adjusted EBITDA of $242 million in 2Q18. The increase in 2Q19 Adjusted EBITDA from 2Q18 Adjusted EBITDA relates to the same factors impacting the second quarter GAAP segment results comparison while excluding the factors detailed in the table above.</w:t>
      </w:r>
    </w:p>
    <w:p>
      <w:pPr>
        <w:spacing w:after="0" w:line="194" w:lineRule="exact"/>
        <w:rPr>
          <w:sz w:val="20"/>
          <w:szCs w:val="20"/>
          <w:color w:val="auto"/>
        </w:rPr>
      </w:pPr>
    </w:p>
    <w:p>
      <w:pPr>
        <w:jc w:val="both"/>
        <w:ind w:left="640" w:right="40" w:hanging="321"/>
        <w:spacing w:after="0" w:line="250" w:lineRule="auto"/>
        <w:tabs>
          <w:tab w:leader="none" w:pos="6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Healthcare Services segment’s GAAP segment earnings in YTD 2019 increased $20 million, or 5 percent, to $399 million compared to GAAP segment earnings of $379 million in YTD 2018 reflecting the same factors impacting the second quarter GAAP comparison.</w:t>
      </w:r>
    </w:p>
    <w:p>
      <w:pPr>
        <w:spacing w:after="0" w:line="199" w:lineRule="exact"/>
        <w:rPr>
          <w:rFonts w:ascii="Arial" w:cs="Arial" w:eastAsia="Arial" w:hAnsi="Arial"/>
          <w:sz w:val="20"/>
          <w:szCs w:val="20"/>
          <w:color w:val="auto"/>
        </w:rPr>
      </w:pPr>
    </w:p>
    <w:p>
      <w:pPr>
        <w:ind w:left="660" w:right="380"/>
        <w:spacing w:after="0" w:line="243" w:lineRule="auto"/>
        <w:rPr>
          <w:rFonts w:ascii="Arial" w:cs="Arial" w:eastAsia="Arial" w:hAnsi="Arial"/>
          <w:sz w:val="20"/>
          <w:szCs w:val="20"/>
          <w:color w:val="auto"/>
        </w:rPr>
      </w:pPr>
      <w:r>
        <w:rPr>
          <w:rFonts w:ascii="Arial" w:cs="Arial" w:eastAsia="Arial" w:hAnsi="Arial"/>
          <w:sz w:val="20"/>
          <w:szCs w:val="20"/>
          <w:color w:val="auto"/>
        </w:rPr>
        <w:t>Adjusted EBITDA for YTD 2019 of $532 million increased $68 million, or 15 percent, versus the YTD 2018 Adjusted EBITDA for the Healthcare Services segment of $464 million. The favorable comparison of Adjusted EBITDA year over year primarily resulted from the same factors that impacted the quarterly Adjusted EBITDA comparison.</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Conference Call</w:t>
      </w:r>
    </w:p>
    <w:p>
      <w:pPr>
        <w:spacing w:after="0" w:line="253" w:lineRule="exact"/>
        <w:rPr>
          <w:sz w:val="20"/>
          <w:szCs w:val="20"/>
          <w:color w:val="auto"/>
        </w:rPr>
      </w:pPr>
    </w:p>
    <w:p>
      <w:pPr>
        <w:ind w:right="940"/>
        <w:spacing w:after="0" w:line="247" w:lineRule="auto"/>
        <w:rPr>
          <w:sz w:val="20"/>
          <w:szCs w:val="20"/>
          <w:color w:val="auto"/>
        </w:rPr>
      </w:pPr>
      <w:r>
        <w:rPr>
          <w:rFonts w:ascii="Arial" w:cs="Arial" w:eastAsia="Arial" w:hAnsi="Arial"/>
          <w:sz w:val="20"/>
          <w:szCs w:val="20"/>
          <w:color w:val="auto"/>
        </w:rPr>
        <w:t>Humana will host a conference call at 9:00 a.m. Eastern time today to discuss its financial results for the quarter and the company’s expectations for future earnings.</w:t>
      </w:r>
    </w:p>
    <w:p>
      <w:pPr>
        <w:spacing w:after="0" w:line="202"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 xml:space="preserve">All parties interested in the company’s 2Q19 earnings conference call are invited to dial 888-625-7430. No password is required. The audio-only webcast of the 2Q19 earnings call may be accessed via Humana’s Investor Relations page at </w:t>
      </w:r>
      <w:r>
        <w:rPr>
          <w:rFonts w:ascii="Arial" w:cs="Arial" w:eastAsia="Arial" w:hAnsi="Arial"/>
          <w:sz w:val="20"/>
          <w:szCs w:val="20"/>
          <w:u w:val="single" w:color="auto"/>
          <w:color w:val="auto"/>
        </w:rPr>
        <w:t>humana.com.</w:t>
      </w:r>
      <w:r>
        <w:rPr>
          <w:rFonts w:ascii="Arial" w:cs="Arial" w:eastAsia="Arial" w:hAnsi="Arial"/>
          <w:sz w:val="20"/>
          <w:szCs w:val="20"/>
          <w:color w:val="auto"/>
        </w:rPr>
        <w:t xml:space="preserve"> The company suggests participants for both the conference call and those listening via the web dial in or sign on at least 15 minutes in advance of the call.</w:t>
      </w:r>
    </w:p>
    <w:p>
      <w:pPr>
        <w:spacing w:after="0" w:line="207"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 xml:space="preserve">For those unable to participate in the live event, the archive will be available in the Historical Webcasts and Presentations section of the Investor Relations page at </w:t>
      </w:r>
      <w:r>
        <w:rPr>
          <w:rFonts w:ascii="Arial" w:cs="Arial" w:eastAsia="Arial" w:hAnsi="Arial"/>
          <w:sz w:val="20"/>
          <w:szCs w:val="20"/>
          <w:u w:val="single" w:color="auto"/>
          <w:color w:val="auto"/>
        </w:rPr>
        <w:t>humana.com</w:t>
      </w:r>
      <w:r>
        <w:rPr>
          <w:rFonts w:ascii="Arial" w:cs="Arial" w:eastAsia="Arial" w:hAnsi="Arial"/>
          <w:sz w:val="20"/>
          <w:szCs w:val="20"/>
          <w:color w:val="auto"/>
        </w:rPr>
        <w:t>, approximately two hours following the live</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40"/>
          </w:cols>
          <w:pgMar w:left="240" w:top="825" w:right="219" w:bottom="1440" w:gutter="0" w:footer="0" w:header="0"/>
        </w:sectPr>
      </w:pPr>
    </w:p>
    <w:bookmarkStart w:id="25" w:name="page26"/>
    <w:bookmarkEnd w:id="25"/>
    <w:p>
      <w:pPr>
        <w:spacing w:after="0"/>
        <w:rPr>
          <w:sz w:val="20"/>
          <w:szCs w:val="20"/>
          <w:color w:val="auto"/>
        </w:rPr>
      </w:pPr>
      <w:r>
        <w:rPr>
          <w:rFonts w:ascii="Arial" w:cs="Arial" w:eastAsia="Arial" w:hAnsi="Arial"/>
          <w:sz w:val="20"/>
          <w:szCs w:val="20"/>
          <w:color w:val="auto"/>
        </w:rPr>
        <w:t>webcast. Telephone replays will also be available from approximately 2:00 p.m. Eastern time on July 31, 2019 until 11:00 p.m.</w:t>
      </w:r>
    </w:p>
    <w:p>
      <w:pPr>
        <w:spacing w:after="0"/>
        <w:rPr>
          <w:sz w:val="20"/>
          <w:szCs w:val="20"/>
          <w:color w:val="auto"/>
        </w:rPr>
      </w:pPr>
      <w:r>
        <w:rPr>
          <w:rFonts w:ascii="Arial" w:cs="Arial" w:eastAsia="Arial" w:hAnsi="Arial"/>
          <w:sz w:val="20"/>
          <w:szCs w:val="20"/>
          <w:color w:val="auto"/>
        </w:rPr>
        <w:t>Eastern time on September 25, 2019 and can be accessed by dialing 855-859-2056 and providing the conference ID #6673878.</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Footnotes</w:t>
      </w:r>
    </w:p>
    <w:p>
      <w:pPr>
        <w:spacing w:after="0" w:line="253" w:lineRule="exact"/>
        <w:rPr>
          <w:sz w:val="20"/>
          <w:szCs w:val="20"/>
          <w:color w:val="auto"/>
        </w:rPr>
      </w:pPr>
    </w:p>
    <w:p>
      <w:pPr>
        <w:ind w:left="540" w:hanging="289"/>
        <w:spacing w:after="0"/>
        <w:tabs>
          <w:tab w:leader="none" w:pos="540" w:val="left"/>
        </w:tabs>
        <w:numPr>
          <w:ilvl w:val="0"/>
          <w:numId w:val="4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2Q19 Adjusted results exclude the following:</w:t>
      </w:r>
    </w:p>
    <w:p>
      <w:pPr>
        <w:spacing w:after="0" w:line="2" w:lineRule="exact"/>
        <w:rPr>
          <w:rFonts w:ascii="Arial" w:cs="Arial" w:eastAsia="Arial" w:hAnsi="Arial"/>
          <w:sz w:val="20"/>
          <w:szCs w:val="20"/>
          <w:u w:val="single" w:color="auto"/>
          <w:color w:val="auto"/>
        </w:rPr>
      </w:pPr>
    </w:p>
    <w:p>
      <w:pPr>
        <w:ind w:left="1000" w:right="20" w:hanging="317"/>
        <w:spacing w:after="0" w:line="239" w:lineRule="auto"/>
        <w:tabs>
          <w:tab w:leader="none" w:pos="10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$18 million pretax income, or $0.10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20"/>
          <w:szCs w:val="20"/>
          <w:color w:val="auto"/>
        </w:rPr>
      </w:pPr>
    </w:p>
    <w:p>
      <w:pPr>
        <w:ind w:left="1000" w:right="100" w:hanging="317"/>
        <w:spacing w:after="0" w:line="298"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Put/call valuation adjustments of approximately $174 million, or $0.99 per diluted common share, associated with Humana’s 40% minority interest in Kindred at Home. GAAP measures affected in this release include consolidated pretax and EPS.</w:t>
      </w:r>
    </w:p>
    <w:p>
      <w:pPr>
        <w:spacing w:after="0" w:line="171" w:lineRule="exact"/>
        <w:rPr>
          <w:rFonts w:ascii="Arial" w:cs="Arial" w:eastAsia="Arial" w:hAnsi="Arial"/>
          <w:sz w:val="18"/>
          <w:szCs w:val="18"/>
          <w:color w:val="auto"/>
        </w:rPr>
      </w:pPr>
    </w:p>
    <w:p>
      <w:pPr>
        <w:ind w:left="540" w:hanging="289"/>
        <w:spacing w:after="0"/>
        <w:tabs>
          <w:tab w:leader="none" w:pos="540" w:val="left"/>
        </w:tabs>
        <w:numPr>
          <w:ilvl w:val="0"/>
          <w:numId w:val="4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2Q18 Adjusted results exclude the following:</w:t>
      </w:r>
    </w:p>
    <w:p>
      <w:pPr>
        <w:spacing w:after="0" w:line="2" w:lineRule="exact"/>
        <w:rPr>
          <w:rFonts w:ascii="Arial" w:cs="Arial" w:eastAsia="Arial" w:hAnsi="Arial"/>
          <w:sz w:val="20"/>
          <w:szCs w:val="20"/>
          <w:u w:val="single" w:color="auto"/>
          <w:color w:val="auto"/>
        </w:rPr>
      </w:pPr>
    </w:p>
    <w:p>
      <w:pPr>
        <w:ind w:left="1000" w:right="80" w:hanging="317"/>
        <w:spacing w:after="0" w:line="239" w:lineRule="auto"/>
        <w:tabs>
          <w:tab w:leader="none" w:pos="10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$21 million pretax, or $0.12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20"/>
          <w:szCs w:val="20"/>
          <w:color w:val="auto"/>
        </w:rPr>
      </w:pPr>
    </w:p>
    <w:p>
      <w:pPr>
        <w:ind w:left="1000" w:right="40" w:hanging="317"/>
        <w:spacing w:after="0" w:line="239" w:lineRule="auto"/>
        <w:tabs>
          <w:tab w:leader="none" w:pos="10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Segment earnings of $18 million, or $0.10 per diluted common share, for the company’s Individual Commercial segment given the company’s exit on January 1, 2018, as previously disclosed. GAAP measures affected in this release include consolidated pretax income, EPS, consolidated revenues, and consolidated benefit ratio.</w:t>
      </w:r>
    </w:p>
    <w:p>
      <w:pPr>
        <w:spacing w:after="0" w:line="1" w:lineRule="exact"/>
        <w:rPr>
          <w:rFonts w:ascii="Arial" w:cs="Arial" w:eastAsia="Arial" w:hAnsi="Arial"/>
          <w:sz w:val="20"/>
          <w:szCs w:val="20"/>
          <w:color w:val="auto"/>
        </w:rPr>
      </w:pPr>
    </w:p>
    <w:p>
      <w:pPr>
        <w:ind w:left="1000" w:right="180" w:hanging="317"/>
        <w:spacing w:after="0" w:line="239" w:lineRule="auto"/>
        <w:tabs>
          <w:tab w:leader="none" w:pos="10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Loss of approximately $790 million pretax, or $2.59 per diluted common share, associated with the company's sale of its wholly-owned subsidiary, KMG America Corporation (KMG). GAAP measures affected in this release include consolidated pretax and EPS.</w:t>
      </w:r>
    </w:p>
    <w:p>
      <w:pPr>
        <w:spacing w:after="0" w:line="1" w:lineRule="exact"/>
        <w:rPr>
          <w:rFonts w:ascii="Arial" w:cs="Arial" w:eastAsia="Arial" w:hAnsi="Arial"/>
          <w:sz w:val="20"/>
          <w:szCs w:val="20"/>
          <w:color w:val="auto"/>
        </w:rPr>
      </w:pPr>
    </w:p>
    <w:p>
      <w:pPr>
        <w:ind w:left="1000" w:hanging="317"/>
        <w:spacing w:after="0" w:line="244" w:lineRule="auto"/>
        <w:tabs>
          <w:tab w:leader="none" w:pos="10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Adjustment of $0.04 per diluted common share related to provisional estimates for the income tax effects related to the Tax Reform Law. The only GAAP measure affected in this release is EPS.</w:t>
      </w:r>
    </w:p>
    <w:p>
      <w:pPr>
        <w:spacing w:after="0" w:line="218" w:lineRule="exact"/>
        <w:rPr>
          <w:rFonts w:ascii="Arial" w:cs="Arial" w:eastAsia="Arial" w:hAnsi="Arial"/>
          <w:sz w:val="20"/>
          <w:szCs w:val="20"/>
          <w:color w:val="auto"/>
        </w:rPr>
      </w:pPr>
    </w:p>
    <w:p>
      <w:pPr>
        <w:ind w:left="540" w:hanging="289"/>
        <w:spacing w:after="0"/>
        <w:tabs>
          <w:tab w:leader="none" w:pos="540" w:val="left"/>
        </w:tabs>
        <w:numPr>
          <w:ilvl w:val="0"/>
          <w:numId w:val="4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YTD 2019 Adjusted results exclude the following:</w:t>
      </w:r>
    </w:p>
    <w:p>
      <w:pPr>
        <w:spacing w:after="0" w:line="2" w:lineRule="exact"/>
        <w:rPr>
          <w:rFonts w:ascii="Arial" w:cs="Arial" w:eastAsia="Arial" w:hAnsi="Arial"/>
          <w:sz w:val="20"/>
          <w:szCs w:val="20"/>
          <w:u w:val="single" w:color="auto"/>
          <w:color w:val="auto"/>
        </w:rPr>
      </w:pPr>
    </w:p>
    <w:p>
      <w:pPr>
        <w:ind w:left="1000" w:right="20" w:hanging="317"/>
        <w:spacing w:after="0" w:line="239" w:lineRule="auto"/>
        <w:tabs>
          <w:tab w:leader="none" w:pos="10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$36 million pretax income, or $0.20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20"/>
          <w:szCs w:val="20"/>
          <w:color w:val="auto"/>
        </w:rPr>
      </w:pPr>
    </w:p>
    <w:p>
      <w:pPr>
        <w:ind w:left="1000" w:right="100" w:hanging="317"/>
        <w:spacing w:after="0" w:line="298"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Put/call valuation adjustments of approximately $135 million, or $0.77 per diluted common share, associated with Humana’s 40% minority interest in Kindred at Home. GAAP measures affected in this release include consolidated pretax and EPS.</w:t>
      </w:r>
    </w:p>
    <w:p>
      <w:pPr>
        <w:spacing w:after="0" w:line="171" w:lineRule="exact"/>
        <w:rPr>
          <w:rFonts w:ascii="Arial" w:cs="Arial" w:eastAsia="Arial" w:hAnsi="Arial"/>
          <w:sz w:val="18"/>
          <w:szCs w:val="18"/>
          <w:color w:val="auto"/>
        </w:rPr>
      </w:pPr>
    </w:p>
    <w:p>
      <w:pPr>
        <w:ind w:left="540" w:hanging="289"/>
        <w:spacing w:after="0"/>
        <w:tabs>
          <w:tab w:leader="none" w:pos="540" w:val="left"/>
        </w:tabs>
        <w:numPr>
          <w:ilvl w:val="0"/>
          <w:numId w:val="48"/>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YTD 2018 Adjusted results exclude the following:</w:t>
      </w:r>
    </w:p>
    <w:p>
      <w:pPr>
        <w:spacing w:after="0" w:line="2" w:lineRule="exact"/>
        <w:rPr>
          <w:rFonts w:ascii="Arial" w:cs="Arial" w:eastAsia="Arial" w:hAnsi="Arial"/>
          <w:sz w:val="20"/>
          <w:szCs w:val="20"/>
          <w:u w:val="single" w:color="auto"/>
          <w:color w:val="auto"/>
        </w:rPr>
      </w:pPr>
    </w:p>
    <w:p>
      <w:pPr>
        <w:ind w:left="1000" w:right="80" w:hanging="317"/>
        <w:spacing w:after="0" w:line="239" w:lineRule="auto"/>
        <w:tabs>
          <w:tab w:leader="none" w:pos="10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$51 million pretax, or $0.28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20"/>
          <w:szCs w:val="20"/>
          <w:color w:val="auto"/>
        </w:rPr>
      </w:pPr>
    </w:p>
    <w:p>
      <w:pPr>
        <w:jc w:val="both"/>
        <w:ind w:left="1000" w:right="340" w:hanging="317"/>
        <w:spacing w:after="0" w:line="252" w:lineRule="auto"/>
        <w:tabs>
          <w:tab w:leader="none" w:pos="1000" w:val="left"/>
        </w:tabs>
        <w:numPr>
          <w:ilvl w:val="1"/>
          <w:numId w:val="48"/>
        </w:numPr>
        <w:rPr>
          <w:rFonts w:ascii="Arial" w:cs="Arial" w:eastAsia="Arial" w:hAnsi="Arial"/>
          <w:sz w:val="19"/>
          <w:szCs w:val="19"/>
          <w:color w:val="auto"/>
        </w:rPr>
      </w:pPr>
      <w:r>
        <w:rPr>
          <w:rFonts w:ascii="Arial" w:cs="Arial" w:eastAsia="Arial" w:hAnsi="Arial"/>
          <w:sz w:val="19"/>
          <w:szCs w:val="19"/>
          <w:color w:val="auto"/>
        </w:rPr>
        <w:t>Segment earnings of approximately $71 million, or $0.39 per diluted common share, for the company’s Individual Commercial segment given the company’s exit on January 1, 2018, as previously disclosed. GAAP measures affected in this release include consolidated pretax income, EPS, consolidated revenues, and consolidated benefit ratio.</w:t>
      </w:r>
    </w:p>
    <w:p>
      <w:pPr>
        <w:ind w:left="1000" w:right="180" w:hanging="317"/>
        <w:spacing w:after="0" w:line="266"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Loss of approximately $790 million pretax, or $2.59 per diluted common share, associated with the company's sale of its wholly-owned subsidiary, KMG America Corporation (KMG). GAAP measures affected in this release include consolidated pretax and</w:t>
      </w:r>
    </w:p>
    <w:p>
      <w:pPr>
        <w:ind w:left="1000"/>
        <w:spacing w:after="0"/>
        <w:rPr>
          <w:rFonts w:ascii="Arial" w:cs="Arial" w:eastAsia="Arial" w:hAnsi="Arial"/>
          <w:sz w:val="18"/>
          <w:szCs w:val="18"/>
          <w:color w:val="auto"/>
        </w:rPr>
      </w:pPr>
      <w:r>
        <w:rPr>
          <w:rFonts w:ascii="Arial" w:cs="Arial" w:eastAsia="Arial" w:hAnsi="Arial"/>
          <w:sz w:val="20"/>
          <w:szCs w:val="20"/>
          <w:color w:val="auto"/>
        </w:rPr>
        <w:t>EPS</w:t>
      </w:r>
    </w:p>
    <w:p>
      <w:pPr>
        <w:ind w:left="1000" w:hanging="317"/>
        <w:spacing w:after="0" w:line="244" w:lineRule="auto"/>
        <w:tabs>
          <w:tab w:leader="none" w:pos="10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Adjustment of $0.09 per diluted common share related to provisional estimates for the income tax effects related to the Tax Reform Law. The only GAAP measure affected in this release is EPS.</w:t>
      </w:r>
    </w:p>
    <w:p>
      <w:pPr>
        <w:spacing w:after="0" w:line="218" w:lineRule="exact"/>
        <w:rPr>
          <w:rFonts w:ascii="Arial" w:cs="Arial" w:eastAsia="Arial" w:hAnsi="Arial"/>
          <w:sz w:val="20"/>
          <w:szCs w:val="20"/>
          <w:color w:val="auto"/>
        </w:rPr>
      </w:pPr>
    </w:p>
    <w:p>
      <w:pPr>
        <w:ind w:left="580" w:right="680" w:hanging="329"/>
        <w:spacing w:after="0" w:line="247" w:lineRule="auto"/>
        <w:tabs>
          <w:tab w:leader="none" w:pos="553"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Healthcare Services segment Adjusted EBITDA includes GAAP segment earnings with adjustments to add back depreciation and amortization expense, interest expense, and income taxes. The Adjusted EBITDA includes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824" w:right="239" w:bottom="1440" w:gutter="0" w:footer="0" w:header="0"/>
        </w:sectPr>
      </w:pPr>
    </w:p>
    <w:bookmarkStart w:id="26" w:name="page27"/>
    <w:bookmarkEnd w:id="26"/>
    <w:p>
      <w:pPr>
        <w:ind w:left="580" w:right="40"/>
        <w:spacing w:after="0" w:line="247" w:lineRule="auto"/>
        <w:rPr>
          <w:sz w:val="20"/>
          <w:szCs w:val="20"/>
          <w:color w:val="auto"/>
        </w:rPr>
      </w:pPr>
      <w:r>
        <w:rPr>
          <w:rFonts w:ascii="Arial" w:cs="Arial" w:eastAsia="Arial" w:hAnsi="Arial"/>
          <w:sz w:val="20"/>
          <w:szCs w:val="20"/>
          <w:color w:val="auto"/>
        </w:rPr>
        <w:t>results from the all lines of business within the segment, as well as the impact of Humana’s 40% minority interest in Kindred at Home.</w:t>
      </w:r>
    </w:p>
    <w:p>
      <w:pPr>
        <w:spacing w:after="0" w:line="215" w:lineRule="exact"/>
        <w:rPr>
          <w:sz w:val="20"/>
          <w:szCs w:val="20"/>
          <w:color w:val="auto"/>
        </w:rPr>
      </w:pPr>
    </w:p>
    <w:p>
      <w:pPr>
        <w:ind w:left="500" w:hanging="249"/>
        <w:spacing w:after="0"/>
        <w:tabs>
          <w:tab w:leader="none" w:pos="500" w:val="left"/>
        </w:tabs>
        <w:numPr>
          <w:ilvl w:val="1"/>
          <w:numId w:val="4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FY19 Adjusted EPS projections exclude the following:</w:t>
      </w:r>
    </w:p>
    <w:p>
      <w:pPr>
        <w:spacing w:after="0" w:line="2" w:lineRule="exact"/>
        <w:rPr>
          <w:rFonts w:ascii="Arial" w:cs="Arial" w:eastAsia="Arial" w:hAnsi="Arial"/>
          <w:sz w:val="20"/>
          <w:szCs w:val="20"/>
          <w:u w:val="single" w:color="auto"/>
          <w:color w:val="auto"/>
        </w:rPr>
      </w:pPr>
    </w:p>
    <w:p>
      <w:pPr>
        <w:ind w:left="1000" w:hanging="317"/>
        <w:spacing w:after="0"/>
        <w:tabs>
          <w:tab w:leader="none" w:pos="1000" w:val="left"/>
        </w:tabs>
        <w:numPr>
          <w:ilvl w:val="2"/>
          <w:numId w:val="49"/>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$0.40 per diluted common share.</w:t>
      </w:r>
    </w:p>
    <w:p>
      <w:pPr>
        <w:ind w:left="1000" w:right="60" w:hanging="317"/>
        <w:spacing w:after="0" w:line="241" w:lineRule="auto"/>
        <w:tabs>
          <w:tab w:leader="none" w:pos="1000" w:val="left"/>
        </w:tabs>
        <w:numPr>
          <w:ilvl w:val="2"/>
          <w:numId w:val="49"/>
        </w:numPr>
        <w:rPr>
          <w:rFonts w:ascii="Arial" w:cs="Arial" w:eastAsia="Arial" w:hAnsi="Arial"/>
          <w:sz w:val="20"/>
          <w:szCs w:val="20"/>
          <w:color w:val="auto"/>
        </w:rPr>
      </w:pPr>
      <w:r>
        <w:rPr>
          <w:rFonts w:ascii="Arial" w:cs="Arial" w:eastAsia="Arial" w:hAnsi="Arial"/>
          <w:sz w:val="20"/>
          <w:szCs w:val="20"/>
          <w:color w:val="auto"/>
        </w:rPr>
        <w:t>Put/call valuation adjustments of approximately $0.77 per diluted common share, associated with Humana’s 40% minority interest in Kindred at Home. FY19 GAAP EPS guidance excludes the impact of future value changes of the Kindred at Home put/call option, which cannot be estimated.</w:t>
      </w:r>
    </w:p>
    <w:p>
      <w:pPr>
        <w:spacing w:after="0" w:line="222" w:lineRule="exact"/>
        <w:rPr>
          <w:rFonts w:ascii="Arial" w:cs="Arial" w:eastAsia="Arial" w:hAnsi="Arial"/>
          <w:sz w:val="20"/>
          <w:szCs w:val="20"/>
          <w:color w:val="auto"/>
        </w:rPr>
      </w:pPr>
    </w:p>
    <w:p>
      <w:pPr>
        <w:ind w:left="540" w:hanging="289"/>
        <w:spacing w:after="0"/>
        <w:tabs>
          <w:tab w:leader="none" w:pos="540" w:val="left"/>
        </w:tabs>
        <w:numPr>
          <w:ilvl w:val="1"/>
          <w:numId w:val="4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FY18 Adjusted results exclude the following:</w:t>
      </w:r>
    </w:p>
    <w:p>
      <w:pPr>
        <w:spacing w:after="0" w:line="2" w:lineRule="exact"/>
        <w:rPr>
          <w:rFonts w:ascii="Arial" w:cs="Arial" w:eastAsia="Arial" w:hAnsi="Arial"/>
          <w:sz w:val="20"/>
          <w:szCs w:val="20"/>
          <w:u w:val="single" w:color="auto"/>
          <w:color w:val="auto"/>
        </w:rPr>
      </w:pPr>
    </w:p>
    <w:p>
      <w:pPr>
        <w:ind w:left="1000" w:hanging="317"/>
        <w:spacing w:after="0"/>
        <w:tabs>
          <w:tab w:leader="none" w:pos="1000" w:val="left"/>
        </w:tabs>
        <w:numPr>
          <w:ilvl w:val="2"/>
          <w:numId w:val="49"/>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$90 million pretax, or $0.49 per diluted common share.</w:t>
      </w:r>
    </w:p>
    <w:p>
      <w:pPr>
        <w:spacing w:after="0" w:line="11" w:lineRule="exact"/>
        <w:rPr>
          <w:rFonts w:ascii="Arial" w:cs="Arial" w:eastAsia="Arial" w:hAnsi="Arial"/>
          <w:sz w:val="19"/>
          <w:szCs w:val="19"/>
          <w:color w:val="auto"/>
        </w:rPr>
      </w:pPr>
    </w:p>
    <w:p>
      <w:pPr>
        <w:ind w:left="1000" w:right="220" w:hanging="317"/>
        <w:spacing w:after="0" w:line="239" w:lineRule="auto"/>
        <w:tabs>
          <w:tab w:leader="none" w:pos="1000" w:val="left"/>
        </w:tabs>
        <w:numPr>
          <w:ilvl w:val="2"/>
          <w:numId w:val="49"/>
        </w:numPr>
        <w:rPr>
          <w:rFonts w:ascii="Arial" w:cs="Arial" w:eastAsia="Arial" w:hAnsi="Arial"/>
          <w:sz w:val="20"/>
          <w:szCs w:val="20"/>
          <w:color w:val="auto"/>
        </w:rPr>
      </w:pPr>
      <w:r>
        <w:rPr>
          <w:rFonts w:ascii="Arial" w:cs="Arial" w:eastAsia="Arial" w:hAnsi="Arial"/>
          <w:sz w:val="20"/>
          <w:szCs w:val="20"/>
          <w:color w:val="auto"/>
        </w:rPr>
        <w:t>Put/call valuation adjustments of approximately $33 million, or $0.18 per diluted common share, associated with Humana's 40% minority interest in Kindred at Home.</w:t>
      </w:r>
    </w:p>
    <w:p>
      <w:pPr>
        <w:spacing w:after="0" w:line="1" w:lineRule="exact"/>
        <w:rPr>
          <w:rFonts w:ascii="Arial" w:cs="Arial" w:eastAsia="Arial" w:hAnsi="Arial"/>
          <w:sz w:val="20"/>
          <w:szCs w:val="20"/>
          <w:color w:val="auto"/>
        </w:rPr>
      </w:pPr>
    </w:p>
    <w:p>
      <w:pPr>
        <w:ind w:left="1000" w:right="160" w:hanging="317"/>
        <w:spacing w:after="0" w:line="239" w:lineRule="auto"/>
        <w:tabs>
          <w:tab w:leader="none" w:pos="1000" w:val="left"/>
        </w:tabs>
        <w:numPr>
          <w:ilvl w:val="2"/>
          <w:numId w:val="49"/>
        </w:numPr>
        <w:rPr>
          <w:rFonts w:ascii="Arial" w:cs="Arial" w:eastAsia="Arial" w:hAnsi="Arial"/>
          <w:sz w:val="20"/>
          <w:szCs w:val="20"/>
          <w:color w:val="auto"/>
        </w:rPr>
      </w:pPr>
      <w:r>
        <w:rPr>
          <w:rFonts w:ascii="Arial" w:cs="Arial" w:eastAsia="Arial" w:hAnsi="Arial"/>
          <w:sz w:val="20"/>
          <w:szCs w:val="20"/>
          <w:color w:val="auto"/>
        </w:rPr>
        <w:t>Loss of approximately $786 million pretax, or $2.41 per diluted common share, associated with the company's pending sale of its wholly-owned subsidiary, KMG America Corporation (KMG).</w:t>
      </w:r>
    </w:p>
    <w:p>
      <w:pPr>
        <w:spacing w:after="0" w:line="1" w:lineRule="exact"/>
        <w:rPr>
          <w:rFonts w:ascii="Arial" w:cs="Arial" w:eastAsia="Arial" w:hAnsi="Arial"/>
          <w:sz w:val="20"/>
          <w:szCs w:val="20"/>
          <w:color w:val="auto"/>
        </w:rPr>
      </w:pPr>
    </w:p>
    <w:p>
      <w:pPr>
        <w:ind w:left="1000" w:right="340" w:hanging="317"/>
        <w:spacing w:after="0" w:line="239" w:lineRule="auto"/>
        <w:tabs>
          <w:tab w:leader="none" w:pos="1000" w:val="left"/>
        </w:tabs>
        <w:numPr>
          <w:ilvl w:val="2"/>
          <w:numId w:val="49"/>
        </w:numPr>
        <w:rPr>
          <w:rFonts w:ascii="Arial" w:cs="Arial" w:eastAsia="Arial" w:hAnsi="Arial"/>
          <w:sz w:val="20"/>
          <w:szCs w:val="20"/>
          <w:color w:val="auto"/>
        </w:rPr>
      </w:pPr>
      <w:r>
        <w:rPr>
          <w:rFonts w:ascii="Arial" w:cs="Arial" w:eastAsia="Arial" w:hAnsi="Arial"/>
          <w:sz w:val="20"/>
          <w:szCs w:val="20"/>
          <w:color w:val="auto"/>
        </w:rPr>
        <w:t>Segment earnings of approximately $74 million, or $0.41 per diluted common share, for the company’s Individual Commercial segment given the company’s exit on January 1, 2018, as previously disclosed.</w:t>
      </w:r>
    </w:p>
    <w:p>
      <w:pPr>
        <w:spacing w:after="0" w:line="1" w:lineRule="exact"/>
        <w:rPr>
          <w:rFonts w:ascii="Arial" w:cs="Arial" w:eastAsia="Arial" w:hAnsi="Arial"/>
          <w:sz w:val="20"/>
          <w:szCs w:val="20"/>
          <w:color w:val="auto"/>
        </w:rPr>
      </w:pPr>
    </w:p>
    <w:p>
      <w:pPr>
        <w:ind w:left="1000" w:hanging="317"/>
        <w:spacing w:after="0" w:line="244" w:lineRule="auto"/>
        <w:tabs>
          <w:tab w:leader="none" w:pos="1000" w:val="left"/>
        </w:tabs>
        <w:numPr>
          <w:ilvl w:val="2"/>
          <w:numId w:val="49"/>
        </w:numPr>
        <w:rPr>
          <w:rFonts w:ascii="Arial" w:cs="Arial" w:eastAsia="Arial" w:hAnsi="Arial"/>
          <w:sz w:val="20"/>
          <w:szCs w:val="20"/>
          <w:color w:val="auto"/>
        </w:rPr>
      </w:pPr>
      <w:r>
        <w:rPr>
          <w:rFonts w:ascii="Arial" w:cs="Arial" w:eastAsia="Arial" w:hAnsi="Arial"/>
          <w:sz w:val="20"/>
          <w:szCs w:val="20"/>
          <w:color w:val="auto"/>
        </w:rPr>
        <w:t>Adjustment of $0.28 per diluted common share related to provisional estimates for the income tax effects related to the Tax Reform Law.</w:t>
      </w:r>
    </w:p>
    <w:p>
      <w:pPr>
        <w:spacing w:after="0" w:line="218" w:lineRule="exact"/>
        <w:rPr>
          <w:rFonts w:ascii="Arial" w:cs="Arial" w:eastAsia="Arial" w:hAnsi="Arial"/>
          <w:sz w:val="20"/>
          <w:szCs w:val="20"/>
          <w:color w:val="auto"/>
        </w:rPr>
      </w:pPr>
    </w:p>
    <w:p>
      <w:pPr>
        <w:ind w:left="660" w:right="120" w:hanging="409"/>
        <w:spacing w:after="0" w:line="241" w:lineRule="auto"/>
        <w:tabs>
          <w:tab w:leader="none" w:pos="552" w:val="left"/>
        </w:tabs>
        <w:numPr>
          <w:ilvl w:val="1"/>
          <w:numId w:val="49"/>
        </w:numPr>
        <w:rPr>
          <w:rFonts w:ascii="Arial" w:cs="Arial" w:eastAsia="Arial" w:hAnsi="Arial"/>
          <w:sz w:val="20"/>
          <w:szCs w:val="20"/>
          <w:color w:val="auto"/>
        </w:rPr>
      </w:pPr>
      <w:r>
        <w:rPr>
          <w:rFonts w:ascii="Arial" w:cs="Arial" w:eastAsia="Arial" w:hAnsi="Arial"/>
          <w:sz w:val="20"/>
          <w:szCs w:val="20"/>
          <w:color w:val="auto"/>
        </w:rPr>
        <w:t>Generally, when the first day of a month falls on a weekend or holiday, with the exception of January 1 (New Year’s Day), the company receives its monthly Medicare premium payment from CMS on the last business day of the previous month. On a GAAP basis, this can result in certain quarterly cash flows from operations including more or less than three monthly payments. Consequently, when this occurs, the company reports Adjusted cash flows from operations to reflect three payments in each quarter to match the related expenses.</w:t>
      </w:r>
    </w:p>
    <w:p>
      <w:pPr>
        <w:spacing w:after="0" w:line="209" w:lineRule="exact"/>
        <w:rPr>
          <w:rFonts w:ascii="Arial" w:cs="Arial" w:eastAsia="Arial" w:hAnsi="Arial"/>
          <w:sz w:val="20"/>
          <w:szCs w:val="20"/>
          <w:color w:val="auto"/>
        </w:rPr>
      </w:pPr>
    </w:p>
    <w:p>
      <w:pPr>
        <w:ind w:left="540" w:right="20" w:hanging="316"/>
        <w:spacing w:after="0" w:line="243" w:lineRule="auto"/>
        <w:tabs>
          <w:tab w:leader="none" w:pos="447"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company provides a full range of insured specialty products including dental, vision, and life insurance benefits marketed to individuals and groups. Members included in these products may not be unique to each product since members have the ability to enroll in multiple products.</w:t>
      </w:r>
    </w:p>
    <w:p>
      <w:pPr>
        <w:spacing w:after="0" w:line="206" w:lineRule="exact"/>
        <w:rPr>
          <w:rFonts w:ascii="Arial" w:cs="Arial" w:eastAsia="Arial" w:hAnsi="Arial"/>
          <w:sz w:val="20"/>
          <w:szCs w:val="20"/>
          <w:color w:val="auto"/>
        </w:rPr>
      </w:pPr>
    </w:p>
    <w:p>
      <w:pPr>
        <w:ind w:left="540" w:right="240" w:hanging="316"/>
        <w:spacing w:after="0" w:line="241" w:lineRule="auto"/>
        <w:tabs>
          <w:tab w:leader="none" w:pos="447"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Cautionary Statement</w:t>
      </w:r>
    </w:p>
    <w:p>
      <w:pPr>
        <w:spacing w:after="0" w:line="253" w:lineRule="exact"/>
        <w:rPr>
          <w:sz w:val="20"/>
          <w:szCs w:val="20"/>
          <w:color w:val="auto"/>
        </w:rPr>
      </w:pPr>
    </w:p>
    <w:p>
      <w:pPr>
        <w:ind w:left="300" w:right="60"/>
        <w:spacing w:after="0" w:line="241" w:lineRule="auto"/>
        <w:rPr>
          <w:sz w:val="20"/>
          <w:szCs w:val="20"/>
          <w:color w:val="auto"/>
        </w:rPr>
      </w:pPr>
      <w:r>
        <w:rPr>
          <w:rFonts w:ascii="Arial" w:cs="Arial" w:eastAsia="Arial" w:hAnsi="Arial"/>
          <w:sz w:val="20"/>
          <w:szCs w:val="20"/>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223" w:lineRule="exact"/>
        <w:rPr>
          <w:sz w:val="20"/>
          <w:szCs w:val="20"/>
          <w:color w:val="auto"/>
        </w:rPr>
      </w:pPr>
    </w:p>
    <w:p>
      <w:pPr>
        <w:ind w:left="300" w:right="140"/>
        <w:spacing w:after="0" w:line="243" w:lineRule="auto"/>
        <w:rPr>
          <w:sz w:val="20"/>
          <w:szCs w:val="20"/>
          <w:color w:val="auto"/>
        </w:rPr>
      </w:pPr>
      <w:r>
        <w:rPr>
          <w:rFonts w:ascii="Arial" w:cs="Arial" w:eastAsia="Arial" w:hAnsi="Arial"/>
          <w:sz w:val="20"/>
          <w:szCs w:val="20"/>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609" w:right="239" w:bottom="1440" w:gutter="0" w:footer="0" w:header="0"/>
        </w:sectPr>
      </w:pPr>
    </w:p>
    <w:bookmarkStart w:id="27" w:name="page28"/>
    <w:bookmarkEnd w:id="27"/>
    <w:p>
      <w:pPr>
        <w:ind w:left="320" w:right="40" w:hanging="320"/>
        <w:spacing w:after="0" w:line="308"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180" w:lineRule="exact"/>
        <w:rPr>
          <w:rFonts w:ascii="Arial" w:cs="Arial" w:eastAsia="Arial" w:hAnsi="Arial"/>
          <w:sz w:val="16"/>
          <w:szCs w:val="16"/>
          <w:color w:val="auto"/>
        </w:rPr>
      </w:pPr>
    </w:p>
    <w:p>
      <w:pPr>
        <w:ind w:left="320" w:right="20" w:hanging="320"/>
        <w:spacing w:after="0" w:line="239" w:lineRule="auto"/>
        <w:tabs>
          <w:tab w:leader="none" w:pos="3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2" w:lineRule="exact"/>
        <w:rPr>
          <w:rFonts w:ascii="Arial" w:cs="Arial" w:eastAsia="Arial" w:hAnsi="Arial"/>
          <w:sz w:val="20"/>
          <w:szCs w:val="20"/>
          <w:color w:val="auto"/>
        </w:rPr>
      </w:pPr>
    </w:p>
    <w:p>
      <w:pPr>
        <w:ind w:left="320" w:right="300" w:hanging="320"/>
        <w:spacing w:after="0" w:line="239" w:lineRule="auto"/>
        <w:tabs>
          <w:tab w:leader="none" w:pos="3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Humana fails to properly maintain the integrity of its data, to strategically implement new information systems, to protect Humana’s proprietary rights to its systems, or to defend against cyber-security attacks, the company’s business may be materially adversely affected.</w:t>
      </w:r>
    </w:p>
    <w:p>
      <w:pPr>
        <w:spacing w:after="0" w:line="1" w:lineRule="exact"/>
        <w:rPr>
          <w:rFonts w:ascii="Arial" w:cs="Arial" w:eastAsia="Arial" w:hAnsi="Arial"/>
          <w:sz w:val="20"/>
          <w:szCs w:val="20"/>
          <w:color w:val="auto"/>
        </w:rPr>
      </w:pPr>
    </w:p>
    <w:p>
      <w:pPr>
        <w:ind w:left="320" w:right="120" w:hanging="320"/>
        <w:spacing w:after="0" w:line="239" w:lineRule="auto"/>
        <w:tabs>
          <w:tab w:leader="none" w:pos="3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2" w:lineRule="exact"/>
        <w:rPr>
          <w:rFonts w:ascii="Arial" w:cs="Arial" w:eastAsia="Arial" w:hAnsi="Arial"/>
          <w:sz w:val="20"/>
          <w:szCs w:val="20"/>
          <w:color w:val="auto"/>
        </w:rPr>
      </w:pPr>
    </w:p>
    <w:p>
      <w:pPr>
        <w:ind w:left="320" w:hanging="320"/>
        <w:spacing w:after="0" w:line="266"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 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1" w:lineRule="exact"/>
        <w:rPr>
          <w:rFonts w:ascii="Arial" w:cs="Arial" w:eastAsia="Arial" w:hAnsi="Arial"/>
          <w:sz w:val="18"/>
          <w:szCs w:val="18"/>
          <w:color w:val="auto"/>
        </w:rPr>
      </w:pPr>
    </w:p>
    <w:p>
      <w:pPr>
        <w:ind w:left="320" w:right="100" w:hanging="320"/>
        <w:spacing w:after="0" w:line="254" w:lineRule="auto"/>
        <w:tabs>
          <w:tab w:leader="none" w:pos="3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Healthcare Reform Law, including The Patient Protection and Affordable Care Act and The Healthcare and Education Reconciliation Act of 2010, could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 Additionally, potential legislative or judicial changes, including activities to invalidate, repeal or replace, in whole or in part, the Health Care Reform Law, creates uncertainty for Humana’s business, and when, or in what form, such legislative or judicial changes may occur cannot be predicted with certainty.</w:t>
      </w:r>
    </w:p>
    <w:p>
      <w:pPr>
        <w:spacing w:after="0" w:line="211"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440"/>
          </w:cols>
          <w:pgMar w:left="1220" w:top="865" w:right="239" w:bottom="1440" w:gutter="0" w:footer="0" w:header="0"/>
        </w:sectPr>
      </w:pPr>
    </w:p>
    <w:bookmarkStart w:id="28" w:name="page29"/>
    <w:bookmarkEnd w:id="28"/>
    <w:p>
      <w:pPr>
        <w:ind w:left="1300" w:right="100" w:hanging="320"/>
        <w:spacing w:after="0" w:line="245" w:lineRule="auto"/>
        <w:tabs>
          <w:tab w:leader="none" w:pos="13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Humana’s business activities are subject to substantial government regulation. New laws or regulations, or changes in existing laws or regulations or their manner of application could increase the company’s cost of doing business and may adversely affect the company’s business, profitability and cash flows.</w:t>
      </w:r>
    </w:p>
    <w:p>
      <w:pPr>
        <w:ind w:left="1300" w:right="520" w:hanging="320"/>
        <w:spacing w:after="0" w:line="239" w:lineRule="auto"/>
        <w:tabs>
          <w:tab w:leader="none" w:pos="13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Humana’s failure to manage acquisitions, divestitures and other significant transactions successfully may have a material adverse effect on the company’s results of operations, financial position, and cash flows.</w:t>
      </w:r>
    </w:p>
    <w:p>
      <w:pPr>
        <w:spacing w:after="0" w:line="1" w:lineRule="exact"/>
        <w:rPr>
          <w:rFonts w:ascii="Arial" w:cs="Arial" w:eastAsia="Arial" w:hAnsi="Arial"/>
          <w:sz w:val="20"/>
          <w:szCs w:val="20"/>
          <w:color w:val="auto"/>
        </w:rPr>
      </w:pPr>
    </w:p>
    <w:p>
      <w:pPr>
        <w:ind w:left="1300" w:right="320" w:hanging="320"/>
        <w:spacing w:after="0" w:line="239" w:lineRule="auto"/>
        <w:tabs>
          <w:tab w:leader="none" w:pos="13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If Humana fails to develop and maintain satisfactory relationships with the providers of care to its members, the company’s business may be adversely affected.</w:t>
      </w:r>
    </w:p>
    <w:p>
      <w:pPr>
        <w:spacing w:after="0" w:line="1" w:lineRule="exact"/>
        <w:rPr>
          <w:rFonts w:ascii="Arial" w:cs="Arial" w:eastAsia="Arial" w:hAnsi="Arial"/>
          <w:sz w:val="20"/>
          <w:szCs w:val="20"/>
          <w:color w:val="auto"/>
        </w:rPr>
      </w:pPr>
    </w:p>
    <w:p>
      <w:pPr>
        <w:ind w:left="1300" w:right="220" w:hanging="320"/>
        <w:spacing w:after="0" w:line="239" w:lineRule="auto"/>
        <w:tabs>
          <w:tab w:leader="none" w:pos="13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Humana’s pharmacy business is highly competitive and subjects it to regulations in addition to those the company faces with its core health benefits businesses.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0"/>
          <w:numId w:val="52"/>
        </w:numPr>
        <w:rPr>
          <w:rFonts w:ascii="Arial" w:cs="Arial" w:eastAsia="Arial" w:hAnsi="Arial"/>
          <w:sz w:val="19"/>
          <w:szCs w:val="19"/>
          <w:color w:val="auto"/>
        </w:rPr>
      </w:pPr>
      <w:r>
        <w:rPr>
          <w:rFonts w:ascii="Arial" w:cs="Arial" w:eastAsia="Arial" w:hAnsi="Arial"/>
          <w:sz w:val="19"/>
          <w:szCs w:val="19"/>
          <w:color w:val="auto"/>
        </w:rPr>
        <w:t>Changes in the prescription drug industry pricing benchmarks may adversely affect Humana’s financial performance.</w:t>
      </w:r>
    </w:p>
    <w:p>
      <w:pPr>
        <w:spacing w:after="0" w:line="11" w:lineRule="exact"/>
        <w:rPr>
          <w:rFonts w:ascii="Arial" w:cs="Arial" w:eastAsia="Arial" w:hAnsi="Arial"/>
          <w:sz w:val="19"/>
          <w:szCs w:val="19"/>
          <w:color w:val="auto"/>
        </w:rPr>
      </w:pPr>
    </w:p>
    <w:p>
      <w:pPr>
        <w:ind w:left="1300" w:right="160" w:hanging="320"/>
        <w:spacing w:after="0" w:line="239" w:lineRule="auto"/>
        <w:tabs>
          <w:tab w:leader="none" w:pos="13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If Humana does not continue to earn and retain purchase discounts and volume rebates from pharmaceutical manufacturers at current levels, Humana’s gross margins may decline.</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0"/>
          <w:numId w:val="52"/>
        </w:numPr>
        <w:rPr>
          <w:rFonts w:ascii="Arial" w:cs="Arial" w:eastAsia="Arial" w:hAnsi="Arial"/>
          <w:sz w:val="19"/>
          <w:szCs w:val="19"/>
          <w:color w:val="auto"/>
        </w:rPr>
      </w:pPr>
      <w:r>
        <w:rPr>
          <w:rFonts w:ascii="Arial" w:cs="Arial" w:eastAsia="Arial" w:hAnsi="Arial"/>
          <w:sz w:val="19"/>
          <w:szCs w:val="19"/>
          <w:color w:val="auto"/>
        </w:rPr>
        <w:t>Humana’s ability to obtain funds from certain of its licensed subsidiaries is restricted by state insurance regulations.</w:t>
      </w:r>
    </w:p>
    <w:p>
      <w:pPr>
        <w:spacing w:after="0" w:line="11" w:lineRule="exact"/>
        <w:rPr>
          <w:rFonts w:ascii="Arial" w:cs="Arial" w:eastAsia="Arial" w:hAnsi="Arial"/>
          <w:sz w:val="19"/>
          <w:szCs w:val="19"/>
          <w:color w:val="auto"/>
        </w:rPr>
      </w:pPr>
    </w:p>
    <w:p>
      <w:pPr>
        <w:ind w:left="1300" w:right="40" w:hanging="320"/>
        <w:spacing w:after="0" w:line="239" w:lineRule="auto"/>
        <w:tabs>
          <w:tab w:leader="none" w:pos="13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Downgrades in Humana’s debt ratings, should they occur, may adversely affect its business, results of operations, and financial condition.</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securities and credit markets may experience volatility and disruption, which may adversely affect Humana’s business.</w:t>
      </w:r>
    </w:p>
    <w:p>
      <w:pPr>
        <w:spacing w:after="0" w:line="330" w:lineRule="exact"/>
        <w:rPr>
          <w:sz w:val="20"/>
          <w:szCs w:val="20"/>
          <w:color w:val="auto"/>
        </w:rPr>
      </w:pPr>
    </w:p>
    <w:p>
      <w:pPr>
        <w:ind w:left="340" w:right="240"/>
        <w:spacing w:after="0" w:line="241" w:lineRule="auto"/>
        <w:rPr>
          <w:sz w:val="20"/>
          <w:szCs w:val="20"/>
          <w:color w:val="auto"/>
        </w:rPr>
      </w:pPr>
      <w:r>
        <w:rPr>
          <w:rFonts w:ascii="Arial" w:cs="Arial" w:eastAsia="Arial" w:hAnsi="Arial"/>
          <w:sz w:val="20"/>
          <w:szCs w:val="20"/>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20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Humana advises investors to read the following documents as filed by the company with the SEC for further discussion both of the risks it faces and its historical performance:</w:t>
      </w:r>
    </w:p>
    <w:p>
      <w:pPr>
        <w:spacing w:after="0" w:line="189" w:lineRule="exact"/>
        <w:rPr>
          <w:sz w:val="20"/>
          <w:szCs w:val="20"/>
          <w:color w:val="auto"/>
        </w:rPr>
      </w:pPr>
    </w:p>
    <w:p>
      <w:pPr>
        <w:ind w:left="640" w:hanging="321"/>
        <w:spacing w:after="0"/>
        <w:tabs>
          <w:tab w:leader="none" w:pos="6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Form 10-K for the year ended December 31, 2018;</w:t>
      </w:r>
    </w:p>
    <w:p>
      <w:pPr>
        <w:spacing w:after="0" w:line="15" w:lineRule="exact"/>
        <w:rPr>
          <w:rFonts w:ascii="Arial" w:cs="Arial" w:eastAsia="Arial" w:hAnsi="Arial"/>
          <w:sz w:val="20"/>
          <w:szCs w:val="20"/>
          <w:color w:val="auto"/>
        </w:rPr>
      </w:pPr>
    </w:p>
    <w:p>
      <w:pPr>
        <w:ind w:left="640" w:hanging="321"/>
        <w:spacing w:after="0"/>
        <w:tabs>
          <w:tab w:leader="none" w:pos="6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Form 10-Q for the quarter ended March 31, 2019; and</w:t>
      </w:r>
    </w:p>
    <w:p>
      <w:pPr>
        <w:ind w:left="640" w:hanging="321"/>
        <w:spacing w:after="0"/>
        <w:tabs>
          <w:tab w:leader="none" w:pos="6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Form 8-Ks filed during 2019.</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About Humana</w:t>
      </w:r>
    </w:p>
    <w:p>
      <w:pPr>
        <w:spacing w:after="0" w:line="253"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207"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207" w:lineRule="exact"/>
        <w:rPr>
          <w:sz w:val="20"/>
          <w:szCs w:val="20"/>
          <w:color w:val="auto"/>
        </w:rPr>
      </w:pPr>
    </w:p>
    <w:p>
      <w:pPr>
        <w:ind w:right="840"/>
        <w:spacing w:after="0" w:line="247" w:lineRule="auto"/>
        <w:rPr>
          <w:sz w:val="20"/>
          <w:szCs w:val="20"/>
          <w:color w:val="auto"/>
        </w:rPr>
      </w:pPr>
      <w:r>
        <w:rPr>
          <w:rFonts w:ascii="Arial" w:cs="Arial" w:eastAsia="Arial" w:hAnsi="Arial"/>
          <w:sz w:val="20"/>
          <w:szCs w:val="20"/>
          <w:color w:val="auto"/>
        </w:rPr>
        <w:t xml:space="preserve">More information regarding Humana is available to investors via the Investor Relations page of the company’s website at </w:t>
      </w:r>
      <w:r>
        <w:rPr>
          <w:rFonts w:ascii="Arial" w:cs="Arial" w:eastAsia="Arial" w:hAnsi="Arial"/>
          <w:sz w:val="20"/>
          <w:szCs w:val="20"/>
          <w:u w:val="single" w:color="auto"/>
          <w:color w:val="auto"/>
        </w:rPr>
        <w:t>humana.com</w:t>
      </w:r>
      <w:r>
        <w:rPr>
          <w:rFonts w:ascii="Arial" w:cs="Arial" w:eastAsia="Arial" w:hAnsi="Arial"/>
          <w:sz w:val="20"/>
          <w:szCs w:val="20"/>
          <w:color w:val="auto"/>
        </w:rPr>
        <w:t>, including copies of:</w:t>
      </w:r>
    </w:p>
    <w:p>
      <w:pPr>
        <w:spacing w:after="0" w:line="189" w:lineRule="exact"/>
        <w:rPr>
          <w:sz w:val="20"/>
          <w:szCs w:val="20"/>
          <w:color w:val="auto"/>
        </w:rPr>
      </w:pPr>
    </w:p>
    <w:p>
      <w:pPr>
        <w:ind w:left="640" w:hanging="321"/>
        <w:spacing w:after="0"/>
        <w:tabs>
          <w:tab w:leader="none" w:pos="6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Annual reports to stockholders</w:t>
      </w:r>
    </w:p>
    <w:p>
      <w:pPr>
        <w:spacing w:after="0" w:line="15" w:lineRule="exact"/>
        <w:rPr>
          <w:rFonts w:ascii="Arial" w:cs="Arial" w:eastAsia="Arial" w:hAnsi="Arial"/>
          <w:sz w:val="20"/>
          <w:szCs w:val="20"/>
          <w:color w:val="auto"/>
        </w:rPr>
      </w:pPr>
    </w:p>
    <w:p>
      <w:pPr>
        <w:ind w:left="640" w:hanging="321"/>
        <w:spacing w:after="0"/>
        <w:tabs>
          <w:tab w:leader="none" w:pos="6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Securities and Exchange Commission filings</w:t>
      </w:r>
    </w:p>
    <w:p>
      <w:pPr>
        <w:ind w:left="640" w:hanging="321"/>
        <w:spacing w:after="0"/>
        <w:tabs>
          <w:tab w:leader="none" w:pos="6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Most recent investor conference presentations</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00"/>
          </w:cols>
          <w:pgMar w:left="240" w:top="595" w:right="259" w:bottom="1440" w:gutter="0" w:footer="0" w:header="0"/>
        </w:sectPr>
      </w:pPr>
    </w:p>
    <w:bookmarkStart w:id="29" w:name="page30"/>
    <w:bookmarkEnd w:id="29"/>
    <w:p>
      <w:pPr>
        <w:ind w:left="321" w:hanging="321"/>
        <w:spacing w:after="0"/>
        <w:tabs>
          <w:tab w:leader="none" w:pos="321" w:val="left"/>
        </w:tabs>
        <w:numPr>
          <w:ilvl w:val="0"/>
          <w:numId w:val="55"/>
        </w:numPr>
        <w:rPr>
          <w:rFonts w:ascii="Arial" w:cs="Arial" w:eastAsia="Arial" w:hAnsi="Arial"/>
          <w:sz w:val="20"/>
          <w:szCs w:val="20"/>
          <w:color w:val="auto"/>
        </w:rPr>
      </w:pPr>
      <w:r>
        <w:rPr>
          <w:rFonts w:ascii="Arial" w:cs="Arial" w:eastAsia="Arial" w:hAnsi="Arial"/>
          <w:sz w:val="20"/>
          <w:szCs w:val="20"/>
          <w:color w:val="auto"/>
        </w:rPr>
        <w:t>Quarterly earnings news releases and conference calls</w:t>
      </w:r>
    </w:p>
    <w:p>
      <w:pPr>
        <w:spacing w:after="0" w:line="15" w:lineRule="exact"/>
        <w:rPr>
          <w:rFonts w:ascii="Arial" w:cs="Arial" w:eastAsia="Arial" w:hAnsi="Arial"/>
          <w:sz w:val="20"/>
          <w:szCs w:val="20"/>
          <w:color w:val="auto"/>
        </w:rPr>
      </w:pPr>
    </w:p>
    <w:p>
      <w:pPr>
        <w:ind w:left="321" w:hanging="321"/>
        <w:spacing w:after="0"/>
        <w:tabs>
          <w:tab w:leader="none" w:pos="321" w:val="left"/>
        </w:tabs>
        <w:numPr>
          <w:ilvl w:val="0"/>
          <w:numId w:val="55"/>
        </w:numPr>
        <w:rPr>
          <w:rFonts w:ascii="Arial" w:cs="Arial" w:eastAsia="Arial" w:hAnsi="Arial"/>
          <w:sz w:val="20"/>
          <w:szCs w:val="20"/>
          <w:color w:val="auto"/>
        </w:rPr>
      </w:pPr>
      <w:r>
        <w:rPr>
          <w:rFonts w:ascii="Arial" w:cs="Arial" w:eastAsia="Arial" w:hAnsi="Arial"/>
          <w:sz w:val="20"/>
          <w:szCs w:val="20"/>
          <w:color w:val="auto"/>
        </w:rPr>
        <w:t>Calendar of events</w:t>
      </w:r>
    </w:p>
    <w:p>
      <w:pPr>
        <w:ind w:left="321" w:hanging="321"/>
        <w:spacing w:after="0"/>
        <w:tabs>
          <w:tab w:leader="none" w:pos="321" w:val="left"/>
        </w:tabs>
        <w:numPr>
          <w:ilvl w:val="0"/>
          <w:numId w:val="55"/>
        </w:numPr>
        <w:rPr>
          <w:rFonts w:ascii="Arial" w:cs="Arial" w:eastAsia="Arial" w:hAnsi="Arial"/>
          <w:sz w:val="20"/>
          <w:szCs w:val="20"/>
          <w:color w:val="auto"/>
        </w:rPr>
      </w:pPr>
      <w:r>
        <w:rPr>
          <w:rFonts w:ascii="Arial" w:cs="Arial" w:eastAsia="Arial" w:hAnsi="Arial"/>
          <w:sz w:val="20"/>
          <w:szCs w:val="20"/>
          <w:color w:val="auto"/>
        </w:rPr>
        <w:t>Corporate Governance information</w:t>
      </w:r>
    </w:p>
    <w:p>
      <w:pPr>
        <w:spacing w:after="0" w:line="227" w:lineRule="exact"/>
        <w:rPr>
          <w:sz w:val="20"/>
          <w:szCs w:val="20"/>
          <w:color w:val="auto"/>
        </w:rPr>
      </w:pPr>
    </w:p>
    <w:p>
      <w:pPr>
        <w:jc w:val="right"/>
        <w:ind w:right="439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9901"/>
          </w:cols>
          <w:pgMar w:left="559" w:top="595" w:right="1440"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251"/>
        </w:trPr>
        <w:tc>
          <w:tcPr>
            <w:tcW w:w="1860" w:type="dxa"/>
            <w:vAlign w:val="bottom"/>
            <w:tcBorders>
              <w:top w:val="single" w:sz="8" w:color="auto"/>
              <w:left w:val="single" w:sz="8" w:color="auto"/>
              <w:right w:val="single" w:sz="8" w:color="auto"/>
            </w:tcBorders>
          </w:tcPr>
          <w:p>
            <w:pPr>
              <w:ind w:left="200"/>
              <w:spacing w:after="0" w:line="251" w:lineRule="exact"/>
              <w:rPr>
                <w:sz w:val="20"/>
                <w:szCs w:val="20"/>
                <w:color w:val="auto"/>
              </w:rPr>
            </w:pPr>
            <w:r>
              <w:rPr>
                <w:rFonts w:ascii="Arial" w:cs="Arial" w:eastAsia="Arial" w:hAnsi="Arial"/>
                <w:sz w:val="22"/>
                <w:szCs w:val="22"/>
                <w:b w:val="1"/>
                <w:bCs w:val="1"/>
                <w:i w:val="1"/>
                <w:iCs w:val="1"/>
                <w:color w:val="477915"/>
              </w:rPr>
              <w:t>In accordance</w:t>
            </w:r>
          </w:p>
        </w:tc>
        <w:tc>
          <w:tcPr>
            <w:tcW w:w="120" w:type="dxa"/>
            <w:vAlign w:val="bottom"/>
            <w:tcBorders>
              <w:top w:val="single" w:sz="8" w:color="auto"/>
            </w:tcBorders>
          </w:tcPr>
          <w:p>
            <w:pPr>
              <w:spacing w:after="0"/>
              <w:rPr>
                <w:sz w:val="21"/>
                <w:szCs w:val="21"/>
                <w:color w:val="auto"/>
              </w:rPr>
            </w:pPr>
          </w:p>
        </w:tc>
        <w:tc>
          <w:tcPr>
            <w:tcW w:w="3620" w:type="dxa"/>
            <w:vAlign w:val="bottom"/>
            <w:tcBorders>
              <w:top w:val="single" w:sz="8" w:color="auto"/>
            </w:tcBorders>
            <w:gridSpan w:val="2"/>
          </w:tcPr>
          <w:p>
            <w:pPr>
              <w:jc w:val="center"/>
              <w:ind w:left="2175"/>
              <w:spacing w:after="0" w:line="251" w:lineRule="exact"/>
              <w:rPr>
                <w:sz w:val="20"/>
                <w:szCs w:val="20"/>
                <w:color w:val="auto"/>
              </w:rPr>
            </w:pPr>
            <w:r>
              <w:rPr>
                <w:rFonts w:ascii="Arial" w:cs="Arial" w:eastAsia="Arial" w:hAnsi="Arial"/>
                <w:sz w:val="22"/>
                <w:szCs w:val="22"/>
                <w:b w:val="1"/>
                <w:bCs w:val="1"/>
                <w:color w:val="477915"/>
                <w:w w:val="97"/>
              </w:rPr>
              <w:t>Humana Inc.</w:t>
            </w:r>
          </w:p>
        </w:tc>
        <w:tc>
          <w:tcPr>
            <w:tcW w:w="2300" w:type="dxa"/>
            <w:vAlign w:val="bottom"/>
            <w:tcBorders>
              <w:top w:val="single" w:sz="8" w:color="auto"/>
            </w:tcBorders>
          </w:tcPr>
          <w:p>
            <w:pPr>
              <w:spacing w:after="0"/>
              <w:rPr>
                <w:sz w:val="21"/>
                <w:szCs w:val="21"/>
                <w:color w:val="auto"/>
              </w:rPr>
            </w:pPr>
          </w:p>
        </w:tc>
        <w:tc>
          <w:tcPr>
            <w:tcW w:w="120" w:type="dxa"/>
            <w:vAlign w:val="bottom"/>
            <w:tcBorders>
              <w:top w:val="single" w:sz="8" w:color="auto"/>
              <w:right w:val="single" w:sz="8" w:color="auto"/>
            </w:tcBorders>
          </w:tcPr>
          <w:p>
            <w:pPr>
              <w:spacing w:after="0"/>
              <w:rPr>
                <w:sz w:val="21"/>
                <w:szCs w:val="21"/>
                <w:color w:val="auto"/>
              </w:rPr>
            </w:pPr>
          </w:p>
        </w:tc>
        <w:tc>
          <w:tcPr>
            <w:tcW w:w="3420" w:type="dxa"/>
            <w:vAlign w:val="bottom"/>
            <w:tcBorders>
              <w:top w:val="single" w:sz="8" w:color="auto"/>
              <w:right w:val="single" w:sz="8" w:color="auto"/>
            </w:tcBorders>
          </w:tcPr>
          <w:p>
            <w:pPr>
              <w:ind w:left="1140"/>
              <w:spacing w:after="0" w:line="251" w:lineRule="exact"/>
              <w:rPr>
                <w:sz w:val="20"/>
                <w:szCs w:val="20"/>
                <w:color w:val="auto"/>
              </w:rPr>
            </w:pPr>
            <w:r>
              <w:rPr>
                <w:rFonts w:ascii="Arial" w:cs="Arial" w:eastAsia="Arial" w:hAnsi="Arial"/>
                <w:sz w:val="22"/>
                <w:szCs w:val="22"/>
                <w:b w:val="1"/>
                <w:bCs w:val="1"/>
                <w:color w:val="477915"/>
              </w:rPr>
              <w:t>Comments</w:t>
            </w:r>
          </w:p>
        </w:tc>
        <w:tc>
          <w:tcPr>
            <w:tcW w:w="0" w:type="dxa"/>
            <w:vAlign w:val="bottom"/>
          </w:tcPr>
          <w:p>
            <w:pPr>
              <w:spacing w:after="0"/>
              <w:rPr>
                <w:sz w:val="1"/>
                <w:szCs w:val="1"/>
                <w:color w:val="auto"/>
              </w:rPr>
            </w:pPr>
          </w:p>
        </w:tc>
      </w:tr>
      <w:tr>
        <w:trPr>
          <w:trHeight w:val="243"/>
        </w:trPr>
        <w:tc>
          <w:tcPr>
            <w:tcW w:w="186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i w:val="1"/>
                <w:iCs w:val="1"/>
                <w:color w:val="477915"/>
                <w:w w:val="98"/>
              </w:rPr>
              <w:t>with GAAP</w:t>
            </w:r>
          </w:p>
        </w:tc>
        <w:tc>
          <w:tcPr>
            <w:tcW w:w="120" w:type="dxa"/>
            <w:vAlign w:val="bottom"/>
          </w:tcPr>
          <w:p>
            <w:pPr>
              <w:spacing w:after="0"/>
              <w:rPr>
                <w:sz w:val="21"/>
                <w:szCs w:val="21"/>
                <w:color w:val="auto"/>
              </w:rPr>
            </w:pPr>
          </w:p>
        </w:tc>
        <w:tc>
          <w:tcPr>
            <w:tcW w:w="5920" w:type="dxa"/>
            <w:vAlign w:val="bottom"/>
            <w:gridSpan w:val="3"/>
          </w:tcPr>
          <w:p>
            <w:pPr>
              <w:jc w:val="center"/>
              <w:spacing w:after="0" w:line="243" w:lineRule="exact"/>
              <w:rPr>
                <w:sz w:val="20"/>
                <w:szCs w:val="20"/>
                <w:color w:val="auto"/>
              </w:rPr>
            </w:pPr>
            <w:r>
              <w:rPr>
                <w:rFonts w:ascii="Arial" w:cs="Arial" w:eastAsia="Arial" w:hAnsi="Arial"/>
                <w:sz w:val="22"/>
                <w:szCs w:val="22"/>
                <w:b w:val="1"/>
                <w:bCs w:val="1"/>
                <w:color w:val="477915"/>
                <w:w w:val="97"/>
              </w:rPr>
              <w:t>Full-Year 2019 Projections</w:t>
            </w:r>
          </w:p>
        </w:tc>
        <w:tc>
          <w:tcPr>
            <w:tcW w:w="12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i w:val="1"/>
                <w:iCs w:val="1"/>
                <w:color w:val="477915"/>
                <w:w w:val="97"/>
              </w:rPr>
              <w:t>unless</w:t>
            </w:r>
          </w:p>
        </w:tc>
        <w:tc>
          <w:tcPr>
            <w:tcW w:w="120" w:type="dxa"/>
            <w:vAlign w:val="bottom"/>
          </w:tcPr>
          <w:p>
            <w:pPr>
              <w:spacing w:after="0"/>
              <w:rPr>
                <w:sz w:val="21"/>
                <w:szCs w:val="21"/>
                <w:color w:val="auto"/>
              </w:rPr>
            </w:pPr>
          </w:p>
        </w:tc>
        <w:tc>
          <w:tcPr>
            <w:tcW w:w="5920" w:type="dxa"/>
            <w:vAlign w:val="bottom"/>
            <w:gridSpan w:val="3"/>
          </w:tcPr>
          <w:p>
            <w:pPr>
              <w:jc w:val="center"/>
              <w:spacing w:after="0" w:line="243" w:lineRule="exact"/>
              <w:rPr>
                <w:sz w:val="20"/>
                <w:szCs w:val="20"/>
                <w:color w:val="auto"/>
              </w:rPr>
            </w:pPr>
            <w:r>
              <w:rPr>
                <w:rFonts w:ascii="Arial" w:cs="Arial" w:eastAsia="Arial" w:hAnsi="Arial"/>
                <w:sz w:val="22"/>
                <w:szCs w:val="22"/>
                <w:b w:val="1"/>
                <w:bCs w:val="1"/>
                <w:color w:val="477915"/>
              </w:rPr>
              <w:t>As of July 31, 2019</w:t>
            </w:r>
          </w:p>
        </w:tc>
        <w:tc>
          <w:tcPr>
            <w:tcW w:w="12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i w:val="1"/>
                <w:iCs w:val="1"/>
                <w:color w:val="477915"/>
                <w:w w:val="99"/>
              </w:rPr>
              <w:t>otherwise</w:t>
            </w: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477915"/>
                <w:w w:val="96"/>
              </w:rPr>
              <w:t>noted</w:t>
            </w: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Diluted earnings</w:t>
            </w:r>
          </w:p>
        </w:tc>
        <w:tc>
          <w:tcPr>
            <w:tcW w:w="12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GAAP</w:t>
            </w:r>
          </w:p>
        </w:tc>
        <w:tc>
          <w:tcPr>
            <w:tcW w:w="780" w:type="dxa"/>
            <w:vAlign w:val="bottom"/>
          </w:tcPr>
          <w:p>
            <w:pPr>
              <w:spacing w:after="0"/>
              <w:rPr>
                <w:sz w:val="17"/>
                <w:szCs w:val="17"/>
                <w:color w:val="auto"/>
              </w:rPr>
            </w:pPr>
          </w:p>
        </w:tc>
        <w:tc>
          <w:tcPr>
            <w:tcW w:w="2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~$17.97</w:t>
            </w:r>
          </w:p>
        </w:tc>
        <w:tc>
          <w:tcPr>
            <w:tcW w:w="120" w:type="dxa"/>
            <w:vAlign w:val="bottom"/>
            <w:tcBorders>
              <w:right w:val="single" w:sz="8" w:color="auto"/>
            </w:tcBorders>
          </w:tcPr>
          <w:p>
            <w:pPr>
              <w:spacing w:after="0"/>
              <w:rPr>
                <w:sz w:val="17"/>
                <w:szCs w:val="17"/>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GAAP EPS guidance excludes the impact</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b w:val="1"/>
                <w:bCs w:val="1"/>
                <w:color w:val="auto"/>
              </w:rPr>
              <w:t>per common</w:t>
            </w:r>
          </w:p>
        </w:tc>
        <w:tc>
          <w:tcPr>
            <w:tcW w:w="12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(was ~$16.63 to $16.88)</w:t>
            </w:r>
          </w:p>
        </w:tc>
        <w:tc>
          <w:tcPr>
            <w:tcW w:w="120" w:type="dxa"/>
            <w:vAlign w:val="bottom"/>
            <w:tcBorders>
              <w:right w:val="single" w:sz="8" w:color="auto"/>
            </w:tcBorders>
          </w:tcPr>
          <w:p>
            <w:pPr>
              <w:spacing w:after="0"/>
              <w:rPr>
                <w:sz w:val="16"/>
                <w:szCs w:val="16"/>
                <w:color w:val="auto"/>
              </w:rPr>
            </w:pPr>
          </w:p>
        </w:tc>
        <w:tc>
          <w:tcPr>
            <w:tcW w:w="34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of future fair value changes of the Kindred</w:t>
            </w:r>
          </w:p>
        </w:tc>
        <w:tc>
          <w:tcPr>
            <w:tcW w:w="0" w:type="dxa"/>
            <w:vAlign w:val="bottom"/>
          </w:tcPr>
          <w:p>
            <w:pPr>
              <w:spacing w:after="0"/>
              <w:rPr>
                <w:sz w:val="1"/>
                <w:szCs w:val="1"/>
                <w:color w:val="auto"/>
              </w:rPr>
            </w:pPr>
          </w:p>
        </w:tc>
      </w:tr>
      <w:tr>
        <w:trPr>
          <w:trHeight w:val="45"/>
        </w:trPr>
        <w:tc>
          <w:tcPr>
            <w:tcW w:w="186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share (EPS)</w:t>
            </w:r>
          </w:p>
        </w:tc>
        <w:tc>
          <w:tcPr>
            <w:tcW w:w="120" w:type="dxa"/>
            <w:vAlign w:val="bottom"/>
            <w:tcBorders>
              <w:right w:val="single" w:sz="8" w:color="auto"/>
            </w:tcBorders>
            <w:vMerge w:val="restart"/>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34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at Home put/call option, which cannot be</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Borders>
              <w:right w:val="single" w:sz="8" w:color="auto"/>
            </w:tcBorders>
            <w:vMerge w:val="continue"/>
          </w:tcPr>
          <w:p>
            <w:pPr>
              <w:spacing w:after="0"/>
              <w:rPr>
                <w:sz w:val="12"/>
                <w:szCs w:val="12"/>
                <w:color w:val="auto"/>
              </w:rPr>
            </w:pPr>
          </w:p>
        </w:tc>
        <w:tc>
          <w:tcPr>
            <w:tcW w:w="2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Adjustments</w:t>
            </w:r>
          </w:p>
        </w:tc>
        <w:tc>
          <w:tcPr>
            <w:tcW w:w="780" w:type="dxa"/>
            <w:vAlign w:val="bottom"/>
          </w:tcPr>
          <w:p>
            <w:pPr>
              <w:spacing w:after="0"/>
              <w:rPr>
                <w:sz w:val="12"/>
                <w:szCs w:val="12"/>
                <w:color w:val="auto"/>
              </w:rPr>
            </w:pPr>
          </w:p>
        </w:tc>
        <w:tc>
          <w:tcPr>
            <w:tcW w:w="2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(~$0.37) (was ~$0.62)</w:t>
            </w:r>
          </w:p>
        </w:tc>
        <w:tc>
          <w:tcPr>
            <w:tcW w:w="120" w:type="dxa"/>
            <w:vAlign w:val="bottom"/>
            <w:tcBorders>
              <w:right w:val="single" w:sz="8" w:color="auto"/>
            </w:tcBorders>
          </w:tcPr>
          <w:p>
            <w:pPr>
              <w:spacing w:after="0"/>
              <w:rPr>
                <w:sz w:val="12"/>
                <w:szCs w:val="12"/>
                <w:color w:val="auto"/>
              </w:rPr>
            </w:pPr>
          </w:p>
        </w:tc>
        <w:tc>
          <w:tcPr>
            <w:tcW w:w="34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860" w:type="dxa"/>
            <w:vAlign w:val="bottom"/>
            <w:tcBorders>
              <w:left w:val="single" w:sz="8" w:color="auto"/>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2840" w:type="dxa"/>
            <w:vAlign w:val="bottom"/>
            <w:tcBorders>
              <w:right w:val="single" w:sz="8" w:color="auto"/>
            </w:tcBorders>
            <w:vMerge w:val="continue"/>
          </w:tcPr>
          <w:p>
            <w:pPr>
              <w:spacing w:after="0"/>
              <w:rPr>
                <w:sz w:val="6"/>
                <w:szCs w:val="6"/>
                <w:color w:val="auto"/>
              </w:rPr>
            </w:pPr>
          </w:p>
        </w:tc>
        <w:tc>
          <w:tcPr>
            <w:tcW w:w="780" w:type="dxa"/>
            <w:vAlign w:val="bottom"/>
          </w:tcPr>
          <w:p>
            <w:pPr>
              <w:spacing w:after="0"/>
              <w:rPr>
                <w:sz w:val="6"/>
                <w:szCs w:val="6"/>
                <w:color w:val="auto"/>
              </w:rPr>
            </w:pPr>
          </w:p>
        </w:tc>
        <w:tc>
          <w:tcPr>
            <w:tcW w:w="2300" w:type="dxa"/>
            <w:vAlign w:val="bottom"/>
            <w:tcBorders>
              <w:right w:val="single" w:sz="8" w:color="auto"/>
            </w:tcBorders>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34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estimated.</w:t>
            </w:r>
          </w:p>
        </w:tc>
        <w:tc>
          <w:tcPr>
            <w:tcW w:w="0" w:type="dxa"/>
            <w:vAlign w:val="bottom"/>
          </w:tcPr>
          <w:p>
            <w:pPr>
              <w:spacing w:after="0"/>
              <w:rPr>
                <w:sz w:val="1"/>
                <w:szCs w:val="1"/>
                <w:color w:val="auto"/>
              </w:rPr>
            </w:pPr>
          </w:p>
        </w:tc>
      </w:tr>
      <w:tr>
        <w:trPr>
          <w:trHeight w:val="33"/>
        </w:trPr>
        <w:tc>
          <w:tcPr>
            <w:tcW w:w="186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vMerge w:val="restart"/>
          </w:tcPr>
          <w:p>
            <w:pPr>
              <w:spacing w:after="0"/>
              <w:rPr>
                <w:sz w:val="2"/>
                <w:szCs w:val="2"/>
                <w:color w:val="auto"/>
              </w:rPr>
            </w:pPr>
          </w:p>
        </w:tc>
        <w:tc>
          <w:tcPr>
            <w:tcW w:w="342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1860" w:type="dxa"/>
            <w:vAlign w:val="bottom"/>
            <w:tcBorders>
              <w:left w:val="single" w:sz="8" w:color="auto"/>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Non-GAAP</w:t>
            </w:r>
          </w:p>
        </w:tc>
        <w:tc>
          <w:tcPr>
            <w:tcW w:w="780" w:type="dxa"/>
            <w:vAlign w:val="bottom"/>
          </w:tcPr>
          <w:p>
            <w:pPr>
              <w:spacing w:after="0"/>
              <w:rPr>
                <w:sz w:val="5"/>
                <w:szCs w:val="5"/>
                <w:color w:val="auto"/>
              </w:rPr>
            </w:pPr>
          </w:p>
        </w:tc>
        <w:tc>
          <w:tcPr>
            <w:tcW w:w="2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~$17.60</w:t>
            </w:r>
          </w:p>
        </w:tc>
        <w:tc>
          <w:tcPr>
            <w:tcW w:w="120" w:type="dxa"/>
            <w:vAlign w:val="bottom"/>
            <w:tcBorders>
              <w:right w:val="single" w:sz="8" w:color="auto"/>
            </w:tcBorders>
            <w:vMerge w:val="continue"/>
          </w:tcPr>
          <w:p>
            <w:pPr>
              <w:spacing w:after="0"/>
              <w:rPr>
                <w:sz w:val="5"/>
                <w:szCs w:val="5"/>
                <w:color w:val="auto"/>
              </w:rPr>
            </w:pPr>
          </w:p>
        </w:tc>
        <w:tc>
          <w:tcPr>
            <w:tcW w:w="34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840" w:type="dxa"/>
            <w:vAlign w:val="bottom"/>
            <w:tcBorders>
              <w:right w:val="single" w:sz="8" w:color="auto"/>
            </w:tcBorders>
            <w:vMerge w:val="continue"/>
          </w:tcPr>
          <w:p>
            <w:pPr>
              <w:spacing w:after="0"/>
              <w:rPr>
                <w:sz w:val="12"/>
                <w:szCs w:val="12"/>
                <w:color w:val="auto"/>
              </w:rPr>
            </w:pPr>
          </w:p>
        </w:tc>
        <w:tc>
          <w:tcPr>
            <w:tcW w:w="780" w:type="dxa"/>
            <w:vAlign w:val="bottom"/>
          </w:tcPr>
          <w:p>
            <w:pPr>
              <w:spacing w:after="0"/>
              <w:rPr>
                <w:sz w:val="12"/>
                <w:szCs w:val="12"/>
                <w:color w:val="auto"/>
              </w:rPr>
            </w:pPr>
          </w:p>
        </w:tc>
        <w:tc>
          <w:tcPr>
            <w:tcW w:w="2300" w:type="dxa"/>
            <w:vAlign w:val="bottom"/>
            <w:tcBorders>
              <w:right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420" w:type="dxa"/>
            <w:vAlign w:val="bottom"/>
            <w:tcBorders>
              <w:right w:val="single" w:sz="8" w:color="auto"/>
            </w:tcBorders>
          </w:tcPr>
          <w:p>
            <w:pPr>
              <w:ind w:left="20"/>
              <w:spacing w:after="0" w:line="148" w:lineRule="exact"/>
              <w:rPr>
                <w:sz w:val="20"/>
                <w:szCs w:val="20"/>
                <w:color w:val="auto"/>
              </w:rPr>
            </w:pPr>
            <w:r>
              <w:rPr>
                <w:rFonts w:ascii="Arial" w:cs="Arial" w:eastAsia="Arial" w:hAnsi="Arial"/>
                <w:sz w:val="16"/>
                <w:szCs w:val="16"/>
                <w:color w:val="auto"/>
              </w:rPr>
              <w:t>•  See footnote (f) for detail of non-GAAP</w:t>
            </w:r>
          </w:p>
        </w:tc>
        <w:tc>
          <w:tcPr>
            <w:tcW w:w="0" w:type="dxa"/>
            <w:vAlign w:val="bottom"/>
          </w:tcPr>
          <w:p>
            <w:pPr>
              <w:spacing w:after="0"/>
              <w:rPr>
                <w:sz w:val="1"/>
                <w:szCs w:val="1"/>
                <w:color w:val="auto"/>
              </w:rPr>
            </w:pPr>
          </w:p>
        </w:tc>
      </w:tr>
      <w:tr>
        <w:trPr>
          <w:trHeight w:val="214"/>
        </w:trPr>
        <w:tc>
          <w:tcPr>
            <w:tcW w:w="1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(was ~$17.25 to $17.50)</w:t>
            </w:r>
          </w:p>
        </w:tc>
        <w:tc>
          <w:tcPr>
            <w:tcW w:w="1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adjustments.</w:t>
            </w:r>
          </w:p>
        </w:tc>
        <w:tc>
          <w:tcPr>
            <w:tcW w:w="0" w:type="dxa"/>
            <w:vAlign w:val="bottom"/>
          </w:tcPr>
          <w:p>
            <w:pPr>
              <w:spacing w:after="0"/>
              <w:rPr>
                <w:sz w:val="1"/>
                <w:szCs w:val="1"/>
                <w:color w:val="auto"/>
              </w:rPr>
            </w:pPr>
          </w:p>
        </w:tc>
      </w:tr>
      <w:tr>
        <w:trPr>
          <w:trHeight w:val="318"/>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 revenues</w:t>
            </w:r>
          </w:p>
        </w:tc>
        <w:tc>
          <w:tcPr>
            <w:tcW w:w="12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Consolidated</w:t>
            </w:r>
          </w:p>
        </w:tc>
        <w:tc>
          <w:tcPr>
            <w:tcW w:w="780" w:type="dxa"/>
            <w:vAlign w:val="bottom"/>
          </w:tcPr>
          <w:p>
            <w:pPr>
              <w:spacing w:after="0"/>
              <w:rPr>
                <w:sz w:val="18"/>
                <w:szCs w:val="18"/>
                <w:color w:val="auto"/>
              </w:rPr>
            </w:pPr>
          </w:p>
        </w:tc>
        <w:tc>
          <w:tcPr>
            <w:tcW w:w="2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$64.2 billion to $64.8 billion</w:t>
            </w:r>
          </w:p>
        </w:tc>
        <w:tc>
          <w:tcPr>
            <w:tcW w:w="1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Consolidated and segment-level revenue</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(was $63.3 billion to $63.9 billion)</w:t>
            </w:r>
          </w:p>
        </w:tc>
        <w:tc>
          <w:tcPr>
            <w:tcW w:w="120" w:type="dxa"/>
            <w:vAlign w:val="bottom"/>
            <w:tcBorders>
              <w:right w:val="single" w:sz="8" w:color="auto"/>
            </w:tcBorders>
          </w:tcPr>
          <w:p>
            <w:pPr>
              <w:spacing w:after="0"/>
              <w:rPr>
                <w:sz w:val="16"/>
                <w:szCs w:val="16"/>
                <w:color w:val="auto"/>
              </w:rPr>
            </w:pPr>
          </w:p>
        </w:tc>
        <w:tc>
          <w:tcPr>
            <w:tcW w:w="34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projections include expected investment</w:t>
            </w:r>
          </w:p>
        </w:tc>
        <w:tc>
          <w:tcPr>
            <w:tcW w:w="0" w:type="dxa"/>
            <w:vAlign w:val="bottom"/>
          </w:tcPr>
          <w:p>
            <w:pPr>
              <w:spacing w:after="0"/>
              <w:rPr>
                <w:sz w:val="1"/>
                <w:szCs w:val="1"/>
                <w:color w:val="auto"/>
              </w:rPr>
            </w:pPr>
          </w:p>
        </w:tc>
      </w:tr>
      <w:tr>
        <w:trPr>
          <w:trHeight w:val="25"/>
        </w:trPr>
        <w:tc>
          <w:tcPr>
            <w:tcW w:w="186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vMerge w:val="restart"/>
          </w:tcPr>
          <w:p>
            <w:pPr>
              <w:spacing w:after="0"/>
              <w:rPr>
                <w:sz w:val="2"/>
                <w:szCs w:val="2"/>
                <w:color w:val="auto"/>
              </w:rPr>
            </w:pPr>
          </w:p>
        </w:tc>
        <w:tc>
          <w:tcPr>
            <w:tcW w:w="34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income.</w:t>
            </w:r>
          </w:p>
        </w:tc>
        <w:tc>
          <w:tcPr>
            <w:tcW w:w="0" w:type="dxa"/>
            <w:vAlign w:val="bottom"/>
          </w:tcPr>
          <w:p>
            <w:pPr>
              <w:spacing w:after="0"/>
              <w:rPr>
                <w:sz w:val="1"/>
                <w:szCs w:val="1"/>
                <w:color w:val="auto"/>
              </w:rPr>
            </w:pPr>
          </w:p>
        </w:tc>
      </w:tr>
      <w:tr>
        <w:trPr>
          <w:trHeight w:val="169"/>
        </w:trPr>
        <w:tc>
          <w:tcPr>
            <w:tcW w:w="18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8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6"/>
                <w:szCs w:val="16"/>
                <w:b w:val="1"/>
                <w:bCs w:val="1"/>
                <w:i w:val="1"/>
                <w:iCs w:val="1"/>
                <w:color w:val="auto"/>
              </w:rPr>
              <w:t>Retail segment</w:t>
            </w:r>
          </w:p>
        </w:tc>
        <w:tc>
          <w:tcPr>
            <w:tcW w:w="780" w:type="dxa"/>
            <w:vAlign w:val="bottom"/>
          </w:tcPr>
          <w:p>
            <w:pPr>
              <w:spacing w:after="0"/>
              <w:rPr>
                <w:sz w:val="14"/>
                <w:szCs w:val="14"/>
                <w:color w:val="auto"/>
              </w:rPr>
            </w:pPr>
          </w:p>
        </w:tc>
        <w:tc>
          <w:tcPr>
            <w:tcW w:w="23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$55.8 billion to $56.4 billion</w:t>
            </w:r>
          </w:p>
        </w:tc>
        <w:tc>
          <w:tcPr>
            <w:tcW w:w="120" w:type="dxa"/>
            <w:vAlign w:val="bottom"/>
            <w:tcBorders>
              <w:right w:val="single" w:sz="8" w:color="auto"/>
            </w:tcBorders>
            <w:vMerge w:val="continue"/>
          </w:tcPr>
          <w:p>
            <w:pPr>
              <w:spacing w:after="0"/>
              <w:rPr>
                <w:sz w:val="14"/>
                <w:szCs w:val="14"/>
                <w:color w:val="auto"/>
              </w:rPr>
            </w:pPr>
          </w:p>
        </w:tc>
        <w:tc>
          <w:tcPr>
            <w:tcW w:w="34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84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(was $55.1 billion to $55.7 billion)</w:t>
            </w:r>
          </w:p>
        </w:tc>
        <w:tc>
          <w:tcPr>
            <w:tcW w:w="120" w:type="dxa"/>
            <w:vAlign w:val="bottom"/>
            <w:tcBorders>
              <w:right w:val="single" w:sz="8" w:color="auto"/>
            </w:tcBorders>
          </w:tcPr>
          <w:p>
            <w:pPr>
              <w:spacing w:after="0"/>
              <w:rPr>
                <w:sz w:val="14"/>
                <w:szCs w:val="14"/>
                <w:color w:val="auto"/>
              </w:rPr>
            </w:pPr>
          </w:p>
        </w:tc>
        <w:tc>
          <w:tcPr>
            <w:tcW w:w="342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  Segment-level revenues include amounts</w:t>
            </w:r>
          </w:p>
        </w:tc>
        <w:tc>
          <w:tcPr>
            <w:tcW w:w="0" w:type="dxa"/>
            <w:vAlign w:val="bottom"/>
          </w:tcPr>
          <w:p>
            <w:pPr>
              <w:spacing w:after="0"/>
              <w:rPr>
                <w:sz w:val="1"/>
                <w:szCs w:val="1"/>
                <w:color w:val="auto"/>
              </w:rPr>
            </w:pPr>
          </w:p>
        </w:tc>
      </w:tr>
      <w:tr>
        <w:trPr>
          <w:trHeight w:val="86"/>
        </w:trPr>
        <w:tc>
          <w:tcPr>
            <w:tcW w:w="1860" w:type="dxa"/>
            <w:vAlign w:val="bottom"/>
            <w:tcBorders>
              <w:left w:val="single" w:sz="8" w:color="auto"/>
              <w:right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3080" w:type="dxa"/>
            <w:vAlign w:val="bottom"/>
            <w:tcBorders>
              <w:bottom w:val="single" w:sz="8" w:color="auto"/>
              <w:right w:val="single" w:sz="8" w:color="auto"/>
            </w:tcBorders>
            <w:gridSpan w:val="2"/>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4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that eliminate in consolidation.</w:t>
            </w:r>
          </w:p>
        </w:tc>
        <w:tc>
          <w:tcPr>
            <w:tcW w:w="0" w:type="dxa"/>
            <w:vAlign w:val="bottom"/>
          </w:tcPr>
          <w:p>
            <w:pPr>
              <w:spacing w:after="0"/>
              <w:rPr>
                <w:sz w:val="1"/>
                <w:szCs w:val="1"/>
                <w:color w:val="auto"/>
              </w:rPr>
            </w:pPr>
          </w:p>
        </w:tc>
      </w:tr>
      <w:tr>
        <w:trPr>
          <w:trHeight w:val="89"/>
        </w:trPr>
        <w:tc>
          <w:tcPr>
            <w:tcW w:w="1860" w:type="dxa"/>
            <w:vAlign w:val="bottom"/>
            <w:tcBorders>
              <w:left w:val="single" w:sz="8" w:color="auto"/>
              <w:right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Group and Specialty segment</w:t>
            </w:r>
          </w:p>
        </w:tc>
        <w:tc>
          <w:tcPr>
            <w:tcW w:w="780" w:type="dxa"/>
            <w:vAlign w:val="bottom"/>
          </w:tcPr>
          <w:p>
            <w:pPr>
              <w:spacing w:after="0"/>
              <w:rPr>
                <w:sz w:val="7"/>
                <w:szCs w:val="7"/>
                <w:color w:val="auto"/>
              </w:rPr>
            </w:pPr>
          </w:p>
        </w:tc>
        <w:tc>
          <w:tcPr>
            <w:tcW w:w="2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$7.3 billion to $7.6 billion</w:t>
            </w:r>
          </w:p>
        </w:tc>
        <w:tc>
          <w:tcPr>
            <w:tcW w:w="120" w:type="dxa"/>
            <w:vAlign w:val="bottom"/>
            <w:tcBorders>
              <w:right w:val="single" w:sz="8" w:color="auto"/>
            </w:tcBorders>
          </w:tcPr>
          <w:p>
            <w:pPr>
              <w:spacing w:after="0"/>
              <w:rPr>
                <w:sz w:val="7"/>
                <w:szCs w:val="7"/>
                <w:color w:val="auto"/>
              </w:rPr>
            </w:pPr>
          </w:p>
        </w:tc>
        <w:tc>
          <w:tcPr>
            <w:tcW w:w="34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860" w:type="dxa"/>
            <w:vAlign w:val="bottom"/>
            <w:tcBorders>
              <w:left w:val="single" w:sz="8" w:color="auto"/>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vMerge w:val="continue"/>
          </w:tcPr>
          <w:p>
            <w:pPr>
              <w:spacing w:after="0"/>
              <w:rPr>
                <w:sz w:val="11"/>
                <w:szCs w:val="11"/>
                <w:color w:val="auto"/>
              </w:rPr>
            </w:pPr>
          </w:p>
        </w:tc>
        <w:tc>
          <w:tcPr>
            <w:tcW w:w="780" w:type="dxa"/>
            <w:vAlign w:val="bottom"/>
          </w:tcPr>
          <w:p>
            <w:pPr>
              <w:spacing w:after="0"/>
              <w:rPr>
                <w:sz w:val="11"/>
                <w:szCs w:val="11"/>
                <w:color w:val="auto"/>
              </w:rPr>
            </w:pPr>
          </w:p>
        </w:tc>
        <w:tc>
          <w:tcPr>
            <w:tcW w:w="2300" w:type="dxa"/>
            <w:vAlign w:val="bottom"/>
            <w:tcBorders>
              <w:right w:val="single" w:sz="8" w:color="auto"/>
            </w:tcBorders>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4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(was $7.1 billion to $7.6 billion)</w:t>
            </w:r>
          </w:p>
        </w:tc>
        <w:tc>
          <w:tcPr>
            <w:tcW w:w="1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Healthcare Services segment</w:t>
            </w:r>
          </w:p>
        </w:tc>
        <w:tc>
          <w:tcPr>
            <w:tcW w:w="780" w:type="dxa"/>
            <w:vAlign w:val="bottom"/>
          </w:tcPr>
          <w:p>
            <w:pPr>
              <w:spacing w:after="0"/>
              <w:rPr>
                <w:sz w:val="18"/>
                <w:szCs w:val="18"/>
                <w:color w:val="auto"/>
              </w:rPr>
            </w:pPr>
          </w:p>
        </w:tc>
        <w:tc>
          <w:tcPr>
            <w:tcW w:w="2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$25.4 billion to $25.9 billion</w:t>
            </w:r>
          </w:p>
        </w:tc>
        <w:tc>
          <w:tcPr>
            <w:tcW w:w="1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(was $25.1 billion to $25.6 billion)</w:t>
            </w:r>
          </w:p>
        </w:tc>
        <w:tc>
          <w:tcPr>
            <w:tcW w:w="1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6"/>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3"/>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Change in year-</w:t>
            </w:r>
          </w:p>
        </w:tc>
        <w:tc>
          <w:tcPr>
            <w:tcW w:w="120" w:type="dxa"/>
            <w:vAlign w:val="bottom"/>
          </w:tcPr>
          <w:p>
            <w:pPr>
              <w:spacing w:after="0"/>
              <w:rPr>
                <w:sz w:val="16"/>
                <w:szCs w:val="16"/>
                <w:color w:val="auto"/>
              </w:rPr>
            </w:pPr>
          </w:p>
        </w:tc>
        <w:tc>
          <w:tcPr>
            <w:tcW w:w="5920" w:type="dxa"/>
            <w:vAlign w:val="bottom"/>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Individual Medicare Advantage:</w:t>
            </w:r>
            <w:r>
              <w:rPr>
                <w:rFonts w:ascii="Arial" w:cs="Arial" w:eastAsia="Arial" w:hAnsi="Arial"/>
                <w:sz w:val="16"/>
                <w:szCs w:val="16"/>
                <w:color w:val="auto"/>
              </w:rPr>
              <w:t xml:space="preserve"> Up 480,000 to 500,000 (was Up 415,000 to</w:t>
            </w:r>
          </w:p>
        </w:tc>
        <w:tc>
          <w:tcPr>
            <w:tcW w:w="120" w:type="dxa"/>
            <w:vAlign w:val="bottom"/>
            <w:tcBorders>
              <w:right w:val="single" w:sz="8" w:color="auto"/>
            </w:tcBorders>
          </w:tcPr>
          <w:p>
            <w:pPr>
              <w:spacing w:after="0"/>
              <w:rPr>
                <w:sz w:val="16"/>
                <w:szCs w:val="16"/>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Group commercial medical membership</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b w:val="1"/>
                <w:bCs w:val="1"/>
                <w:color w:val="auto"/>
              </w:rPr>
              <w:t>end medical</w:t>
            </w:r>
          </w:p>
        </w:tc>
        <w:tc>
          <w:tcPr>
            <w:tcW w:w="120" w:type="dxa"/>
            <w:vAlign w:val="bottom"/>
          </w:tcPr>
          <w:p>
            <w:pPr>
              <w:spacing w:after="0"/>
              <w:rPr>
                <w:sz w:val="16"/>
                <w:szCs w:val="16"/>
                <w:color w:val="auto"/>
              </w:rPr>
            </w:pPr>
          </w:p>
        </w:tc>
        <w:tc>
          <w:tcPr>
            <w:tcW w:w="2840" w:type="dxa"/>
            <w:vAlign w:val="bottom"/>
          </w:tcPr>
          <w:p>
            <w:pPr>
              <w:ind w:left="160"/>
              <w:spacing w:after="0"/>
              <w:rPr>
                <w:sz w:val="20"/>
                <w:szCs w:val="20"/>
                <w:color w:val="auto"/>
              </w:rPr>
            </w:pPr>
            <w:r>
              <w:rPr>
                <w:rFonts w:ascii="Arial" w:cs="Arial" w:eastAsia="Arial" w:hAnsi="Arial"/>
                <w:sz w:val="16"/>
                <w:szCs w:val="16"/>
                <w:color w:val="auto"/>
              </w:rPr>
              <w:t>440,000)</w:t>
            </w:r>
          </w:p>
        </w:tc>
        <w:tc>
          <w:tcPr>
            <w:tcW w:w="7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4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includes fully-insured and ASO (self-</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b w:val="1"/>
                <w:bCs w:val="1"/>
                <w:color w:val="auto"/>
              </w:rPr>
              <w:t>membership</w:t>
            </w:r>
          </w:p>
        </w:tc>
        <w:tc>
          <w:tcPr>
            <w:tcW w:w="120" w:type="dxa"/>
            <w:vAlign w:val="bottom"/>
          </w:tcPr>
          <w:p>
            <w:pPr>
              <w:spacing w:after="0"/>
              <w:rPr>
                <w:sz w:val="16"/>
                <w:szCs w:val="16"/>
                <w:color w:val="auto"/>
              </w:rPr>
            </w:pPr>
          </w:p>
        </w:tc>
        <w:tc>
          <w:tcPr>
            <w:tcW w:w="5920" w:type="dxa"/>
            <w:vAlign w:val="bottom"/>
            <w:gridSpan w:val="3"/>
            <w:vMerge w:val="restart"/>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Group Medicare Advantage:</w:t>
            </w:r>
            <w:r>
              <w:rPr>
                <w:rFonts w:ascii="Arial" w:cs="Arial" w:eastAsia="Arial" w:hAnsi="Arial"/>
                <w:sz w:val="16"/>
                <w:szCs w:val="16"/>
                <w:color w:val="auto"/>
              </w:rPr>
              <w:t xml:space="preserve"> Up ~30,000 (no change)</w:t>
            </w:r>
          </w:p>
        </w:tc>
        <w:tc>
          <w:tcPr>
            <w:tcW w:w="120" w:type="dxa"/>
            <w:vAlign w:val="bottom"/>
            <w:tcBorders>
              <w:right w:val="single" w:sz="8" w:color="auto"/>
            </w:tcBorders>
          </w:tcPr>
          <w:p>
            <w:pPr>
              <w:spacing w:after="0"/>
              <w:rPr>
                <w:sz w:val="16"/>
                <w:szCs w:val="16"/>
                <w:color w:val="auto"/>
              </w:rPr>
            </w:pPr>
          </w:p>
        </w:tc>
        <w:tc>
          <w:tcPr>
            <w:tcW w:w="34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insured).</w:t>
            </w:r>
          </w:p>
        </w:tc>
        <w:tc>
          <w:tcPr>
            <w:tcW w:w="0" w:type="dxa"/>
            <w:vAlign w:val="bottom"/>
          </w:tcPr>
          <w:p>
            <w:pPr>
              <w:spacing w:after="0"/>
              <w:rPr>
                <w:sz w:val="1"/>
                <w:szCs w:val="1"/>
                <w:color w:val="auto"/>
              </w:rPr>
            </w:pPr>
          </w:p>
        </w:tc>
      </w:tr>
      <w:tr>
        <w:trPr>
          <w:trHeight w:val="80"/>
        </w:trPr>
        <w:tc>
          <w:tcPr>
            <w:tcW w:w="186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from prior</w:t>
            </w:r>
          </w:p>
        </w:tc>
        <w:tc>
          <w:tcPr>
            <w:tcW w:w="120" w:type="dxa"/>
            <w:vAlign w:val="bottom"/>
          </w:tcPr>
          <w:p>
            <w:pPr>
              <w:spacing w:after="0"/>
              <w:rPr>
                <w:sz w:val="6"/>
                <w:szCs w:val="6"/>
                <w:color w:val="auto"/>
              </w:rPr>
            </w:pPr>
          </w:p>
        </w:tc>
        <w:tc>
          <w:tcPr>
            <w:tcW w:w="5920" w:type="dxa"/>
            <w:vAlign w:val="bottom"/>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5920" w:type="dxa"/>
            <w:vAlign w:val="bottom"/>
            <w:gridSpan w:val="3"/>
            <w:vMerge w:val="restart"/>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Medicare stand-alone PDP:</w:t>
            </w:r>
            <w:r>
              <w:rPr>
                <w:rFonts w:ascii="Arial" w:cs="Arial" w:eastAsia="Arial" w:hAnsi="Arial"/>
                <w:sz w:val="16"/>
                <w:szCs w:val="16"/>
                <w:color w:val="auto"/>
              </w:rPr>
              <w:t xml:space="preserve"> Down ~700,000 (was Down 700,000 to 750,000)</w:t>
            </w:r>
          </w:p>
        </w:tc>
        <w:tc>
          <w:tcPr>
            <w:tcW w:w="120" w:type="dxa"/>
            <w:vAlign w:val="bottom"/>
            <w:tcBorders>
              <w:right w:val="single" w:sz="8" w:color="auto"/>
            </w:tcBorders>
          </w:tcPr>
          <w:p>
            <w:pPr>
              <w:spacing w:after="0"/>
              <w:rPr>
                <w:sz w:val="9"/>
                <w:szCs w:val="9"/>
                <w:color w:val="auto"/>
              </w:rPr>
            </w:pP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86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year end</w:t>
            </w:r>
          </w:p>
        </w:tc>
        <w:tc>
          <w:tcPr>
            <w:tcW w:w="120" w:type="dxa"/>
            <w:vAlign w:val="bottom"/>
          </w:tcPr>
          <w:p>
            <w:pPr>
              <w:spacing w:after="0"/>
              <w:rPr>
                <w:sz w:val="13"/>
                <w:szCs w:val="13"/>
                <w:color w:val="auto"/>
              </w:rPr>
            </w:pPr>
          </w:p>
        </w:tc>
        <w:tc>
          <w:tcPr>
            <w:tcW w:w="5920" w:type="dxa"/>
            <w:vAlign w:val="bottom"/>
            <w:gridSpan w:val="3"/>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860" w:type="dxa"/>
            <w:vAlign w:val="bottom"/>
            <w:tcBorders>
              <w:left w:val="single" w:sz="8" w:color="auto"/>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3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Group commercial medical:</w:t>
            </w:r>
            <w:r>
              <w:rPr>
                <w:rFonts w:ascii="Arial" w:cs="Arial" w:eastAsia="Arial" w:hAnsi="Arial"/>
                <w:sz w:val="16"/>
                <w:szCs w:val="16"/>
                <w:color w:val="auto"/>
              </w:rPr>
              <w:t xml:space="preserve"> Down 45,000 to 55,000 (was Down 60,000 to</w:t>
            </w:r>
          </w:p>
        </w:tc>
        <w:tc>
          <w:tcPr>
            <w:tcW w:w="1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ind w:left="160"/>
              <w:spacing w:after="0"/>
              <w:rPr>
                <w:sz w:val="20"/>
                <w:szCs w:val="20"/>
                <w:color w:val="auto"/>
              </w:rPr>
            </w:pPr>
            <w:r>
              <w:rPr>
                <w:rFonts w:ascii="Arial" w:cs="Arial" w:eastAsia="Arial" w:hAnsi="Arial"/>
                <w:sz w:val="16"/>
                <w:szCs w:val="16"/>
                <w:color w:val="auto"/>
              </w:rPr>
              <w:t>80,000)</w:t>
            </w:r>
          </w:p>
        </w:tc>
        <w:tc>
          <w:tcPr>
            <w:tcW w:w="7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860" w:type="dxa"/>
            <w:vAlign w:val="bottom"/>
            <w:tcBorders>
              <w:left w:val="single" w:sz="8" w:color="auto"/>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Benefit ratios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Ratio calculation: benefits expense as a</w:t>
            </w:r>
          </w:p>
        </w:tc>
        <w:tc>
          <w:tcPr>
            <w:tcW w:w="0" w:type="dxa"/>
            <w:vAlign w:val="bottom"/>
          </w:tcPr>
          <w:p>
            <w:pPr>
              <w:spacing w:after="0"/>
              <w:rPr>
                <w:sz w:val="1"/>
                <w:szCs w:val="1"/>
                <w:color w:val="auto"/>
              </w:rPr>
            </w:pPr>
          </w:p>
        </w:tc>
      </w:tr>
      <w:tr>
        <w:trPr>
          <w:trHeight w:val="52"/>
        </w:trPr>
        <w:tc>
          <w:tcPr>
            <w:tcW w:w="1860" w:type="dxa"/>
            <w:vAlign w:val="bottom"/>
            <w:tcBorders>
              <w:left w:val="single" w:sz="8" w:color="auto"/>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vMerge w:val="restart"/>
          </w:tcPr>
          <w:p>
            <w:pPr>
              <w:spacing w:after="0"/>
              <w:rPr>
                <w:sz w:val="4"/>
                <w:szCs w:val="4"/>
                <w:color w:val="auto"/>
              </w:rPr>
            </w:pPr>
          </w:p>
        </w:tc>
        <w:tc>
          <w:tcPr>
            <w:tcW w:w="34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percent of premium revenues.</w:t>
            </w:r>
          </w:p>
        </w:tc>
        <w:tc>
          <w:tcPr>
            <w:tcW w:w="0" w:type="dxa"/>
            <w:vAlign w:val="bottom"/>
          </w:tcPr>
          <w:p>
            <w:pPr>
              <w:spacing w:after="0"/>
              <w:rPr>
                <w:sz w:val="1"/>
                <w:szCs w:val="1"/>
                <w:color w:val="auto"/>
              </w:rPr>
            </w:pPr>
          </w:p>
        </w:tc>
      </w:tr>
      <w:tr>
        <w:trPr>
          <w:trHeight w:val="123"/>
        </w:trPr>
        <w:tc>
          <w:tcPr>
            <w:tcW w:w="1860" w:type="dxa"/>
            <w:vAlign w:val="bottom"/>
            <w:tcBorders>
              <w:left w:val="single" w:sz="8" w:color="auto"/>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Retail segment</w:t>
            </w:r>
          </w:p>
        </w:tc>
        <w:tc>
          <w:tcPr>
            <w:tcW w:w="780" w:type="dxa"/>
            <w:vAlign w:val="bottom"/>
          </w:tcPr>
          <w:p>
            <w:pPr>
              <w:spacing w:after="0"/>
              <w:rPr>
                <w:sz w:val="10"/>
                <w:szCs w:val="10"/>
                <w:color w:val="auto"/>
              </w:rPr>
            </w:pPr>
          </w:p>
        </w:tc>
        <w:tc>
          <w:tcPr>
            <w:tcW w:w="2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86.4% to 86.8%</w:t>
            </w:r>
          </w:p>
        </w:tc>
        <w:tc>
          <w:tcPr>
            <w:tcW w:w="120" w:type="dxa"/>
            <w:vAlign w:val="bottom"/>
            <w:tcBorders>
              <w:right w:val="single" w:sz="8" w:color="auto"/>
            </w:tcBorders>
            <w:vMerge w:val="continue"/>
          </w:tcPr>
          <w:p>
            <w:pPr>
              <w:spacing w:after="0"/>
              <w:rPr>
                <w:sz w:val="10"/>
                <w:szCs w:val="10"/>
                <w:color w:val="auto"/>
              </w:rPr>
            </w:pPr>
          </w:p>
        </w:tc>
        <w:tc>
          <w:tcPr>
            <w:tcW w:w="3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860" w:type="dxa"/>
            <w:vAlign w:val="bottom"/>
            <w:tcBorders>
              <w:left w:val="single" w:sz="8" w:color="auto"/>
              <w:right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84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2300" w:type="dxa"/>
            <w:vAlign w:val="bottom"/>
            <w:tcBorders>
              <w:right w:val="single" w:sz="8" w:color="auto"/>
            </w:tcBorders>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(was 86.4% to 87.4%)</w:t>
            </w:r>
          </w:p>
        </w:tc>
        <w:tc>
          <w:tcPr>
            <w:tcW w:w="1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Group and Specialty segment</w:t>
            </w:r>
          </w:p>
        </w:tc>
        <w:tc>
          <w:tcPr>
            <w:tcW w:w="780" w:type="dxa"/>
            <w:vAlign w:val="bottom"/>
          </w:tcPr>
          <w:p>
            <w:pPr>
              <w:spacing w:after="0"/>
              <w:rPr>
                <w:sz w:val="18"/>
                <w:szCs w:val="18"/>
                <w:color w:val="auto"/>
              </w:rPr>
            </w:pPr>
          </w:p>
        </w:tc>
        <w:tc>
          <w:tcPr>
            <w:tcW w:w="2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82.4% to 82.8%</w:t>
            </w:r>
          </w:p>
        </w:tc>
        <w:tc>
          <w:tcPr>
            <w:tcW w:w="1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(was 81.3% to 81.8%)</w:t>
            </w:r>
          </w:p>
        </w:tc>
        <w:tc>
          <w:tcPr>
            <w:tcW w:w="120" w:type="dxa"/>
            <w:vAlign w:val="bottom"/>
            <w:tcBorders>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w:t>
            </w: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Ratio calculation: operating costs excluding</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operating cost</w:t>
            </w:r>
          </w:p>
        </w:tc>
        <w:tc>
          <w:tcPr>
            <w:tcW w:w="12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Arial" w:cs="Arial" w:eastAsia="Arial" w:hAnsi="Arial"/>
                <w:sz w:val="16"/>
                <w:szCs w:val="16"/>
                <w:color w:val="auto"/>
              </w:rPr>
              <w:t>11.1% to 11.5% (was 10.7% to 11.5%)</w:t>
            </w:r>
          </w:p>
        </w:tc>
        <w:tc>
          <w:tcPr>
            <w:tcW w:w="2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4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depreciation and amortization as a percent</w:t>
            </w:r>
          </w:p>
        </w:tc>
        <w:tc>
          <w:tcPr>
            <w:tcW w:w="0" w:type="dxa"/>
            <w:vAlign w:val="bottom"/>
          </w:tcPr>
          <w:p>
            <w:pPr>
              <w:spacing w:after="0"/>
              <w:rPr>
                <w:sz w:val="1"/>
                <w:szCs w:val="1"/>
                <w:color w:val="auto"/>
              </w:rPr>
            </w:pPr>
          </w:p>
        </w:tc>
      </w:tr>
      <w:tr>
        <w:trPr>
          <w:trHeight w:val="228"/>
        </w:trPr>
        <w:tc>
          <w:tcPr>
            <w:tcW w:w="1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ratio</w:t>
            </w:r>
          </w:p>
        </w:tc>
        <w:tc>
          <w:tcPr>
            <w:tcW w:w="1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of revenues excluding investment income.</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40"/>
          </w:cols>
          <w:pgMar w:left="240" w:top="727" w:right="21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251"/>
        </w:trPr>
        <w:tc>
          <w:tcPr>
            <w:tcW w:w="1860" w:type="dxa"/>
            <w:vAlign w:val="bottom"/>
            <w:tcBorders>
              <w:top w:val="single" w:sz="8" w:color="auto"/>
              <w:left w:val="single" w:sz="8" w:color="auto"/>
              <w:right w:val="single" w:sz="8" w:color="auto"/>
            </w:tcBorders>
          </w:tcPr>
          <w:p>
            <w:pPr>
              <w:jc w:val="center"/>
              <w:spacing w:after="0" w:line="251" w:lineRule="exact"/>
              <w:rPr>
                <w:sz w:val="20"/>
                <w:szCs w:val="20"/>
                <w:color w:val="auto"/>
              </w:rPr>
            </w:pPr>
            <w:r>
              <w:rPr>
                <w:rFonts w:ascii="Arial" w:cs="Arial" w:eastAsia="Arial" w:hAnsi="Arial"/>
                <w:sz w:val="22"/>
                <w:szCs w:val="22"/>
                <w:b w:val="1"/>
                <w:bCs w:val="1"/>
                <w:i w:val="1"/>
                <w:iCs w:val="1"/>
                <w:color w:val="477915"/>
                <w:w w:val="98"/>
              </w:rPr>
              <w:t>In accordance</w:t>
            </w:r>
          </w:p>
        </w:tc>
        <w:tc>
          <w:tcPr>
            <w:tcW w:w="140" w:type="dxa"/>
            <w:vAlign w:val="bottom"/>
            <w:tcBorders>
              <w:top w:val="single" w:sz="8" w:color="auto"/>
            </w:tcBorders>
          </w:tcPr>
          <w:p>
            <w:pPr>
              <w:spacing w:after="0"/>
              <w:rPr>
                <w:sz w:val="21"/>
                <w:szCs w:val="21"/>
                <w:color w:val="auto"/>
              </w:rPr>
            </w:pPr>
          </w:p>
        </w:tc>
        <w:tc>
          <w:tcPr>
            <w:tcW w:w="5900" w:type="dxa"/>
            <w:vAlign w:val="bottom"/>
            <w:tcBorders>
              <w:top w:val="single" w:sz="8" w:color="auto"/>
            </w:tcBorders>
            <w:gridSpan w:val="3"/>
          </w:tcPr>
          <w:p>
            <w:pPr>
              <w:jc w:val="center"/>
              <w:spacing w:after="0" w:line="251" w:lineRule="exact"/>
              <w:rPr>
                <w:sz w:val="20"/>
                <w:szCs w:val="20"/>
                <w:color w:val="auto"/>
              </w:rPr>
            </w:pPr>
            <w:r>
              <w:rPr>
                <w:rFonts w:ascii="Arial" w:cs="Arial" w:eastAsia="Arial" w:hAnsi="Arial"/>
                <w:sz w:val="22"/>
                <w:szCs w:val="22"/>
                <w:b w:val="1"/>
                <w:bCs w:val="1"/>
                <w:color w:val="477915"/>
                <w:w w:val="99"/>
              </w:rPr>
              <w:t>Humana Inc.</w:t>
            </w:r>
          </w:p>
        </w:tc>
        <w:tc>
          <w:tcPr>
            <w:tcW w:w="120" w:type="dxa"/>
            <w:vAlign w:val="bottom"/>
            <w:tcBorders>
              <w:top w:val="single" w:sz="8" w:color="auto"/>
              <w:right w:val="single" w:sz="8" w:color="auto"/>
            </w:tcBorders>
          </w:tcPr>
          <w:p>
            <w:pPr>
              <w:spacing w:after="0"/>
              <w:rPr>
                <w:sz w:val="21"/>
                <w:szCs w:val="21"/>
                <w:color w:val="auto"/>
              </w:rPr>
            </w:pPr>
          </w:p>
        </w:tc>
        <w:tc>
          <w:tcPr>
            <w:tcW w:w="3420" w:type="dxa"/>
            <w:vAlign w:val="bottom"/>
            <w:tcBorders>
              <w:top w:val="single" w:sz="8" w:color="auto"/>
              <w:right w:val="single" w:sz="8" w:color="auto"/>
            </w:tcBorders>
          </w:tcPr>
          <w:p>
            <w:pPr>
              <w:ind w:left="1140"/>
              <w:spacing w:after="0" w:line="251" w:lineRule="exact"/>
              <w:rPr>
                <w:sz w:val="20"/>
                <w:szCs w:val="20"/>
                <w:color w:val="auto"/>
              </w:rPr>
            </w:pPr>
            <w:r>
              <w:rPr>
                <w:rFonts w:ascii="Arial" w:cs="Arial" w:eastAsia="Arial" w:hAnsi="Arial"/>
                <w:sz w:val="22"/>
                <w:szCs w:val="22"/>
                <w:b w:val="1"/>
                <w:bCs w:val="1"/>
                <w:color w:val="477915"/>
              </w:rPr>
              <w:t>Comments</w:t>
            </w:r>
          </w:p>
        </w:tc>
        <w:tc>
          <w:tcPr>
            <w:tcW w:w="0" w:type="dxa"/>
            <w:vAlign w:val="bottom"/>
          </w:tcPr>
          <w:p>
            <w:pPr>
              <w:spacing w:after="0"/>
              <w:rPr>
                <w:sz w:val="1"/>
                <w:szCs w:val="1"/>
                <w:color w:val="auto"/>
              </w:rPr>
            </w:pPr>
          </w:p>
        </w:tc>
      </w:tr>
      <w:tr>
        <w:trPr>
          <w:trHeight w:val="243"/>
        </w:trPr>
        <w:tc>
          <w:tcPr>
            <w:tcW w:w="186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i w:val="1"/>
                <w:iCs w:val="1"/>
                <w:color w:val="477915"/>
                <w:w w:val="98"/>
              </w:rPr>
              <w:t>with GAAP</w:t>
            </w:r>
          </w:p>
        </w:tc>
        <w:tc>
          <w:tcPr>
            <w:tcW w:w="140" w:type="dxa"/>
            <w:vAlign w:val="bottom"/>
          </w:tcPr>
          <w:p>
            <w:pPr>
              <w:spacing w:after="0"/>
              <w:rPr>
                <w:sz w:val="21"/>
                <w:szCs w:val="21"/>
                <w:color w:val="auto"/>
              </w:rPr>
            </w:pPr>
          </w:p>
        </w:tc>
        <w:tc>
          <w:tcPr>
            <w:tcW w:w="5900" w:type="dxa"/>
            <w:vAlign w:val="bottom"/>
            <w:gridSpan w:val="3"/>
          </w:tcPr>
          <w:p>
            <w:pPr>
              <w:jc w:val="center"/>
              <w:spacing w:after="0" w:line="243" w:lineRule="exact"/>
              <w:rPr>
                <w:sz w:val="20"/>
                <w:szCs w:val="20"/>
                <w:color w:val="auto"/>
              </w:rPr>
            </w:pPr>
            <w:r>
              <w:rPr>
                <w:rFonts w:ascii="Arial" w:cs="Arial" w:eastAsia="Arial" w:hAnsi="Arial"/>
                <w:sz w:val="22"/>
                <w:szCs w:val="22"/>
                <w:b w:val="1"/>
                <w:bCs w:val="1"/>
                <w:color w:val="477915"/>
                <w:w w:val="98"/>
              </w:rPr>
              <w:t>Full-Year 2019 Projections</w:t>
            </w:r>
          </w:p>
        </w:tc>
        <w:tc>
          <w:tcPr>
            <w:tcW w:w="12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i w:val="1"/>
                <w:iCs w:val="1"/>
                <w:color w:val="477915"/>
                <w:w w:val="97"/>
              </w:rPr>
              <w:t>unless</w:t>
            </w:r>
          </w:p>
        </w:tc>
        <w:tc>
          <w:tcPr>
            <w:tcW w:w="140" w:type="dxa"/>
            <w:vAlign w:val="bottom"/>
          </w:tcPr>
          <w:p>
            <w:pPr>
              <w:spacing w:after="0"/>
              <w:rPr>
                <w:sz w:val="21"/>
                <w:szCs w:val="21"/>
                <w:color w:val="auto"/>
              </w:rPr>
            </w:pPr>
          </w:p>
        </w:tc>
        <w:tc>
          <w:tcPr>
            <w:tcW w:w="5900" w:type="dxa"/>
            <w:vAlign w:val="bottom"/>
            <w:gridSpan w:val="3"/>
          </w:tcPr>
          <w:p>
            <w:pPr>
              <w:jc w:val="center"/>
              <w:spacing w:after="0" w:line="243" w:lineRule="exact"/>
              <w:rPr>
                <w:sz w:val="20"/>
                <w:szCs w:val="20"/>
                <w:color w:val="auto"/>
              </w:rPr>
            </w:pPr>
            <w:r>
              <w:rPr>
                <w:rFonts w:ascii="Arial" w:cs="Arial" w:eastAsia="Arial" w:hAnsi="Arial"/>
                <w:sz w:val="22"/>
                <w:szCs w:val="22"/>
                <w:b w:val="1"/>
                <w:bCs w:val="1"/>
                <w:color w:val="477915"/>
              </w:rPr>
              <w:t>As of July 31, 2019</w:t>
            </w:r>
          </w:p>
        </w:tc>
        <w:tc>
          <w:tcPr>
            <w:tcW w:w="12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i w:val="1"/>
                <w:iCs w:val="1"/>
                <w:color w:val="477915"/>
                <w:w w:val="99"/>
              </w:rPr>
              <w:t>otherwise</w:t>
            </w:r>
          </w:p>
        </w:tc>
        <w:tc>
          <w:tcPr>
            <w:tcW w:w="1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477915"/>
                <w:w w:val="96"/>
              </w:rPr>
              <w:t>noted</w:t>
            </w: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Segment results</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No material impact to segment earnings</w:t>
            </w:r>
          </w:p>
        </w:tc>
        <w:tc>
          <w:tcPr>
            <w:tcW w:w="0" w:type="dxa"/>
            <w:vAlign w:val="bottom"/>
          </w:tcPr>
          <w:p>
            <w:pPr>
              <w:spacing w:after="0"/>
              <w:rPr>
                <w:sz w:val="1"/>
                <w:szCs w:val="1"/>
                <w:color w:val="auto"/>
              </w:rPr>
            </w:pPr>
          </w:p>
        </w:tc>
      </w:tr>
      <w:tr>
        <w:trPr>
          <w:trHeight w:val="52"/>
        </w:trPr>
        <w:tc>
          <w:tcPr>
            <w:tcW w:w="1860" w:type="dxa"/>
            <w:vAlign w:val="bottom"/>
            <w:tcBorders>
              <w:left w:val="single" w:sz="8" w:color="auto"/>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vMerge w:val="restart"/>
          </w:tcPr>
          <w:p>
            <w:pPr>
              <w:spacing w:after="0"/>
              <w:rPr>
                <w:sz w:val="4"/>
                <w:szCs w:val="4"/>
                <w:color w:val="auto"/>
              </w:rPr>
            </w:pPr>
          </w:p>
        </w:tc>
        <w:tc>
          <w:tcPr>
            <w:tcW w:w="34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anticipated from non-GAAP adjustments.</w:t>
            </w:r>
          </w:p>
        </w:tc>
        <w:tc>
          <w:tcPr>
            <w:tcW w:w="0" w:type="dxa"/>
            <w:vAlign w:val="bottom"/>
          </w:tcPr>
          <w:p>
            <w:pPr>
              <w:spacing w:after="0"/>
              <w:rPr>
                <w:sz w:val="1"/>
                <w:szCs w:val="1"/>
                <w:color w:val="auto"/>
              </w:rPr>
            </w:pPr>
          </w:p>
        </w:tc>
      </w:tr>
      <w:tr>
        <w:trPr>
          <w:trHeight w:val="123"/>
        </w:trPr>
        <w:tc>
          <w:tcPr>
            <w:tcW w:w="1860" w:type="dxa"/>
            <w:vAlign w:val="bottom"/>
            <w:tcBorders>
              <w:left w:val="single" w:sz="8" w:color="auto"/>
              <w:right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Retail segment earnings</w:t>
            </w:r>
          </w:p>
        </w:tc>
        <w:tc>
          <w:tcPr>
            <w:tcW w:w="240" w:type="dxa"/>
            <w:vAlign w:val="bottom"/>
          </w:tcPr>
          <w:p>
            <w:pPr>
              <w:spacing w:after="0"/>
              <w:rPr>
                <w:sz w:val="10"/>
                <w:szCs w:val="10"/>
                <w:color w:val="auto"/>
              </w:rPr>
            </w:pPr>
          </w:p>
        </w:tc>
        <w:tc>
          <w:tcPr>
            <w:tcW w:w="2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$2.0 billion to $2.2 billion</w:t>
            </w:r>
          </w:p>
        </w:tc>
        <w:tc>
          <w:tcPr>
            <w:tcW w:w="120" w:type="dxa"/>
            <w:vAlign w:val="bottom"/>
            <w:tcBorders>
              <w:right w:val="single" w:sz="8" w:color="auto"/>
            </w:tcBorders>
            <w:vMerge w:val="continue"/>
          </w:tcPr>
          <w:p>
            <w:pPr>
              <w:spacing w:after="0"/>
              <w:rPr>
                <w:sz w:val="10"/>
                <w:szCs w:val="10"/>
                <w:color w:val="auto"/>
              </w:rPr>
            </w:pPr>
          </w:p>
        </w:tc>
        <w:tc>
          <w:tcPr>
            <w:tcW w:w="3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860" w:type="dxa"/>
            <w:vAlign w:val="bottom"/>
            <w:tcBorders>
              <w:left w:val="single" w:sz="8" w:color="auto"/>
              <w:righ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840" w:type="dxa"/>
            <w:vAlign w:val="bottom"/>
            <w:tcBorders>
              <w:right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820" w:type="dxa"/>
            <w:vAlign w:val="bottom"/>
            <w:tcBorders>
              <w:right w:val="single" w:sz="8" w:color="auto"/>
            </w:tcBorders>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860" w:type="dxa"/>
            <w:vAlign w:val="bottom"/>
            <w:tcBorders>
              <w:left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(was $1.925 billion to $2.125 billion)</w:t>
            </w:r>
          </w:p>
        </w:tc>
        <w:tc>
          <w:tcPr>
            <w:tcW w:w="1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Group and Specialty segment</w:t>
            </w:r>
          </w:p>
        </w:tc>
        <w:tc>
          <w:tcPr>
            <w:tcW w:w="240" w:type="dxa"/>
            <w:vAlign w:val="bottom"/>
          </w:tcPr>
          <w:p>
            <w:pPr>
              <w:spacing w:after="0"/>
              <w:rPr>
                <w:sz w:val="17"/>
                <w:szCs w:val="17"/>
                <w:color w:val="auto"/>
              </w:rPr>
            </w:pPr>
          </w:p>
        </w:tc>
        <w:tc>
          <w:tcPr>
            <w:tcW w:w="2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$225 million to $275 million</w:t>
            </w:r>
          </w:p>
        </w:tc>
        <w:tc>
          <w:tcPr>
            <w:tcW w:w="120" w:type="dxa"/>
            <w:vAlign w:val="bottom"/>
            <w:tcBorders>
              <w:right w:val="single" w:sz="8" w:color="auto"/>
            </w:tcBorders>
          </w:tcPr>
          <w:p>
            <w:pPr>
              <w:spacing w:after="0"/>
              <w:rPr>
                <w:sz w:val="17"/>
                <w:szCs w:val="17"/>
                <w:color w:val="auto"/>
              </w:rPr>
            </w:pP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60" w:type="dxa"/>
            <w:vAlign w:val="bottom"/>
            <w:tcBorders>
              <w:left w:val="single" w:sz="8" w:color="auto"/>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earnings</w:t>
            </w: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(was $300 million to $350 million )</w:t>
            </w:r>
          </w:p>
        </w:tc>
        <w:tc>
          <w:tcPr>
            <w:tcW w:w="12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Healthcare Services Adjusted</w:t>
            </w:r>
          </w:p>
        </w:tc>
        <w:tc>
          <w:tcPr>
            <w:tcW w:w="240" w:type="dxa"/>
            <w:vAlign w:val="bottom"/>
          </w:tcPr>
          <w:p>
            <w:pPr>
              <w:spacing w:after="0"/>
              <w:rPr>
                <w:sz w:val="17"/>
                <w:szCs w:val="17"/>
                <w:color w:val="auto"/>
              </w:rPr>
            </w:pPr>
          </w:p>
        </w:tc>
        <w:tc>
          <w:tcPr>
            <w:tcW w:w="2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$1.05 billion to $1.075 billion</w:t>
            </w:r>
          </w:p>
        </w:tc>
        <w:tc>
          <w:tcPr>
            <w:tcW w:w="120" w:type="dxa"/>
            <w:vAlign w:val="bottom"/>
            <w:tcBorders>
              <w:right w:val="single" w:sz="8" w:color="auto"/>
            </w:tcBorders>
          </w:tcPr>
          <w:p>
            <w:pPr>
              <w:spacing w:after="0"/>
              <w:rPr>
                <w:sz w:val="17"/>
                <w:szCs w:val="17"/>
                <w:color w:val="auto"/>
              </w:rPr>
            </w:pP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60" w:type="dxa"/>
            <w:vAlign w:val="bottom"/>
            <w:tcBorders>
              <w:left w:val="single" w:sz="8" w:color="auto"/>
              <w:right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EBITDA</w:t>
            </w: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(was $1.00 billion to $1.05 billion)</w:t>
            </w:r>
          </w:p>
        </w:tc>
        <w:tc>
          <w:tcPr>
            <w:tcW w:w="12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Effective tax rate</w:t>
            </w:r>
          </w:p>
        </w:tc>
        <w:tc>
          <w:tcPr>
            <w:tcW w:w="140" w:type="dxa"/>
            <w:vAlign w:val="bottom"/>
            <w:tcBorders>
              <w:right w:val="single" w:sz="8" w:color="auto"/>
            </w:tcBorders>
          </w:tcPr>
          <w:p>
            <w:pPr>
              <w:spacing w:after="0"/>
              <w:rPr>
                <w:sz w:val="18"/>
                <w:szCs w:val="18"/>
                <w:color w:val="auto"/>
              </w:rPr>
            </w:pPr>
          </w:p>
        </w:tc>
        <w:tc>
          <w:tcPr>
            <w:tcW w:w="3080" w:type="dxa"/>
            <w:vAlign w:val="bottom"/>
            <w:gridSpan w:val="2"/>
            <w:vMerge w:val="restart"/>
          </w:tcPr>
          <w:p>
            <w:pPr>
              <w:ind w:left="20"/>
              <w:spacing w:after="0"/>
              <w:rPr>
                <w:sz w:val="20"/>
                <w:szCs w:val="20"/>
                <w:color w:val="auto"/>
              </w:rPr>
            </w:pPr>
            <w:r>
              <w:rPr>
                <w:rFonts w:ascii="Arial" w:cs="Arial" w:eastAsia="Arial" w:hAnsi="Arial"/>
                <w:sz w:val="16"/>
                <w:szCs w:val="16"/>
                <w:color w:val="auto"/>
              </w:rPr>
              <w:t>24.1% to 24.5%</w:t>
            </w:r>
          </w:p>
        </w:tc>
        <w:tc>
          <w:tcPr>
            <w:tcW w:w="2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860" w:type="dxa"/>
            <w:vAlign w:val="bottom"/>
            <w:tcBorders>
              <w:left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080" w:type="dxa"/>
            <w:vAlign w:val="bottom"/>
            <w:gridSpan w:val="2"/>
            <w:vMerge w:val="continue"/>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(was 23.8% to 24.3%)</w:t>
            </w:r>
          </w:p>
        </w:tc>
        <w:tc>
          <w:tcPr>
            <w:tcW w:w="28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Weighted average</w:t>
            </w:r>
          </w:p>
        </w:tc>
        <w:tc>
          <w:tcPr>
            <w:tcW w:w="140" w:type="dxa"/>
            <w:vAlign w:val="bottom"/>
          </w:tcPr>
          <w:p>
            <w:pPr>
              <w:spacing w:after="0"/>
              <w:rPr>
                <w:sz w:val="17"/>
                <w:szCs w:val="17"/>
                <w:color w:val="auto"/>
              </w:rPr>
            </w:pPr>
          </w:p>
        </w:tc>
        <w:tc>
          <w:tcPr>
            <w:tcW w:w="5900" w:type="dxa"/>
            <w:vAlign w:val="bottom"/>
            <w:gridSpan w:val="3"/>
          </w:tcPr>
          <w:p>
            <w:pPr>
              <w:spacing w:after="0"/>
              <w:rPr>
                <w:sz w:val="20"/>
                <w:szCs w:val="20"/>
                <w:color w:val="auto"/>
              </w:rPr>
            </w:pPr>
            <w:r>
              <w:rPr>
                <w:rFonts w:ascii="Arial" w:cs="Arial" w:eastAsia="Arial" w:hAnsi="Arial"/>
                <w:sz w:val="16"/>
                <w:szCs w:val="16"/>
                <w:color w:val="auto"/>
              </w:rPr>
              <w:t>134.7 million to 135.2 million (was 135.3 million to 136.3 million)</w:t>
            </w:r>
          </w:p>
        </w:tc>
        <w:tc>
          <w:tcPr>
            <w:tcW w:w="120" w:type="dxa"/>
            <w:vAlign w:val="bottom"/>
            <w:tcBorders>
              <w:right w:val="single" w:sz="8" w:color="auto"/>
            </w:tcBorders>
          </w:tcPr>
          <w:p>
            <w:pPr>
              <w:spacing w:after="0"/>
              <w:rPr>
                <w:sz w:val="17"/>
                <w:szCs w:val="17"/>
                <w:color w:val="auto"/>
              </w:rPr>
            </w:pP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Includes impact of projected share</w:t>
            </w: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share count for</w:t>
            </w:r>
          </w:p>
        </w:tc>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4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repurchases already completed.</w:t>
            </w:r>
          </w:p>
        </w:tc>
        <w:tc>
          <w:tcPr>
            <w:tcW w:w="0" w:type="dxa"/>
            <w:vAlign w:val="bottom"/>
          </w:tcPr>
          <w:p>
            <w:pPr>
              <w:spacing w:after="0"/>
              <w:rPr>
                <w:sz w:val="1"/>
                <w:szCs w:val="1"/>
                <w:color w:val="auto"/>
              </w:rPr>
            </w:pPr>
          </w:p>
        </w:tc>
      </w:tr>
      <w:tr>
        <w:trPr>
          <w:trHeight w:val="228"/>
        </w:trPr>
        <w:tc>
          <w:tcPr>
            <w:tcW w:w="1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diluted EPS</w:t>
            </w:r>
          </w:p>
        </w:tc>
        <w:tc>
          <w:tcPr>
            <w:tcW w:w="1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w:t>
            </w:r>
          </w:p>
        </w:tc>
        <w:tc>
          <w:tcPr>
            <w:tcW w:w="140" w:type="dxa"/>
            <w:vAlign w:val="bottom"/>
          </w:tcPr>
          <w:p>
            <w:pPr>
              <w:spacing w:after="0"/>
              <w:rPr>
                <w:sz w:val="17"/>
                <w:szCs w:val="17"/>
                <w:color w:val="auto"/>
              </w:rPr>
            </w:pPr>
          </w:p>
        </w:tc>
        <w:tc>
          <w:tcPr>
            <w:tcW w:w="5900" w:type="dxa"/>
            <w:vAlign w:val="bottom"/>
            <w:gridSpan w:val="3"/>
          </w:tcPr>
          <w:p>
            <w:pPr>
              <w:spacing w:after="0"/>
              <w:rPr>
                <w:sz w:val="20"/>
                <w:szCs w:val="20"/>
                <w:color w:val="auto"/>
              </w:rPr>
            </w:pPr>
            <w:r>
              <w:rPr>
                <w:rFonts w:ascii="Arial" w:cs="Arial" w:eastAsia="Arial" w:hAnsi="Arial"/>
                <w:sz w:val="16"/>
                <w:szCs w:val="16"/>
                <w:color w:val="auto"/>
              </w:rPr>
              <w:t>$3.1 billion to $3.3 billion (was $2.5 billion to $2.9 billion)</w:t>
            </w:r>
          </w:p>
        </w:tc>
        <w:tc>
          <w:tcPr>
            <w:tcW w:w="120" w:type="dxa"/>
            <w:vAlign w:val="bottom"/>
            <w:tcBorders>
              <w:right w:val="single" w:sz="8" w:color="auto"/>
            </w:tcBorders>
          </w:tcPr>
          <w:p>
            <w:pPr>
              <w:spacing w:after="0"/>
              <w:rPr>
                <w:sz w:val="17"/>
                <w:szCs w:val="17"/>
                <w:color w:val="auto"/>
              </w:rPr>
            </w:pP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6"/>
                <w:szCs w:val="16"/>
                <w:b w:val="1"/>
                <w:bCs w:val="1"/>
                <w:color w:val="auto"/>
              </w:rPr>
              <w:t>operations</w:t>
            </w:r>
          </w:p>
        </w:tc>
        <w:tc>
          <w:tcPr>
            <w:tcW w:w="1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6"/>
                <w:szCs w:val="16"/>
                <w:color w:val="auto"/>
              </w:rPr>
              <w:t>$725 million to $775 million (no change)</w:t>
            </w:r>
          </w:p>
        </w:tc>
        <w:tc>
          <w:tcPr>
            <w:tcW w:w="2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6"/>
                <w:szCs w:val="16"/>
                <w:b w:val="1"/>
                <w:bCs w:val="1"/>
                <w:color w:val="auto"/>
              </w:rPr>
              <w:t>expenditures</w:t>
            </w:r>
          </w:p>
        </w:tc>
        <w:tc>
          <w:tcPr>
            <w:tcW w:w="1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40"/>
          </w:cols>
          <w:pgMar w:left="240" w:top="727" w:right="21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742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b w:val="1"/>
                <w:bCs w:val="1"/>
                <w:color w:val="auto"/>
              </w:rPr>
              <w:t>Humana Inc. – Rollforward of FY19 Guidance (published in 4Q18 earnings release) to</w:t>
            </w:r>
          </w:p>
        </w:tc>
        <w:tc>
          <w:tcPr>
            <w:tcW w:w="126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Adjustments</w:t>
            </w:r>
          </w:p>
        </w:tc>
        <w:tc>
          <w:tcPr>
            <w:tcW w:w="13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2940" w:type="dxa"/>
            <w:vAlign w:val="bottom"/>
            <w:tcBorders>
              <w:top w:val="single" w:sz="8" w:color="auto"/>
              <w:bottom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w w:val="99"/>
              </w:rPr>
              <w:t>FY19 Guidance as of July 31, 2019</w:t>
            </w:r>
          </w:p>
        </w:tc>
        <w:tc>
          <w:tcPr>
            <w:tcW w:w="4320" w:type="dxa"/>
            <w:vAlign w:val="bottom"/>
            <w:tcBorders>
              <w:top w:val="single" w:sz="8" w:color="auto"/>
            </w:tcBorders>
            <w:gridSpan w:val="2"/>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top w:val="single" w:sz="8" w:color="auto"/>
              <w:right w:val="single" w:sz="8" w:color="auto"/>
            </w:tcBorders>
            <w:vMerge w:val="continue"/>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b w:val="1"/>
                <w:bCs w:val="1"/>
                <w:color w:val="auto"/>
              </w:rPr>
              <w:t>Diluted earnings per common share (EPS)</w:t>
            </w:r>
          </w:p>
        </w:tc>
        <w:tc>
          <w:tcPr>
            <w:tcW w:w="1260" w:type="dxa"/>
            <w:vAlign w:val="bottom"/>
            <w:tcBorders>
              <w:bottom w:val="single" w:sz="8" w:color="auto"/>
              <w:right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GAAP EPS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to GAAP</w:t>
            </w:r>
          </w:p>
        </w:tc>
        <w:tc>
          <w:tcPr>
            <w:tcW w:w="13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Adjusted EPS</w:t>
            </w: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shd w:val="clear" w:color="auto" w:fill="D6E3BC"/>
          </w:tcPr>
          <w:p>
            <w:pPr>
              <w:spacing w:after="0"/>
              <w:rPr>
                <w:sz w:val="17"/>
                <w:szCs w:val="17"/>
                <w:color w:val="auto"/>
              </w:rPr>
            </w:pPr>
          </w:p>
        </w:tc>
        <w:tc>
          <w:tcPr>
            <w:tcW w:w="1120" w:type="dxa"/>
            <w:vAlign w:val="bottom"/>
            <w:shd w:val="clear" w:color="auto" w:fill="D6E3BC"/>
          </w:tcPr>
          <w:p>
            <w:pPr>
              <w:spacing w:after="0"/>
              <w:rPr>
                <w:sz w:val="17"/>
                <w:szCs w:val="17"/>
                <w:color w:val="auto"/>
              </w:rPr>
            </w:pPr>
          </w:p>
        </w:tc>
        <w:tc>
          <w:tcPr>
            <w:tcW w:w="1820" w:type="dxa"/>
            <w:vAlign w:val="bottom"/>
            <w:shd w:val="clear" w:color="auto" w:fill="D6E3BC"/>
          </w:tcPr>
          <w:p>
            <w:pPr>
              <w:spacing w:after="0"/>
              <w:rPr>
                <w:sz w:val="17"/>
                <w:szCs w:val="17"/>
                <w:color w:val="auto"/>
              </w:rPr>
            </w:pPr>
          </w:p>
        </w:tc>
        <w:tc>
          <w:tcPr>
            <w:tcW w:w="4160" w:type="dxa"/>
            <w:vAlign w:val="bottom"/>
            <w:shd w:val="clear" w:color="auto" w:fill="D6E3BC"/>
          </w:tcPr>
          <w:p>
            <w:pPr>
              <w:spacing w:after="0"/>
              <w:rPr>
                <w:sz w:val="17"/>
                <w:szCs w:val="17"/>
                <w:color w:val="auto"/>
              </w:rPr>
            </w:pPr>
          </w:p>
        </w:tc>
        <w:tc>
          <w:tcPr>
            <w:tcW w:w="160" w:type="dxa"/>
            <w:vAlign w:val="bottom"/>
            <w:shd w:val="clear" w:color="auto" w:fill="D6E3BC"/>
          </w:tcPr>
          <w:p>
            <w:pPr>
              <w:spacing w:after="0"/>
              <w:rPr>
                <w:sz w:val="17"/>
                <w:szCs w:val="17"/>
                <w:color w:val="auto"/>
              </w:rPr>
            </w:pPr>
          </w:p>
        </w:tc>
        <w:tc>
          <w:tcPr>
            <w:tcW w:w="160" w:type="dxa"/>
            <w:vAlign w:val="bottom"/>
            <w:tcBorders>
              <w:right w:val="single" w:sz="8" w:color="auto"/>
            </w:tcBorders>
            <w:shd w:val="clear" w:color="auto" w:fill="D6E3BC"/>
          </w:tcPr>
          <w:p>
            <w:pPr>
              <w:spacing w:after="0"/>
              <w:rPr>
                <w:sz w:val="17"/>
                <w:szCs w:val="17"/>
                <w:color w:val="auto"/>
              </w:rPr>
            </w:pPr>
          </w:p>
        </w:tc>
        <w:tc>
          <w:tcPr>
            <w:tcW w:w="1260" w:type="dxa"/>
            <w:vAlign w:val="bottom"/>
            <w:tcBorders>
              <w:right w:val="single" w:sz="8" w:color="auto"/>
            </w:tcBorders>
            <w:shd w:val="clear" w:color="auto" w:fill="D6E3BC"/>
          </w:tcPr>
          <w:p>
            <w:pPr>
              <w:jc w:val="right"/>
              <w:ind w:right="55"/>
              <w:spacing w:after="0" w:line="202" w:lineRule="exact"/>
              <w:rPr>
                <w:sz w:val="20"/>
                <w:szCs w:val="20"/>
                <w:color w:val="auto"/>
              </w:rPr>
            </w:pPr>
            <w:r>
              <w:rPr>
                <w:rFonts w:ascii="Arial" w:cs="Arial" w:eastAsia="Arial" w:hAnsi="Arial"/>
                <w:sz w:val="18"/>
                <w:szCs w:val="18"/>
                <w:b w:val="1"/>
                <w:bCs w:val="1"/>
                <w:color w:val="auto"/>
              </w:rPr>
              <w:t>~$16.60</w:t>
            </w:r>
          </w:p>
        </w:tc>
        <w:tc>
          <w:tcPr>
            <w:tcW w:w="1360" w:type="dxa"/>
            <w:vAlign w:val="bottom"/>
            <w:tcBorders>
              <w:right w:val="single" w:sz="8" w:color="auto"/>
            </w:tcBorders>
            <w:shd w:val="clear" w:color="auto" w:fill="D6E3BC"/>
          </w:tcPr>
          <w:p>
            <w:pPr>
              <w:spacing w:after="0"/>
              <w:rPr>
                <w:sz w:val="17"/>
                <w:szCs w:val="17"/>
                <w:color w:val="auto"/>
              </w:rPr>
            </w:pPr>
          </w:p>
        </w:tc>
        <w:tc>
          <w:tcPr>
            <w:tcW w:w="1360" w:type="dxa"/>
            <w:vAlign w:val="bottom"/>
            <w:tcBorders>
              <w:right w:val="single" w:sz="8" w:color="auto"/>
            </w:tcBorders>
            <w:shd w:val="clear" w:color="auto" w:fill="D6E3BC"/>
          </w:tcPr>
          <w:p>
            <w:pPr>
              <w:jc w:val="right"/>
              <w:ind w:right="34"/>
              <w:spacing w:after="0" w:line="202" w:lineRule="exact"/>
              <w:rPr>
                <w:sz w:val="20"/>
                <w:szCs w:val="20"/>
                <w:color w:val="auto"/>
              </w:rPr>
            </w:pPr>
            <w:r>
              <w:rPr>
                <w:rFonts w:ascii="Arial" w:cs="Arial" w:eastAsia="Arial" w:hAnsi="Arial"/>
                <w:sz w:val="18"/>
                <w:szCs w:val="18"/>
                <w:b w:val="1"/>
                <w:bCs w:val="1"/>
                <w:color w:val="auto"/>
              </w:rPr>
              <w:t>~$17.00</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shd w:val="clear" w:color="auto" w:fill="D6E3BC"/>
          </w:tcPr>
          <w:p>
            <w:pPr>
              <w:spacing w:after="0"/>
              <w:rPr>
                <w:sz w:val="17"/>
                <w:szCs w:val="17"/>
                <w:color w:val="auto"/>
              </w:rPr>
            </w:pPr>
          </w:p>
        </w:tc>
        <w:tc>
          <w:tcPr>
            <w:tcW w:w="1120" w:type="dxa"/>
            <w:vAlign w:val="bottom"/>
            <w:shd w:val="clear" w:color="auto" w:fill="D6E3BC"/>
          </w:tcPr>
          <w:p>
            <w:pPr>
              <w:spacing w:after="0"/>
              <w:rPr>
                <w:sz w:val="17"/>
                <w:szCs w:val="17"/>
                <w:color w:val="auto"/>
              </w:rPr>
            </w:pPr>
          </w:p>
        </w:tc>
        <w:tc>
          <w:tcPr>
            <w:tcW w:w="1820" w:type="dxa"/>
            <w:vAlign w:val="bottom"/>
            <w:shd w:val="clear" w:color="auto" w:fill="D6E3BC"/>
          </w:tcPr>
          <w:p>
            <w:pPr>
              <w:spacing w:after="0"/>
              <w:rPr>
                <w:sz w:val="17"/>
                <w:szCs w:val="17"/>
                <w:color w:val="auto"/>
              </w:rPr>
            </w:pPr>
          </w:p>
        </w:tc>
        <w:tc>
          <w:tcPr>
            <w:tcW w:w="4160" w:type="dxa"/>
            <w:vAlign w:val="bottom"/>
            <w:shd w:val="clear" w:color="auto" w:fill="D6E3BC"/>
          </w:tcPr>
          <w:p>
            <w:pPr>
              <w:spacing w:after="0"/>
              <w:rPr>
                <w:sz w:val="17"/>
                <w:szCs w:val="17"/>
                <w:color w:val="auto"/>
              </w:rPr>
            </w:pPr>
          </w:p>
        </w:tc>
        <w:tc>
          <w:tcPr>
            <w:tcW w:w="160" w:type="dxa"/>
            <w:vAlign w:val="bottom"/>
            <w:shd w:val="clear" w:color="auto" w:fill="D6E3BC"/>
          </w:tcPr>
          <w:p>
            <w:pPr>
              <w:spacing w:after="0"/>
              <w:rPr>
                <w:sz w:val="17"/>
                <w:szCs w:val="17"/>
                <w:color w:val="auto"/>
              </w:rPr>
            </w:pPr>
          </w:p>
        </w:tc>
        <w:tc>
          <w:tcPr>
            <w:tcW w:w="160" w:type="dxa"/>
            <w:vAlign w:val="bottom"/>
            <w:tcBorders>
              <w:right w:val="single" w:sz="8" w:color="auto"/>
            </w:tcBorders>
            <w:shd w:val="clear" w:color="auto" w:fill="D6E3BC"/>
          </w:tcPr>
          <w:p>
            <w:pPr>
              <w:spacing w:after="0"/>
              <w:rPr>
                <w:sz w:val="17"/>
                <w:szCs w:val="17"/>
                <w:color w:val="auto"/>
              </w:rPr>
            </w:pPr>
          </w:p>
        </w:tc>
        <w:tc>
          <w:tcPr>
            <w:tcW w:w="1260" w:type="dxa"/>
            <w:vAlign w:val="bottom"/>
            <w:tcBorders>
              <w:right w:val="single" w:sz="8" w:color="auto"/>
            </w:tcBorders>
            <w:shd w:val="clear" w:color="auto" w:fill="D6E3BC"/>
          </w:tcPr>
          <w:p>
            <w:pPr>
              <w:jc w:val="right"/>
              <w:ind w:right="55"/>
              <w:spacing w:after="0" w:line="202" w:lineRule="exact"/>
              <w:rPr>
                <w:sz w:val="20"/>
                <w:szCs w:val="20"/>
                <w:color w:val="auto"/>
              </w:rPr>
            </w:pPr>
            <w:r>
              <w:rPr>
                <w:rFonts w:ascii="Arial" w:cs="Arial" w:eastAsia="Arial" w:hAnsi="Arial"/>
                <w:sz w:val="18"/>
                <w:szCs w:val="18"/>
                <w:b w:val="1"/>
                <w:bCs w:val="1"/>
                <w:color w:val="auto"/>
              </w:rPr>
              <w:t>to</w:t>
            </w:r>
          </w:p>
        </w:tc>
        <w:tc>
          <w:tcPr>
            <w:tcW w:w="1360" w:type="dxa"/>
            <w:vAlign w:val="bottom"/>
            <w:tcBorders>
              <w:right w:val="single" w:sz="8" w:color="auto"/>
            </w:tcBorders>
            <w:shd w:val="clear" w:color="auto" w:fill="D6E3BC"/>
          </w:tcPr>
          <w:p>
            <w:pPr>
              <w:spacing w:after="0"/>
              <w:rPr>
                <w:sz w:val="17"/>
                <w:szCs w:val="17"/>
                <w:color w:val="auto"/>
              </w:rPr>
            </w:pPr>
          </w:p>
        </w:tc>
        <w:tc>
          <w:tcPr>
            <w:tcW w:w="1360" w:type="dxa"/>
            <w:vAlign w:val="bottom"/>
            <w:tcBorders>
              <w:right w:val="single" w:sz="8" w:color="auto"/>
            </w:tcBorders>
            <w:shd w:val="clear" w:color="auto" w:fill="D6E3BC"/>
          </w:tcPr>
          <w:p>
            <w:pPr>
              <w:jc w:val="right"/>
              <w:ind w:right="34"/>
              <w:spacing w:after="0" w:line="202" w:lineRule="exact"/>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shd w:val="clear" w:color="auto" w:fill="D6E3BC"/>
          </w:tcPr>
          <w:p>
            <w:pPr>
              <w:spacing w:after="0"/>
              <w:rPr>
                <w:sz w:val="21"/>
                <w:szCs w:val="21"/>
                <w:color w:val="auto"/>
              </w:rPr>
            </w:pPr>
          </w:p>
        </w:tc>
        <w:tc>
          <w:tcPr>
            <w:tcW w:w="7420" w:type="dxa"/>
            <w:vAlign w:val="bottom"/>
            <w:tcBorders>
              <w:bottom w:val="single" w:sz="8" w:color="auto"/>
              <w:right w:val="single" w:sz="8" w:color="auto"/>
            </w:tcBorders>
            <w:gridSpan w:val="5"/>
            <w:shd w:val="clear" w:color="auto" w:fill="D6E3BC"/>
          </w:tcPr>
          <w:p>
            <w:pPr>
              <w:spacing w:after="0"/>
              <w:rPr>
                <w:sz w:val="20"/>
                <w:szCs w:val="20"/>
                <w:color w:val="auto"/>
              </w:rPr>
            </w:pPr>
            <w:r>
              <w:rPr>
                <w:rFonts w:ascii="Arial" w:cs="Arial" w:eastAsia="Arial" w:hAnsi="Arial"/>
                <w:sz w:val="18"/>
                <w:szCs w:val="18"/>
                <w:b w:val="1"/>
                <w:bCs w:val="1"/>
                <w:color w:val="auto"/>
              </w:rPr>
              <w:t>Initial FY19 guidance issued on February 6, 2019</w:t>
            </w:r>
          </w:p>
        </w:tc>
        <w:tc>
          <w:tcPr>
            <w:tcW w:w="1260" w:type="dxa"/>
            <w:vAlign w:val="bottom"/>
            <w:tcBorders>
              <w:bottom w:val="single" w:sz="8" w:color="auto"/>
              <w:right w:val="single" w:sz="8" w:color="auto"/>
            </w:tcBorders>
            <w:shd w:val="clear" w:color="auto" w:fill="D6E3BC"/>
          </w:tcPr>
          <w:p>
            <w:pPr>
              <w:jc w:val="right"/>
              <w:ind w:right="55"/>
              <w:spacing w:after="0"/>
              <w:rPr>
                <w:sz w:val="20"/>
                <w:szCs w:val="20"/>
                <w:color w:val="auto"/>
              </w:rPr>
            </w:pPr>
            <w:r>
              <w:rPr>
                <w:rFonts w:ascii="Arial" w:cs="Arial" w:eastAsia="Arial" w:hAnsi="Arial"/>
                <w:sz w:val="18"/>
                <w:szCs w:val="18"/>
                <w:b w:val="1"/>
                <w:bCs w:val="1"/>
                <w:color w:val="auto"/>
              </w:rPr>
              <w:t>$17.10</w:t>
            </w:r>
          </w:p>
        </w:tc>
        <w:tc>
          <w:tcPr>
            <w:tcW w:w="1360" w:type="dxa"/>
            <w:vAlign w:val="bottom"/>
            <w:tcBorders>
              <w:bottom w:val="single" w:sz="8" w:color="auto"/>
              <w:right w:val="single" w:sz="8" w:color="auto"/>
            </w:tcBorders>
            <w:shd w:val="clear" w:color="auto" w:fill="D6E3BC"/>
          </w:tcPr>
          <w:p>
            <w:pPr>
              <w:jc w:val="right"/>
              <w:ind w:right="35"/>
              <w:spacing w:after="0"/>
              <w:rPr>
                <w:sz w:val="20"/>
                <w:szCs w:val="20"/>
                <w:color w:val="auto"/>
              </w:rPr>
            </w:pPr>
            <w:r>
              <w:rPr>
                <w:rFonts w:ascii="Arial" w:cs="Arial" w:eastAsia="Arial" w:hAnsi="Arial"/>
                <w:sz w:val="18"/>
                <w:szCs w:val="18"/>
                <w:b w:val="1"/>
                <w:bCs w:val="1"/>
                <w:color w:val="auto"/>
              </w:rPr>
              <w:t>~$0.40</w:t>
            </w:r>
          </w:p>
        </w:tc>
        <w:tc>
          <w:tcPr>
            <w:tcW w:w="1360" w:type="dxa"/>
            <w:vAlign w:val="bottom"/>
            <w:tcBorders>
              <w:bottom w:val="single" w:sz="8" w:color="auto"/>
              <w:right w:val="single" w:sz="8" w:color="auto"/>
            </w:tcBorders>
            <w:shd w:val="clear" w:color="auto" w:fill="D6E3BC"/>
          </w:tcPr>
          <w:p>
            <w:pPr>
              <w:jc w:val="right"/>
              <w:ind w:right="34"/>
              <w:spacing w:after="0"/>
              <w:rPr>
                <w:sz w:val="20"/>
                <w:szCs w:val="20"/>
                <w:color w:val="auto"/>
              </w:rPr>
            </w:pPr>
            <w:r>
              <w:rPr>
                <w:rFonts w:ascii="Arial" w:cs="Arial" w:eastAsia="Arial" w:hAnsi="Arial"/>
                <w:sz w:val="18"/>
                <w:szCs w:val="18"/>
                <w:b w:val="1"/>
                <w:bCs w:val="1"/>
                <w:color w:val="auto"/>
              </w:rPr>
              <w:t>$17.50</w:t>
            </w: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gridSpan w:val="5"/>
          </w:tcPr>
          <w:p>
            <w:pPr>
              <w:spacing w:after="0"/>
              <w:rPr>
                <w:sz w:val="20"/>
                <w:szCs w:val="20"/>
                <w:color w:val="auto"/>
              </w:rPr>
            </w:pPr>
            <w:r>
              <w:rPr>
                <w:rFonts w:ascii="Arial" w:cs="Arial" w:eastAsia="Arial" w:hAnsi="Arial"/>
                <w:sz w:val="16"/>
                <w:szCs w:val="16"/>
                <w:color w:val="auto"/>
              </w:rPr>
              <w:t>Changes in projected operating performance:</w:t>
            </w:r>
          </w:p>
        </w:tc>
        <w:tc>
          <w:tcPr>
            <w:tcW w:w="12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ind w:left="360"/>
              <w:spacing w:after="0"/>
              <w:rPr>
                <w:sz w:val="20"/>
                <w:szCs w:val="20"/>
                <w:color w:val="auto"/>
              </w:rPr>
            </w:pPr>
            <w:r>
              <w:rPr>
                <w:rFonts w:ascii="Arial" w:cs="Arial" w:eastAsia="Arial" w:hAnsi="Arial"/>
                <w:sz w:val="16"/>
                <w:szCs w:val="16"/>
                <w:color w:val="auto"/>
              </w:rPr>
              <w:t>Retail segment</w:t>
            </w:r>
          </w:p>
        </w:tc>
        <w:tc>
          <w:tcPr>
            <w:tcW w:w="126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6"/>
                <w:szCs w:val="16"/>
                <w:color w:val="auto"/>
              </w:rPr>
              <w:t>0.70</w:t>
            </w:r>
          </w:p>
        </w:tc>
        <w:tc>
          <w:tcPr>
            <w:tcW w:w="136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ind w:left="360"/>
              <w:spacing w:after="0"/>
              <w:rPr>
                <w:sz w:val="20"/>
                <w:szCs w:val="20"/>
                <w:color w:val="auto"/>
              </w:rPr>
            </w:pPr>
            <w:r>
              <w:rPr>
                <w:rFonts w:ascii="Arial" w:cs="Arial" w:eastAsia="Arial" w:hAnsi="Arial"/>
                <w:sz w:val="16"/>
                <w:szCs w:val="16"/>
                <w:color w:val="auto"/>
              </w:rPr>
              <w:t>Group and Specialty segment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136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ind w:left="360"/>
              <w:spacing w:after="0"/>
              <w:rPr>
                <w:sz w:val="20"/>
                <w:szCs w:val="20"/>
                <w:color w:val="auto"/>
              </w:rPr>
            </w:pPr>
            <w:r>
              <w:rPr>
                <w:rFonts w:ascii="Arial" w:cs="Arial" w:eastAsia="Arial" w:hAnsi="Arial"/>
                <w:sz w:val="16"/>
                <w:szCs w:val="16"/>
                <w:color w:val="auto"/>
              </w:rPr>
              <w:t>Healthcare Services segment</w:t>
            </w:r>
          </w:p>
        </w:tc>
        <w:tc>
          <w:tcPr>
            <w:tcW w:w="126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6"/>
                <w:szCs w:val="16"/>
                <w:color w:val="auto"/>
              </w:rPr>
              <w:t>0.21</w:t>
            </w:r>
          </w:p>
        </w:tc>
        <w:tc>
          <w:tcPr>
            <w:tcW w:w="136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ind w:left="360"/>
              <w:spacing w:after="0"/>
              <w:rPr>
                <w:sz w:val="20"/>
                <w:szCs w:val="20"/>
                <w:color w:val="auto"/>
              </w:rPr>
            </w:pPr>
            <w:r>
              <w:rPr>
                <w:rFonts w:ascii="Arial" w:cs="Arial" w:eastAsia="Arial" w:hAnsi="Arial"/>
                <w:sz w:val="16"/>
                <w:szCs w:val="16"/>
                <w:color w:val="auto"/>
              </w:rPr>
              <w:t>Put/call valuation adjustments associated with 40% minority ownership in Kindred at Home</w:t>
            </w:r>
          </w:p>
        </w:tc>
        <w:tc>
          <w:tcPr>
            <w:tcW w:w="126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6"/>
                <w:szCs w:val="16"/>
                <w:color w:val="auto"/>
              </w:rPr>
              <w:t>0.77</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(0.77)</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ind w:left="36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136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64"/>
        </w:trPr>
        <w:tc>
          <w:tcPr>
            <w:tcW w:w="40" w:type="dxa"/>
            <w:vAlign w:val="bottom"/>
            <w:tcBorders>
              <w:left w:val="single" w:sz="8" w:color="auto"/>
              <w:bottom w:val="single" w:sz="8" w:color="auto"/>
            </w:tcBorders>
            <w:shd w:val="clear" w:color="auto" w:fill="D6E3BC"/>
          </w:tcPr>
          <w:p>
            <w:pPr>
              <w:spacing w:after="0"/>
              <w:rPr>
                <w:sz w:val="22"/>
                <w:szCs w:val="22"/>
                <w:color w:val="auto"/>
              </w:rPr>
            </w:pPr>
          </w:p>
        </w:tc>
        <w:tc>
          <w:tcPr>
            <w:tcW w:w="7420" w:type="dxa"/>
            <w:vAlign w:val="bottom"/>
            <w:tcBorders>
              <w:bottom w:val="single" w:sz="8" w:color="auto"/>
              <w:right w:val="single" w:sz="8" w:color="auto"/>
            </w:tcBorders>
            <w:gridSpan w:val="5"/>
            <w:shd w:val="clear" w:color="auto" w:fill="D6E3BC"/>
          </w:tcPr>
          <w:p>
            <w:pPr>
              <w:spacing w:after="0"/>
              <w:rPr>
                <w:sz w:val="20"/>
                <w:szCs w:val="20"/>
                <w:color w:val="auto"/>
              </w:rPr>
            </w:pPr>
            <w:r>
              <w:rPr>
                <w:rFonts w:ascii="Arial" w:cs="Arial" w:eastAsia="Arial" w:hAnsi="Arial"/>
                <w:sz w:val="18"/>
                <w:szCs w:val="18"/>
                <w:b w:val="1"/>
                <w:bCs w:val="1"/>
                <w:color w:val="auto"/>
              </w:rPr>
              <w:t>FY19 guidance issued on July 31, 2019</w:t>
            </w:r>
          </w:p>
        </w:tc>
        <w:tc>
          <w:tcPr>
            <w:tcW w:w="1260" w:type="dxa"/>
            <w:vAlign w:val="bottom"/>
            <w:tcBorders>
              <w:bottom w:val="single" w:sz="8" w:color="auto"/>
              <w:right w:val="single" w:sz="8" w:color="auto"/>
            </w:tcBorders>
            <w:shd w:val="clear" w:color="auto" w:fill="D6E3BC"/>
          </w:tcPr>
          <w:p>
            <w:pPr>
              <w:jc w:val="right"/>
              <w:ind w:right="55"/>
              <w:spacing w:after="0"/>
              <w:rPr>
                <w:sz w:val="20"/>
                <w:szCs w:val="20"/>
                <w:color w:val="auto"/>
              </w:rPr>
            </w:pPr>
            <w:r>
              <w:rPr>
                <w:rFonts w:ascii="Arial" w:cs="Arial" w:eastAsia="Arial" w:hAnsi="Arial"/>
                <w:sz w:val="18"/>
                <w:szCs w:val="18"/>
                <w:b w:val="1"/>
                <w:bCs w:val="1"/>
                <w:color w:val="auto"/>
              </w:rPr>
              <w:t>~$17.97</w:t>
            </w:r>
          </w:p>
        </w:tc>
        <w:tc>
          <w:tcPr>
            <w:tcW w:w="1360" w:type="dxa"/>
            <w:vAlign w:val="bottom"/>
            <w:tcBorders>
              <w:bottom w:val="single" w:sz="8" w:color="auto"/>
              <w:right w:val="single" w:sz="8" w:color="auto"/>
            </w:tcBorders>
            <w:shd w:val="clear" w:color="auto" w:fill="D6E3BC"/>
          </w:tcPr>
          <w:p>
            <w:pPr>
              <w:jc w:val="right"/>
              <w:ind w:right="35"/>
              <w:spacing w:after="0"/>
              <w:rPr>
                <w:sz w:val="20"/>
                <w:szCs w:val="20"/>
                <w:color w:val="auto"/>
              </w:rPr>
            </w:pPr>
            <w:r>
              <w:rPr>
                <w:rFonts w:ascii="Arial" w:cs="Arial" w:eastAsia="Arial" w:hAnsi="Arial"/>
                <w:sz w:val="18"/>
                <w:szCs w:val="18"/>
                <w:b w:val="1"/>
                <w:bCs w:val="1"/>
                <w:color w:val="auto"/>
              </w:rPr>
              <w:t>(~$0.37)</w:t>
            </w:r>
          </w:p>
        </w:tc>
        <w:tc>
          <w:tcPr>
            <w:tcW w:w="1360" w:type="dxa"/>
            <w:vAlign w:val="bottom"/>
            <w:tcBorders>
              <w:bottom w:val="single" w:sz="8" w:color="auto"/>
              <w:right w:val="single" w:sz="8" w:color="auto"/>
            </w:tcBorders>
            <w:shd w:val="clear" w:color="auto" w:fill="D6E3BC"/>
          </w:tcPr>
          <w:p>
            <w:pPr>
              <w:jc w:val="right"/>
              <w:ind w:right="34"/>
              <w:spacing w:after="0"/>
              <w:rPr>
                <w:sz w:val="20"/>
                <w:szCs w:val="20"/>
                <w:color w:val="auto"/>
              </w:rPr>
            </w:pPr>
            <w:r>
              <w:rPr>
                <w:rFonts w:ascii="Arial" w:cs="Arial" w:eastAsia="Arial" w:hAnsi="Arial"/>
                <w:sz w:val="18"/>
                <w:szCs w:val="18"/>
                <w:b w:val="1"/>
                <w:bCs w:val="1"/>
                <w:color w:val="auto"/>
              </w:rPr>
              <w:t>~$17.60</w:t>
            </w:r>
          </w:p>
        </w:tc>
        <w:tc>
          <w:tcPr>
            <w:tcW w:w="0" w:type="dxa"/>
            <w:vAlign w:val="bottom"/>
          </w:tcPr>
          <w:p>
            <w:pPr>
              <w:spacing w:after="0"/>
              <w:rPr>
                <w:sz w:val="1"/>
                <w:szCs w:val="1"/>
                <w:color w:val="auto"/>
              </w:rPr>
            </w:pPr>
          </w:p>
        </w:tc>
      </w:tr>
      <w:tr>
        <w:trPr>
          <w:trHeight w:val="324"/>
        </w:trPr>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7420" w:type="dxa"/>
            <w:vAlign w:val="bottom"/>
            <w:tcBorders>
              <w:right w:val="single" w:sz="8" w:color="auto"/>
            </w:tcBorders>
            <w:gridSpan w:val="5"/>
          </w:tcPr>
          <w:p>
            <w:pPr>
              <w:spacing w:after="0" w:line="196" w:lineRule="exact"/>
              <w:rPr>
                <w:sz w:val="20"/>
                <w:szCs w:val="20"/>
                <w:color w:val="auto"/>
              </w:rPr>
            </w:pPr>
            <w:r>
              <w:rPr>
                <w:rFonts w:ascii="Arial" w:cs="Arial" w:eastAsia="Arial" w:hAnsi="Arial"/>
                <w:sz w:val="18"/>
                <w:szCs w:val="18"/>
                <w:b w:val="1"/>
                <w:bCs w:val="1"/>
                <w:color w:val="auto"/>
              </w:rPr>
              <w:t>Humana Inc. – Rollforward of Initial FY19 Guidance to Current FY19 Guidance as of</w:t>
            </w:r>
          </w:p>
        </w:tc>
        <w:tc>
          <w:tcPr>
            <w:tcW w:w="12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Adjustments</w:t>
            </w: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98"/>
              </w:rPr>
              <w:t>July 31, 2019</w:t>
            </w:r>
          </w:p>
        </w:tc>
        <w:tc>
          <w:tcPr>
            <w:tcW w:w="5980" w:type="dxa"/>
            <w:vAlign w:val="bottom"/>
            <w:tcBorders>
              <w:top w:val="single" w:sz="8" w:color="auto"/>
            </w:tcBorders>
            <w:gridSpan w:val="2"/>
          </w:tcPr>
          <w:p>
            <w:pPr>
              <w:spacing w:after="0"/>
              <w:rPr>
                <w:sz w:val="15"/>
                <w:szCs w:val="15"/>
                <w:color w:val="auto"/>
              </w:rPr>
            </w:pPr>
          </w:p>
        </w:tc>
        <w:tc>
          <w:tcPr>
            <w:tcW w:w="320" w:type="dxa"/>
            <w:vAlign w:val="bottom"/>
            <w:tcBorders>
              <w:right w:val="single" w:sz="8" w:color="auto"/>
            </w:tcBorders>
            <w:gridSpan w:val="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vMerge w:val="continue"/>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b w:val="1"/>
                <w:bCs w:val="1"/>
                <w:color w:val="auto"/>
              </w:rPr>
              <w:t>Diluted earnings per common share (EPS)</w:t>
            </w:r>
          </w:p>
        </w:tc>
        <w:tc>
          <w:tcPr>
            <w:tcW w:w="1260" w:type="dxa"/>
            <w:vAlign w:val="bottom"/>
            <w:tcBorders>
              <w:bottom w:val="single" w:sz="8" w:color="auto"/>
              <w:right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GAAP EPS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to GAAP</w:t>
            </w:r>
          </w:p>
        </w:tc>
        <w:tc>
          <w:tcPr>
            <w:tcW w:w="13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Adjusted EPS</w:t>
            </w: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shd w:val="clear" w:color="auto" w:fill="D6E3BC"/>
          </w:tcPr>
          <w:p>
            <w:pPr>
              <w:spacing w:after="0"/>
              <w:rPr>
                <w:sz w:val="17"/>
                <w:szCs w:val="17"/>
                <w:color w:val="auto"/>
              </w:rPr>
            </w:pPr>
          </w:p>
        </w:tc>
        <w:tc>
          <w:tcPr>
            <w:tcW w:w="1120" w:type="dxa"/>
            <w:vAlign w:val="bottom"/>
            <w:shd w:val="clear" w:color="auto" w:fill="D6E3BC"/>
          </w:tcPr>
          <w:p>
            <w:pPr>
              <w:spacing w:after="0"/>
              <w:rPr>
                <w:sz w:val="17"/>
                <w:szCs w:val="17"/>
                <w:color w:val="auto"/>
              </w:rPr>
            </w:pPr>
          </w:p>
        </w:tc>
        <w:tc>
          <w:tcPr>
            <w:tcW w:w="1820" w:type="dxa"/>
            <w:vAlign w:val="bottom"/>
            <w:shd w:val="clear" w:color="auto" w:fill="D6E3BC"/>
          </w:tcPr>
          <w:p>
            <w:pPr>
              <w:spacing w:after="0"/>
              <w:rPr>
                <w:sz w:val="17"/>
                <w:szCs w:val="17"/>
                <w:color w:val="auto"/>
              </w:rPr>
            </w:pPr>
          </w:p>
        </w:tc>
        <w:tc>
          <w:tcPr>
            <w:tcW w:w="4160" w:type="dxa"/>
            <w:vAlign w:val="bottom"/>
            <w:shd w:val="clear" w:color="auto" w:fill="D6E3BC"/>
          </w:tcPr>
          <w:p>
            <w:pPr>
              <w:spacing w:after="0"/>
              <w:rPr>
                <w:sz w:val="17"/>
                <w:szCs w:val="17"/>
                <w:color w:val="auto"/>
              </w:rPr>
            </w:pPr>
          </w:p>
        </w:tc>
        <w:tc>
          <w:tcPr>
            <w:tcW w:w="160" w:type="dxa"/>
            <w:vAlign w:val="bottom"/>
            <w:shd w:val="clear" w:color="auto" w:fill="D6E3BC"/>
          </w:tcPr>
          <w:p>
            <w:pPr>
              <w:spacing w:after="0"/>
              <w:rPr>
                <w:sz w:val="17"/>
                <w:szCs w:val="17"/>
                <w:color w:val="auto"/>
              </w:rPr>
            </w:pPr>
          </w:p>
        </w:tc>
        <w:tc>
          <w:tcPr>
            <w:tcW w:w="160" w:type="dxa"/>
            <w:vAlign w:val="bottom"/>
            <w:tcBorders>
              <w:right w:val="single" w:sz="8" w:color="auto"/>
            </w:tcBorders>
            <w:shd w:val="clear" w:color="auto" w:fill="D6E3BC"/>
          </w:tcPr>
          <w:p>
            <w:pPr>
              <w:spacing w:after="0"/>
              <w:rPr>
                <w:sz w:val="17"/>
                <w:szCs w:val="17"/>
                <w:color w:val="auto"/>
              </w:rPr>
            </w:pPr>
          </w:p>
        </w:tc>
        <w:tc>
          <w:tcPr>
            <w:tcW w:w="1260" w:type="dxa"/>
            <w:vAlign w:val="bottom"/>
            <w:tcBorders>
              <w:right w:val="single" w:sz="8" w:color="auto"/>
            </w:tcBorders>
            <w:shd w:val="clear" w:color="auto" w:fill="D6E3BC"/>
          </w:tcPr>
          <w:p>
            <w:pPr>
              <w:jc w:val="right"/>
              <w:ind w:right="55"/>
              <w:spacing w:after="0" w:line="202" w:lineRule="exact"/>
              <w:rPr>
                <w:sz w:val="20"/>
                <w:szCs w:val="20"/>
                <w:color w:val="auto"/>
              </w:rPr>
            </w:pPr>
            <w:r>
              <w:rPr>
                <w:rFonts w:ascii="Arial" w:cs="Arial" w:eastAsia="Arial" w:hAnsi="Arial"/>
                <w:sz w:val="18"/>
                <w:szCs w:val="18"/>
                <w:b w:val="1"/>
                <w:bCs w:val="1"/>
                <w:color w:val="auto"/>
              </w:rPr>
              <w:t>~$16.60</w:t>
            </w:r>
          </w:p>
        </w:tc>
        <w:tc>
          <w:tcPr>
            <w:tcW w:w="1360" w:type="dxa"/>
            <w:vAlign w:val="bottom"/>
            <w:tcBorders>
              <w:right w:val="single" w:sz="8" w:color="auto"/>
            </w:tcBorders>
            <w:shd w:val="clear" w:color="auto" w:fill="D6E3BC"/>
          </w:tcPr>
          <w:p>
            <w:pPr>
              <w:spacing w:after="0"/>
              <w:rPr>
                <w:sz w:val="17"/>
                <w:szCs w:val="17"/>
                <w:color w:val="auto"/>
              </w:rPr>
            </w:pPr>
          </w:p>
        </w:tc>
        <w:tc>
          <w:tcPr>
            <w:tcW w:w="1360" w:type="dxa"/>
            <w:vAlign w:val="bottom"/>
            <w:tcBorders>
              <w:right w:val="single" w:sz="8" w:color="auto"/>
            </w:tcBorders>
            <w:shd w:val="clear" w:color="auto" w:fill="D6E3BC"/>
          </w:tcPr>
          <w:p>
            <w:pPr>
              <w:jc w:val="right"/>
              <w:ind w:right="34"/>
              <w:spacing w:after="0" w:line="202" w:lineRule="exact"/>
              <w:rPr>
                <w:sz w:val="20"/>
                <w:szCs w:val="20"/>
                <w:color w:val="auto"/>
              </w:rPr>
            </w:pPr>
            <w:r>
              <w:rPr>
                <w:rFonts w:ascii="Arial" w:cs="Arial" w:eastAsia="Arial" w:hAnsi="Arial"/>
                <w:sz w:val="18"/>
                <w:szCs w:val="18"/>
                <w:b w:val="1"/>
                <w:bCs w:val="1"/>
                <w:color w:val="auto"/>
              </w:rPr>
              <w:t>~$17.00</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shd w:val="clear" w:color="auto" w:fill="D6E3BC"/>
          </w:tcPr>
          <w:p>
            <w:pPr>
              <w:spacing w:after="0"/>
              <w:rPr>
                <w:sz w:val="17"/>
                <w:szCs w:val="17"/>
                <w:color w:val="auto"/>
              </w:rPr>
            </w:pPr>
          </w:p>
        </w:tc>
        <w:tc>
          <w:tcPr>
            <w:tcW w:w="1120" w:type="dxa"/>
            <w:vAlign w:val="bottom"/>
            <w:shd w:val="clear" w:color="auto" w:fill="D6E3BC"/>
          </w:tcPr>
          <w:p>
            <w:pPr>
              <w:spacing w:after="0"/>
              <w:rPr>
                <w:sz w:val="17"/>
                <w:szCs w:val="17"/>
                <w:color w:val="auto"/>
              </w:rPr>
            </w:pPr>
          </w:p>
        </w:tc>
        <w:tc>
          <w:tcPr>
            <w:tcW w:w="1820" w:type="dxa"/>
            <w:vAlign w:val="bottom"/>
            <w:shd w:val="clear" w:color="auto" w:fill="D6E3BC"/>
          </w:tcPr>
          <w:p>
            <w:pPr>
              <w:spacing w:after="0"/>
              <w:rPr>
                <w:sz w:val="17"/>
                <w:szCs w:val="17"/>
                <w:color w:val="auto"/>
              </w:rPr>
            </w:pPr>
          </w:p>
        </w:tc>
        <w:tc>
          <w:tcPr>
            <w:tcW w:w="4160" w:type="dxa"/>
            <w:vAlign w:val="bottom"/>
            <w:shd w:val="clear" w:color="auto" w:fill="D6E3BC"/>
          </w:tcPr>
          <w:p>
            <w:pPr>
              <w:spacing w:after="0"/>
              <w:rPr>
                <w:sz w:val="17"/>
                <w:szCs w:val="17"/>
                <w:color w:val="auto"/>
              </w:rPr>
            </w:pPr>
          </w:p>
        </w:tc>
        <w:tc>
          <w:tcPr>
            <w:tcW w:w="160" w:type="dxa"/>
            <w:vAlign w:val="bottom"/>
            <w:shd w:val="clear" w:color="auto" w:fill="D6E3BC"/>
          </w:tcPr>
          <w:p>
            <w:pPr>
              <w:spacing w:after="0"/>
              <w:rPr>
                <w:sz w:val="17"/>
                <w:szCs w:val="17"/>
                <w:color w:val="auto"/>
              </w:rPr>
            </w:pPr>
          </w:p>
        </w:tc>
        <w:tc>
          <w:tcPr>
            <w:tcW w:w="160" w:type="dxa"/>
            <w:vAlign w:val="bottom"/>
            <w:tcBorders>
              <w:right w:val="single" w:sz="8" w:color="auto"/>
            </w:tcBorders>
            <w:shd w:val="clear" w:color="auto" w:fill="D6E3BC"/>
          </w:tcPr>
          <w:p>
            <w:pPr>
              <w:spacing w:after="0"/>
              <w:rPr>
                <w:sz w:val="17"/>
                <w:szCs w:val="17"/>
                <w:color w:val="auto"/>
              </w:rPr>
            </w:pPr>
          </w:p>
        </w:tc>
        <w:tc>
          <w:tcPr>
            <w:tcW w:w="1260" w:type="dxa"/>
            <w:vAlign w:val="bottom"/>
            <w:tcBorders>
              <w:right w:val="single" w:sz="8" w:color="auto"/>
            </w:tcBorders>
            <w:shd w:val="clear" w:color="auto" w:fill="D6E3BC"/>
          </w:tcPr>
          <w:p>
            <w:pPr>
              <w:jc w:val="right"/>
              <w:ind w:right="55"/>
              <w:spacing w:after="0" w:line="202" w:lineRule="exact"/>
              <w:rPr>
                <w:sz w:val="20"/>
                <w:szCs w:val="20"/>
                <w:color w:val="auto"/>
              </w:rPr>
            </w:pPr>
            <w:r>
              <w:rPr>
                <w:rFonts w:ascii="Arial" w:cs="Arial" w:eastAsia="Arial" w:hAnsi="Arial"/>
                <w:sz w:val="18"/>
                <w:szCs w:val="18"/>
                <w:b w:val="1"/>
                <w:bCs w:val="1"/>
                <w:color w:val="auto"/>
              </w:rPr>
              <w:t>to</w:t>
            </w:r>
          </w:p>
        </w:tc>
        <w:tc>
          <w:tcPr>
            <w:tcW w:w="1360" w:type="dxa"/>
            <w:vAlign w:val="bottom"/>
            <w:tcBorders>
              <w:right w:val="single" w:sz="8" w:color="auto"/>
            </w:tcBorders>
            <w:shd w:val="clear" w:color="auto" w:fill="D6E3BC"/>
          </w:tcPr>
          <w:p>
            <w:pPr>
              <w:spacing w:after="0"/>
              <w:rPr>
                <w:sz w:val="17"/>
                <w:szCs w:val="17"/>
                <w:color w:val="auto"/>
              </w:rPr>
            </w:pPr>
          </w:p>
        </w:tc>
        <w:tc>
          <w:tcPr>
            <w:tcW w:w="1360" w:type="dxa"/>
            <w:vAlign w:val="bottom"/>
            <w:tcBorders>
              <w:right w:val="single" w:sz="8" w:color="auto"/>
            </w:tcBorders>
            <w:shd w:val="clear" w:color="auto" w:fill="D6E3BC"/>
          </w:tcPr>
          <w:p>
            <w:pPr>
              <w:jc w:val="right"/>
              <w:ind w:right="34"/>
              <w:spacing w:after="0" w:line="202" w:lineRule="exact"/>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shd w:val="clear" w:color="auto" w:fill="D6E3BC"/>
          </w:tcPr>
          <w:p>
            <w:pPr>
              <w:spacing w:after="0"/>
              <w:rPr>
                <w:sz w:val="21"/>
                <w:szCs w:val="21"/>
                <w:color w:val="auto"/>
              </w:rPr>
            </w:pPr>
          </w:p>
        </w:tc>
        <w:tc>
          <w:tcPr>
            <w:tcW w:w="7420" w:type="dxa"/>
            <w:vAlign w:val="bottom"/>
            <w:tcBorders>
              <w:bottom w:val="single" w:sz="8" w:color="auto"/>
              <w:right w:val="single" w:sz="8" w:color="auto"/>
            </w:tcBorders>
            <w:gridSpan w:val="5"/>
            <w:shd w:val="clear" w:color="auto" w:fill="D6E3BC"/>
          </w:tcPr>
          <w:p>
            <w:pPr>
              <w:spacing w:after="0"/>
              <w:rPr>
                <w:sz w:val="20"/>
                <w:szCs w:val="20"/>
                <w:color w:val="auto"/>
              </w:rPr>
            </w:pPr>
            <w:r>
              <w:rPr>
                <w:rFonts w:ascii="Arial" w:cs="Arial" w:eastAsia="Arial" w:hAnsi="Arial"/>
                <w:sz w:val="18"/>
                <w:szCs w:val="18"/>
                <w:b w:val="1"/>
                <w:bCs w:val="1"/>
                <w:color w:val="auto"/>
              </w:rPr>
              <w:t>Initial FY19 guidance issued on February 6, 2019</w:t>
            </w:r>
          </w:p>
        </w:tc>
        <w:tc>
          <w:tcPr>
            <w:tcW w:w="1260" w:type="dxa"/>
            <w:vAlign w:val="bottom"/>
            <w:tcBorders>
              <w:bottom w:val="single" w:sz="8" w:color="auto"/>
              <w:right w:val="single" w:sz="8" w:color="auto"/>
            </w:tcBorders>
            <w:shd w:val="clear" w:color="auto" w:fill="D6E3BC"/>
          </w:tcPr>
          <w:p>
            <w:pPr>
              <w:jc w:val="right"/>
              <w:ind w:right="55"/>
              <w:spacing w:after="0"/>
              <w:rPr>
                <w:sz w:val="20"/>
                <w:szCs w:val="20"/>
                <w:color w:val="auto"/>
              </w:rPr>
            </w:pPr>
            <w:r>
              <w:rPr>
                <w:rFonts w:ascii="Arial" w:cs="Arial" w:eastAsia="Arial" w:hAnsi="Arial"/>
                <w:sz w:val="18"/>
                <w:szCs w:val="18"/>
                <w:b w:val="1"/>
                <w:bCs w:val="1"/>
                <w:color w:val="auto"/>
              </w:rPr>
              <w:t>$17.10</w:t>
            </w:r>
          </w:p>
        </w:tc>
        <w:tc>
          <w:tcPr>
            <w:tcW w:w="1360" w:type="dxa"/>
            <w:vAlign w:val="bottom"/>
            <w:tcBorders>
              <w:bottom w:val="single" w:sz="8" w:color="auto"/>
              <w:right w:val="single" w:sz="8" w:color="auto"/>
            </w:tcBorders>
            <w:shd w:val="clear" w:color="auto" w:fill="D6E3BC"/>
          </w:tcPr>
          <w:p>
            <w:pPr>
              <w:jc w:val="right"/>
              <w:ind w:right="35"/>
              <w:spacing w:after="0"/>
              <w:rPr>
                <w:sz w:val="20"/>
                <w:szCs w:val="20"/>
                <w:color w:val="auto"/>
              </w:rPr>
            </w:pPr>
            <w:r>
              <w:rPr>
                <w:rFonts w:ascii="Arial" w:cs="Arial" w:eastAsia="Arial" w:hAnsi="Arial"/>
                <w:sz w:val="18"/>
                <w:szCs w:val="18"/>
                <w:b w:val="1"/>
                <w:bCs w:val="1"/>
                <w:color w:val="auto"/>
              </w:rPr>
              <w:t>~$0.40</w:t>
            </w:r>
          </w:p>
        </w:tc>
        <w:tc>
          <w:tcPr>
            <w:tcW w:w="1360" w:type="dxa"/>
            <w:vAlign w:val="bottom"/>
            <w:tcBorders>
              <w:bottom w:val="single" w:sz="8" w:color="auto"/>
              <w:right w:val="single" w:sz="8" w:color="auto"/>
            </w:tcBorders>
            <w:shd w:val="clear" w:color="auto" w:fill="D6E3BC"/>
          </w:tcPr>
          <w:p>
            <w:pPr>
              <w:jc w:val="right"/>
              <w:ind w:right="34"/>
              <w:spacing w:after="0"/>
              <w:rPr>
                <w:sz w:val="20"/>
                <w:szCs w:val="20"/>
                <w:color w:val="auto"/>
              </w:rPr>
            </w:pPr>
            <w:r>
              <w:rPr>
                <w:rFonts w:ascii="Arial" w:cs="Arial" w:eastAsia="Arial" w:hAnsi="Arial"/>
                <w:sz w:val="18"/>
                <w:szCs w:val="18"/>
                <w:b w:val="1"/>
                <w:bCs w:val="1"/>
                <w:color w:val="auto"/>
              </w:rPr>
              <w:t>$17.50</w:t>
            </w: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gridSpan w:val="5"/>
          </w:tcPr>
          <w:p>
            <w:pPr>
              <w:spacing w:after="0"/>
              <w:rPr>
                <w:sz w:val="20"/>
                <w:szCs w:val="20"/>
                <w:color w:val="auto"/>
              </w:rPr>
            </w:pPr>
            <w:r>
              <w:rPr>
                <w:rFonts w:ascii="Arial" w:cs="Arial" w:eastAsia="Arial" w:hAnsi="Arial"/>
                <w:sz w:val="16"/>
                <w:szCs w:val="16"/>
                <w:color w:val="auto"/>
              </w:rPr>
              <w:t>Changes in projected operating performance:</w:t>
            </w:r>
          </w:p>
        </w:tc>
        <w:tc>
          <w:tcPr>
            <w:tcW w:w="12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ind w:left="360"/>
              <w:spacing w:after="0"/>
              <w:rPr>
                <w:sz w:val="20"/>
                <w:szCs w:val="20"/>
                <w:color w:val="auto"/>
              </w:rPr>
            </w:pPr>
            <w:r>
              <w:rPr>
                <w:rFonts w:ascii="Arial" w:cs="Arial" w:eastAsia="Arial" w:hAnsi="Arial"/>
                <w:sz w:val="16"/>
                <w:szCs w:val="16"/>
                <w:color w:val="auto"/>
              </w:rPr>
              <w:t>Retail segment</w:t>
            </w:r>
          </w:p>
        </w:tc>
        <w:tc>
          <w:tcPr>
            <w:tcW w:w="126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6"/>
                <w:szCs w:val="16"/>
                <w:color w:val="auto"/>
              </w:rPr>
              <w:t>0.28</w:t>
            </w:r>
          </w:p>
        </w:tc>
        <w:tc>
          <w:tcPr>
            <w:tcW w:w="136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ind w:left="360"/>
              <w:spacing w:after="0"/>
              <w:rPr>
                <w:sz w:val="20"/>
                <w:szCs w:val="20"/>
                <w:color w:val="auto"/>
              </w:rPr>
            </w:pPr>
            <w:r>
              <w:rPr>
                <w:rFonts w:ascii="Arial" w:cs="Arial" w:eastAsia="Arial" w:hAnsi="Arial"/>
                <w:sz w:val="16"/>
                <w:szCs w:val="16"/>
                <w:color w:val="auto"/>
              </w:rPr>
              <w:t>Put/call valuation adjustments associated with 40% minority ownership in Kindred at Home</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36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6"/>
                <w:szCs w:val="16"/>
                <w:color w:val="auto"/>
              </w:rPr>
              <w:t>0.22</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0" w:type="dxa"/>
            <w:vAlign w:val="bottom"/>
            <w:tcBorders>
              <w:left w:val="single" w:sz="8" w:color="auto"/>
              <w:bottom w:val="single" w:sz="8" w:color="auto"/>
            </w:tcBorders>
          </w:tcPr>
          <w:p>
            <w:pPr>
              <w:spacing w:after="0"/>
              <w:rPr>
                <w:sz w:val="22"/>
                <w:szCs w:val="22"/>
                <w:color w:val="auto"/>
              </w:rPr>
            </w:pPr>
          </w:p>
        </w:tc>
        <w:tc>
          <w:tcPr>
            <w:tcW w:w="7420" w:type="dxa"/>
            <w:vAlign w:val="bottom"/>
            <w:tcBorders>
              <w:bottom w:val="single" w:sz="8" w:color="auto"/>
              <w:right w:val="single" w:sz="8" w:color="auto"/>
            </w:tcBorders>
            <w:gridSpan w:val="5"/>
          </w:tcPr>
          <w:p>
            <w:pPr>
              <w:ind w:left="36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36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shd w:val="clear" w:color="auto" w:fill="D6E3BC"/>
          </w:tcPr>
          <w:p>
            <w:pPr>
              <w:spacing w:after="0"/>
              <w:rPr>
                <w:sz w:val="17"/>
                <w:szCs w:val="17"/>
                <w:color w:val="auto"/>
              </w:rPr>
            </w:pPr>
          </w:p>
        </w:tc>
        <w:tc>
          <w:tcPr>
            <w:tcW w:w="1120" w:type="dxa"/>
            <w:vAlign w:val="bottom"/>
            <w:shd w:val="clear" w:color="auto" w:fill="D6E3BC"/>
          </w:tcPr>
          <w:p>
            <w:pPr>
              <w:spacing w:after="0"/>
              <w:rPr>
                <w:sz w:val="17"/>
                <w:szCs w:val="17"/>
                <w:color w:val="auto"/>
              </w:rPr>
            </w:pPr>
          </w:p>
        </w:tc>
        <w:tc>
          <w:tcPr>
            <w:tcW w:w="1820" w:type="dxa"/>
            <w:vAlign w:val="bottom"/>
            <w:shd w:val="clear" w:color="auto" w:fill="D6E3BC"/>
          </w:tcPr>
          <w:p>
            <w:pPr>
              <w:spacing w:after="0"/>
              <w:rPr>
                <w:sz w:val="17"/>
                <w:szCs w:val="17"/>
                <w:color w:val="auto"/>
              </w:rPr>
            </w:pPr>
          </w:p>
        </w:tc>
        <w:tc>
          <w:tcPr>
            <w:tcW w:w="4160" w:type="dxa"/>
            <w:vAlign w:val="bottom"/>
            <w:shd w:val="clear" w:color="auto" w:fill="D6E3BC"/>
          </w:tcPr>
          <w:p>
            <w:pPr>
              <w:spacing w:after="0"/>
              <w:rPr>
                <w:sz w:val="17"/>
                <w:szCs w:val="17"/>
                <w:color w:val="auto"/>
              </w:rPr>
            </w:pPr>
          </w:p>
        </w:tc>
        <w:tc>
          <w:tcPr>
            <w:tcW w:w="160" w:type="dxa"/>
            <w:vAlign w:val="bottom"/>
            <w:shd w:val="clear" w:color="auto" w:fill="D6E3BC"/>
          </w:tcPr>
          <w:p>
            <w:pPr>
              <w:spacing w:after="0"/>
              <w:rPr>
                <w:sz w:val="17"/>
                <w:szCs w:val="17"/>
                <w:color w:val="auto"/>
              </w:rPr>
            </w:pPr>
          </w:p>
        </w:tc>
        <w:tc>
          <w:tcPr>
            <w:tcW w:w="160" w:type="dxa"/>
            <w:vAlign w:val="bottom"/>
            <w:tcBorders>
              <w:right w:val="single" w:sz="8" w:color="auto"/>
            </w:tcBorders>
            <w:shd w:val="clear" w:color="auto" w:fill="D6E3BC"/>
          </w:tcPr>
          <w:p>
            <w:pPr>
              <w:spacing w:after="0"/>
              <w:rPr>
                <w:sz w:val="17"/>
                <w:szCs w:val="17"/>
                <w:color w:val="auto"/>
              </w:rPr>
            </w:pPr>
          </w:p>
        </w:tc>
        <w:tc>
          <w:tcPr>
            <w:tcW w:w="1260" w:type="dxa"/>
            <w:vAlign w:val="bottom"/>
            <w:tcBorders>
              <w:right w:val="single" w:sz="8" w:color="auto"/>
            </w:tcBorders>
            <w:shd w:val="clear" w:color="auto" w:fill="D6E3BC"/>
          </w:tcPr>
          <w:p>
            <w:pPr>
              <w:spacing w:after="0"/>
              <w:rPr>
                <w:sz w:val="17"/>
                <w:szCs w:val="17"/>
                <w:color w:val="auto"/>
              </w:rPr>
            </w:pPr>
          </w:p>
        </w:tc>
        <w:tc>
          <w:tcPr>
            <w:tcW w:w="1360" w:type="dxa"/>
            <w:vAlign w:val="bottom"/>
            <w:tcBorders>
              <w:right w:val="single" w:sz="8" w:color="auto"/>
            </w:tcBorders>
            <w:shd w:val="clear" w:color="auto" w:fill="D6E3BC"/>
          </w:tcPr>
          <w:p>
            <w:pPr>
              <w:spacing w:after="0"/>
              <w:rPr>
                <w:sz w:val="17"/>
                <w:szCs w:val="17"/>
                <w:color w:val="auto"/>
              </w:rPr>
            </w:pPr>
          </w:p>
        </w:tc>
        <w:tc>
          <w:tcPr>
            <w:tcW w:w="1360" w:type="dxa"/>
            <w:vAlign w:val="bottom"/>
            <w:tcBorders>
              <w:right w:val="single" w:sz="8" w:color="auto"/>
            </w:tcBorders>
            <w:shd w:val="clear" w:color="auto" w:fill="D6E3BC"/>
          </w:tcPr>
          <w:p>
            <w:pPr>
              <w:jc w:val="right"/>
              <w:ind w:right="34"/>
              <w:spacing w:after="0"/>
              <w:rPr>
                <w:sz w:val="20"/>
                <w:szCs w:val="20"/>
                <w:color w:val="auto"/>
              </w:rPr>
            </w:pPr>
            <w:r>
              <w:rPr>
                <w:rFonts w:ascii="Arial" w:cs="Arial" w:eastAsia="Arial" w:hAnsi="Arial"/>
                <w:sz w:val="18"/>
                <w:szCs w:val="18"/>
                <w:b w:val="1"/>
                <w:bCs w:val="1"/>
                <w:color w:val="auto"/>
              </w:rPr>
              <w:t>~$17.25</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shd w:val="clear" w:color="auto" w:fill="D6E3BC"/>
          </w:tcPr>
          <w:p>
            <w:pPr>
              <w:spacing w:after="0"/>
              <w:rPr>
                <w:sz w:val="17"/>
                <w:szCs w:val="17"/>
                <w:color w:val="auto"/>
              </w:rPr>
            </w:pPr>
          </w:p>
        </w:tc>
        <w:tc>
          <w:tcPr>
            <w:tcW w:w="1120" w:type="dxa"/>
            <w:vAlign w:val="bottom"/>
            <w:shd w:val="clear" w:color="auto" w:fill="D6E3BC"/>
          </w:tcPr>
          <w:p>
            <w:pPr>
              <w:spacing w:after="0"/>
              <w:rPr>
                <w:sz w:val="17"/>
                <w:szCs w:val="17"/>
                <w:color w:val="auto"/>
              </w:rPr>
            </w:pPr>
          </w:p>
        </w:tc>
        <w:tc>
          <w:tcPr>
            <w:tcW w:w="1820" w:type="dxa"/>
            <w:vAlign w:val="bottom"/>
            <w:shd w:val="clear" w:color="auto" w:fill="D6E3BC"/>
          </w:tcPr>
          <w:p>
            <w:pPr>
              <w:spacing w:after="0"/>
              <w:rPr>
                <w:sz w:val="17"/>
                <w:szCs w:val="17"/>
                <w:color w:val="auto"/>
              </w:rPr>
            </w:pPr>
          </w:p>
        </w:tc>
        <w:tc>
          <w:tcPr>
            <w:tcW w:w="4160" w:type="dxa"/>
            <w:vAlign w:val="bottom"/>
            <w:shd w:val="clear" w:color="auto" w:fill="D6E3BC"/>
          </w:tcPr>
          <w:p>
            <w:pPr>
              <w:spacing w:after="0"/>
              <w:rPr>
                <w:sz w:val="17"/>
                <w:szCs w:val="17"/>
                <w:color w:val="auto"/>
              </w:rPr>
            </w:pPr>
          </w:p>
        </w:tc>
        <w:tc>
          <w:tcPr>
            <w:tcW w:w="160" w:type="dxa"/>
            <w:vAlign w:val="bottom"/>
            <w:shd w:val="clear" w:color="auto" w:fill="D6E3BC"/>
          </w:tcPr>
          <w:p>
            <w:pPr>
              <w:spacing w:after="0"/>
              <w:rPr>
                <w:sz w:val="17"/>
                <w:szCs w:val="17"/>
                <w:color w:val="auto"/>
              </w:rPr>
            </w:pPr>
          </w:p>
        </w:tc>
        <w:tc>
          <w:tcPr>
            <w:tcW w:w="160" w:type="dxa"/>
            <w:vAlign w:val="bottom"/>
            <w:tcBorders>
              <w:right w:val="single" w:sz="8" w:color="auto"/>
            </w:tcBorders>
            <w:shd w:val="clear" w:color="auto" w:fill="D6E3BC"/>
          </w:tcPr>
          <w:p>
            <w:pPr>
              <w:spacing w:after="0"/>
              <w:rPr>
                <w:sz w:val="17"/>
                <w:szCs w:val="17"/>
                <w:color w:val="auto"/>
              </w:rPr>
            </w:pPr>
          </w:p>
        </w:tc>
        <w:tc>
          <w:tcPr>
            <w:tcW w:w="1260" w:type="dxa"/>
            <w:vAlign w:val="bottom"/>
            <w:tcBorders>
              <w:right w:val="single" w:sz="8" w:color="auto"/>
            </w:tcBorders>
            <w:shd w:val="clear" w:color="auto" w:fill="D6E3BC"/>
          </w:tcPr>
          <w:p>
            <w:pPr>
              <w:jc w:val="right"/>
              <w:ind w:right="55"/>
              <w:spacing w:after="0" w:line="202" w:lineRule="exact"/>
              <w:rPr>
                <w:sz w:val="20"/>
                <w:szCs w:val="20"/>
                <w:color w:val="auto"/>
              </w:rPr>
            </w:pPr>
            <w:r>
              <w:rPr>
                <w:rFonts w:ascii="Arial" w:cs="Arial" w:eastAsia="Arial" w:hAnsi="Arial"/>
                <w:sz w:val="18"/>
                <w:szCs w:val="18"/>
                <w:b w:val="1"/>
                <w:bCs w:val="1"/>
                <w:color w:val="auto"/>
              </w:rPr>
              <w:t>~$16.63 to</w:t>
            </w:r>
          </w:p>
        </w:tc>
        <w:tc>
          <w:tcPr>
            <w:tcW w:w="1360" w:type="dxa"/>
            <w:vAlign w:val="bottom"/>
            <w:tcBorders>
              <w:right w:val="single" w:sz="8" w:color="auto"/>
            </w:tcBorders>
            <w:shd w:val="clear" w:color="auto" w:fill="D6E3BC"/>
          </w:tcPr>
          <w:p>
            <w:pPr>
              <w:spacing w:after="0"/>
              <w:rPr>
                <w:sz w:val="17"/>
                <w:szCs w:val="17"/>
                <w:color w:val="auto"/>
              </w:rPr>
            </w:pPr>
          </w:p>
        </w:tc>
        <w:tc>
          <w:tcPr>
            <w:tcW w:w="1360" w:type="dxa"/>
            <w:vAlign w:val="bottom"/>
            <w:tcBorders>
              <w:right w:val="single" w:sz="8" w:color="auto"/>
            </w:tcBorders>
            <w:shd w:val="clear" w:color="auto" w:fill="D6E3BC"/>
          </w:tcPr>
          <w:p>
            <w:pPr>
              <w:jc w:val="right"/>
              <w:ind w:right="34"/>
              <w:spacing w:after="0" w:line="202" w:lineRule="exact"/>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shd w:val="clear" w:color="auto" w:fill="D6E3BC"/>
          </w:tcPr>
          <w:p>
            <w:pPr>
              <w:spacing w:after="0"/>
              <w:rPr>
                <w:sz w:val="21"/>
                <w:szCs w:val="21"/>
                <w:color w:val="auto"/>
              </w:rPr>
            </w:pPr>
          </w:p>
        </w:tc>
        <w:tc>
          <w:tcPr>
            <w:tcW w:w="7420" w:type="dxa"/>
            <w:vAlign w:val="bottom"/>
            <w:tcBorders>
              <w:bottom w:val="single" w:sz="8" w:color="auto"/>
              <w:right w:val="single" w:sz="8" w:color="auto"/>
            </w:tcBorders>
            <w:gridSpan w:val="5"/>
            <w:shd w:val="clear" w:color="auto" w:fill="D6E3BC"/>
          </w:tcPr>
          <w:p>
            <w:pPr>
              <w:spacing w:after="0"/>
              <w:rPr>
                <w:sz w:val="20"/>
                <w:szCs w:val="20"/>
                <w:color w:val="auto"/>
              </w:rPr>
            </w:pPr>
            <w:r>
              <w:rPr>
                <w:rFonts w:ascii="Arial" w:cs="Arial" w:eastAsia="Arial" w:hAnsi="Arial"/>
                <w:sz w:val="18"/>
                <w:szCs w:val="18"/>
                <w:b w:val="1"/>
                <w:bCs w:val="1"/>
                <w:color w:val="auto"/>
              </w:rPr>
              <w:t>FY19 guidance issued on May 1, 2019</w:t>
            </w:r>
          </w:p>
        </w:tc>
        <w:tc>
          <w:tcPr>
            <w:tcW w:w="1260" w:type="dxa"/>
            <w:vAlign w:val="bottom"/>
            <w:tcBorders>
              <w:bottom w:val="single" w:sz="8" w:color="auto"/>
              <w:right w:val="single" w:sz="8" w:color="auto"/>
            </w:tcBorders>
            <w:shd w:val="clear" w:color="auto" w:fill="D6E3BC"/>
          </w:tcPr>
          <w:p>
            <w:pPr>
              <w:jc w:val="right"/>
              <w:ind w:right="55"/>
              <w:spacing w:after="0"/>
              <w:rPr>
                <w:sz w:val="20"/>
                <w:szCs w:val="20"/>
                <w:color w:val="auto"/>
              </w:rPr>
            </w:pPr>
            <w:r>
              <w:rPr>
                <w:rFonts w:ascii="Arial" w:cs="Arial" w:eastAsia="Arial" w:hAnsi="Arial"/>
                <w:sz w:val="18"/>
                <w:szCs w:val="18"/>
                <w:b w:val="1"/>
                <w:bCs w:val="1"/>
                <w:color w:val="auto"/>
              </w:rPr>
              <w:t>$16.88</w:t>
            </w:r>
          </w:p>
        </w:tc>
        <w:tc>
          <w:tcPr>
            <w:tcW w:w="1360" w:type="dxa"/>
            <w:vAlign w:val="bottom"/>
            <w:tcBorders>
              <w:bottom w:val="single" w:sz="8" w:color="auto"/>
              <w:right w:val="single" w:sz="8" w:color="auto"/>
            </w:tcBorders>
            <w:shd w:val="clear" w:color="auto" w:fill="D6E3BC"/>
          </w:tcPr>
          <w:p>
            <w:pPr>
              <w:jc w:val="right"/>
              <w:ind w:right="35"/>
              <w:spacing w:after="0"/>
              <w:rPr>
                <w:sz w:val="20"/>
                <w:szCs w:val="20"/>
                <w:color w:val="auto"/>
              </w:rPr>
            </w:pPr>
            <w:r>
              <w:rPr>
                <w:rFonts w:ascii="Arial" w:cs="Arial" w:eastAsia="Arial" w:hAnsi="Arial"/>
                <w:sz w:val="18"/>
                <w:szCs w:val="18"/>
                <w:b w:val="1"/>
                <w:bCs w:val="1"/>
                <w:color w:val="auto"/>
              </w:rPr>
              <w:t>~$0.62</w:t>
            </w:r>
          </w:p>
        </w:tc>
        <w:tc>
          <w:tcPr>
            <w:tcW w:w="1360" w:type="dxa"/>
            <w:vAlign w:val="bottom"/>
            <w:tcBorders>
              <w:bottom w:val="single" w:sz="8" w:color="auto"/>
              <w:right w:val="single" w:sz="8" w:color="auto"/>
            </w:tcBorders>
            <w:shd w:val="clear" w:color="auto" w:fill="D6E3BC"/>
          </w:tcPr>
          <w:p>
            <w:pPr>
              <w:jc w:val="right"/>
              <w:ind w:right="34"/>
              <w:spacing w:after="0"/>
              <w:rPr>
                <w:sz w:val="20"/>
                <w:szCs w:val="20"/>
                <w:color w:val="auto"/>
              </w:rPr>
            </w:pPr>
            <w:r>
              <w:rPr>
                <w:rFonts w:ascii="Arial" w:cs="Arial" w:eastAsia="Arial" w:hAnsi="Arial"/>
                <w:sz w:val="18"/>
                <w:szCs w:val="18"/>
                <w:b w:val="1"/>
                <w:bCs w:val="1"/>
                <w:color w:val="auto"/>
              </w:rPr>
              <w:t>$17.50</w:t>
            </w: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gridSpan w:val="5"/>
          </w:tcPr>
          <w:p>
            <w:pPr>
              <w:spacing w:after="0"/>
              <w:rPr>
                <w:sz w:val="20"/>
                <w:szCs w:val="20"/>
                <w:color w:val="auto"/>
              </w:rPr>
            </w:pPr>
            <w:r>
              <w:rPr>
                <w:rFonts w:ascii="Arial" w:cs="Arial" w:eastAsia="Arial" w:hAnsi="Arial"/>
                <w:sz w:val="16"/>
                <w:szCs w:val="16"/>
                <w:color w:val="auto"/>
              </w:rPr>
              <w:t>Changes in projected operating performance:</w:t>
            </w:r>
          </w:p>
        </w:tc>
        <w:tc>
          <w:tcPr>
            <w:tcW w:w="12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ind w:left="360"/>
              <w:spacing w:after="0"/>
              <w:rPr>
                <w:sz w:val="20"/>
                <w:szCs w:val="20"/>
                <w:color w:val="auto"/>
              </w:rPr>
            </w:pPr>
            <w:r>
              <w:rPr>
                <w:rFonts w:ascii="Arial" w:cs="Arial" w:eastAsia="Arial" w:hAnsi="Arial"/>
                <w:sz w:val="16"/>
                <w:szCs w:val="16"/>
                <w:color w:val="auto"/>
              </w:rPr>
              <w:t>Retail segment</w:t>
            </w:r>
          </w:p>
        </w:tc>
        <w:tc>
          <w:tcPr>
            <w:tcW w:w="126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6"/>
                <w:szCs w:val="16"/>
                <w:color w:val="auto"/>
              </w:rPr>
              <w:t>0.42</w:t>
            </w:r>
          </w:p>
        </w:tc>
        <w:tc>
          <w:tcPr>
            <w:tcW w:w="136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ind w:left="360"/>
              <w:spacing w:after="0"/>
              <w:rPr>
                <w:sz w:val="20"/>
                <w:szCs w:val="20"/>
                <w:color w:val="auto"/>
              </w:rPr>
            </w:pPr>
            <w:r>
              <w:rPr>
                <w:rFonts w:ascii="Arial" w:cs="Arial" w:eastAsia="Arial" w:hAnsi="Arial"/>
                <w:sz w:val="16"/>
                <w:szCs w:val="16"/>
                <w:color w:val="auto"/>
              </w:rPr>
              <w:t>Group and Specialty segment</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136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ind w:left="360"/>
              <w:spacing w:after="0"/>
              <w:rPr>
                <w:sz w:val="20"/>
                <w:szCs w:val="20"/>
                <w:color w:val="auto"/>
              </w:rPr>
            </w:pPr>
            <w:r>
              <w:rPr>
                <w:rFonts w:ascii="Arial" w:cs="Arial" w:eastAsia="Arial" w:hAnsi="Arial"/>
                <w:sz w:val="16"/>
                <w:szCs w:val="16"/>
                <w:color w:val="auto"/>
              </w:rPr>
              <w:t>Healthcare Services segment</w:t>
            </w:r>
          </w:p>
        </w:tc>
        <w:tc>
          <w:tcPr>
            <w:tcW w:w="126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6"/>
                <w:szCs w:val="16"/>
                <w:color w:val="auto"/>
              </w:rPr>
              <w:t>0.21</w:t>
            </w:r>
          </w:p>
        </w:tc>
        <w:tc>
          <w:tcPr>
            <w:tcW w:w="136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ind w:left="340"/>
              <w:spacing w:after="0"/>
              <w:rPr>
                <w:sz w:val="20"/>
                <w:szCs w:val="20"/>
                <w:color w:val="auto"/>
              </w:rPr>
            </w:pPr>
            <w:r>
              <w:rPr>
                <w:rFonts w:ascii="Arial" w:cs="Arial" w:eastAsia="Arial" w:hAnsi="Arial"/>
                <w:sz w:val="16"/>
                <w:szCs w:val="16"/>
                <w:color w:val="auto"/>
              </w:rPr>
              <w:t>Put/call valuation adjustments associated with 40% minority ownership in Kindred at Home</w:t>
            </w:r>
          </w:p>
        </w:tc>
        <w:tc>
          <w:tcPr>
            <w:tcW w:w="126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6"/>
                <w:szCs w:val="16"/>
                <w:color w:val="auto"/>
              </w:rPr>
              <w:t>0.99</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(0.99)</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gridSpan w:val="5"/>
          </w:tcPr>
          <w:p>
            <w:pPr>
              <w:ind w:left="36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16"/>
                <w:szCs w:val="16"/>
                <w:color w:val="auto"/>
              </w:rPr>
              <w:t>0.01</w:t>
            </w:r>
          </w:p>
        </w:tc>
        <w:tc>
          <w:tcPr>
            <w:tcW w:w="136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64"/>
        </w:trPr>
        <w:tc>
          <w:tcPr>
            <w:tcW w:w="40" w:type="dxa"/>
            <w:vAlign w:val="bottom"/>
            <w:tcBorders>
              <w:left w:val="single" w:sz="8" w:color="auto"/>
              <w:bottom w:val="single" w:sz="8" w:color="auto"/>
            </w:tcBorders>
            <w:shd w:val="clear" w:color="auto" w:fill="D6E3BC"/>
          </w:tcPr>
          <w:p>
            <w:pPr>
              <w:spacing w:after="0"/>
              <w:rPr>
                <w:sz w:val="22"/>
                <w:szCs w:val="22"/>
                <w:color w:val="auto"/>
              </w:rPr>
            </w:pPr>
          </w:p>
        </w:tc>
        <w:tc>
          <w:tcPr>
            <w:tcW w:w="7420" w:type="dxa"/>
            <w:vAlign w:val="bottom"/>
            <w:tcBorders>
              <w:bottom w:val="single" w:sz="8" w:color="auto"/>
              <w:right w:val="single" w:sz="8" w:color="auto"/>
            </w:tcBorders>
            <w:gridSpan w:val="5"/>
            <w:shd w:val="clear" w:color="auto" w:fill="D6E3BC"/>
          </w:tcPr>
          <w:p>
            <w:pPr>
              <w:spacing w:after="0"/>
              <w:rPr>
                <w:sz w:val="20"/>
                <w:szCs w:val="20"/>
                <w:color w:val="auto"/>
              </w:rPr>
            </w:pPr>
            <w:r>
              <w:rPr>
                <w:rFonts w:ascii="Arial" w:cs="Arial" w:eastAsia="Arial" w:hAnsi="Arial"/>
                <w:sz w:val="18"/>
                <w:szCs w:val="18"/>
                <w:b w:val="1"/>
                <w:bCs w:val="1"/>
                <w:color w:val="auto"/>
              </w:rPr>
              <w:t>FY19 guidance issued on July 31, 2019</w:t>
            </w:r>
          </w:p>
        </w:tc>
        <w:tc>
          <w:tcPr>
            <w:tcW w:w="1260" w:type="dxa"/>
            <w:vAlign w:val="bottom"/>
            <w:tcBorders>
              <w:bottom w:val="single" w:sz="8" w:color="auto"/>
              <w:right w:val="single" w:sz="8" w:color="auto"/>
            </w:tcBorders>
            <w:shd w:val="clear" w:color="auto" w:fill="D6E3BC"/>
          </w:tcPr>
          <w:p>
            <w:pPr>
              <w:jc w:val="right"/>
              <w:ind w:right="55"/>
              <w:spacing w:after="0"/>
              <w:rPr>
                <w:sz w:val="20"/>
                <w:szCs w:val="20"/>
                <w:color w:val="auto"/>
              </w:rPr>
            </w:pPr>
            <w:r>
              <w:rPr>
                <w:rFonts w:ascii="Arial" w:cs="Arial" w:eastAsia="Arial" w:hAnsi="Arial"/>
                <w:sz w:val="18"/>
                <w:szCs w:val="18"/>
                <w:b w:val="1"/>
                <w:bCs w:val="1"/>
                <w:color w:val="auto"/>
              </w:rPr>
              <w:t>~$17.97</w:t>
            </w:r>
          </w:p>
        </w:tc>
        <w:tc>
          <w:tcPr>
            <w:tcW w:w="1360" w:type="dxa"/>
            <w:vAlign w:val="bottom"/>
            <w:tcBorders>
              <w:bottom w:val="single" w:sz="8" w:color="auto"/>
              <w:right w:val="single" w:sz="8" w:color="auto"/>
            </w:tcBorders>
            <w:shd w:val="clear" w:color="auto" w:fill="D6E3BC"/>
          </w:tcPr>
          <w:p>
            <w:pPr>
              <w:jc w:val="right"/>
              <w:ind w:right="35"/>
              <w:spacing w:after="0"/>
              <w:rPr>
                <w:sz w:val="20"/>
                <w:szCs w:val="20"/>
                <w:color w:val="auto"/>
              </w:rPr>
            </w:pPr>
            <w:r>
              <w:rPr>
                <w:rFonts w:ascii="Arial" w:cs="Arial" w:eastAsia="Arial" w:hAnsi="Arial"/>
                <w:sz w:val="18"/>
                <w:szCs w:val="18"/>
                <w:b w:val="1"/>
                <w:bCs w:val="1"/>
                <w:color w:val="auto"/>
              </w:rPr>
              <w:t>(~$0.37)</w:t>
            </w:r>
          </w:p>
        </w:tc>
        <w:tc>
          <w:tcPr>
            <w:tcW w:w="1360" w:type="dxa"/>
            <w:vAlign w:val="bottom"/>
            <w:tcBorders>
              <w:bottom w:val="single" w:sz="8" w:color="auto"/>
              <w:right w:val="single" w:sz="8" w:color="auto"/>
            </w:tcBorders>
            <w:shd w:val="clear" w:color="auto" w:fill="D6E3BC"/>
          </w:tcPr>
          <w:p>
            <w:pPr>
              <w:jc w:val="right"/>
              <w:ind w:right="34"/>
              <w:spacing w:after="0"/>
              <w:rPr>
                <w:sz w:val="20"/>
                <w:szCs w:val="20"/>
                <w:color w:val="auto"/>
              </w:rPr>
            </w:pPr>
            <w:r>
              <w:rPr>
                <w:rFonts w:ascii="Arial" w:cs="Arial" w:eastAsia="Arial" w:hAnsi="Arial"/>
                <w:sz w:val="18"/>
                <w:szCs w:val="18"/>
                <w:b w:val="1"/>
                <w:bCs w:val="1"/>
                <w:color w:val="auto"/>
              </w:rPr>
              <w:t>~$17.60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40"/>
          </w:cols>
          <w:pgMar w:left="240" w:top="727" w:right="21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72"/>
          <w:szCs w:val="72"/>
          <w:color w:val="auto"/>
        </w:rPr>
        <w:t>Humana Inc.</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72"/>
          <w:szCs w:val="72"/>
          <w:color w:val="auto"/>
        </w:rPr>
        <w:t>Statistical Schedules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72"/>
          <w:szCs w:val="72"/>
          <w:color w:val="auto"/>
        </w:rPr>
        <w:t>And</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71"/>
          <w:szCs w:val="71"/>
          <w:color w:val="auto"/>
        </w:rPr>
        <w:t>Supplementary Information</w:t>
      </w:r>
    </w:p>
    <w:p>
      <w:pPr>
        <w:spacing w:after="0" w:line="48" w:lineRule="exact"/>
        <w:rPr>
          <w:sz w:val="20"/>
          <w:szCs w:val="20"/>
          <w:color w:val="auto"/>
        </w:rPr>
      </w:pPr>
    </w:p>
    <w:p>
      <w:pPr>
        <w:jc w:val="center"/>
        <w:ind w:right="-20"/>
        <w:spacing w:after="0"/>
        <w:rPr>
          <w:sz w:val="20"/>
          <w:szCs w:val="20"/>
          <w:color w:val="auto"/>
        </w:rPr>
      </w:pPr>
      <w:r>
        <w:rPr>
          <w:rFonts w:ascii="Arial" w:cs="Arial" w:eastAsia="Arial" w:hAnsi="Arial"/>
          <w:sz w:val="72"/>
          <w:szCs w:val="72"/>
          <w:color w:val="auto"/>
        </w:rPr>
        <w:t>2Q19 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S-1</w:t>
      </w:r>
    </w:p>
    <w:p>
      <w:pPr>
        <w:sectPr>
          <w:pgSz w:w="11900" w:h="16838" w:orient="portrait"/>
          <w:cols w:equalWidth="0" w:num="1">
            <w:col w:w="9019"/>
          </w:cols>
          <w:pgMar w:left="1440" w:top="1440" w:right="1440" w:bottom="1440" w:gutter="0" w:footer="0" w:header="0"/>
        </w:sectPr>
      </w:pPr>
    </w:p>
    <w:bookmarkStart w:id="34" w:name="page35"/>
    <w:bookmarkEnd w:id="34"/>
    <w:p>
      <w:pPr>
        <w:ind w:left="2180"/>
        <w:spacing w:after="0"/>
        <w:rPr>
          <w:sz w:val="20"/>
          <w:szCs w:val="20"/>
          <w:color w:val="auto"/>
        </w:rPr>
      </w:pPr>
      <w:r>
        <w:rPr>
          <w:rFonts w:ascii="Arial" w:cs="Arial" w:eastAsia="Arial" w:hAnsi="Arial"/>
          <w:sz w:val="27"/>
          <w:szCs w:val="27"/>
          <w:color w:val="auto"/>
        </w:rPr>
        <w:t>Humana Inc.</w:t>
      </w:r>
    </w:p>
    <w:p>
      <w:pPr>
        <w:ind w:left="2180"/>
        <w:spacing w:after="0"/>
        <w:rPr>
          <w:sz w:val="20"/>
          <w:szCs w:val="20"/>
          <w:color w:val="auto"/>
        </w:rPr>
      </w:pPr>
      <w:r>
        <w:rPr>
          <w:rFonts w:ascii="Arial" w:cs="Arial" w:eastAsia="Arial" w:hAnsi="Arial"/>
          <w:sz w:val="27"/>
          <w:szCs w:val="27"/>
          <w:color w:val="auto"/>
        </w:rPr>
        <w:t>Statistical Schedules and Supplementary</w:t>
      </w:r>
    </w:p>
    <w:p>
      <w:pPr>
        <w:ind w:left="2180"/>
        <w:spacing w:after="0"/>
        <w:rPr>
          <w:sz w:val="20"/>
          <w:szCs w:val="20"/>
          <w:color w:val="auto"/>
        </w:rPr>
      </w:pPr>
      <w:r>
        <w:rPr>
          <w:rFonts w:ascii="Arial" w:cs="Arial" w:eastAsia="Arial" w:hAnsi="Arial"/>
          <w:sz w:val="27"/>
          <w:szCs w:val="27"/>
          <w:color w:val="auto"/>
        </w:rPr>
        <w:t>Information 2Q19 Earnings Release</w:t>
      </w:r>
    </w:p>
    <w:p>
      <w:pPr>
        <w:spacing w:after="0" w:line="54" w:lineRule="exact"/>
        <w:rPr>
          <w:sz w:val="20"/>
          <w:szCs w:val="20"/>
          <w:color w:val="auto"/>
        </w:rPr>
      </w:pPr>
    </w:p>
    <w:p>
      <w:pPr>
        <w:ind w:left="2180"/>
        <w:spacing w:after="0"/>
        <w:rPr>
          <w:sz w:val="20"/>
          <w:szCs w:val="20"/>
          <w:color w:val="auto"/>
        </w:rPr>
      </w:pPr>
      <w:r>
        <w:rPr>
          <w:rFonts w:ascii="Arial" w:cs="Arial" w:eastAsia="Arial" w:hAnsi="Arial"/>
          <w:sz w:val="27"/>
          <w:szCs w:val="27"/>
          <w:color w:val="auto"/>
        </w:rPr>
        <w:t>Contents</w:t>
      </w:r>
    </w:p>
    <w:p>
      <w:pPr>
        <w:spacing w:after="0" w:line="373"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Consolidated Financial Statements</w:t>
      </w:r>
    </w:p>
    <w:p>
      <w:pPr>
        <w:spacing w:after="0" w:line="44" w:lineRule="exact"/>
        <w:rPr>
          <w:sz w:val="20"/>
          <w:szCs w:val="20"/>
          <w:color w:val="auto"/>
        </w:rPr>
      </w:pPr>
    </w:p>
    <w:p>
      <w:pPr>
        <w:ind w:left="2940" w:hanging="234"/>
        <w:spacing w:after="0"/>
        <w:tabs>
          <w:tab w:leader="none" w:pos="2940" w:val="left"/>
        </w:tabs>
        <w:numPr>
          <w:ilvl w:val="0"/>
          <w:numId w:val="56"/>
        </w:numPr>
        <w:rPr>
          <w:rFonts w:ascii="Arial" w:cs="Arial" w:eastAsia="Arial" w:hAnsi="Arial"/>
          <w:sz w:val="21"/>
          <w:szCs w:val="21"/>
          <w:color w:val="auto"/>
        </w:rPr>
      </w:pPr>
      <w:r>
        <w:rPr>
          <w:rFonts w:ascii="Arial" w:cs="Arial" w:eastAsia="Arial" w:hAnsi="Arial"/>
          <w:sz w:val="21"/>
          <w:szCs w:val="21"/>
          <w:color w:val="auto"/>
        </w:rPr>
        <w:t>Consolidated Statements of Income (S-3 - S-4)</w:t>
      </w:r>
    </w:p>
    <w:p>
      <w:pPr>
        <w:spacing w:after="0" w:line="55" w:lineRule="exact"/>
        <w:rPr>
          <w:rFonts w:ascii="Arial" w:cs="Arial" w:eastAsia="Arial" w:hAnsi="Arial"/>
          <w:sz w:val="21"/>
          <w:szCs w:val="21"/>
          <w:color w:val="auto"/>
        </w:rPr>
      </w:pPr>
    </w:p>
    <w:p>
      <w:pPr>
        <w:ind w:left="2940" w:hanging="234"/>
        <w:spacing w:after="0"/>
        <w:tabs>
          <w:tab w:leader="none" w:pos="29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Consolidated Balance Sheets (S-5)</w:t>
      </w:r>
    </w:p>
    <w:p>
      <w:pPr>
        <w:spacing w:after="0" w:line="44" w:lineRule="exact"/>
        <w:rPr>
          <w:rFonts w:ascii="Arial" w:cs="Arial" w:eastAsia="Arial" w:hAnsi="Arial"/>
          <w:sz w:val="22"/>
          <w:szCs w:val="22"/>
          <w:color w:val="auto"/>
        </w:rPr>
      </w:pPr>
    </w:p>
    <w:p>
      <w:pPr>
        <w:ind w:left="2940" w:right="1879" w:hanging="234"/>
        <w:spacing w:after="0" w:line="238" w:lineRule="auto"/>
        <w:tabs>
          <w:tab w:leader="none" w:pos="29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Consolidated Statements of Cash Flows (S-6 - S-7)</w:t>
      </w:r>
    </w:p>
    <w:p>
      <w:pPr>
        <w:spacing w:after="0" w:line="336" w:lineRule="exact"/>
        <w:rPr>
          <w:sz w:val="20"/>
          <w:szCs w:val="20"/>
          <w:color w:val="auto"/>
        </w:rPr>
      </w:pPr>
    </w:p>
    <w:p>
      <w:pPr>
        <w:ind w:left="2940" w:right="1679" w:hanging="234"/>
        <w:spacing w:after="0" w:line="238" w:lineRule="auto"/>
        <w:tabs>
          <w:tab w:leader="none" w:pos="29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Consolidating Statements of Income - Quarter (S-8 - S-9)</w:t>
      </w:r>
    </w:p>
    <w:p>
      <w:pPr>
        <w:spacing w:after="0" w:line="38" w:lineRule="exact"/>
        <w:rPr>
          <w:rFonts w:ascii="Arial" w:cs="Arial" w:eastAsia="Arial" w:hAnsi="Arial"/>
          <w:sz w:val="22"/>
          <w:szCs w:val="22"/>
          <w:color w:val="auto"/>
        </w:rPr>
      </w:pPr>
    </w:p>
    <w:p>
      <w:pPr>
        <w:ind w:left="2940" w:right="1639" w:hanging="234"/>
        <w:spacing w:after="0" w:line="238" w:lineRule="auto"/>
        <w:tabs>
          <w:tab w:leader="none" w:pos="29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Consolidating Statements of Income - YTD (S-10 - S-11)</w:t>
      </w:r>
    </w:p>
    <w:p>
      <w:pPr>
        <w:spacing w:after="0" w:line="38" w:lineRule="exact"/>
        <w:rPr>
          <w:sz w:val="20"/>
          <w:szCs w:val="20"/>
          <w:color w:val="auto"/>
        </w:rPr>
      </w:pPr>
    </w:p>
    <w:p>
      <w:pPr>
        <w:ind w:left="2940" w:hanging="234"/>
        <w:spacing w:after="0"/>
        <w:tabs>
          <w:tab w:leader="none" w:pos="29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Ending Membership Detail (S-12)</w:t>
      </w:r>
    </w:p>
    <w:p>
      <w:pPr>
        <w:spacing w:after="0" w:line="44" w:lineRule="exact"/>
        <w:rPr>
          <w:rFonts w:ascii="Arial" w:cs="Arial" w:eastAsia="Arial" w:hAnsi="Arial"/>
          <w:sz w:val="22"/>
          <w:szCs w:val="22"/>
          <w:color w:val="auto"/>
        </w:rPr>
      </w:pPr>
    </w:p>
    <w:p>
      <w:pPr>
        <w:ind w:left="2940" w:right="1919" w:hanging="234"/>
        <w:spacing w:after="0" w:line="238" w:lineRule="auto"/>
        <w:tabs>
          <w:tab w:leader="none" w:pos="29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Premiums and Services Revenue Detail (S-13 - S-14)</w:t>
      </w:r>
    </w:p>
    <w:p>
      <w:pPr>
        <w:spacing w:after="0" w:line="38" w:lineRule="exact"/>
        <w:rPr>
          <w:rFonts w:ascii="Arial" w:cs="Arial" w:eastAsia="Arial" w:hAnsi="Arial"/>
          <w:sz w:val="22"/>
          <w:szCs w:val="22"/>
          <w:color w:val="auto"/>
        </w:rPr>
      </w:pPr>
    </w:p>
    <w:p>
      <w:pPr>
        <w:ind w:left="2940" w:right="2119" w:hanging="234"/>
        <w:spacing w:after="0" w:line="238" w:lineRule="auto"/>
        <w:tabs>
          <w:tab w:leader="none" w:pos="29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Healthcare Services Segment Metrics (S-15 - S-17)</w:t>
      </w:r>
    </w:p>
    <w:p>
      <w:pPr>
        <w:spacing w:after="0" w:line="336" w:lineRule="exact"/>
        <w:rPr>
          <w:sz w:val="20"/>
          <w:szCs w:val="20"/>
          <w:color w:val="auto"/>
        </w:rPr>
      </w:pPr>
    </w:p>
    <w:p>
      <w:pPr>
        <w:ind w:left="2940" w:right="2159" w:hanging="354"/>
        <w:spacing w:after="0" w:line="238" w:lineRule="auto"/>
        <w:tabs>
          <w:tab w:leader="none" w:pos="29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Benefits Payable Detail and Statistics (S-18 - S-19)</w:t>
      </w:r>
    </w:p>
    <w:p>
      <w:pPr>
        <w:spacing w:after="0" w:line="38"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Footnotes (S-20)</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S-2</w:t>
      </w:r>
    </w:p>
    <w:p>
      <w:pPr>
        <w:sectPr>
          <w:pgSz w:w="11900" w:h="16838" w:orient="portrait"/>
          <w:cols w:equalWidth="0" w:num="1">
            <w:col w:w="9019"/>
          </w:cols>
          <w:pgMar w:left="1440" w:top="773" w:right="1440" w:bottom="1440" w:gutter="0" w:footer="0" w:header="0"/>
        </w:sectPr>
      </w:pPr>
    </w:p>
    <w:bookmarkStart w:id="35" w:name="page36"/>
    <w:bookmarkEnd w:id="35"/>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Consolidated Statements of Income</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Dollars in millions, except per common share results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360" w:type="dxa"/>
            <w:vAlign w:val="bottom"/>
            <w:tcBorders>
              <w:righ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340" w:type="dxa"/>
            <w:vAlign w:val="bottom"/>
            <w:tcBorders>
              <w:top w:val="single" w:sz="8" w:color="auto"/>
              <w:right w:val="single" w:sz="8" w:color="auto"/>
            </w:tcBorders>
            <w:gridSpan w:val="3"/>
          </w:tcPr>
          <w:p>
            <w:pPr>
              <w:jc w:val="right"/>
              <w:ind w:right="81"/>
              <w:spacing w:after="0"/>
              <w:rPr>
                <w:sz w:val="20"/>
                <w:szCs w:val="20"/>
                <w:color w:val="auto"/>
              </w:rPr>
            </w:pPr>
            <w:r>
              <w:rPr>
                <w:rFonts w:ascii="Arial" w:cs="Arial" w:eastAsia="Arial" w:hAnsi="Arial"/>
                <w:sz w:val="20"/>
                <w:szCs w:val="20"/>
                <w:b w:val="1"/>
                <w:bCs w:val="1"/>
                <w:color w:val="auto"/>
                <w:w w:val="99"/>
              </w:rPr>
              <w:t>For the three months ended June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360" w:type="dxa"/>
            <w:vAlign w:val="bottom"/>
            <w:tcBorders>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20"/>
                <w:szCs w:val="20"/>
                <w:b w:val="1"/>
                <w:bCs w:val="1"/>
                <w:color w:val="auto"/>
              </w:rPr>
              <w:t>30,</w:t>
            </w:r>
          </w:p>
        </w:tc>
        <w:tc>
          <w:tcPr>
            <w:tcW w:w="1360" w:type="dxa"/>
            <w:vAlign w:val="bottom"/>
            <w:tcBorders>
              <w:bottom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3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221"/>
              <w:spacing w:after="0"/>
              <w:rPr>
                <w:sz w:val="20"/>
                <w:szCs w:val="20"/>
                <w:color w:val="auto"/>
              </w:rPr>
            </w:pPr>
            <w:r>
              <w:rPr>
                <w:rFonts w:ascii="Arial" w:cs="Arial" w:eastAsia="Arial" w:hAnsi="Arial"/>
                <w:sz w:val="20"/>
                <w:szCs w:val="20"/>
                <w:color w:val="auto"/>
              </w:rPr>
              <w:t>Dollar</w:t>
            </w: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Percentage</w:t>
            </w:r>
          </w:p>
        </w:tc>
        <w:tc>
          <w:tcPr>
            <w:tcW w:w="0" w:type="dxa"/>
            <w:vAlign w:val="bottom"/>
          </w:tcPr>
          <w:p>
            <w:pPr>
              <w:spacing w:after="0"/>
              <w:rPr>
                <w:sz w:val="1"/>
                <w:szCs w:val="1"/>
                <w:color w:val="auto"/>
              </w:rPr>
            </w:pPr>
          </w:p>
        </w:tc>
      </w:tr>
      <w:tr>
        <w:trPr>
          <w:trHeight w:val="262"/>
        </w:trPr>
        <w:tc>
          <w:tcPr>
            <w:tcW w:w="5360" w:type="dxa"/>
            <w:vAlign w:val="bottom"/>
            <w:tcBorders>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b w:val="1"/>
                <w:bCs w:val="1"/>
                <w:color w:val="00497F"/>
              </w:rPr>
              <w:t>2019</w:t>
            </w: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Change</w:t>
            </w: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Change</w:t>
            </w:r>
          </w:p>
        </w:tc>
        <w:tc>
          <w:tcPr>
            <w:tcW w:w="0" w:type="dxa"/>
            <w:vAlign w:val="bottom"/>
          </w:tcPr>
          <w:p>
            <w:pPr>
              <w:spacing w:after="0"/>
              <w:rPr>
                <w:sz w:val="1"/>
                <w:szCs w:val="1"/>
                <w:color w:val="auto"/>
              </w:rPr>
            </w:pPr>
          </w:p>
        </w:tc>
      </w:tr>
      <w:tr>
        <w:trPr>
          <w:trHeight w:val="247"/>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Revenues:</w:t>
            </w:r>
          </w:p>
        </w:tc>
        <w:tc>
          <w:tcPr>
            <w:tcW w:w="140" w:type="dxa"/>
            <w:vAlign w:val="bottom"/>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36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Premiums</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00497F"/>
                <w:w w:val="89"/>
              </w:rPr>
              <w:t>$</w:t>
            </w: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15,776</w:t>
            </w: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13,713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2,063</w:t>
            </w:r>
          </w:p>
        </w:tc>
        <w:tc>
          <w:tcPr>
            <w:tcW w:w="1300" w:type="dxa"/>
            <w:vAlign w:val="bottom"/>
          </w:tcPr>
          <w:p>
            <w:pPr>
              <w:jc w:val="right"/>
              <w:spacing w:after="0"/>
              <w:rPr>
                <w:sz w:val="20"/>
                <w:szCs w:val="20"/>
                <w:color w:val="auto"/>
              </w:rPr>
            </w:pPr>
            <w:r>
              <w:rPr>
                <w:rFonts w:ascii="Arial" w:cs="Arial" w:eastAsia="Arial" w:hAnsi="Arial"/>
                <w:sz w:val="20"/>
                <w:szCs w:val="20"/>
                <w:color w:val="auto"/>
              </w:rPr>
              <w:t>15.0 %</w:t>
            </w:r>
          </w:p>
        </w:tc>
        <w:tc>
          <w:tcPr>
            <w:tcW w:w="0" w:type="dxa"/>
            <w:vAlign w:val="bottom"/>
          </w:tcPr>
          <w:p>
            <w:pPr>
              <w:spacing w:after="0"/>
              <w:rPr>
                <w:sz w:val="1"/>
                <w:szCs w:val="1"/>
                <w:color w:val="auto"/>
              </w:rPr>
            </w:pPr>
          </w:p>
        </w:tc>
      </w:tr>
      <w:tr>
        <w:trPr>
          <w:trHeight w:val="270"/>
        </w:trPr>
        <w:tc>
          <w:tcPr>
            <w:tcW w:w="536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Services</w:t>
            </w:r>
          </w:p>
        </w:tc>
        <w:tc>
          <w:tcPr>
            <w:tcW w:w="140" w:type="dxa"/>
            <w:vAlign w:val="bottom"/>
          </w:tcPr>
          <w:p>
            <w:pPr>
              <w:spacing w:after="0"/>
              <w:rPr>
                <w:sz w:val="23"/>
                <w:szCs w:val="23"/>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355</w:t>
            </w:r>
          </w:p>
        </w:tc>
        <w:tc>
          <w:tcPr>
            <w:tcW w:w="380" w:type="dxa"/>
            <w:vAlign w:val="bottom"/>
          </w:tcPr>
          <w:p>
            <w:pPr>
              <w:spacing w:after="0"/>
              <w:rPr>
                <w:sz w:val="23"/>
                <w:szCs w:val="23"/>
                <w:color w:val="auto"/>
              </w:rPr>
            </w:pP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382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(27)</w:t>
            </w:r>
          </w:p>
        </w:tc>
        <w:tc>
          <w:tcPr>
            <w:tcW w:w="1300" w:type="dxa"/>
            <w:vAlign w:val="bottom"/>
          </w:tcPr>
          <w:p>
            <w:pPr>
              <w:jc w:val="right"/>
              <w:spacing w:after="0"/>
              <w:rPr>
                <w:sz w:val="20"/>
                <w:szCs w:val="20"/>
                <w:color w:val="auto"/>
              </w:rPr>
            </w:pPr>
            <w:r>
              <w:rPr>
                <w:rFonts w:ascii="Arial" w:cs="Arial" w:eastAsia="Arial" w:hAnsi="Arial"/>
                <w:sz w:val="20"/>
                <w:szCs w:val="20"/>
                <w:color w:val="auto"/>
              </w:rPr>
              <w:t>-7.1 %</w:t>
            </w:r>
          </w:p>
        </w:tc>
        <w:tc>
          <w:tcPr>
            <w:tcW w:w="0" w:type="dxa"/>
            <w:vAlign w:val="bottom"/>
          </w:tcPr>
          <w:p>
            <w:pPr>
              <w:spacing w:after="0"/>
              <w:rPr>
                <w:sz w:val="1"/>
                <w:szCs w:val="1"/>
                <w:color w:val="auto"/>
              </w:rPr>
            </w:pPr>
          </w:p>
        </w:tc>
      </w:tr>
      <w:tr>
        <w:trPr>
          <w:trHeight w:val="273"/>
        </w:trPr>
        <w:tc>
          <w:tcPr>
            <w:tcW w:w="536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Investment income</w:t>
            </w: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114</w:t>
            </w:r>
          </w:p>
        </w:tc>
        <w:tc>
          <w:tcPr>
            <w:tcW w:w="3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164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w:t>
            </w:r>
          </w:p>
        </w:tc>
        <w:tc>
          <w:tcPr>
            <w:tcW w:w="1300" w:type="dxa"/>
            <w:vAlign w:val="bottom"/>
          </w:tcPr>
          <w:p>
            <w:pPr>
              <w:jc w:val="right"/>
              <w:spacing w:after="0"/>
              <w:rPr>
                <w:sz w:val="20"/>
                <w:szCs w:val="20"/>
                <w:color w:val="auto"/>
              </w:rPr>
            </w:pPr>
            <w:r>
              <w:rPr>
                <w:rFonts w:ascii="Arial" w:cs="Arial" w:eastAsia="Arial" w:hAnsi="Arial"/>
                <w:sz w:val="20"/>
                <w:szCs w:val="20"/>
                <w:color w:val="auto"/>
              </w:rPr>
              <w:t>-30.5 %</w:t>
            </w:r>
          </w:p>
        </w:tc>
        <w:tc>
          <w:tcPr>
            <w:tcW w:w="0" w:type="dxa"/>
            <w:vAlign w:val="bottom"/>
          </w:tcPr>
          <w:p>
            <w:pPr>
              <w:spacing w:after="0"/>
              <w:rPr>
                <w:sz w:val="1"/>
                <w:szCs w:val="1"/>
                <w:color w:val="auto"/>
              </w:rPr>
            </w:pPr>
          </w:p>
        </w:tc>
      </w:tr>
      <w:tr>
        <w:trPr>
          <w:trHeight w:val="264"/>
        </w:trPr>
        <w:tc>
          <w:tcPr>
            <w:tcW w:w="5360" w:type="dxa"/>
            <w:vAlign w:val="bottom"/>
            <w:tcBorders>
              <w:right w:val="single" w:sz="8" w:color="auto"/>
            </w:tcBorders>
          </w:tcPr>
          <w:p>
            <w:pPr>
              <w:ind w:left="680"/>
              <w:spacing w:after="0"/>
              <w:rPr>
                <w:sz w:val="20"/>
                <w:szCs w:val="20"/>
                <w:color w:val="auto"/>
              </w:rPr>
            </w:pPr>
            <w:r>
              <w:rPr>
                <w:rFonts w:ascii="Arial" w:cs="Arial" w:eastAsia="Arial" w:hAnsi="Arial"/>
                <w:sz w:val="20"/>
                <w:szCs w:val="20"/>
                <w:b w:val="1"/>
                <w:bCs w:val="1"/>
                <w:color w:val="auto"/>
              </w:rPr>
              <w:t>Total revenues</w:t>
            </w: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16,245</w:t>
            </w: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14,259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1,986</w:t>
            </w:r>
          </w:p>
        </w:tc>
        <w:tc>
          <w:tcPr>
            <w:tcW w:w="1300" w:type="dxa"/>
            <w:vAlign w:val="bottom"/>
          </w:tcPr>
          <w:p>
            <w:pPr>
              <w:jc w:val="right"/>
              <w:spacing w:after="0"/>
              <w:rPr>
                <w:sz w:val="20"/>
                <w:szCs w:val="20"/>
                <w:color w:val="auto"/>
              </w:rPr>
            </w:pPr>
            <w:r>
              <w:rPr>
                <w:rFonts w:ascii="Arial" w:cs="Arial" w:eastAsia="Arial" w:hAnsi="Arial"/>
                <w:sz w:val="20"/>
                <w:szCs w:val="20"/>
                <w:color w:val="auto"/>
              </w:rPr>
              <w:t>13.9 %</w:t>
            </w:r>
          </w:p>
        </w:tc>
        <w:tc>
          <w:tcPr>
            <w:tcW w:w="0" w:type="dxa"/>
            <w:vAlign w:val="bottom"/>
          </w:tcPr>
          <w:p>
            <w:pPr>
              <w:spacing w:after="0"/>
              <w:rPr>
                <w:sz w:val="1"/>
                <w:szCs w:val="1"/>
                <w:color w:val="auto"/>
              </w:rPr>
            </w:pPr>
          </w:p>
        </w:tc>
      </w:tr>
      <w:tr>
        <w:trPr>
          <w:trHeight w:val="247"/>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Operating expenses:</w:t>
            </w:r>
          </w:p>
        </w:tc>
        <w:tc>
          <w:tcPr>
            <w:tcW w:w="140" w:type="dxa"/>
            <w:vAlign w:val="bottom"/>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36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Benefits</w:t>
            </w:r>
          </w:p>
        </w:tc>
        <w:tc>
          <w:tcPr>
            <w:tcW w:w="140" w:type="dxa"/>
            <w:vAlign w:val="bottom"/>
          </w:tcPr>
          <w:p>
            <w:pPr>
              <w:spacing w:after="0"/>
              <w:rPr>
                <w:sz w:val="24"/>
                <w:szCs w:val="24"/>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13,318</w:t>
            </w:r>
          </w:p>
        </w:tc>
        <w:tc>
          <w:tcPr>
            <w:tcW w:w="380" w:type="dxa"/>
            <w:vAlign w:val="bottom"/>
          </w:tcPr>
          <w:p>
            <w:pPr>
              <w:spacing w:after="0"/>
              <w:rPr>
                <w:sz w:val="24"/>
                <w:szCs w:val="24"/>
                <w:color w:val="auto"/>
              </w:rPr>
            </w:pP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11,536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1,782</w:t>
            </w:r>
          </w:p>
        </w:tc>
        <w:tc>
          <w:tcPr>
            <w:tcW w:w="1300" w:type="dxa"/>
            <w:vAlign w:val="bottom"/>
          </w:tcPr>
          <w:p>
            <w:pPr>
              <w:jc w:val="right"/>
              <w:spacing w:after="0"/>
              <w:rPr>
                <w:sz w:val="20"/>
                <w:szCs w:val="20"/>
                <w:color w:val="auto"/>
              </w:rPr>
            </w:pPr>
            <w:r>
              <w:rPr>
                <w:rFonts w:ascii="Arial" w:cs="Arial" w:eastAsia="Arial" w:hAnsi="Arial"/>
                <w:sz w:val="20"/>
                <w:szCs w:val="20"/>
                <w:color w:val="auto"/>
              </w:rPr>
              <w:t>15.4 %</w:t>
            </w:r>
          </w:p>
        </w:tc>
        <w:tc>
          <w:tcPr>
            <w:tcW w:w="0" w:type="dxa"/>
            <w:vAlign w:val="bottom"/>
          </w:tcPr>
          <w:p>
            <w:pPr>
              <w:spacing w:after="0"/>
              <w:rPr>
                <w:sz w:val="1"/>
                <w:szCs w:val="1"/>
                <w:color w:val="auto"/>
              </w:rPr>
            </w:pPr>
          </w:p>
        </w:tc>
      </w:tr>
      <w:tr>
        <w:trPr>
          <w:trHeight w:val="270"/>
        </w:trPr>
        <w:tc>
          <w:tcPr>
            <w:tcW w:w="536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Operating costs</w:t>
            </w:r>
          </w:p>
        </w:tc>
        <w:tc>
          <w:tcPr>
            <w:tcW w:w="140" w:type="dxa"/>
            <w:vAlign w:val="bottom"/>
          </w:tcPr>
          <w:p>
            <w:pPr>
              <w:spacing w:after="0"/>
              <w:rPr>
                <w:sz w:val="23"/>
                <w:szCs w:val="23"/>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1,703</w:t>
            </w:r>
          </w:p>
        </w:tc>
        <w:tc>
          <w:tcPr>
            <w:tcW w:w="380" w:type="dxa"/>
            <w:vAlign w:val="bottom"/>
          </w:tcPr>
          <w:p>
            <w:pPr>
              <w:spacing w:after="0"/>
              <w:rPr>
                <w:sz w:val="23"/>
                <w:szCs w:val="23"/>
                <w:color w:val="auto"/>
              </w:rPr>
            </w:pP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1,761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(58)</w:t>
            </w:r>
          </w:p>
        </w:tc>
        <w:tc>
          <w:tcPr>
            <w:tcW w:w="1300" w:type="dxa"/>
            <w:vAlign w:val="bottom"/>
          </w:tcPr>
          <w:p>
            <w:pPr>
              <w:jc w:val="right"/>
              <w:spacing w:after="0"/>
              <w:rPr>
                <w:sz w:val="20"/>
                <w:szCs w:val="20"/>
                <w:color w:val="auto"/>
              </w:rPr>
            </w:pPr>
            <w:r>
              <w:rPr>
                <w:rFonts w:ascii="Arial" w:cs="Arial" w:eastAsia="Arial" w:hAnsi="Arial"/>
                <w:sz w:val="20"/>
                <w:szCs w:val="20"/>
                <w:color w:val="auto"/>
              </w:rPr>
              <w:t>-3.3 %</w:t>
            </w:r>
          </w:p>
        </w:tc>
        <w:tc>
          <w:tcPr>
            <w:tcW w:w="0" w:type="dxa"/>
            <w:vAlign w:val="bottom"/>
          </w:tcPr>
          <w:p>
            <w:pPr>
              <w:spacing w:after="0"/>
              <w:rPr>
                <w:sz w:val="1"/>
                <w:szCs w:val="1"/>
                <w:color w:val="auto"/>
              </w:rPr>
            </w:pPr>
          </w:p>
        </w:tc>
      </w:tr>
      <w:tr>
        <w:trPr>
          <w:trHeight w:val="273"/>
        </w:trPr>
        <w:tc>
          <w:tcPr>
            <w:tcW w:w="536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Depreciation and amortization</w:t>
            </w: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109</w:t>
            </w:r>
          </w:p>
        </w:tc>
        <w:tc>
          <w:tcPr>
            <w:tcW w:w="3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100</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w:t>
            </w:r>
          </w:p>
        </w:tc>
        <w:tc>
          <w:tcPr>
            <w:tcW w:w="1300" w:type="dxa"/>
            <w:vAlign w:val="bottom"/>
          </w:tcPr>
          <w:p>
            <w:pPr>
              <w:jc w:val="right"/>
              <w:spacing w:after="0"/>
              <w:rPr>
                <w:sz w:val="20"/>
                <w:szCs w:val="20"/>
                <w:color w:val="auto"/>
              </w:rPr>
            </w:pPr>
            <w:r>
              <w:rPr>
                <w:rFonts w:ascii="Arial" w:cs="Arial" w:eastAsia="Arial" w:hAnsi="Arial"/>
                <w:sz w:val="20"/>
                <w:szCs w:val="20"/>
                <w:color w:val="auto"/>
              </w:rPr>
              <w:t>9.0 %</w:t>
            </w:r>
          </w:p>
        </w:tc>
        <w:tc>
          <w:tcPr>
            <w:tcW w:w="0" w:type="dxa"/>
            <w:vAlign w:val="bottom"/>
          </w:tcPr>
          <w:p>
            <w:pPr>
              <w:spacing w:after="0"/>
              <w:rPr>
                <w:sz w:val="1"/>
                <w:szCs w:val="1"/>
                <w:color w:val="auto"/>
              </w:rPr>
            </w:pPr>
          </w:p>
        </w:tc>
      </w:tr>
      <w:tr>
        <w:trPr>
          <w:trHeight w:val="264"/>
        </w:trPr>
        <w:tc>
          <w:tcPr>
            <w:tcW w:w="5360" w:type="dxa"/>
            <w:vAlign w:val="bottom"/>
            <w:tcBorders>
              <w:right w:val="single" w:sz="8" w:color="auto"/>
            </w:tcBorders>
          </w:tcPr>
          <w:p>
            <w:pPr>
              <w:ind w:left="680"/>
              <w:spacing w:after="0"/>
              <w:rPr>
                <w:sz w:val="20"/>
                <w:szCs w:val="20"/>
                <w:color w:val="auto"/>
              </w:rPr>
            </w:pPr>
            <w:r>
              <w:rPr>
                <w:rFonts w:ascii="Arial" w:cs="Arial" w:eastAsia="Arial" w:hAnsi="Arial"/>
                <w:sz w:val="20"/>
                <w:szCs w:val="20"/>
                <w:b w:val="1"/>
                <w:bCs w:val="1"/>
                <w:color w:val="auto"/>
              </w:rPr>
              <w:t>Total operating expenses</w:t>
            </w: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15,130</w:t>
            </w: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13,397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1,733</w:t>
            </w:r>
          </w:p>
        </w:tc>
        <w:tc>
          <w:tcPr>
            <w:tcW w:w="1300" w:type="dxa"/>
            <w:vAlign w:val="bottom"/>
          </w:tcPr>
          <w:p>
            <w:pPr>
              <w:jc w:val="right"/>
              <w:spacing w:after="0"/>
              <w:rPr>
                <w:sz w:val="20"/>
                <w:szCs w:val="20"/>
                <w:color w:val="auto"/>
              </w:rPr>
            </w:pPr>
            <w:r>
              <w:rPr>
                <w:rFonts w:ascii="Arial" w:cs="Arial" w:eastAsia="Arial" w:hAnsi="Arial"/>
                <w:sz w:val="20"/>
                <w:szCs w:val="20"/>
                <w:color w:val="auto"/>
              </w:rPr>
              <w:t>12.9 %</w:t>
            </w:r>
          </w:p>
        </w:tc>
        <w:tc>
          <w:tcPr>
            <w:tcW w:w="0" w:type="dxa"/>
            <w:vAlign w:val="bottom"/>
          </w:tcPr>
          <w:p>
            <w:pPr>
              <w:spacing w:after="0"/>
              <w:rPr>
                <w:sz w:val="1"/>
                <w:szCs w:val="1"/>
                <w:color w:val="auto"/>
              </w:rPr>
            </w:pPr>
          </w:p>
        </w:tc>
      </w:tr>
      <w:tr>
        <w:trPr>
          <w:trHeight w:val="261"/>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Income from operations</w:t>
            </w:r>
          </w:p>
        </w:tc>
        <w:tc>
          <w:tcPr>
            <w:tcW w:w="140" w:type="dxa"/>
            <w:vAlign w:val="bottom"/>
          </w:tcPr>
          <w:p>
            <w:pPr>
              <w:spacing w:after="0"/>
              <w:rPr>
                <w:sz w:val="22"/>
                <w:szCs w:val="22"/>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1,115</w:t>
            </w:r>
          </w:p>
        </w:tc>
        <w:tc>
          <w:tcPr>
            <w:tcW w:w="380" w:type="dxa"/>
            <w:vAlign w:val="bottom"/>
          </w:tcPr>
          <w:p>
            <w:pPr>
              <w:spacing w:after="0"/>
              <w:rPr>
                <w:sz w:val="22"/>
                <w:szCs w:val="22"/>
                <w:color w:val="auto"/>
              </w:rPr>
            </w:pP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862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253</w:t>
            </w:r>
          </w:p>
        </w:tc>
        <w:tc>
          <w:tcPr>
            <w:tcW w:w="1300" w:type="dxa"/>
            <w:vAlign w:val="bottom"/>
          </w:tcPr>
          <w:p>
            <w:pPr>
              <w:jc w:val="right"/>
              <w:spacing w:after="0"/>
              <w:rPr>
                <w:sz w:val="20"/>
                <w:szCs w:val="20"/>
                <w:color w:val="auto"/>
              </w:rPr>
            </w:pPr>
            <w:r>
              <w:rPr>
                <w:rFonts w:ascii="Arial" w:cs="Arial" w:eastAsia="Arial" w:hAnsi="Arial"/>
                <w:sz w:val="20"/>
                <w:szCs w:val="20"/>
                <w:color w:val="auto"/>
              </w:rPr>
              <w:t>29.4 %</w:t>
            </w:r>
          </w:p>
        </w:tc>
        <w:tc>
          <w:tcPr>
            <w:tcW w:w="0" w:type="dxa"/>
            <w:vAlign w:val="bottom"/>
          </w:tcPr>
          <w:p>
            <w:pPr>
              <w:spacing w:after="0"/>
              <w:rPr>
                <w:sz w:val="1"/>
                <w:szCs w:val="1"/>
                <w:color w:val="auto"/>
              </w:rPr>
            </w:pPr>
          </w:p>
        </w:tc>
      </w:tr>
      <w:tr>
        <w:trPr>
          <w:trHeight w:val="270"/>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Loss on sale of business</w:t>
            </w:r>
          </w:p>
        </w:tc>
        <w:tc>
          <w:tcPr>
            <w:tcW w:w="140" w:type="dxa"/>
            <w:vAlign w:val="bottom"/>
          </w:tcPr>
          <w:p>
            <w:pPr>
              <w:spacing w:after="0"/>
              <w:rPr>
                <w:sz w:val="23"/>
                <w:szCs w:val="23"/>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w:t>
            </w:r>
          </w:p>
        </w:tc>
        <w:tc>
          <w:tcPr>
            <w:tcW w:w="380" w:type="dxa"/>
            <w:vAlign w:val="bottom"/>
          </w:tcPr>
          <w:p>
            <w:pPr>
              <w:spacing w:after="0"/>
              <w:rPr>
                <w:sz w:val="23"/>
                <w:szCs w:val="23"/>
                <w:color w:val="auto"/>
              </w:rPr>
            </w:pP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790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(790)</w:t>
            </w:r>
          </w:p>
        </w:tc>
        <w:tc>
          <w:tcPr>
            <w:tcW w:w="1300" w:type="dxa"/>
            <w:vAlign w:val="bottom"/>
          </w:tcPr>
          <w:p>
            <w:pPr>
              <w:jc w:val="right"/>
              <w:spacing w:after="0"/>
              <w:rPr>
                <w:sz w:val="20"/>
                <w:szCs w:val="20"/>
                <w:color w:val="auto"/>
              </w:rPr>
            </w:pPr>
            <w:r>
              <w:rPr>
                <w:rFonts w:ascii="Arial" w:cs="Arial" w:eastAsia="Arial" w:hAnsi="Arial"/>
                <w:sz w:val="20"/>
                <w:szCs w:val="20"/>
                <w:color w:val="auto"/>
              </w:rPr>
              <w:t>-100.0 %</w:t>
            </w:r>
          </w:p>
        </w:tc>
        <w:tc>
          <w:tcPr>
            <w:tcW w:w="0" w:type="dxa"/>
            <w:vAlign w:val="bottom"/>
          </w:tcPr>
          <w:p>
            <w:pPr>
              <w:spacing w:after="0"/>
              <w:rPr>
                <w:sz w:val="1"/>
                <w:szCs w:val="1"/>
                <w:color w:val="auto"/>
              </w:rPr>
            </w:pPr>
          </w:p>
        </w:tc>
      </w:tr>
      <w:tr>
        <w:trPr>
          <w:trHeight w:val="270"/>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Interest expense</w:t>
            </w:r>
          </w:p>
        </w:tc>
        <w:tc>
          <w:tcPr>
            <w:tcW w:w="140" w:type="dxa"/>
            <w:vAlign w:val="bottom"/>
          </w:tcPr>
          <w:p>
            <w:pPr>
              <w:spacing w:after="0"/>
              <w:rPr>
                <w:sz w:val="23"/>
                <w:szCs w:val="23"/>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60</w:t>
            </w:r>
          </w:p>
        </w:tc>
        <w:tc>
          <w:tcPr>
            <w:tcW w:w="380" w:type="dxa"/>
            <w:vAlign w:val="bottom"/>
          </w:tcPr>
          <w:p>
            <w:pPr>
              <w:spacing w:after="0"/>
              <w:rPr>
                <w:sz w:val="23"/>
                <w:szCs w:val="23"/>
                <w:color w:val="auto"/>
              </w:rPr>
            </w:pP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7</w:t>
            </w:r>
          </w:p>
        </w:tc>
        <w:tc>
          <w:tcPr>
            <w:tcW w:w="1300" w:type="dxa"/>
            <w:vAlign w:val="bottom"/>
          </w:tcPr>
          <w:p>
            <w:pPr>
              <w:jc w:val="right"/>
              <w:spacing w:after="0"/>
              <w:rPr>
                <w:sz w:val="20"/>
                <w:szCs w:val="20"/>
                <w:color w:val="auto"/>
              </w:rPr>
            </w:pPr>
            <w:r>
              <w:rPr>
                <w:rFonts w:ascii="Arial" w:cs="Arial" w:eastAsia="Arial" w:hAnsi="Arial"/>
                <w:sz w:val="20"/>
                <w:szCs w:val="20"/>
                <w:color w:val="auto"/>
              </w:rPr>
              <w:t>13.2 %</w:t>
            </w:r>
          </w:p>
        </w:tc>
        <w:tc>
          <w:tcPr>
            <w:tcW w:w="0" w:type="dxa"/>
            <w:vAlign w:val="bottom"/>
          </w:tcPr>
          <w:p>
            <w:pPr>
              <w:spacing w:after="0"/>
              <w:rPr>
                <w:sz w:val="1"/>
                <w:szCs w:val="1"/>
                <w:color w:val="auto"/>
              </w:rPr>
            </w:pPr>
          </w:p>
        </w:tc>
      </w:tr>
      <w:tr>
        <w:trPr>
          <w:trHeight w:val="273"/>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Other income, net (A)</w:t>
            </w:r>
          </w:p>
        </w:tc>
        <w:tc>
          <w:tcPr>
            <w:tcW w:w="140" w:type="dxa"/>
            <w:vAlign w:val="bottom"/>
          </w:tcPr>
          <w:p>
            <w:pPr>
              <w:spacing w:after="0"/>
              <w:rPr>
                <w:sz w:val="23"/>
                <w:szCs w:val="23"/>
                <w:color w:val="auto"/>
              </w:rPr>
            </w:pP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20"/>
                <w:szCs w:val="20"/>
                <w:b w:val="1"/>
                <w:bCs w:val="1"/>
                <w:color w:val="00497F"/>
              </w:rPr>
              <w:t>(174)</w:t>
            </w:r>
          </w:p>
        </w:tc>
        <w:tc>
          <w:tcPr>
            <w:tcW w:w="380" w:type="dxa"/>
            <w:vAlign w:val="bottom"/>
          </w:tcPr>
          <w:p>
            <w:pPr>
              <w:spacing w:after="0"/>
              <w:rPr>
                <w:sz w:val="23"/>
                <w:szCs w:val="23"/>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(174)</w:t>
            </w:r>
          </w:p>
        </w:tc>
        <w:tc>
          <w:tcPr>
            <w:tcW w:w="1300" w:type="dxa"/>
            <w:vAlign w:val="bottom"/>
          </w:tcPr>
          <w:p>
            <w:pPr>
              <w:jc w:val="right"/>
              <w:ind w:right="16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61"/>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Income before income taxes and equity in net earnings</w:t>
            </w:r>
          </w:p>
        </w:tc>
        <w:tc>
          <w:tcPr>
            <w:tcW w:w="140" w:type="dxa"/>
            <w:vAlign w:val="bottom"/>
            <w:tcBorders>
              <w:top w:val="single" w:sz="8" w:color="auto"/>
            </w:tcBorders>
          </w:tcPr>
          <w:p>
            <w:pPr>
              <w:spacing w:after="0"/>
              <w:rPr>
                <w:sz w:val="22"/>
                <w:szCs w:val="22"/>
                <w:color w:val="auto"/>
              </w:rPr>
            </w:pPr>
          </w:p>
        </w:tc>
        <w:tc>
          <w:tcPr>
            <w:tcW w:w="1600" w:type="dxa"/>
            <w:vAlign w:val="bottom"/>
            <w:tcBorders>
              <w:top w:val="single" w:sz="8" w:color="auto"/>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1,229</w:t>
            </w:r>
          </w:p>
        </w:tc>
        <w:tc>
          <w:tcPr>
            <w:tcW w:w="38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19</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1,210</w:t>
            </w:r>
          </w:p>
        </w:tc>
        <w:tc>
          <w:tcPr>
            <w:tcW w:w="1300" w:type="dxa"/>
            <w:vAlign w:val="bottom"/>
          </w:tcPr>
          <w:p>
            <w:pPr>
              <w:jc w:val="right"/>
              <w:spacing w:after="0"/>
              <w:rPr>
                <w:sz w:val="20"/>
                <w:szCs w:val="20"/>
                <w:color w:val="auto"/>
              </w:rPr>
            </w:pPr>
            <w:r>
              <w:rPr>
                <w:rFonts w:ascii="Arial" w:cs="Arial" w:eastAsia="Arial" w:hAnsi="Arial"/>
                <w:sz w:val="20"/>
                <w:szCs w:val="20"/>
                <w:color w:val="auto"/>
              </w:rPr>
              <w:t>6,368.4 %</w:t>
            </w:r>
          </w:p>
        </w:tc>
        <w:tc>
          <w:tcPr>
            <w:tcW w:w="0" w:type="dxa"/>
            <w:vAlign w:val="bottom"/>
          </w:tcPr>
          <w:p>
            <w:pPr>
              <w:spacing w:after="0"/>
              <w:rPr>
                <w:sz w:val="1"/>
                <w:szCs w:val="1"/>
                <w:color w:val="auto"/>
              </w:rPr>
            </w:pPr>
          </w:p>
        </w:tc>
      </w:tr>
      <w:tr>
        <w:trPr>
          <w:trHeight w:val="270"/>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Provision (benefit) for income taxes</w:t>
            </w:r>
          </w:p>
        </w:tc>
        <w:tc>
          <w:tcPr>
            <w:tcW w:w="140" w:type="dxa"/>
            <w:vAlign w:val="bottom"/>
          </w:tcPr>
          <w:p>
            <w:pPr>
              <w:spacing w:after="0"/>
              <w:rPr>
                <w:sz w:val="23"/>
                <w:szCs w:val="23"/>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301</w:t>
            </w:r>
          </w:p>
        </w:tc>
        <w:tc>
          <w:tcPr>
            <w:tcW w:w="3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475</w:t>
            </w:r>
          </w:p>
        </w:tc>
        <w:tc>
          <w:tcPr>
            <w:tcW w:w="1300" w:type="dxa"/>
            <w:vAlign w:val="bottom"/>
          </w:tcPr>
          <w:p>
            <w:pPr>
              <w:jc w:val="right"/>
              <w:spacing w:after="0"/>
              <w:rPr>
                <w:sz w:val="20"/>
                <w:szCs w:val="20"/>
                <w:color w:val="auto"/>
              </w:rPr>
            </w:pPr>
            <w:r>
              <w:rPr>
                <w:rFonts w:ascii="Arial" w:cs="Arial" w:eastAsia="Arial" w:hAnsi="Arial"/>
                <w:sz w:val="20"/>
                <w:szCs w:val="20"/>
                <w:color w:val="auto"/>
              </w:rPr>
              <w:t>-273.0 %</w:t>
            </w:r>
          </w:p>
        </w:tc>
        <w:tc>
          <w:tcPr>
            <w:tcW w:w="0" w:type="dxa"/>
            <w:vAlign w:val="bottom"/>
          </w:tcPr>
          <w:p>
            <w:pPr>
              <w:spacing w:after="0"/>
              <w:rPr>
                <w:sz w:val="1"/>
                <w:szCs w:val="1"/>
                <w:color w:val="auto"/>
              </w:rPr>
            </w:pPr>
          </w:p>
        </w:tc>
      </w:tr>
      <w:tr>
        <w:trPr>
          <w:trHeight w:val="273"/>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Equity in net earnings of Kindred at Home (B)</w:t>
            </w:r>
          </w:p>
        </w:tc>
        <w:tc>
          <w:tcPr>
            <w:tcW w:w="140" w:type="dxa"/>
            <w:vAlign w:val="bottom"/>
          </w:tcPr>
          <w:p>
            <w:pPr>
              <w:spacing w:after="0"/>
              <w:rPr>
                <w:sz w:val="23"/>
                <w:szCs w:val="23"/>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12</w:t>
            </w:r>
          </w:p>
        </w:tc>
        <w:tc>
          <w:tcPr>
            <w:tcW w:w="380" w:type="dxa"/>
            <w:vAlign w:val="bottom"/>
          </w:tcPr>
          <w:p>
            <w:pPr>
              <w:spacing w:after="0"/>
              <w:rPr>
                <w:sz w:val="23"/>
                <w:szCs w:val="23"/>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12</w:t>
            </w:r>
          </w:p>
        </w:tc>
        <w:tc>
          <w:tcPr>
            <w:tcW w:w="1300" w:type="dxa"/>
            <w:vAlign w:val="bottom"/>
          </w:tcPr>
          <w:p>
            <w:pPr>
              <w:jc w:val="right"/>
              <w:ind w:right="16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47"/>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Net income</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b w:val="1"/>
                <w:bCs w:val="1"/>
                <w:color w:val="00497F"/>
                <w:w w:val="89"/>
              </w:rPr>
              <w:t>$</w:t>
            </w:r>
          </w:p>
        </w:tc>
        <w:tc>
          <w:tcPr>
            <w:tcW w:w="1600" w:type="dxa"/>
            <w:vAlign w:val="bottom"/>
            <w:tcBorders>
              <w:top w:val="single" w:sz="8" w:color="auto"/>
              <w:right w:val="single" w:sz="8" w:color="auto"/>
            </w:tcBorders>
            <w:vMerge w:val="restart"/>
          </w:tcPr>
          <w:p>
            <w:pPr>
              <w:jc w:val="right"/>
              <w:ind w:right="41"/>
              <w:spacing w:after="0"/>
              <w:rPr>
                <w:sz w:val="20"/>
                <w:szCs w:val="20"/>
                <w:color w:val="auto"/>
              </w:rPr>
            </w:pPr>
            <w:r>
              <w:rPr>
                <w:rFonts w:ascii="Arial" w:cs="Arial" w:eastAsia="Arial" w:hAnsi="Arial"/>
                <w:sz w:val="20"/>
                <w:szCs w:val="20"/>
                <w:b w:val="1"/>
                <w:bCs w:val="1"/>
                <w:color w:val="00497F"/>
              </w:rPr>
              <w:t>940</w:t>
            </w:r>
          </w:p>
        </w:tc>
        <w:tc>
          <w:tcPr>
            <w:tcW w:w="380" w:type="dxa"/>
            <w:vAlign w:val="bottom"/>
            <w:tcBorders>
              <w:top w:val="single" w:sz="8" w:color="auto"/>
            </w:tcBorders>
            <w:vMerge w:val="restart"/>
          </w:tcPr>
          <w:p>
            <w:pPr>
              <w:jc w:val="right"/>
              <w:ind w:right="161"/>
              <w:spacing w:after="0"/>
              <w:rPr>
                <w:sz w:val="20"/>
                <w:szCs w:val="20"/>
                <w:color w:val="auto"/>
              </w:rPr>
            </w:pPr>
            <w:r>
              <w:rPr>
                <w:rFonts w:ascii="Arial" w:cs="Arial" w:eastAsia="Arial" w:hAnsi="Arial"/>
                <w:sz w:val="20"/>
                <w:szCs w:val="20"/>
                <w:color w:val="auto"/>
                <w:w w:val="89"/>
              </w:rPr>
              <w:t>$</w:t>
            </w:r>
          </w:p>
        </w:tc>
        <w:tc>
          <w:tcPr>
            <w:tcW w:w="136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20"/>
                <w:szCs w:val="20"/>
                <w:color w:val="auto"/>
              </w:rPr>
              <w:t>193</w:t>
            </w:r>
          </w:p>
        </w:tc>
        <w:tc>
          <w:tcPr>
            <w:tcW w:w="100" w:type="dxa"/>
            <w:vAlign w:val="bottom"/>
          </w:tcPr>
          <w:p>
            <w:pPr>
              <w:spacing w:after="0"/>
              <w:rPr>
                <w:sz w:val="21"/>
                <w:szCs w:val="21"/>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20"/>
                <w:szCs w:val="20"/>
                <w:color w:val="auto"/>
              </w:rPr>
              <w:t>747</w:t>
            </w: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387.0 %</w:t>
            </w:r>
          </w:p>
        </w:tc>
        <w:tc>
          <w:tcPr>
            <w:tcW w:w="0" w:type="dxa"/>
            <w:vAlign w:val="bottom"/>
          </w:tcPr>
          <w:p>
            <w:pPr>
              <w:spacing w:after="0"/>
              <w:rPr>
                <w:sz w:val="1"/>
                <w:szCs w:val="1"/>
                <w:color w:val="auto"/>
              </w:rPr>
            </w:pPr>
          </w:p>
        </w:tc>
      </w:tr>
      <w:tr>
        <w:trPr>
          <w:trHeight w:val="217"/>
        </w:trPr>
        <w:tc>
          <w:tcPr>
            <w:tcW w:w="5360" w:type="dxa"/>
            <w:vAlign w:val="bottom"/>
            <w:tcBorders>
              <w:right w:val="single" w:sz="8" w:color="auto"/>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right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Basic earnings per common share</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00497F"/>
                <w:w w:val="89"/>
              </w:rPr>
              <w:t>$</w:t>
            </w: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6.96</w:t>
            </w: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1.40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5.56</w:t>
            </w:r>
          </w:p>
        </w:tc>
        <w:tc>
          <w:tcPr>
            <w:tcW w:w="1300" w:type="dxa"/>
            <w:vAlign w:val="bottom"/>
          </w:tcPr>
          <w:p>
            <w:pPr>
              <w:jc w:val="right"/>
              <w:spacing w:after="0"/>
              <w:rPr>
                <w:sz w:val="20"/>
                <w:szCs w:val="20"/>
                <w:color w:val="auto"/>
              </w:rPr>
            </w:pPr>
            <w:r>
              <w:rPr>
                <w:rFonts w:ascii="Arial" w:cs="Arial" w:eastAsia="Arial" w:hAnsi="Arial"/>
                <w:sz w:val="20"/>
                <w:szCs w:val="20"/>
                <w:color w:val="auto"/>
              </w:rPr>
              <w:t>397.1 %</w:t>
            </w:r>
          </w:p>
        </w:tc>
        <w:tc>
          <w:tcPr>
            <w:tcW w:w="0" w:type="dxa"/>
            <w:vAlign w:val="bottom"/>
          </w:tcPr>
          <w:p>
            <w:pPr>
              <w:spacing w:after="0"/>
              <w:rPr>
                <w:sz w:val="1"/>
                <w:szCs w:val="1"/>
                <w:color w:val="auto"/>
              </w:rPr>
            </w:pPr>
          </w:p>
        </w:tc>
      </w:tr>
      <w:tr>
        <w:trPr>
          <w:trHeight w:val="270"/>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00497F"/>
                <w:w w:val="89"/>
              </w:rPr>
              <w:t>$</w:t>
            </w: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6.94</w:t>
            </w: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1.39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5.55</w:t>
            </w:r>
          </w:p>
        </w:tc>
        <w:tc>
          <w:tcPr>
            <w:tcW w:w="1300" w:type="dxa"/>
            <w:vAlign w:val="bottom"/>
          </w:tcPr>
          <w:p>
            <w:pPr>
              <w:jc w:val="right"/>
              <w:spacing w:after="0"/>
              <w:rPr>
                <w:sz w:val="20"/>
                <w:szCs w:val="20"/>
                <w:color w:val="auto"/>
              </w:rPr>
            </w:pPr>
            <w:r>
              <w:rPr>
                <w:rFonts w:ascii="Arial" w:cs="Arial" w:eastAsia="Arial" w:hAnsi="Arial"/>
                <w:sz w:val="20"/>
                <w:szCs w:val="20"/>
                <w:color w:val="auto"/>
              </w:rPr>
              <w:t>399.3 %</w:t>
            </w:r>
          </w:p>
        </w:tc>
        <w:tc>
          <w:tcPr>
            <w:tcW w:w="0" w:type="dxa"/>
            <w:vAlign w:val="bottom"/>
          </w:tcPr>
          <w:p>
            <w:pPr>
              <w:spacing w:after="0"/>
              <w:rPr>
                <w:sz w:val="1"/>
                <w:szCs w:val="1"/>
                <w:color w:val="auto"/>
              </w:rPr>
            </w:pPr>
          </w:p>
        </w:tc>
      </w:tr>
      <w:tr>
        <w:trPr>
          <w:trHeight w:val="465"/>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Shares used in computing basic earnings per common</w:t>
            </w:r>
          </w:p>
        </w:tc>
        <w:tc>
          <w:tcPr>
            <w:tcW w:w="140" w:type="dxa"/>
            <w:vAlign w:val="bottom"/>
          </w:tcPr>
          <w:p>
            <w:pPr>
              <w:spacing w:after="0"/>
              <w:rPr>
                <w:sz w:val="24"/>
                <w:szCs w:val="24"/>
                <w:color w:val="auto"/>
              </w:rPr>
            </w:pPr>
          </w:p>
        </w:tc>
        <w:tc>
          <w:tcPr>
            <w:tcW w:w="1600" w:type="dxa"/>
            <w:vAlign w:val="bottom"/>
            <w:tcBorders>
              <w:right w:val="single" w:sz="8" w:color="auto"/>
            </w:tcBorders>
            <w:vMerge w:val="restart"/>
          </w:tcPr>
          <w:p>
            <w:pPr>
              <w:jc w:val="right"/>
              <w:ind w:right="41"/>
              <w:spacing w:after="0"/>
              <w:rPr>
                <w:sz w:val="20"/>
                <w:szCs w:val="20"/>
                <w:color w:val="auto"/>
              </w:rPr>
            </w:pPr>
            <w:r>
              <w:rPr>
                <w:rFonts w:ascii="Arial" w:cs="Arial" w:eastAsia="Arial" w:hAnsi="Arial"/>
                <w:sz w:val="20"/>
                <w:szCs w:val="20"/>
                <w:b w:val="1"/>
                <w:bCs w:val="1"/>
                <w:color w:val="00497F"/>
              </w:rPr>
              <w:t>135,063</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share (000’s)</w:t>
            </w:r>
          </w:p>
        </w:tc>
        <w:tc>
          <w:tcPr>
            <w:tcW w:w="140" w:type="dxa"/>
            <w:vAlign w:val="bottom"/>
          </w:tcPr>
          <w:p>
            <w:pPr>
              <w:spacing w:after="0"/>
              <w:rPr>
                <w:sz w:val="20"/>
                <w:szCs w:val="20"/>
                <w:color w:val="auto"/>
              </w:rPr>
            </w:pPr>
          </w:p>
        </w:tc>
        <w:tc>
          <w:tcPr>
            <w:tcW w:w="1600" w:type="dxa"/>
            <w:vAlign w:val="bottom"/>
            <w:tcBorders>
              <w:right w:val="single" w:sz="8" w:color="auto"/>
            </w:tcBorders>
            <w:vMerge w:val="continue"/>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137,763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Shares used in computing diluted earnings per common</w:t>
            </w:r>
          </w:p>
        </w:tc>
        <w:tc>
          <w:tcPr>
            <w:tcW w:w="140" w:type="dxa"/>
            <w:vAlign w:val="bottom"/>
          </w:tcPr>
          <w:p>
            <w:pPr>
              <w:spacing w:after="0"/>
              <w:rPr>
                <w:sz w:val="21"/>
                <w:szCs w:val="21"/>
                <w:color w:val="auto"/>
              </w:rPr>
            </w:pPr>
          </w:p>
        </w:tc>
        <w:tc>
          <w:tcPr>
            <w:tcW w:w="1600" w:type="dxa"/>
            <w:vAlign w:val="bottom"/>
            <w:tcBorders>
              <w:right w:val="single" w:sz="8" w:color="auto"/>
            </w:tcBorders>
            <w:vMerge w:val="restart"/>
          </w:tcPr>
          <w:p>
            <w:pPr>
              <w:jc w:val="right"/>
              <w:ind w:right="41"/>
              <w:spacing w:after="0"/>
              <w:rPr>
                <w:sz w:val="20"/>
                <w:szCs w:val="20"/>
                <w:color w:val="auto"/>
              </w:rPr>
            </w:pPr>
            <w:r>
              <w:rPr>
                <w:rFonts w:ascii="Arial" w:cs="Arial" w:eastAsia="Arial" w:hAnsi="Arial"/>
                <w:sz w:val="20"/>
                <w:szCs w:val="20"/>
                <w:b w:val="1"/>
                <w:bCs w:val="1"/>
                <w:color w:val="00497F"/>
              </w:rPr>
              <w:t>135,579</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share (000’s)</w:t>
            </w: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vMerge w:val="continue"/>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138,576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5"/>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ind w:right="1181"/>
              <w:spacing w:after="0"/>
              <w:rPr>
                <w:sz w:val="20"/>
                <w:szCs w:val="20"/>
                <w:color w:val="auto"/>
              </w:rPr>
            </w:pPr>
            <w:r>
              <w:rPr>
                <w:rFonts w:ascii="Arial" w:cs="Arial" w:eastAsia="Arial" w:hAnsi="Arial"/>
                <w:sz w:val="20"/>
                <w:szCs w:val="20"/>
                <w:color w:val="auto"/>
                <w:w w:val="96"/>
              </w:rPr>
              <w:t>S-3</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4" w:right="239" w:bottom="1440" w:gutter="0" w:footer="0" w:header="0"/>
        </w:sectPr>
      </w:pPr>
    </w:p>
    <w:bookmarkStart w:id="36" w:name="page37"/>
    <w:bookmarkEnd w:id="36"/>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Consolidated Statements of Income</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Dollars in millions, except per common share results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77"/>
        </w:trPr>
        <w:tc>
          <w:tcPr>
            <w:tcW w:w="5420" w:type="dxa"/>
            <w:vAlign w:val="bottom"/>
            <w:tcBorders>
              <w:right w:val="single" w:sz="8" w:color="auto"/>
            </w:tcBorders>
          </w:tcPr>
          <w:p>
            <w:pPr>
              <w:spacing w:after="0"/>
              <w:rPr>
                <w:sz w:val="24"/>
                <w:szCs w:val="24"/>
                <w:color w:val="auto"/>
              </w:rPr>
            </w:pPr>
          </w:p>
        </w:tc>
        <w:tc>
          <w:tcPr>
            <w:tcW w:w="3400" w:type="dxa"/>
            <w:vAlign w:val="bottom"/>
            <w:tcBorders>
              <w:top w:val="single" w:sz="8" w:color="auto"/>
              <w:bottom w:val="single" w:sz="8" w:color="auto"/>
              <w:right w:val="single" w:sz="8" w:color="auto"/>
            </w:tcBorders>
            <w:gridSpan w:val="4"/>
          </w:tcPr>
          <w:p>
            <w:pPr>
              <w:jc w:val="right"/>
              <w:spacing w:after="0"/>
              <w:rPr>
                <w:sz w:val="20"/>
                <w:szCs w:val="20"/>
                <w:color w:val="auto"/>
              </w:rPr>
            </w:pPr>
            <w:r>
              <w:rPr>
                <w:rFonts w:ascii="Arial" w:cs="Arial" w:eastAsia="Arial" w:hAnsi="Arial"/>
                <w:sz w:val="20"/>
                <w:szCs w:val="20"/>
                <w:b w:val="1"/>
                <w:bCs w:val="1"/>
                <w:color w:val="auto"/>
              </w:rPr>
              <w:t>For the six months ended June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4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221"/>
              <w:spacing w:after="0"/>
              <w:rPr>
                <w:sz w:val="20"/>
                <w:szCs w:val="20"/>
                <w:color w:val="auto"/>
              </w:rPr>
            </w:pPr>
            <w:r>
              <w:rPr>
                <w:rFonts w:ascii="Arial" w:cs="Arial" w:eastAsia="Arial" w:hAnsi="Arial"/>
                <w:sz w:val="20"/>
                <w:szCs w:val="20"/>
                <w:color w:val="auto"/>
              </w:rPr>
              <w:t>Dollar</w:t>
            </w: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Percentage</w:t>
            </w:r>
          </w:p>
        </w:tc>
        <w:tc>
          <w:tcPr>
            <w:tcW w:w="0" w:type="dxa"/>
            <w:vAlign w:val="bottom"/>
          </w:tcPr>
          <w:p>
            <w:pPr>
              <w:spacing w:after="0"/>
              <w:rPr>
                <w:sz w:val="1"/>
                <w:szCs w:val="1"/>
                <w:color w:val="auto"/>
              </w:rPr>
            </w:pPr>
          </w:p>
        </w:tc>
      </w:tr>
      <w:tr>
        <w:trPr>
          <w:trHeight w:val="262"/>
        </w:trPr>
        <w:tc>
          <w:tcPr>
            <w:tcW w:w="5420" w:type="dxa"/>
            <w:vAlign w:val="bottom"/>
            <w:tcBorders>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right"/>
              <w:ind w:right="561"/>
              <w:spacing w:after="0"/>
              <w:rPr>
                <w:sz w:val="20"/>
                <w:szCs w:val="20"/>
                <w:color w:val="auto"/>
              </w:rPr>
            </w:pPr>
            <w:r>
              <w:rPr>
                <w:rFonts w:ascii="Arial" w:cs="Arial" w:eastAsia="Arial" w:hAnsi="Arial"/>
                <w:sz w:val="20"/>
                <w:szCs w:val="20"/>
                <w:b w:val="1"/>
                <w:bCs w:val="1"/>
                <w:color w:val="00497F"/>
              </w:rPr>
              <w:t>2019</w:t>
            </w: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Change</w:t>
            </w: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Change</w:t>
            </w:r>
          </w:p>
        </w:tc>
        <w:tc>
          <w:tcPr>
            <w:tcW w:w="0" w:type="dxa"/>
            <w:vAlign w:val="bottom"/>
          </w:tcPr>
          <w:p>
            <w:pPr>
              <w:spacing w:after="0"/>
              <w:rPr>
                <w:sz w:val="1"/>
                <w:szCs w:val="1"/>
                <w:color w:val="auto"/>
              </w:rPr>
            </w:pPr>
          </w:p>
        </w:tc>
      </w:tr>
      <w:tr>
        <w:trPr>
          <w:trHeight w:val="247"/>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Revenues:</w:t>
            </w:r>
          </w:p>
        </w:tc>
        <w:tc>
          <w:tcPr>
            <w:tcW w:w="100" w:type="dxa"/>
            <w:vAlign w:val="bottom"/>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4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Premiums</w:t>
            </w:r>
          </w:p>
        </w:tc>
        <w:tc>
          <w:tcPr>
            <w:tcW w:w="100" w:type="dxa"/>
            <w:vAlign w:val="bottom"/>
          </w:tcPr>
          <w:p>
            <w:pPr>
              <w:jc w:val="right"/>
              <w:spacing w:after="0"/>
              <w:rPr>
                <w:sz w:val="20"/>
                <w:szCs w:val="20"/>
                <w:color w:val="auto"/>
              </w:rPr>
            </w:pPr>
            <w:r>
              <w:rPr>
                <w:rFonts w:ascii="Arial" w:cs="Arial" w:eastAsia="Arial" w:hAnsi="Arial"/>
                <w:sz w:val="20"/>
                <w:szCs w:val="20"/>
                <w:b w:val="1"/>
                <w:bCs w:val="1"/>
                <w:color w:val="00497F"/>
                <w:w w:val="71"/>
              </w:rPr>
              <w:t>$</w:t>
            </w: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31,427</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27,524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3,903</w:t>
            </w:r>
          </w:p>
        </w:tc>
        <w:tc>
          <w:tcPr>
            <w:tcW w:w="1300" w:type="dxa"/>
            <w:vAlign w:val="bottom"/>
          </w:tcPr>
          <w:p>
            <w:pPr>
              <w:jc w:val="right"/>
              <w:spacing w:after="0"/>
              <w:rPr>
                <w:sz w:val="20"/>
                <w:szCs w:val="20"/>
                <w:color w:val="auto"/>
              </w:rPr>
            </w:pPr>
            <w:r>
              <w:rPr>
                <w:rFonts w:ascii="Arial" w:cs="Arial" w:eastAsia="Arial" w:hAnsi="Arial"/>
                <w:sz w:val="20"/>
                <w:szCs w:val="20"/>
                <w:color w:val="auto"/>
              </w:rPr>
              <w:t>14.2 %</w:t>
            </w:r>
          </w:p>
        </w:tc>
        <w:tc>
          <w:tcPr>
            <w:tcW w:w="0" w:type="dxa"/>
            <w:vAlign w:val="bottom"/>
          </w:tcPr>
          <w:p>
            <w:pPr>
              <w:spacing w:after="0"/>
              <w:rPr>
                <w:sz w:val="1"/>
                <w:szCs w:val="1"/>
                <w:color w:val="auto"/>
              </w:rPr>
            </w:pPr>
          </w:p>
        </w:tc>
      </w:tr>
      <w:tr>
        <w:trPr>
          <w:trHeight w:val="270"/>
        </w:trPr>
        <w:tc>
          <w:tcPr>
            <w:tcW w:w="54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Services</w:t>
            </w:r>
          </w:p>
        </w:tc>
        <w:tc>
          <w:tcPr>
            <w:tcW w:w="100" w:type="dxa"/>
            <w:vAlign w:val="bottom"/>
          </w:tcPr>
          <w:p>
            <w:pPr>
              <w:spacing w:after="0"/>
              <w:rPr>
                <w:sz w:val="23"/>
                <w:szCs w:val="23"/>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710</w:t>
            </w:r>
          </w:p>
        </w:tc>
        <w:tc>
          <w:tcPr>
            <w:tcW w:w="36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709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1300" w:type="dxa"/>
            <w:vAlign w:val="bottom"/>
          </w:tcPr>
          <w:p>
            <w:pPr>
              <w:jc w:val="right"/>
              <w:spacing w:after="0"/>
              <w:rPr>
                <w:sz w:val="20"/>
                <w:szCs w:val="20"/>
                <w:color w:val="auto"/>
              </w:rPr>
            </w:pPr>
            <w:r>
              <w:rPr>
                <w:rFonts w:ascii="Arial" w:cs="Arial" w:eastAsia="Arial" w:hAnsi="Arial"/>
                <w:sz w:val="20"/>
                <w:szCs w:val="20"/>
                <w:color w:val="auto"/>
              </w:rPr>
              <w:t>0.1 %</w:t>
            </w:r>
          </w:p>
        </w:tc>
        <w:tc>
          <w:tcPr>
            <w:tcW w:w="0" w:type="dxa"/>
            <w:vAlign w:val="bottom"/>
          </w:tcPr>
          <w:p>
            <w:pPr>
              <w:spacing w:after="0"/>
              <w:rPr>
                <w:sz w:val="1"/>
                <w:szCs w:val="1"/>
                <w:color w:val="auto"/>
              </w:rPr>
            </w:pPr>
          </w:p>
        </w:tc>
      </w:tr>
      <w:tr>
        <w:trPr>
          <w:trHeight w:val="273"/>
        </w:trPr>
        <w:tc>
          <w:tcPr>
            <w:tcW w:w="54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Investment income</w:t>
            </w:r>
          </w:p>
        </w:tc>
        <w:tc>
          <w:tcPr>
            <w:tcW w:w="100" w:type="dxa"/>
            <w:vAlign w:val="bottom"/>
            <w:tcBorders>
              <w:bottom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215</w:t>
            </w:r>
          </w:p>
        </w:tc>
        <w:tc>
          <w:tcPr>
            <w:tcW w:w="3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305</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w:t>
            </w:r>
          </w:p>
        </w:tc>
        <w:tc>
          <w:tcPr>
            <w:tcW w:w="1300" w:type="dxa"/>
            <w:vAlign w:val="bottom"/>
          </w:tcPr>
          <w:p>
            <w:pPr>
              <w:jc w:val="right"/>
              <w:spacing w:after="0"/>
              <w:rPr>
                <w:sz w:val="20"/>
                <w:szCs w:val="20"/>
                <w:color w:val="auto"/>
              </w:rPr>
            </w:pPr>
            <w:r>
              <w:rPr>
                <w:rFonts w:ascii="Arial" w:cs="Arial" w:eastAsia="Arial" w:hAnsi="Arial"/>
                <w:sz w:val="20"/>
                <w:szCs w:val="20"/>
                <w:color w:val="auto"/>
              </w:rPr>
              <w:t>-29.5 %</w:t>
            </w:r>
          </w:p>
        </w:tc>
        <w:tc>
          <w:tcPr>
            <w:tcW w:w="0" w:type="dxa"/>
            <w:vAlign w:val="bottom"/>
          </w:tcPr>
          <w:p>
            <w:pPr>
              <w:spacing w:after="0"/>
              <w:rPr>
                <w:sz w:val="1"/>
                <w:szCs w:val="1"/>
                <w:color w:val="auto"/>
              </w:rPr>
            </w:pPr>
          </w:p>
        </w:tc>
      </w:tr>
      <w:tr>
        <w:trPr>
          <w:trHeight w:val="264"/>
        </w:trPr>
        <w:tc>
          <w:tcPr>
            <w:tcW w:w="5420" w:type="dxa"/>
            <w:vAlign w:val="bottom"/>
            <w:tcBorders>
              <w:right w:val="single" w:sz="8" w:color="auto"/>
            </w:tcBorders>
          </w:tcPr>
          <w:p>
            <w:pPr>
              <w:ind w:left="680"/>
              <w:spacing w:after="0"/>
              <w:rPr>
                <w:sz w:val="20"/>
                <w:szCs w:val="20"/>
                <w:color w:val="auto"/>
              </w:rPr>
            </w:pPr>
            <w:r>
              <w:rPr>
                <w:rFonts w:ascii="Arial" w:cs="Arial" w:eastAsia="Arial" w:hAnsi="Arial"/>
                <w:sz w:val="20"/>
                <w:szCs w:val="20"/>
                <w:b w:val="1"/>
                <w:bCs w:val="1"/>
                <w:color w:val="auto"/>
              </w:rPr>
              <w:t>Total revenues</w:t>
            </w: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32,352</w:t>
            </w: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28,538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3,814</w:t>
            </w:r>
          </w:p>
        </w:tc>
        <w:tc>
          <w:tcPr>
            <w:tcW w:w="1300" w:type="dxa"/>
            <w:vAlign w:val="bottom"/>
          </w:tcPr>
          <w:p>
            <w:pPr>
              <w:jc w:val="right"/>
              <w:spacing w:after="0"/>
              <w:rPr>
                <w:sz w:val="20"/>
                <w:szCs w:val="20"/>
                <w:color w:val="auto"/>
              </w:rPr>
            </w:pPr>
            <w:r>
              <w:rPr>
                <w:rFonts w:ascii="Arial" w:cs="Arial" w:eastAsia="Arial" w:hAnsi="Arial"/>
                <w:sz w:val="20"/>
                <w:szCs w:val="20"/>
                <w:color w:val="auto"/>
              </w:rPr>
              <w:t>13.4 %</w:t>
            </w:r>
          </w:p>
        </w:tc>
        <w:tc>
          <w:tcPr>
            <w:tcW w:w="0" w:type="dxa"/>
            <w:vAlign w:val="bottom"/>
          </w:tcPr>
          <w:p>
            <w:pPr>
              <w:spacing w:after="0"/>
              <w:rPr>
                <w:sz w:val="1"/>
                <w:szCs w:val="1"/>
                <w:color w:val="auto"/>
              </w:rPr>
            </w:pPr>
          </w:p>
        </w:tc>
      </w:tr>
      <w:tr>
        <w:trPr>
          <w:trHeight w:val="247"/>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Operating expenses:</w:t>
            </w:r>
          </w:p>
        </w:tc>
        <w:tc>
          <w:tcPr>
            <w:tcW w:w="100" w:type="dxa"/>
            <w:vAlign w:val="bottom"/>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4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Benefits</w:t>
            </w:r>
          </w:p>
        </w:tc>
        <w:tc>
          <w:tcPr>
            <w:tcW w:w="100" w:type="dxa"/>
            <w:vAlign w:val="bottom"/>
          </w:tcPr>
          <w:p>
            <w:pPr>
              <w:spacing w:after="0"/>
              <w:rPr>
                <w:sz w:val="24"/>
                <w:szCs w:val="24"/>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26,811</w:t>
            </w:r>
          </w:p>
        </w:tc>
        <w:tc>
          <w:tcPr>
            <w:tcW w:w="360" w:type="dxa"/>
            <w:vAlign w:val="bottom"/>
          </w:tcPr>
          <w:p>
            <w:pPr>
              <w:spacing w:after="0"/>
              <w:rPr>
                <w:sz w:val="24"/>
                <w:szCs w:val="24"/>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23,206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3,605</w:t>
            </w:r>
          </w:p>
        </w:tc>
        <w:tc>
          <w:tcPr>
            <w:tcW w:w="1300" w:type="dxa"/>
            <w:vAlign w:val="bottom"/>
          </w:tcPr>
          <w:p>
            <w:pPr>
              <w:jc w:val="right"/>
              <w:spacing w:after="0"/>
              <w:rPr>
                <w:sz w:val="20"/>
                <w:szCs w:val="20"/>
                <w:color w:val="auto"/>
              </w:rPr>
            </w:pPr>
            <w:r>
              <w:rPr>
                <w:rFonts w:ascii="Arial" w:cs="Arial" w:eastAsia="Arial" w:hAnsi="Arial"/>
                <w:sz w:val="20"/>
                <w:szCs w:val="20"/>
                <w:color w:val="auto"/>
              </w:rPr>
              <w:t>15.5 %</w:t>
            </w:r>
          </w:p>
        </w:tc>
        <w:tc>
          <w:tcPr>
            <w:tcW w:w="0" w:type="dxa"/>
            <w:vAlign w:val="bottom"/>
          </w:tcPr>
          <w:p>
            <w:pPr>
              <w:spacing w:after="0"/>
              <w:rPr>
                <w:sz w:val="1"/>
                <w:szCs w:val="1"/>
                <w:color w:val="auto"/>
              </w:rPr>
            </w:pPr>
          </w:p>
        </w:tc>
      </w:tr>
      <w:tr>
        <w:trPr>
          <w:trHeight w:val="270"/>
        </w:trPr>
        <w:tc>
          <w:tcPr>
            <w:tcW w:w="54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Operating costs</w:t>
            </w:r>
          </w:p>
        </w:tc>
        <w:tc>
          <w:tcPr>
            <w:tcW w:w="100" w:type="dxa"/>
            <w:vAlign w:val="bottom"/>
          </w:tcPr>
          <w:p>
            <w:pPr>
              <w:spacing w:after="0"/>
              <w:rPr>
                <w:sz w:val="23"/>
                <w:szCs w:val="23"/>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3,363</w:t>
            </w:r>
          </w:p>
        </w:tc>
        <w:tc>
          <w:tcPr>
            <w:tcW w:w="36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3,510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(147)</w:t>
            </w:r>
          </w:p>
        </w:tc>
        <w:tc>
          <w:tcPr>
            <w:tcW w:w="1300" w:type="dxa"/>
            <w:vAlign w:val="bottom"/>
          </w:tcPr>
          <w:p>
            <w:pPr>
              <w:jc w:val="right"/>
              <w:spacing w:after="0"/>
              <w:rPr>
                <w:sz w:val="20"/>
                <w:szCs w:val="20"/>
                <w:color w:val="auto"/>
              </w:rPr>
            </w:pPr>
            <w:r>
              <w:rPr>
                <w:rFonts w:ascii="Arial" w:cs="Arial" w:eastAsia="Arial" w:hAnsi="Arial"/>
                <w:sz w:val="20"/>
                <w:szCs w:val="20"/>
                <w:color w:val="auto"/>
              </w:rPr>
              <w:t>-4.2 %</w:t>
            </w:r>
          </w:p>
        </w:tc>
        <w:tc>
          <w:tcPr>
            <w:tcW w:w="0" w:type="dxa"/>
            <w:vAlign w:val="bottom"/>
          </w:tcPr>
          <w:p>
            <w:pPr>
              <w:spacing w:after="0"/>
              <w:rPr>
                <w:sz w:val="1"/>
                <w:szCs w:val="1"/>
                <w:color w:val="auto"/>
              </w:rPr>
            </w:pPr>
          </w:p>
        </w:tc>
      </w:tr>
      <w:tr>
        <w:trPr>
          <w:trHeight w:val="273"/>
        </w:trPr>
        <w:tc>
          <w:tcPr>
            <w:tcW w:w="54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Depreciation and amortization</w:t>
            </w:r>
          </w:p>
        </w:tc>
        <w:tc>
          <w:tcPr>
            <w:tcW w:w="100" w:type="dxa"/>
            <w:vAlign w:val="bottom"/>
            <w:tcBorders>
              <w:bottom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216</w:t>
            </w:r>
          </w:p>
        </w:tc>
        <w:tc>
          <w:tcPr>
            <w:tcW w:w="3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200</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16</w:t>
            </w:r>
          </w:p>
        </w:tc>
        <w:tc>
          <w:tcPr>
            <w:tcW w:w="1300" w:type="dxa"/>
            <w:vAlign w:val="bottom"/>
          </w:tcPr>
          <w:p>
            <w:pPr>
              <w:jc w:val="right"/>
              <w:spacing w:after="0"/>
              <w:rPr>
                <w:sz w:val="20"/>
                <w:szCs w:val="20"/>
                <w:color w:val="auto"/>
              </w:rPr>
            </w:pPr>
            <w:r>
              <w:rPr>
                <w:rFonts w:ascii="Arial" w:cs="Arial" w:eastAsia="Arial" w:hAnsi="Arial"/>
                <w:sz w:val="20"/>
                <w:szCs w:val="20"/>
                <w:color w:val="auto"/>
              </w:rPr>
              <w:t>8.0 %</w:t>
            </w:r>
          </w:p>
        </w:tc>
        <w:tc>
          <w:tcPr>
            <w:tcW w:w="0" w:type="dxa"/>
            <w:vAlign w:val="bottom"/>
          </w:tcPr>
          <w:p>
            <w:pPr>
              <w:spacing w:after="0"/>
              <w:rPr>
                <w:sz w:val="1"/>
                <w:szCs w:val="1"/>
                <w:color w:val="auto"/>
              </w:rPr>
            </w:pPr>
          </w:p>
        </w:tc>
      </w:tr>
      <w:tr>
        <w:trPr>
          <w:trHeight w:val="264"/>
        </w:trPr>
        <w:tc>
          <w:tcPr>
            <w:tcW w:w="5420" w:type="dxa"/>
            <w:vAlign w:val="bottom"/>
            <w:tcBorders>
              <w:right w:val="single" w:sz="8" w:color="auto"/>
            </w:tcBorders>
          </w:tcPr>
          <w:p>
            <w:pPr>
              <w:ind w:left="680"/>
              <w:spacing w:after="0"/>
              <w:rPr>
                <w:sz w:val="20"/>
                <w:szCs w:val="20"/>
                <w:color w:val="auto"/>
              </w:rPr>
            </w:pPr>
            <w:r>
              <w:rPr>
                <w:rFonts w:ascii="Arial" w:cs="Arial" w:eastAsia="Arial" w:hAnsi="Arial"/>
                <w:sz w:val="20"/>
                <w:szCs w:val="20"/>
                <w:b w:val="1"/>
                <w:bCs w:val="1"/>
                <w:color w:val="auto"/>
              </w:rPr>
              <w:t>Total operating expenses</w:t>
            </w: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30,390</w:t>
            </w: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26,916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3,474</w:t>
            </w:r>
          </w:p>
        </w:tc>
        <w:tc>
          <w:tcPr>
            <w:tcW w:w="1300" w:type="dxa"/>
            <w:vAlign w:val="bottom"/>
          </w:tcPr>
          <w:p>
            <w:pPr>
              <w:jc w:val="right"/>
              <w:spacing w:after="0"/>
              <w:rPr>
                <w:sz w:val="20"/>
                <w:szCs w:val="20"/>
                <w:color w:val="auto"/>
              </w:rPr>
            </w:pPr>
            <w:r>
              <w:rPr>
                <w:rFonts w:ascii="Arial" w:cs="Arial" w:eastAsia="Arial" w:hAnsi="Arial"/>
                <w:sz w:val="20"/>
                <w:szCs w:val="20"/>
                <w:color w:val="auto"/>
              </w:rPr>
              <w:t>12.9 %</w:t>
            </w:r>
          </w:p>
        </w:tc>
        <w:tc>
          <w:tcPr>
            <w:tcW w:w="0" w:type="dxa"/>
            <w:vAlign w:val="bottom"/>
          </w:tcPr>
          <w:p>
            <w:pPr>
              <w:spacing w:after="0"/>
              <w:rPr>
                <w:sz w:val="1"/>
                <w:szCs w:val="1"/>
                <w:color w:val="auto"/>
              </w:rPr>
            </w:pPr>
          </w:p>
        </w:tc>
      </w:tr>
      <w:tr>
        <w:trPr>
          <w:trHeight w:val="261"/>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Income from operations</w:t>
            </w:r>
          </w:p>
        </w:tc>
        <w:tc>
          <w:tcPr>
            <w:tcW w:w="100" w:type="dxa"/>
            <w:vAlign w:val="bottom"/>
          </w:tcPr>
          <w:p>
            <w:pPr>
              <w:spacing w:after="0"/>
              <w:rPr>
                <w:sz w:val="22"/>
                <w:szCs w:val="22"/>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1,962</w:t>
            </w:r>
          </w:p>
        </w:tc>
        <w:tc>
          <w:tcPr>
            <w:tcW w:w="3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1,622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340</w:t>
            </w:r>
          </w:p>
        </w:tc>
        <w:tc>
          <w:tcPr>
            <w:tcW w:w="1300" w:type="dxa"/>
            <w:vAlign w:val="bottom"/>
          </w:tcPr>
          <w:p>
            <w:pPr>
              <w:jc w:val="right"/>
              <w:spacing w:after="0"/>
              <w:rPr>
                <w:sz w:val="20"/>
                <w:szCs w:val="20"/>
                <w:color w:val="auto"/>
              </w:rPr>
            </w:pPr>
            <w:r>
              <w:rPr>
                <w:rFonts w:ascii="Arial" w:cs="Arial" w:eastAsia="Arial" w:hAnsi="Arial"/>
                <w:sz w:val="20"/>
                <w:szCs w:val="20"/>
                <w:color w:val="auto"/>
              </w:rPr>
              <w:t>21.0 %</w:t>
            </w:r>
          </w:p>
        </w:tc>
        <w:tc>
          <w:tcPr>
            <w:tcW w:w="0" w:type="dxa"/>
            <w:vAlign w:val="bottom"/>
          </w:tcPr>
          <w:p>
            <w:pPr>
              <w:spacing w:after="0"/>
              <w:rPr>
                <w:sz w:val="1"/>
                <w:szCs w:val="1"/>
                <w:color w:val="auto"/>
              </w:rPr>
            </w:pPr>
          </w:p>
        </w:tc>
      </w:tr>
      <w:tr>
        <w:trPr>
          <w:trHeight w:val="270"/>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Loss on sale of business</w:t>
            </w:r>
          </w:p>
        </w:tc>
        <w:tc>
          <w:tcPr>
            <w:tcW w:w="100" w:type="dxa"/>
            <w:vAlign w:val="bottom"/>
          </w:tcPr>
          <w:p>
            <w:pPr>
              <w:spacing w:after="0"/>
              <w:rPr>
                <w:sz w:val="23"/>
                <w:szCs w:val="23"/>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w:t>
            </w:r>
          </w:p>
        </w:tc>
        <w:tc>
          <w:tcPr>
            <w:tcW w:w="36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790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(790)</w:t>
            </w:r>
          </w:p>
        </w:tc>
        <w:tc>
          <w:tcPr>
            <w:tcW w:w="1300" w:type="dxa"/>
            <w:vAlign w:val="bottom"/>
          </w:tcPr>
          <w:p>
            <w:pPr>
              <w:jc w:val="right"/>
              <w:spacing w:after="0"/>
              <w:rPr>
                <w:sz w:val="20"/>
                <w:szCs w:val="20"/>
                <w:color w:val="auto"/>
              </w:rPr>
            </w:pPr>
            <w:r>
              <w:rPr>
                <w:rFonts w:ascii="Arial" w:cs="Arial" w:eastAsia="Arial" w:hAnsi="Arial"/>
                <w:sz w:val="20"/>
                <w:szCs w:val="20"/>
                <w:color w:val="auto"/>
              </w:rPr>
              <w:t>-100.0 %</w:t>
            </w:r>
          </w:p>
        </w:tc>
        <w:tc>
          <w:tcPr>
            <w:tcW w:w="0" w:type="dxa"/>
            <w:vAlign w:val="bottom"/>
          </w:tcPr>
          <w:p>
            <w:pPr>
              <w:spacing w:after="0"/>
              <w:rPr>
                <w:sz w:val="1"/>
                <w:szCs w:val="1"/>
                <w:color w:val="auto"/>
              </w:rPr>
            </w:pPr>
          </w:p>
        </w:tc>
      </w:tr>
      <w:tr>
        <w:trPr>
          <w:trHeight w:val="270"/>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Interest expense</w:t>
            </w:r>
          </w:p>
        </w:tc>
        <w:tc>
          <w:tcPr>
            <w:tcW w:w="100" w:type="dxa"/>
            <w:vAlign w:val="bottom"/>
          </w:tcPr>
          <w:p>
            <w:pPr>
              <w:spacing w:after="0"/>
              <w:rPr>
                <w:sz w:val="23"/>
                <w:szCs w:val="23"/>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122</w:t>
            </w:r>
          </w:p>
        </w:tc>
        <w:tc>
          <w:tcPr>
            <w:tcW w:w="36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106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16</w:t>
            </w:r>
          </w:p>
        </w:tc>
        <w:tc>
          <w:tcPr>
            <w:tcW w:w="1300" w:type="dxa"/>
            <w:vAlign w:val="bottom"/>
          </w:tcPr>
          <w:p>
            <w:pPr>
              <w:jc w:val="right"/>
              <w:spacing w:after="0"/>
              <w:rPr>
                <w:sz w:val="20"/>
                <w:szCs w:val="20"/>
                <w:color w:val="auto"/>
              </w:rPr>
            </w:pPr>
            <w:r>
              <w:rPr>
                <w:rFonts w:ascii="Arial" w:cs="Arial" w:eastAsia="Arial" w:hAnsi="Arial"/>
                <w:sz w:val="20"/>
                <w:szCs w:val="20"/>
                <w:color w:val="auto"/>
              </w:rPr>
              <w:t>15.1 %</w:t>
            </w:r>
          </w:p>
        </w:tc>
        <w:tc>
          <w:tcPr>
            <w:tcW w:w="0" w:type="dxa"/>
            <w:vAlign w:val="bottom"/>
          </w:tcPr>
          <w:p>
            <w:pPr>
              <w:spacing w:after="0"/>
              <w:rPr>
                <w:sz w:val="1"/>
                <w:szCs w:val="1"/>
                <w:color w:val="auto"/>
              </w:rPr>
            </w:pPr>
          </w:p>
        </w:tc>
      </w:tr>
      <w:tr>
        <w:trPr>
          <w:trHeight w:val="273"/>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Other income, net (A)</w:t>
            </w:r>
          </w:p>
        </w:tc>
        <w:tc>
          <w:tcPr>
            <w:tcW w:w="100" w:type="dxa"/>
            <w:vAlign w:val="bottom"/>
          </w:tcPr>
          <w:p>
            <w:pPr>
              <w:spacing w:after="0"/>
              <w:rPr>
                <w:sz w:val="23"/>
                <w:szCs w:val="23"/>
                <w:color w:val="auto"/>
              </w:rPr>
            </w:pP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20"/>
                <w:szCs w:val="20"/>
                <w:b w:val="1"/>
                <w:bCs w:val="1"/>
                <w:color w:val="00497F"/>
              </w:rPr>
              <w:t>(135)</w:t>
            </w:r>
          </w:p>
        </w:tc>
        <w:tc>
          <w:tcPr>
            <w:tcW w:w="3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(135)</w:t>
            </w:r>
          </w:p>
        </w:tc>
        <w:tc>
          <w:tcPr>
            <w:tcW w:w="1300" w:type="dxa"/>
            <w:vAlign w:val="bottom"/>
          </w:tcPr>
          <w:p>
            <w:pPr>
              <w:jc w:val="right"/>
              <w:ind w:right="16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61"/>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Income before income taxes and equity in net earnings</w:t>
            </w:r>
          </w:p>
        </w:tc>
        <w:tc>
          <w:tcPr>
            <w:tcW w:w="100" w:type="dxa"/>
            <w:vAlign w:val="bottom"/>
            <w:tcBorders>
              <w:top w:val="single" w:sz="8" w:color="auto"/>
            </w:tcBorders>
          </w:tcPr>
          <w:p>
            <w:pPr>
              <w:spacing w:after="0"/>
              <w:rPr>
                <w:sz w:val="22"/>
                <w:szCs w:val="22"/>
                <w:color w:val="auto"/>
              </w:rPr>
            </w:pPr>
          </w:p>
        </w:tc>
        <w:tc>
          <w:tcPr>
            <w:tcW w:w="1600" w:type="dxa"/>
            <w:vAlign w:val="bottom"/>
            <w:tcBorders>
              <w:top w:val="single" w:sz="8" w:color="auto"/>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1,975</w:t>
            </w:r>
          </w:p>
        </w:tc>
        <w:tc>
          <w:tcPr>
            <w:tcW w:w="3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726</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1,249</w:t>
            </w:r>
          </w:p>
        </w:tc>
        <w:tc>
          <w:tcPr>
            <w:tcW w:w="1300" w:type="dxa"/>
            <w:vAlign w:val="bottom"/>
          </w:tcPr>
          <w:p>
            <w:pPr>
              <w:jc w:val="right"/>
              <w:spacing w:after="0"/>
              <w:rPr>
                <w:sz w:val="20"/>
                <w:szCs w:val="20"/>
                <w:color w:val="auto"/>
              </w:rPr>
            </w:pPr>
            <w:r>
              <w:rPr>
                <w:rFonts w:ascii="Arial" w:cs="Arial" w:eastAsia="Arial" w:hAnsi="Arial"/>
                <w:sz w:val="20"/>
                <w:szCs w:val="20"/>
                <w:color w:val="auto"/>
              </w:rPr>
              <w:t>172.0 %</w:t>
            </w:r>
          </w:p>
        </w:tc>
        <w:tc>
          <w:tcPr>
            <w:tcW w:w="0" w:type="dxa"/>
            <w:vAlign w:val="bottom"/>
          </w:tcPr>
          <w:p>
            <w:pPr>
              <w:spacing w:after="0"/>
              <w:rPr>
                <w:sz w:val="1"/>
                <w:szCs w:val="1"/>
                <w:color w:val="auto"/>
              </w:rPr>
            </w:pPr>
          </w:p>
        </w:tc>
      </w:tr>
      <w:tr>
        <w:trPr>
          <w:trHeight w:val="270"/>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Provision for income taxes</w:t>
            </w:r>
          </w:p>
        </w:tc>
        <w:tc>
          <w:tcPr>
            <w:tcW w:w="100" w:type="dxa"/>
            <w:vAlign w:val="bottom"/>
          </w:tcPr>
          <w:p>
            <w:pPr>
              <w:spacing w:after="0"/>
              <w:rPr>
                <w:sz w:val="23"/>
                <w:szCs w:val="23"/>
                <w:color w:val="auto"/>
              </w:rPr>
            </w:pP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484</w:t>
            </w:r>
          </w:p>
        </w:tc>
        <w:tc>
          <w:tcPr>
            <w:tcW w:w="36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442</w:t>
            </w:r>
          </w:p>
        </w:tc>
        <w:tc>
          <w:tcPr>
            <w:tcW w:w="1300" w:type="dxa"/>
            <w:vAlign w:val="bottom"/>
          </w:tcPr>
          <w:p>
            <w:pPr>
              <w:jc w:val="right"/>
              <w:spacing w:after="0"/>
              <w:rPr>
                <w:sz w:val="20"/>
                <w:szCs w:val="20"/>
                <w:color w:val="auto"/>
              </w:rPr>
            </w:pPr>
            <w:r>
              <w:rPr>
                <w:rFonts w:ascii="Arial" w:cs="Arial" w:eastAsia="Arial" w:hAnsi="Arial"/>
                <w:sz w:val="20"/>
                <w:szCs w:val="20"/>
                <w:color w:val="auto"/>
              </w:rPr>
              <w:t>1,052.4 %</w:t>
            </w:r>
          </w:p>
        </w:tc>
        <w:tc>
          <w:tcPr>
            <w:tcW w:w="0" w:type="dxa"/>
            <w:vAlign w:val="bottom"/>
          </w:tcPr>
          <w:p>
            <w:pPr>
              <w:spacing w:after="0"/>
              <w:rPr>
                <w:sz w:val="1"/>
                <w:szCs w:val="1"/>
                <w:color w:val="auto"/>
              </w:rPr>
            </w:pPr>
          </w:p>
        </w:tc>
      </w:tr>
      <w:tr>
        <w:trPr>
          <w:trHeight w:val="275"/>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Equity in net earnings of Kindred at Home (B)</w:t>
            </w:r>
          </w:p>
        </w:tc>
        <w:tc>
          <w:tcPr>
            <w:tcW w:w="100" w:type="dxa"/>
            <w:vAlign w:val="bottom"/>
          </w:tcPr>
          <w:p>
            <w:pPr>
              <w:jc w:val="right"/>
              <w:spacing w:after="0"/>
              <w:rPr>
                <w:sz w:val="20"/>
                <w:szCs w:val="20"/>
                <w:color w:val="auto"/>
              </w:rPr>
            </w:pPr>
            <w:r>
              <w:rPr>
                <w:rFonts w:ascii="Arial" w:cs="Arial" w:eastAsia="Arial" w:hAnsi="Arial"/>
                <w:sz w:val="20"/>
                <w:szCs w:val="20"/>
                <w:b w:val="1"/>
                <w:bCs w:val="1"/>
                <w:color w:val="00497F"/>
                <w:w w:val="71"/>
              </w:rPr>
              <w:t>$</w:t>
            </w: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15</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15</w:t>
            </w:r>
          </w:p>
        </w:tc>
        <w:tc>
          <w:tcPr>
            <w:tcW w:w="1300" w:type="dxa"/>
            <w:vAlign w:val="bottom"/>
          </w:tcPr>
          <w:p>
            <w:pPr>
              <w:jc w:val="right"/>
              <w:ind w:right="16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68"/>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00497F"/>
                <w:w w:val="71"/>
              </w:rPr>
              <w:t>$</w:t>
            </w:r>
          </w:p>
        </w:tc>
        <w:tc>
          <w:tcPr>
            <w:tcW w:w="1600" w:type="dxa"/>
            <w:vAlign w:val="bottom"/>
            <w:tcBorders>
              <w:top w:val="single" w:sz="8" w:color="auto"/>
              <w:bottom w:val="single" w:sz="8" w:color="auto"/>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1,506</w:t>
            </w:r>
          </w:p>
        </w:tc>
        <w:tc>
          <w:tcPr>
            <w:tcW w:w="36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3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rPr>
              <w:t>684</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822</w:t>
            </w:r>
          </w:p>
        </w:tc>
        <w:tc>
          <w:tcPr>
            <w:tcW w:w="1300" w:type="dxa"/>
            <w:vAlign w:val="bottom"/>
          </w:tcPr>
          <w:p>
            <w:pPr>
              <w:jc w:val="right"/>
              <w:spacing w:after="0"/>
              <w:rPr>
                <w:sz w:val="20"/>
                <w:szCs w:val="20"/>
                <w:color w:val="auto"/>
              </w:rPr>
            </w:pPr>
            <w:r>
              <w:rPr>
                <w:rFonts w:ascii="Arial" w:cs="Arial" w:eastAsia="Arial" w:hAnsi="Arial"/>
                <w:sz w:val="20"/>
                <w:szCs w:val="20"/>
                <w:color w:val="auto"/>
              </w:rPr>
              <w:t>120.2 %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Basic earnings per common share</w:t>
            </w:r>
          </w:p>
        </w:tc>
        <w:tc>
          <w:tcPr>
            <w:tcW w:w="100" w:type="dxa"/>
            <w:vAlign w:val="bottom"/>
          </w:tcPr>
          <w:p>
            <w:pPr>
              <w:jc w:val="right"/>
              <w:spacing w:after="0"/>
              <w:rPr>
                <w:sz w:val="20"/>
                <w:szCs w:val="20"/>
                <w:color w:val="auto"/>
              </w:rPr>
            </w:pPr>
            <w:r>
              <w:rPr>
                <w:rFonts w:ascii="Arial" w:cs="Arial" w:eastAsia="Arial" w:hAnsi="Arial"/>
                <w:sz w:val="20"/>
                <w:szCs w:val="20"/>
                <w:b w:val="1"/>
                <w:bCs w:val="1"/>
                <w:color w:val="00497F"/>
                <w:w w:val="71"/>
              </w:rPr>
              <w:t>$</w:t>
            </w: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11.14</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4.96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6.18</w:t>
            </w:r>
          </w:p>
        </w:tc>
        <w:tc>
          <w:tcPr>
            <w:tcW w:w="1300" w:type="dxa"/>
            <w:vAlign w:val="bottom"/>
          </w:tcPr>
          <w:p>
            <w:pPr>
              <w:jc w:val="right"/>
              <w:spacing w:after="0"/>
              <w:rPr>
                <w:sz w:val="20"/>
                <w:szCs w:val="20"/>
                <w:color w:val="auto"/>
              </w:rPr>
            </w:pPr>
            <w:r>
              <w:rPr>
                <w:rFonts w:ascii="Arial" w:cs="Arial" w:eastAsia="Arial" w:hAnsi="Arial"/>
                <w:sz w:val="20"/>
                <w:szCs w:val="20"/>
                <w:color w:val="auto"/>
              </w:rPr>
              <w:t>124.6 %</w:t>
            </w:r>
          </w:p>
        </w:tc>
        <w:tc>
          <w:tcPr>
            <w:tcW w:w="0" w:type="dxa"/>
            <w:vAlign w:val="bottom"/>
          </w:tcPr>
          <w:p>
            <w:pPr>
              <w:spacing w:after="0"/>
              <w:rPr>
                <w:sz w:val="1"/>
                <w:szCs w:val="1"/>
                <w:color w:val="auto"/>
              </w:rPr>
            </w:pPr>
          </w:p>
        </w:tc>
      </w:tr>
      <w:tr>
        <w:trPr>
          <w:trHeight w:val="270"/>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Diluted earnings per common share</w:t>
            </w:r>
          </w:p>
        </w:tc>
        <w:tc>
          <w:tcPr>
            <w:tcW w:w="100" w:type="dxa"/>
            <w:vAlign w:val="bottom"/>
          </w:tcPr>
          <w:p>
            <w:pPr>
              <w:jc w:val="right"/>
              <w:spacing w:after="0"/>
              <w:rPr>
                <w:sz w:val="20"/>
                <w:szCs w:val="20"/>
                <w:color w:val="auto"/>
              </w:rPr>
            </w:pPr>
            <w:r>
              <w:rPr>
                <w:rFonts w:ascii="Arial" w:cs="Arial" w:eastAsia="Arial" w:hAnsi="Arial"/>
                <w:sz w:val="20"/>
                <w:szCs w:val="20"/>
                <w:b w:val="1"/>
                <w:bCs w:val="1"/>
                <w:color w:val="00497F"/>
                <w:w w:val="71"/>
              </w:rPr>
              <w:t>$</w:t>
            </w:r>
          </w:p>
        </w:tc>
        <w:tc>
          <w:tcPr>
            <w:tcW w:w="1600" w:type="dxa"/>
            <w:vAlign w:val="bottom"/>
            <w:tcBorders>
              <w:right w:val="single" w:sz="8" w:color="auto"/>
            </w:tcBorders>
          </w:tcPr>
          <w:p>
            <w:pPr>
              <w:jc w:val="right"/>
              <w:ind w:right="41"/>
              <w:spacing w:after="0"/>
              <w:rPr>
                <w:sz w:val="20"/>
                <w:szCs w:val="20"/>
                <w:color w:val="auto"/>
              </w:rPr>
            </w:pPr>
            <w:r>
              <w:rPr>
                <w:rFonts w:ascii="Arial" w:cs="Arial" w:eastAsia="Arial" w:hAnsi="Arial"/>
                <w:sz w:val="20"/>
                <w:szCs w:val="20"/>
                <w:b w:val="1"/>
                <w:bCs w:val="1"/>
                <w:color w:val="00497F"/>
              </w:rPr>
              <w:t>11.10</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4.93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6.17</w:t>
            </w:r>
          </w:p>
        </w:tc>
        <w:tc>
          <w:tcPr>
            <w:tcW w:w="1300" w:type="dxa"/>
            <w:vAlign w:val="bottom"/>
          </w:tcPr>
          <w:p>
            <w:pPr>
              <w:jc w:val="right"/>
              <w:spacing w:after="0"/>
              <w:rPr>
                <w:sz w:val="20"/>
                <w:szCs w:val="20"/>
                <w:color w:val="auto"/>
              </w:rPr>
            </w:pPr>
            <w:r>
              <w:rPr>
                <w:rFonts w:ascii="Arial" w:cs="Arial" w:eastAsia="Arial" w:hAnsi="Arial"/>
                <w:sz w:val="20"/>
                <w:szCs w:val="20"/>
                <w:color w:val="auto"/>
              </w:rPr>
              <w:t>125.2 %</w:t>
            </w:r>
          </w:p>
        </w:tc>
        <w:tc>
          <w:tcPr>
            <w:tcW w:w="0" w:type="dxa"/>
            <w:vAlign w:val="bottom"/>
          </w:tcPr>
          <w:p>
            <w:pPr>
              <w:spacing w:after="0"/>
              <w:rPr>
                <w:sz w:val="1"/>
                <w:szCs w:val="1"/>
                <w:color w:val="auto"/>
              </w:rPr>
            </w:pPr>
          </w:p>
        </w:tc>
      </w:tr>
      <w:tr>
        <w:trPr>
          <w:trHeight w:val="465"/>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9"/>
              </w:rPr>
              <w:t>Shares used in computing basic earnings per common share</w:t>
            </w:r>
          </w:p>
        </w:tc>
        <w:tc>
          <w:tcPr>
            <w:tcW w:w="100" w:type="dxa"/>
            <w:vAlign w:val="bottom"/>
          </w:tcPr>
          <w:p>
            <w:pPr>
              <w:spacing w:after="0"/>
              <w:rPr>
                <w:sz w:val="24"/>
                <w:szCs w:val="24"/>
                <w:color w:val="auto"/>
              </w:rPr>
            </w:pPr>
          </w:p>
        </w:tc>
        <w:tc>
          <w:tcPr>
            <w:tcW w:w="1600" w:type="dxa"/>
            <w:vAlign w:val="bottom"/>
            <w:tcBorders>
              <w:right w:val="single" w:sz="8" w:color="auto"/>
            </w:tcBorders>
            <w:vMerge w:val="restart"/>
          </w:tcPr>
          <w:p>
            <w:pPr>
              <w:jc w:val="right"/>
              <w:ind w:right="41"/>
              <w:spacing w:after="0"/>
              <w:rPr>
                <w:sz w:val="20"/>
                <w:szCs w:val="20"/>
                <w:color w:val="auto"/>
              </w:rPr>
            </w:pPr>
            <w:r>
              <w:rPr>
                <w:rFonts w:ascii="Arial" w:cs="Arial" w:eastAsia="Arial" w:hAnsi="Arial"/>
                <w:sz w:val="20"/>
                <w:szCs w:val="20"/>
                <w:b w:val="1"/>
                <w:bCs w:val="1"/>
                <w:color w:val="00497F"/>
              </w:rPr>
              <w:t>135,223</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(000’s)</w:t>
            </w:r>
          </w:p>
        </w:tc>
        <w:tc>
          <w:tcPr>
            <w:tcW w:w="100" w:type="dxa"/>
            <w:vAlign w:val="bottom"/>
          </w:tcPr>
          <w:p>
            <w:pPr>
              <w:spacing w:after="0"/>
              <w:rPr>
                <w:sz w:val="20"/>
                <w:szCs w:val="20"/>
                <w:color w:val="auto"/>
              </w:rPr>
            </w:pPr>
          </w:p>
        </w:tc>
        <w:tc>
          <w:tcPr>
            <w:tcW w:w="1600" w:type="dxa"/>
            <w:vAlign w:val="bottom"/>
            <w:tcBorders>
              <w:right w:val="single" w:sz="8" w:color="auto"/>
            </w:tcBorders>
            <w:vMerge w:val="continue"/>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137,833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Shares used in computing diluted earnings per common</w:t>
            </w:r>
          </w:p>
        </w:tc>
        <w:tc>
          <w:tcPr>
            <w:tcW w:w="100" w:type="dxa"/>
            <w:vAlign w:val="bottom"/>
          </w:tcPr>
          <w:p>
            <w:pPr>
              <w:spacing w:after="0"/>
              <w:rPr>
                <w:sz w:val="21"/>
                <w:szCs w:val="21"/>
                <w:color w:val="auto"/>
              </w:rPr>
            </w:pPr>
          </w:p>
        </w:tc>
        <w:tc>
          <w:tcPr>
            <w:tcW w:w="1600" w:type="dxa"/>
            <w:vAlign w:val="bottom"/>
            <w:tcBorders>
              <w:right w:val="single" w:sz="8" w:color="auto"/>
            </w:tcBorders>
            <w:vMerge w:val="restart"/>
          </w:tcPr>
          <w:p>
            <w:pPr>
              <w:jc w:val="right"/>
              <w:ind w:right="41"/>
              <w:spacing w:after="0"/>
              <w:rPr>
                <w:sz w:val="20"/>
                <w:szCs w:val="20"/>
                <w:color w:val="auto"/>
              </w:rPr>
            </w:pPr>
            <w:r>
              <w:rPr>
                <w:rFonts w:ascii="Arial" w:cs="Arial" w:eastAsia="Arial" w:hAnsi="Arial"/>
                <w:sz w:val="20"/>
                <w:szCs w:val="20"/>
                <w:b w:val="1"/>
                <w:bCs w:val="1"/>
                <w:color w:val="00497F"/>
              </w:rPr>
              <w:t>135,770</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share (000’s)</w:t>
            </w: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vMerge w:val="continue"/>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138,703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5"/>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1201"/>
              <w:spacing w:after="0"/>
              <w:rPr>
                <w:sz w:val="20"/>
                <w:szCs w:val="20"/>
                <w:color w:val="auto"/>
              </w:rPr>
            </w:pPr>
            <w:r>
              <w:rPr>
                <w:rFonts w:ascii="Arial" w:cs="Arial" w:eastAsia="Arial" w:hAnsi="Arial"/>
                <w:sz w:val="20"/>
                <w:szCs w:val="20"/>
                <w:color w:val="auto"/>
                <w:w w:val="89"/>
              </w:rPr>
              <w:t>S-4</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4" w:right="239"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t>Humana Inc.</w:t>
      </w:r>
    </w:p>
    <w:p>
      <w:pPr>
        <w:spacing w:after="0"/>
        <w:rPr>
          <w:sz w:val="20"/>
          <w:szCs w:val="20"/>
          <w:color w:val="auto"/>
        </w:rPr>
      </w:pPr>
      <w:r>
        <w:rPr>
          <w:rFonts w:ascii="Arial" w:cs="Arial" w:eastAsia="Arial" w:hAnsi="Arial"/>
          <w:sz w:val="20"/>
          <w:szCs w:val="20"/>
          <w:color w:val="auto"/>
        </w:rPr>
        <w:t>Consolidated Balance Sheets</w:t>
      </w:r>
    </w:p>
    <w:p>
      <w:pPr>
        <w:spacing w:after="0"/>
        <w:rPr>
          <w:sz w:val="20"/>
          <w:szCs w:val="20"/>
          <w:color w:val="auto"/>
        </w:rPr>
      </w:pPr>
      <w:r>
        <w:rPr>
          <w:rFonts w:ascii="Arial" w:cs="Arial" w:eastAsia="Arial" w:hAnsi="Arial"/>
          <w:sz w:val="20"/>
          <w:szCs w:val="20"/>
          <w:i w:val="1"/>
          <w:iCs w:val="1"/>
          <w:color w:val="auto"/>
        </w:rPr>
        <w:t>Dollars in millions, except share amounts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700" w:type="dxa"/>
            <w:vAlign w:val="bottom"/>
          </w:tcPr>
          <w:p>
            <w:pPr>
              <w:spacing w:after="0"/>
              <w:rPr>
                <w:sz w:val="22"/>
                <w:szCs w:val="22"/>
                <w:color w:val="auto"/>
              </w:rPr>
            </w:pPr>
          </w:p>
        </w:tc>
        <w:tc>
          <w:tcPr>
            <w:tcW w:w="180" w:type="dxa"/>
            <w:vAlign w:val="bottom"/>
            <w:tcBorders>
              <w:top w:val="single" w:sz="8" w:color="auto"/>
              <w:left w:val="single" w:sz="8" w:color="auto"/>
            </w:tcBorders>
          </w:tcPr>
          <w:p>
            <w:pPr>
              <w:spacing w:after="0"/>
              <w:rPr>
                <w:sz w:val="22"/>
                <w:szCs w:val="22"/>
                <w:color w:val="auto"/>
              </w:rPr>
            </w:pPr>
          </w:p>
        </w:tc>
        <w:tc>
          <w:tcPr>
            <w:tcW w:w="90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00497F"/>
              </w:rPr>
              <w:t>June 30,</w:t>
            </w: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December 31,</w:t>
            </w:r>
          </w:p>
        </w:tc>
        <w:tc>
          <w:tcPr>
            <w:tcW w:w="120" w:type="dxa"/>
            <w:vAlign w:val="bottom"/>
            <w:tcBorders>
              <w:right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840" w:type="dxa"/>
            <w:vAlign w:val="bottom"/>
            <w:tcBorders>
              <w:top w:val="single" w:sz="8" w:color="auto"/>
              <w:bottom w:val="single" w:sz="8" w:color="auto"/>
              <w:right w:val="single" w:sz="8" w:color="auto"/>
            </w:tcBorders>
            <w:gridSpan w:val="2"/>
          </w:tcPr>
          <w:p>
            <w:pPr>
              <w:jc w:val="right"/>
              <w:ind w:right="268"/>
              <w:spacing w:after="0"/>
              <w:rPr>
                <w:sz w:val="20"/>
                <w:szCs w:val="20"/>
                <w:color w:val="auto"/>
              </w:rPr>
            </w:pPr>
            <w:r>
              <w:rPr>
                <w:rFonts w:ascii="Arial" w:cs="Arial" w:eastAsia="Arial" w:hAnsi="Arial"/>
                <w:sz w:val="14"/>
                <w:szCs w:val="14"/>
                <w:color w:val="auto"/>
              </w:rPr>
              <w:t>Year-to-Date Change</w:t>
            </w: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180" w:type="dxa"/>
            <w:vAlign w:val="bottom"/>
            <w:tcBorders>
              <w:left w:val="single" w:sz="8" w:color="auto"/>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4"/>
                <w:szCs w:val="14"/>
                <w:b w:val="1"/>
                <w:bCs w:val="1"/>
                <w:color w:val="00497F"/>
              </w:rPr>
              <w:t>2019</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Dollar</w:t>
            </w: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91"/>
        </w:trPr>
        <w:tc>
          <w:tcPr>
            <w:tcW w:w="57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lef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5700" w:type="dxa"/>
            <w:vAlign w:val="bottom"/>
          </w:tcPr>
          <w:p>
            <w:pPr>
              <w:ind w:left="340"/>
              <w:spacing w:after="0"/>
              <w:rPr>
                <w:sz w:val="20"/>
                <w:szCs w:val="20"/>
                <w:color w:val="auto"/>
              </w:rPr>
            </w:pPr>
            <w:r>
              <w:rPr>
                <w:rFonts w:ascii="Arial" w:cs="Arial" w:eastAsia="Arial" w:hAnsi="Arial"/>
                <w:sz w:val="14"/>
                <w:szCs w:val="14"/>
                <w:color w:val="auto"/>
              </w:rPr>
              <w:t>Current assets:</w:t>
            </w:r>
          </w:p>
        </w:tc>
        <w:tc>
          <w:tcPr>
            <w:tcW w:w="1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left w:val="single" w:sz="8" w:color="auto"/>
            </w:tcBorders>
          </w:tcPr>
          <w:p>
            <w:pPr>
              <w:jc w:val="right"/>
              <w:spacing w:after="0"/>
              <w:rPr>
                <w:sz w:val="20"/>
                <w:szCs w:val="20"/>
                <w:color w:val="auto"/>
              </w:rPr>
            </w:pPr>
            <w:r>
              <w:rPr>
                <w:rFonts w:ascii="Arial" w:cs="Arial" w:eastAsia="Arial" w:hAnsi="Arial"/>
                <w:sz w:val="14"/>
                <w:szCs w:val="14"/>
                <w:b w:val="1"/>
                <w:bCs w:val="1"/>
                <w:color w:val="00497F"/>
              </w:rPr>
              <w:t>$</w:t>
            </w: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4,778</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2,343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340"/>
              <w:spacing w:after="0"/>
              <w:rPr>
                <w:sz w:val="20"/>
                <w:szCs w:val="20"/>
                <w:color w:val="auto"/>
              </w:rPr>
            </w:pPr>
            <w:r>
              <w:rPr>
                <w:rFonts w:ascii="Arial" w:cs="Arial" w:eastAsia="Arial" w:hAnsi="Arial"/>
                <w:sz w:val="14"/>
                <w:szCs w:val="14"/>
                <w:color w:val="auto"/>
              </w:rPr>
              <w:t>Investment securities</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9,991</w:t>
            </w: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10,026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340"/>
              <w:spacing w:after="0"/>
              <w:rPr>
                <w:sz w:val="20"/>
                <w:szCs w:val="20"/>
                <w:color w:val="auto"/>
              </w:rPr>
            </w:pPr>
            <w:r>
              <w:rPr>
                <w:rFonts w:ascii="Arial" w:cs="Arial" w:eastAsia="Arial" w:hAnsi="Arial"/>
                <w:sz w:val="14"/>
                <w:szCs w:val="14"/>
                <w:color w:val="auto"/>
              </w:rPr>
              <w:t>Receivables, net</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904</w:t>
            </w: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700" w:type="dxa"/>
            <w:vAlign w:val="bottom"/>
          </w:tcPr>
          <w:p>
            <w:pPr>
              <w:ind w:left="340"/>
              <w:spacing w:after="0"/>
              <w:rPr>
                <w:sz w:val="20"/>
                <w:szCs w:val="20"/>
                <w:color w:val="auto"/>
              </w:rPr>
            </w:pPr>
            <w:r>
              <w:rPr>
                <w:rFonts w:ascii="Arial" w:cs="Arial" w:eastAsia="Arial" w:hAnsi="Arial"/>
                <w:sz w:val="14"/>
                <w:szCs w:val="14"/>
                <w:color w:val="auto"/>
              </w:rPr>
              <w:t>Other current assets</w:t>
            </w:r>
          </w:p>
        </w:tc>
        <w:tc>
          <w:tcPr>
            <w:tcW w:w="18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4,487</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70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80" w:type="dxa"/>
            <w:vAlign w:val="bottom"/>
            <w:tcBorders>
              <w:left w:val="single" w:sz="8" w:color="auto"/>
            </w:tcBorders>
          </w:tcPr>
          <w:p>
            <w:pPr>
              <w:spacing w:after="0"/>
              <w:rPr>
                <w:sz w:val="21"/>
                <w:szCs w:val="21"/>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20,160</w:t>
            </w:r>
          </w:p>
        </w:tc>
        <w:tc>
          <w:tcPr>
            <w:tcW w:w="240" w:type="dxa"/>
            <w:vAlign w:val="bottom"/>
          </w:tcPr>
          <w:p>
            <w:pPr>
              <w:spacing w:after="0"/>
              <w:rPr>
                <w:sz w:val="21"/>
                <w:szCs w:val="21"/>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16,948</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3,212</w:t>
            </w:r>
          </w:p>
        </w:tc>
        <w:tc>
          <w:tcPr>
            <w:tcW w:w="98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1,796</w:t>
            </w: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1,735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4"/>
                <w:szCs w:val="14"/>
                <w:color w:val="auto"/>
              </w:rPr>
              <w:t>Long-term investment securities</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411</w:t>
            </w: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4"/>
                <w:szCs w:val="14"/>
                <w:color w:val="auto"/>
              </w:rPr>
              <w:t>Goodwill</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3,922</w:t>
            </w: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3,897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4"/>
                <w:szCs w:val="14"/>
                <w:color w:val="auto"/>
              </w:rPr>
              <w:t>Equity method investment in Kindred at Home</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1,056</w:t>
            </w: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700" w:type="dxa"/>
            <w:vAlign w:val="bottom"/>
          </w:tcPr>
          <w:p>
            <w:pPr>
              <w:spacing w:after="0"/>
              <w:rPr>
                <w:sz w:val="20"/>
                <w:szCs w:val="20"/>
                <w:color w:val="auto"/>
              </w:rPr>
            </w:pPr>
            <w:r>
              <w:rPr>
                <w:rFonts w:ascii="Arial" w:cs="Arial" w:eastAsia="Arial" w:hAnsi="Arial"/>
                <w:sz w:val="14"/>
                <w:szCs w:val="14"/>
                <w:color w:val="auto"/>
              </w:rPr>
              <w:t>Other long-term assets</w:t>
            </w:r>
          </w:p>
        </w:tc>
        <w:tc>
          <w:tcPr>
            <w:tcW w:w="18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1,568</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1,375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w:t>
            </w:r>
          </w:p>
        </w:tc>
        <w:tc>
          <w:tcPr>
            <w:tcW w:w="90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28,913</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25,413</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3,500</w:t>
            </w:r>
          </w:p>
        </w:tc>
        <w:tc>
          <w:tcPr>
            <w:tcW w:w="98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700" w:type="dxa"/>
            <w:vAlign w:val="bottom"/>
            <w:vMerge w:val="continue"/>
          </w:tcPr>
          <w:p>
            <w:pPr>
              <w:spacing w:after="0"/>
              <w:rPr>
                <w:sz w:val="13"/>
                <w:szCs w:val="13"/>
                <w:color w:val="auto"/>
              </w:rPr>
            </w:pPr>
          </w:p>
        </w:tc>
        <w:tc>
          <w:tcPr>
            <w:tcW w:w="180" w:type="dxa"/>
            <w:vAlign w:val="bottom"/>
            <w:tcBorders>
              <w:lef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700" w:type="dxa"/>
            <w:vAlign w:val="bottom"/>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tcPr>
          <w:p>
            <w:pPr>
              <w:ind w:left="340"/>
              <w:spacing w:after="0"/>
              <w:rPr>
                <w:sz w:val="20"/>
                <w:szCs w:val="20"/>
                <w:color w:val="auto"/>
              </w:rPr>
            </w:pPr>
            <w:r>
              <w:rPr>
                <w:rFonts w:ascii="Arial" w:cs="Arial" w:eastAsia="Arial" w:hAnsi="Arial"/>
                <w:sz w:val="14"/>
                <w:szCs w:val="14"/>
                <w:color w:val="auto"/>
              </w:rPr>
              <w:t>Benefits payable</w:t>
            </w:r>
          </w:p>
        </w:tc>
        <w:tc>
          <w:tcPr>
            <w:tcW w:w="180" w:type="dxa"/>
            <w:vAlign w:val="bottom"/>
            <w:tcBorders>
              <w:left w:val="single" w:sz="8" w:color="auto"/>
            </w:tcBorders>
          </w:tcPr>
          <w:p>
            <w:pPr>
              <w:jc w:val="right"/>
              <w:spacing w:after="0"/>
              <w:rPr>
                <w:sz w:val="20"/>
                <w:szCs w:val="20"/>
                <w:color w:val="auto"/>
              </w:rPr>
            </w:pPr>
            <w:r>
              <w:rPr>
                <w:rFonts w:ascii="Arial" w:cs="Arial" w:eastAsia="Arial" w:hAnsi="Arial"/>
                <w:sz w:val="14"/>
                <w:szCs w:val="14"/>
                <w:b w:val="1"/>
                <w:bCs w:val="1"/>
                <w:color w:val="00497F"/>
              </w:rPr>
              <w:t>$</w:t>
            </w: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5,842</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4,862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340"/>
              <w:spacing w:after="0"/>
              <w:rPr>
                <w:sz w:val="20"/>
                <w:szCs w:val="20"/>
                <w:color w:val="auto"/>
              </w:rPr>
            </w:pPr>
            <w:r>
              <w:rPr>
                <w:rFonts w:ascii="Arial" w:cs="Arial" w:eastAsia="Arial" w:hAnsi="Arial"/>
                <w:sz w:val="14"/>
                <w:szCs w:val="14"/>
                <w:color w:val="auto"/>
              </w:rPr>
              <w:t>Trade accounts payable and accrued expenses</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3,832</w:t>
            </w: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3,067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340"/>
              <w:spacing w:after="0"/>
              <w:rPr>
                <w:sz w:val="20"/>
                <w:szCs w:val="20"/>
                <w:color w:val="auto"/>
              </w:rPr>
            </w:pPr>
            <w:r>
              <w:rPr>
                <w:rFonts w:ascii="Arial" w:cs="Arial" w:eastAsia="Arial" w:hAnsi="Arial"/>
                <w:sz w:val="14"/>
                <w:szCs w:val="14"/>
                <w:color w:val="auto"/>
              </w:rPr>
              <w:t>Book overdraft</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204</w:t>
            </w: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340"/>
              <w:spacing w:after="0"/>
              <w:rPr>
                <w:sz w:val="20"/>
                <w:szCs w:val="20"/>
                <w:color w:val="auto"/>
              </w:rPr>
            </w:pPr>
            <w:r>
              <w:rPr>
                <w:rFonts w:ascii="Arial" w:cs="Arial" w:eastAsia="Arial" w:hAnsi="Arial"/>
                <w:sz w:val="14"/>
                <w:szCs w:val="14"/>
                <w:color w:val="auto"/>
              </w:rPr>
              <w:t>Unearned revenues</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312</w:t>
            </w: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700" w:type="dxa"/>
            <w:vAlign w:val="bottom"/>
          </w:tcPr>
          <w:p>
            <w:pPr>
              <w:ind w:left="340"/>
              <w:spacing w:after="0"/>
              <w:rPr>
                <w:sz w:val="20"/>
                <w:szCs w:val="20"/>
                <w:color w:val="auto"/>
              </w:rPr>
            </w:pPr>
            <w:r>
              <w:rPr>
                <w:rFonts w:ascii="Arial" w:cs="Arial" w:eastAsia="Arial" w:hAnsi="Arial"/>
                <w:sz w:val="14"/>
                <w:szCs w:val="14"/>
                <w:color w:val="auto"/>
              </w:rPr>
              <w:t>Short-term debt</w:t>
            </w:r>
          </w:p>
        </w:tc>
        <w:tc>
          <w:tcPr>
            <w:tcW w:w="18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1,349</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70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left w:val="single" w:sz="8" w:color="auto"/>
            </w:tcBorders>
          </w:tcPr>
          <w:p>
            <w:pPr>
              <w:spacing w:after="0"/>
              <w:rPr>
                <w:sz w:val="21"/>
                <w:szCs w:val="21"/>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11,539</w:t>
            </w:r>
          </w:p>
        </w:tc>
        <w:tc>
          <w:tcPr>
            <w:tcW w:w="240" w:type="dxa"/>
            <w:vAlign w:val="bottom"/>
          </w:tcPr>
          <w:p>
            <w:pPr>
              <w:spacing w:after="0"/>
              <w:rPr>
                <w:sz w:val="21"/>
                <w:szCs w:val="21"/>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10,077</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1,462</w:t>
            </w:r>
          </w:p>
        </w:tc>
        <w:tc>
          <w:tcPr>
            <w:tcW w:w="98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4"/>
                <w:szCs w:val="14"/>
                <w:color w:val="auto"/>
              </w:rPr>
              <w:t>Long-term debt</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4,377</w:t>
            </w: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4,375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4"/>
                <w:szCs w:val="14"/>
                <w:color w:val="auto"/>
              </w:rPr>
              <w:t>Future policy benefits payable</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214</w:t>
            </w: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70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911</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5700" w:type="dxa"/>
            <w:vAlign w:val="bottom"/>
          </w:tcPr>
          <w:p>
            <w:pPr>
              <w:ind w:left="68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left w:val="single" w:sz="8" w:color="auto"/>
            </w:tcBorders>
          </w:tcPr>
          <w:p>
            <w:pPr>
              <w:spacing w:after="0"/>
              <w:rPr>
                <w:sz w:val="16"/>
                <w:szCs w:val="16"/>
                <w:color w:val="auto"/>
              </w:rPr>
            </w:pPr>
          </w:p>
        </w:tc>
        <w:tc>
          <w:tcPr>
            <w:tcW w:w="90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00497F"/>
              </w:rPr>
              <w:t>17,041</w:t>
            </w:r>
          </w:p>
        </w:tc>
        <w:tc>
          <w:tcPr>
            <w:tcW w:w="24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15,252</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auto"/>
              </w:rPr>
              <w:t>1,789</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60"/>
        </w:trPr>
        <w:tc>
          <w:tcPr>
            <w:tcW w:w="5700" w:type="dxa"/>
            <w:vAlign w:val="bottom"/>
          </w:tcPr>
          <w:p>
            <w:pPr>
              <w:spacing w:after="0"/>
              <w:rPr>
                <w:sz w:val="5"/>
                <w:szCs w:val="5"/>
                <w:color w:val="auto"/>
              </w:rPr>
            </w:pPr>
          </w:p>
        </w:tc>
        <w:tc>
          <w:tcPr>
            <w:tcW w:w="180" w:type="dxa"/>
            <w:vAlign w:val="bottom"/>
            <w:tcBorders>
              <w:left w:val="single" w:sz="8" w:color="auto"/>
              <w:bottom w:val="single" w:sz="8" w:color="auto"/>
            </w:tcBorders>
          </w:tcPr>
          <w:p>
            <w:pPr>
              <w:spacing w:after="0"/>
              <w:rPr>
                <w:sz w:val="5"/>
                <w:szCs w:val="5"/>
                <w:color w:val="auto"/>
              </w:rPr>
            </w:pPr>
          </w:p>
        </w:tc>
        <w:tc>
          <w:tcPr>
            <w:tcW w:w="900" w:type="dxa"/>
            <w:vAlign w:val="bottom"/>
            <w:tcBorders>
              <w:bottom w:val="single" w:sz="8" w:color="auto"/>
              <w:right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80" w:type="dxa"/>
            <w:vAlign w:val="bottom"/>
            <w:tcBorders>
              <w:lef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5700" w:type="dxa"/>
            <w:vAlign w:val="bottom"/>
          </w:tcPr>
          <w:p>
            <w:pPr>
              <w:spacing w:after="0"/>
              <w:rPr>
                <w:sz w:val="20"/>
                <w:szCs w:val="20"/>
                <w:color w:val="auto"/>
              </w:rPr>
            </w:pPr>
            <w:r>
              <w:rPr>
                <w:rFonts w:ascii="Arial" w:cs="Arial" w:eastAsia="Arial" w:hAnsi="Arial"/>
                <w:sz w:val="14"/>
                <w:szCs w:val="14"/>
                <w:color w:val="auto"/>
              </w:rPr>
              <w:t>Stockholders’ equity:</w:t>
            </w:r>
          </w:p>
        </w:tc>
        <w:tc>
          <w:tcPr>
            <w:tcW w:w="1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tcPr>
          <w:p>
            <w:pPr>
              <w:ind w:left="340"/>
              <w:spacing w:after="0"/>
              <w:rPr>
                <w:sz w:val="20"/>
                <w:szCs w:val="20"/>
                <w:color w:val="auto"/>
              </w:rPr>
            </w:pPr>
            <w:r>
              <w:rPr>
                <w:rFonts w:ascii="Arial" w:cs="Arial" w:eastAsia="Arial" w:hAnsi="Arial"/>
                <w:sz w:val="14"/>
                <w:szCs w:val="14"/>
                <w:color w:val="auto"/>
              </w:rPr>
              <w:t>Preferred stock, $1 par; 10,000,000 shares authorized, none issued</w:t>
            </w:r>
          </w:p>
        </w:tc>
        <w:tc>
          <w:tcPr>
            <w:tcW w:w="1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w:t>
            </w:r>
          </w:p>
        </w:tc>
        <w:tc>
          <w:tcPr>
            <w:tcW w:w="24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700" w:type="dxa"/>
            <w:vAlign w:val="bottom"/>
          </w:tcPr>
          <w:p>
            <w:pPr>
              <w:ind w:left="340"/>
              <w:spacing w:after="0"/>
              <w:rPr>
                <w:sz w:val="20"/>
                <w:szCs w:val="20"/>
                <w:color w:val="auto"/>
              </w:rPr>
            </w:pPr>
            <w:r>
              <w:rPr>
                <w:rFonts w:ascii="Arial" w:cs="Arial" w:eastAsia="Arial" w:hAnsi="Arial"/>
                <w:sz w:val="14"/>
                <w:szCs w:val="14"/>
                <w:color w:val="auto"/>
              </w:rPr>
              <w:t>Common stock, $0.16 2/3 par; 300,000,000 shares authorized; 198,627,992 issued</w:t>
            </w:r>
          </w:p>
        </w:tc>
        <w:tc>
          <w:tcPr>
            <w:tcW w:w="180" w:type="dxa"/>
            <w:vAlign w:val="bottom"/>
            <w:tcBorders>
              <w:left w:val="single" w:sz="8" w:color="auto"/>
            </w:tcBorders>
          </w:tcPr>
          <w:p>
            <w:pPr>
              <w:spacing w:after="0"/>
              <w:rPr>
                <w:sz w:val="17"/>
                <w:szCs w:val="17"/>
                <w:color w:val="auto"/>
              </w:rPr>
            </w:pPr>
          </w:p>
        </w:tc>
        <w:tc>
          <w:tcPr>
            <w:tcW w:w="90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00497F"/>
              </w:rPr>
              <w:t>33</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700" w:type="dxa"/>
            <w:vAlign w:val="bottom"/>
          </w:tcPr>
          <w:p>
            <w:pPr>
              <w:ind w:left="340"/>
              <w:spacing w:after="0"/>
              <w:rPr>
                <w:sz w:val="20"/>
                <w:szCs w:val="20"/>
                <w:color w:val="auto"/>
              </w:rPr>
            </w:pPr>
            <w:r>
              <w:rPr>
                <w:rFonts w:ascii="Arial" w:cs="Arial" w:eastAsia="Arial" w:hAnsi="Arial"/>
                <w:sz w:val="14"/>
                <w:szCs w:val="14"/>
                <w:color w:val="auto"/>
              </w:rPr>
              <w:t>at June 30, 2019</w:t>
            </w:r>
          </w:p>
        </w:tc>
        <w:tc>
          <w:tcPr>
            <w:tcW w:w="180" w:type="dxa"/>
            <w:vAlign w:val="bottom"/>
            <w:tcBorders>
              <w:left w:val="single" w:sz="8" w:color="auto"/>
            </w:tcBorders>
          </w:tcPr>
          <w:p>
            <w:pPr>
              <w:spacing w:after="0"/>
              <w:rPr>
                <w:sz w:val="14"/>
                <w:szCs w:val="14"/>
                <w:color w:val="auto"/>
              </w:rPr>
            </w:pPr>
          </w:p>
        </w:tc>
        <w:tc>
          <w:tcPr>
            <w:tcW w:w="900" w:type="dxa"/>
            <w:vAlign w:val="bottom"/>
            <w:tcBorders>
              <w:right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340"/>
              <w:spacing w:after="0"/>
              <w:rPr>
                <w:sz w:val="20"/>
                <w:szCs w:val="20"/>
                <w:color w:val="auto"/>
              </w:rPr>
            </w:pPr>
            <w:r>
              <w:rPr>
                <w:rFonts w:ascii="Arial" w:cs="Arial" w:eastAsia="Arial" w:hAnsi="Arial"/>
                <w:sz w:val="14"/>
                <w:szCs w:val="14"/>
                <w:color w:val="auto"/>
              </w:rPr>
              <w:t>Capital in excess of par value</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2,763</w:t>
            </w: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2,535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16,429</w:t>
            </w: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15,072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34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112</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700" w:type="dxa"/>
            <w:vAlign w:val="bottom"/>
          </w:tcPr>
          <w:p>
            <w:pPr>
              <w:ind w:left="340"/>
              <w:spacing w:after="0"/>
              <w:rPr>
                <w:sz w:val="20"/>
                <w:szCs w:val="20"/>
                <w:color w:val="auto"/>
              </w:rPr>
            </w:pPr>
            <w:r>
              <w:rPr>
                <w:rFonts w:ascii="Arial" w:cs="Arial" w:eastAsia="Arial" w:hAnsi="Arial"/>
                <w:sz w:val="14"/>
                <w:szCs w:val="14"/>
                <w:color w:val="auto"/>
              </w:rPr>
              <w:t>Treasury stock, at cost, 63,538,702 shares at June 30, 2019</w:t>
            </w:r>
          </w:p>
        </w:tc>
        <w:tc>
          <w:tcPr>
            <w:tcW w:w="18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00497F"/>
              </w:rPr>
              <w:t>(7,465)</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5700" w:type="dxa"/>
            <w:vAlign w:val="bottom"/>
          </w:tcPr>
          <w:p>
            <w:pPr>
              <w:ind w:left="680"/>
              <w:spacing w:after="0"/>
              <w:rPr>
                <w:sz w:val="20"/>
                <w:szCs w:val="20"/>
                <w:color w:val="auto"/>
              </w:rPr>
            </w:pPr>
            <w:r>
              <w:rPr>
                <w:rFonts w:ascii="Arial" w:cs="Arial" w:eastAsia="Arial" w:hAnsi="Arial"/>
                <w:sz w:val="14"/>
                <w:szCs w:val="14"/>
                <w:b w:val="1"/>
                <w:bCs w:val="1"/>
                <w:color w:val="auto"/>
              </w:rPr>
              <w:t>Total stockholders’ equity</w:t>
            </w:r>
          </w:p>
        </w:tc>
        <w:tc>
          <w:tcPr>
            <w:tcW w:w="180" w:type="dxa"/>
            <w:vAlign w:val="bottom"/>
            <w:tcBorders>
              <w:left w:val="single" w:sz="8" w:color="auto"/>
            </w:tcBorders>
          </w:tcPr>
          <w:p>
            <w:pPr>
              <w:spacing w:after="0"/>
              <w:rPr>
                <w:sz w:val="16"/>
                <w:szCs w:val="16"/>
                <w:color w:val="auto"/>
              </w:rPr>
            </w:pPr>
          </w:p>
        </w:tc>
        <w:tc>
          <w:tcPr>
            <w:tcW w:w="90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00497F"/>
              </w:rPr>
              <w:t>11,872</w:t>
            </w:r>
          </w:p>
        </w:tc>
        <w:tc>
          <w:tcPr>
            <w:tcW w:w="24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10,161</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auto"/>
              </w:rPr>
              <w:t>1,711</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60"/>
        </w:trPr>
        <w:tc>
          <w:tcPr>
            <w:tcW w:w="5700" w:type="dxa"/>
            <w:vAlign w:val="bottom"/>
          </w:tcPr>
          <w:p>
            <w:pPr>
              <w:spacing w:after="0"/>
              <w:rPr>
                <w:sz w:val="5"/>
                <w:szCs w:val="5"/>
                <w:color w:val="auto"/>
              </w:rPr>
            </w:pPr>
          </w:p>
        </w:tc>
        <w:tc>
          <w:tcPr>
            <w:tcW w:w="180" w:type="dxa"/>
            <w:vAlign w:val="bottom"/>
            <w:tcBorders>
              <w:left w:val="single" w:sz="8" w:color="auto"/>
              <w:bottom w:val="single" w:sz="8" w:color="auto"/>
            </w:tcBorders>
          </w:tcPr>
          <w:p>
            <w:pPr>
              <w:spacing w:after="0"/>
              <w:rPr>
                <w:sz w:val="5"/>
                <w:szCs w:val="5"/>
                <w:color w:val="auto"/>
              </w:rPr>
            </w:pPr>
          </w:p>
        </w:tc>
        <w:tc>
          <w:tcPr>
            <w:tcW w:w="900" w:type="dxa"/>
            <w:vAlign w:val="bottom"/>
            <w:tcBorders>
              <w:bottom w:val="single" w:sz="8" w:color="auto"/>
              <w:right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w:t>
            </w:r>
          </w:p>
        </w:tc>
        <w:tc>
          <w:tcPr>
            <w:tcW w:w="90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28,913</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25,413</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3,500</w:t>
            </w:r>
          </w:p>
        </w:tc>
        <w:tc>
          <w:tcPr>
            <w:tcW w:w="98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700" w:type="dxa"/>
            <w:vAlign w:val="bottom"/>
          </w:tcPr>
          <w:p>
            <w:pPr>
              <w:spacing w:after="0"/>
              <w:rPr>
                <w:sz w:val="20"/>
                <w:szCs w:val="20"/>
                <w:color w:val="auto"/>
              </w:rPr>
            </w:pPr>
            <w:r>
              <w:rPr>
                <w:rFonts w:ascii="Arial" w:cs="Arial" w:eastAsia="Arial" w:hAnsi="Arial"/>
                <w:sz w:val="14"/>
                <w:szCs w:val="14"/>
                <w:color w:val="auto"/>
              </w:rPr>
              <w:t>Debt-to-total capitalization ratio</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700" w:type="dxa"/>
            <w:vAlign w:val="bottom"/>
          </w:tcPr>
          <w:p>
            <w:pPr>
              <w:spacing w:after="0"/>
              <w:rPr>
                <w:sz w:val="20"/>
                <w:szCs w:val="20"/>
                <w:color w:val="auto"/>
              </w:rPr>
            </w:pPr>
            <w:r>
              <w:rPr>
                <w:rFonts w:ascii="Arial" w:cs="Arial" w:eastAsia="Arial" w:hAnsi="Arial"/>
                <w:sz w:val="14"/>
                <w:szCs w:val="14"/>
                <w:color w:val="auto"/>
              </w:rPr>
              <w:t>Return on Invested Capital (ROIC) based on Net Operating Profit After Tax (NOPAT)—</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700" w:type="dxa"/>
            <w:vAlign w:val="bottom"/>
          </w:tcPr>
          <w:p>
            <w:pPr>
              <w:spacing w:after="0"/>
              <w:rPr>
                <w:sz w:val="20"/>
                <w:szCs w:val="20"/>
                <w:color w:val="auto"/>
              </w:rPr>
            </w:pPr>
            <w:r>
              <w:rPr>
                <w:rFonts w:ascii="Arial" w:cs="Arial" w:eastAsia="Arial" w:hAnsi="Arial"/>
                <w:sz w:val="14"/>
                <w:szCs w:val="14"/>
                <w:color w:val="auto"/>
              </w:rPr>
              <w:t>trailing 12 months</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15.6%</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S-5</w:t>
      </w:r>
    </w:p>
    <w:p>
      <w:pPr>
        <w:sectPr>
          <w:pgSz w:w="11900" w:h="16838" w:orient="portrait"/>
          <w:cols w:equalWidth="0" w:num="1">
            <w:col w:w="10219"/>
          </w:cols>
          <w:pgMar w:left="240" w:top="608" w:right="1440"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Humana Inc.</w:t>
      </w:r>
    </w:p>
    <w:p>
      <w:pPr>
        <w:spacing w:after="0"/>
        <w:rPr>
          <w:sz w:val="20"/>
          <w:szCs w:val="20"/>
          <w:color w:val="auto"/>
        </w:rPr>
      </w:pPr>
      <w:r>
        <w:rPr>
          <w:rFonts w:ascii="Arial" w:cs="Arial" w:eastAsia="Arial" w:hAnsi="Arial"/>
          <w:sz w:val="20"/>
          <w:szCs w:val="20"/>
          <w:color w:val="auto"/>
        </w:rPr>
        <w:t>Consolidated Statements of Cash Flows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600" w:type="dxa"/>
            <w:vAlign w:val="bottom"/>
            <w:tcBorders>
              <w:right w:val="single" w:sz="8" w:color="auto"/>
            </w:tcBorders>
          </w:tcPr>
          <w:p>
            <w:pPr>
              <w:spacing w:after="0"/>
              <w:rPr>
                <w:sz w:val="16"/>
                <w:szCs w:val="16"/>
                <w:color w:val="auto"/>
              </w:rPr>
            </w:pPr>
          </w:p>
        </w:tc>
        <w:tc>
          <w:tcPr>
            <w:tcW w:w="2460" w:type="dxa"/>
            <w:vAlign w:val="bottom"/>
            <w:tcBorders>
              <w:top w:val="single" w:sz="8" w:color="auto"/>
              <w:right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For the three months ended June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6"/>
        </w:trPr>
        <w:tc>
          <w:tcPr>
            <w:tcW w:w="560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30,</w:t>
            </w:r>
          </w:p>
        </w:tc>
        <w:tc>
          <w:tcPr>
            <w:tcW w:w="960" w:type="dxa"/>
            <w:vAlign w:val="bottom"/>
            <w:tcBorders>
              <w:bottom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4"/>
        </w:trPr>
        <w:tc>
          <w:tcPr>
            <w:tcW w:w="56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Dollar</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Percentage</w:t>
            </w:r>
          </w:p>
        </w:tc>
      </w:tr>
      <w:tr>
        <w:trPr>
          <w:trHeight w:val="250"/>
        </w:trPr>
        <w:tc>
          <w:tcPr>
            <w:tcW w:w="5600" w:type="dxa"/>
            <w:vAlign w:val="bottom"/>
            <w:tcBorders>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b w:val="1"/>
                <w:bCs w:val="1"/>
                <w:color w:val="00497F"/>
              </w:rPr>
              <w:t>2019</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80" w:type="dxa"/>
            <w:vAlign w:val="bottom"/>
          </w:tcPr>
          <w:p>
            <w:pPr>
              <w:spacing w:after="0"/>
              <w:rPr>
                <w:sz w:val="21"/>
                <w:szCs w:val="21"/>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Change</w:t>
            </w: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Change</w:t>
            </w:r>
          </w:p>
        </w:tc>
      </w:tr>
      <w:tr>
        <w:trPr>
          <w:trHeight w:val="191"/>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38"/>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00497F"/>
              </w:rPr>
              <w:t>$</w:t>
            </w: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940</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6"/>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Adjustments to reconcile net income to net cash provided by (used in) operating</w:t>
            </w:r>
          </w:p>
        </w:tc>
        <w:tc>
          <w:tcPr>
            <w:tcW w:w="26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2"/>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activities:</w:t>
            </w:r>
          </w:p>
        </w:tc>
        <w:tc>
          <w:tcPr>
            <w:tcW w:w="2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70"/>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Loss on sale of business</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00497F"/>
              </w:rPr>
              <w:t>—</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790</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122</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Amortization</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18</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Net realized capital gain</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(7)</w:t>
            </w: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Equity in net earnings of Kindred at Home</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(12)</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43</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Benefit for deferred income taxes</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w:t>
            </w: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(387)</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6"/>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Changes in operating assets and liabilities, net of effect of businesses</w:t>
            </w:r>
          </w:p>
        </w:tc>
        <w:tc>
          <w:tcPr>
            <w:tcW w:w="26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2"/>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acquired and dispositions:</w:t>
            </w:r>
          </w:p>
        </w:tc>
        <w:tc>
          <w:tcPr>
            <w:tcW w:w="2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70"/>
        </w:trPr>
        <w:tc>
          <w:tcPr>
            <w:tcW w:w="560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Receivables</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1,063</w:t>
            </w: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(197)</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(446)</w:t>
            </w: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(494)</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Benefits payable</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(182)</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(132)</w:t>
            </w: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Unearned revenues</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w:t>
            </w: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6"/>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27</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1,434</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1120" w:type="dxa"/>
            <w:vAlign w:val="bottom"/>
            <w:gridSpan w:val="2"/>
          </w:tcPr>
          <w:p>
            <w:pPr>
              <w:jc w:val="right"/>
              <w:ind w:right="68"/>
              <w:spacing w:after="0"/>
              <w:rPr>
                <w:sz w:val="20"/>
                <w:szCs w:val="20"/>
                <w:color w:val="auto"/>
              </w:rPr>
            </w:pPr>
            <w:r>
              <w:rPr>
                <w:rFonts w:ascii="Arial" w:cs="Arial" w:eastAsia="Arial" w:hAnsi="Arial"/>
                <w:sz w:val="14"/>
                <w:szCs w:val="14"/>
                <w:color w:val="auto"/>
              </w:rPr>
              <w:t>$1,559</w:t>
            </w:r>
          </w:p>
        </w:tc>
        <w:tc>
          <w:tcPr>
            <w:tcW w:w="960" w:type="dxa"/>
            <w:vAlign w:val="bottom"/>
          </w:tcPr>
          <w:p>
            <w:pPr>
              <w:jc w:val="right"/>
              <w:spacing w:after="0"/>
              <w:rPr>
                <w:sz w:val="20"/>
                <w:szCs w:val="20"/>
                <w:color w:val="auto"/>
              </w:rPr>
            </w:pPr>
            <w:r>
              <w:rPr>
                <w:rFonts w:ascii="Arial" w:cs="Arial" w:eastAsia="Arial" w:hAnsi="Arial"/>
                <w:sz w:val="14"/>
                <w:szCs w:val="14"/>
                <w:color w:val="auto"/>
              </w:rPr>
              <w:t>1,247.2 %</w:t>
            </w:r>
          </w:p>
        </w:tc>
      </w:tr>
      <w:tr>
        <w:trPr>
          <w:trHeight w:val="191"/>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38"/>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Acquisitions, net of cash acquired</w:t>
            </w:r>
          </w:p>
        </w:tc>
        <w:tc>
          <w:tcPr>
            <w:tcW w:w="260" w:type="dxa"/>
            <w:vAlign w:val="bottom"/>
          </w:tcPr>
          <w:p>
            <w:pPr>
              <w:spacing w:after="0"/>
              <w:rPr>
                <w:sz w:val="24"/>
                <w:szCs w:val="24"/>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w:t>
            </w:r>
          </w:p>
        </w:tc>
        <w:tc>
          <w:tcPr>
            <w:tcW w:w="2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Purchases of property and equipment, net</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(157)</w:t>
            </w: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Purchases of investment securities</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(960)</w:t>
            </w: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(913)</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Maturities of investment securities</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497</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338</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6"/>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Proceeds from sales of investment securities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564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1,016</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00497F"/>
              </w:rPr>
              <w:t>(56)</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($174)</w:t>
            </w:r>
          </w:p>
        </w:tc>
        <w:tc>
          <w:tcPr>
            <w:tcW w:w="960" w:type="dxa"/>
            <w:vAlign w:val="bottom"/>
          </w:tcPr>
          <w:p>
            <w:pPr>
              <w:jc w:val="right"/>
              <w:spacing w:after="0"/>
              <w:rPr>
                <w:sz w:val="20"/>
                <w:szCs w:val="20"/>
                <w:color w:val="auto"/>
              </w:rPr>
            </w:pPr>
            <w:r>
              <w:rPr>
                <w:rFonts w:ascii="Arial" w:cs="Arial" w:eastAsia="Arial" w:hAnsi="Arial"/>
                <w:sz w:val="14"/>
                <w:szCs w:val="14"/>
                <w:color w:val="auto"/>
              </w:rPr>
              <w:t>-147.5 %</w:t>
            </w:r>
          </w:p>
        </w:tc>
      </w:tr>
      <w:tr>
        <w:trPr>
          <w:trHeight w:val="191"/>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38"/>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(Withdrawals) receipts from contract deposits, net</w:t>
            </w:r>
          </w:p>
        </w:tc>
        <w:tc>
          <w:tcPr>
            <w:tcW w:w="260" w:type="dxa"/>
            <w:vAlign w:val="bottom"/>
          </w:tcPr>
          <w:p>
            <w:pPr>
              <w:spacing w:after="0"/>
              <w:rPr>
                <w:sz w:val="24"/>
                <w:szCs w:val="24"/>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(81)</w:t>
            </w:r>
          </w:p>
        </w:tc>
        <w:tc>
          <w:tcPr>
            <w:tcW w:w="28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Repayment of commercial paper, net</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(373)</w:t>
            </w: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Change in book overdraft</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50</w:t>
            </w: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Common stock repurchases</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w:t>
            </w: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23"/>
                <w:szCs w:val="23"/>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(74)</w:t>
            </w: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6"/>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Proceeds from stock option exercises and other</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00497F"/>
              </w:rPr>
              <w:t>(477)</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($460)</w:t>
            </w:r>
          </w:p>
        </w:tc>
        <w:tc>
          <w:tcPr>
            <w:tcW w:w="960" w:type="dxa"/>
            <w:vAlign w:val="bottom"/>
          </w:tcPr>
          <w:p>
            <w:pPr>
              <w:jc w:val="right"/>
              <w:spacing w:after="0"/>
              <w:rPr>
                <w:sz w:val="20"/>
                <w:szCs w:val="20"/>
                <w:color w:val="auto"/>
              </w:rPr>
            </w:pPr>
            <w:r>
              <w:rPr>
                <w:rFonts w:ascii="Arial" w:cs="Arial" w:eastAsia="Arial" w:hAnsi="Arial"/>
                <w:sz w:val="14"/>
                <w:szCs w:val="14"/>
                <w:color w:val="auto"/>
              </w:rPr>
              <w:t>-2,705.9 %</w:t>
            </w:r>
          </w:p>
        </w:tc>
      </w:tr>
      <w:tr>
        <w:trPr>
          <w:trHeight w:val="244"/>
        </w:trPr>
        <w:tc>
          <w:tcPr>
            <w:tcW w:w="5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Increase (decrease) in cash and cash equivalents</w:t>
            </w:r>
          </w:p>
        </w:tc>
        <w:tc>
          <w:tcPr>
            <w:tcW w:w="260" w:type="dxa"/>
            <w:vAlign w:val="bottom"/>
          </w:tcPr>
          <w:p>
            <w:pPr>
              <w:spacing w:after="0"/>
              <w:rPr>
                <w:sz w:val="21"/>
                <w:szCs w:val="21"/>
                <w:color w:val="auto"/>
              </w:rPr>
            </w:pPr>
          </w:p>
        </w:tc>
        <w:tc>
          <w:tcPr>
            <w:tcW w:w="9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901</w:t>
            </w: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6"/>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3,877</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8,855</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w:t>
            </w:r>
          </w:p>
        </w:tc>
        <w:tc>
          <w:tcPr>
            <w:tcW w:w="9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4,778</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8,831</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38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S-6</w:t>
      </w:r>
    </w:p>
    <w:p>
      <w:pPr>
        <w:sectPr>
          <w:pgSz w:w="11900" w:h="16838" w:orient="portrait"/>
          <w:cols w:equalWidth="0" w:num="1">
            <w:col w:w="10219"/>
          </w:cols>
          <w:pgMar w:left="240" w:top="608" w:right="1440"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Humana Inc.</w:t>
      </w:r>
    </w:p>
    <w:p>
      <w:pPr>
        <w:spacing w:after="0"/>
        <w:rPr>
          <w:sz w:val="20"/>
          <w:szCs w:val="20"/>
          <w:color w:val="auto"/>
        </w:rPr>
      </w:pPr>
      <w:r>
        <w:rPr>
          <w:rFonts w:ascii="Arial" w:cs="Arial" w:eastAsia="Arial" w:hAnsi="Arial"/>
          <w:sz w:val="20"/>
          <w:szCs w:val="20"/>
          <w:color w:val="auto"/>
        </w:rPr>
        <w:t>Consolidated Statements of Cash Flows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600" w:type="dxa"/>
            <w:vAlign w:val="bottom"/>
            <w:tcBorders>
              <w:right w:val="single" w:sz="8" w:color="auto"/>
            </w:tcBorders>
          </w:tcPr>
          <w:p>
            <w:pPr>
              <w:spacing w:after="0"/>
              <w:rPr>
                <w:sz w:val="22"/>
                <w:szCs w:val="22"/>
                <w:color w:val="auto"/>
              </w:rPr>
            </w:pPr>
          </w:p>
        </w:tc>
        <w:tc>
          <w:tcPr>
            <w:tcW w:w="2440" w:type="dxa"/>
            <w:vAlign w:val="bottom"/>
            <w:tcBorders>
              <w:top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For the six months ended June 30,</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4"/>
        </w:trPr>
        <w:tc>
          <w:tcPr>
            <w:tcW w:w="56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Dollar</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Percentage</w:t>
            </w:r>
          </w:p>
        </w:tc>
      </w:tr>
      <w:tr>
        <w:trPr>
          <w:trHeight w:val="250"/>
        </w:trPr>
        <w:tc>
          <w:tcPr>
            <w:tcW w:w="5600" w:type="dxa"/>
            <w:vAlign w:val="bottom"/>
            <w:tcBorders>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b w:val="1"/>
                <w:bCs w:val="1"/>
                <w:color w:val="00497F"/>
              </w:rPr>
              <w:t>2019</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80" w:type="dxa"/>
            <w:vAlign w:val="bottom"/>
          </w:tcPr>
          <w:p>
            <w:pPr>
              <w:spacing w:after="0"/>
              <w:rPr>
                <w:sz w:val="21"/>
                <w:szCs w:val="21"/>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Change</w:t>
            </w: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Change</w:t>
            </w:r>
          </w:p>
        </w:tc>
      </w:tr>
      <w:tr>
        <w:trPr>
          <w:trHeight w:val="191"/>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38"/>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Net income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00497F"/>
              </w:rPr>
              <w:t>$</w:t>
            </w: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1,506</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684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24"/>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Loss on sale of business</w:t>
            </w:r>
          </w:p>
        </w:tc>
        <w:tc>
          <w:tcPr>
            <w:tcW w:w="260" w:type="dxa"/>
            <w:vAlign w:val="bottom"/>
          </w:tcPr>
          <w:p>
            <w:pPr>
              <w:spacing w:after="0"/>
              <w:rPr>
                <w:sz w:val="24"/>
                <w:szCs w:val="24"/>
                <w:color w:val="auto"/>
              </w:rPr>
            </w:pP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00497F"/>
              </w:rPr>
              <w:t>—</w:t>
            </w:r>
          </w:p>
        </w:tc>
        <w:tc>
          <w:tcPr>
            <w:tcW w:w="28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790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240</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218</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Amortization</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36</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Net realized capital gains</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(5)</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Equity in net earnings of Kindred at Home</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(15)</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76</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Benefit for deferred income taxes</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(21)</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(304)</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6"/>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Changes in operating assets and liabilities, net of effect of businesses</w:t>
            </w:r>
          </w:p>
        </w:tc>
        <w:tc>
          <w:tcPr>
            <w:tcW w:w="2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2"/>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acquired and dispositions:</w:t>
            </w:r>
          </w:p>
        </w:tc>
        <w:tc>
          <w:tcPr>
            <w:tcW w:w="26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70"/>
        </w:trPr>
        <w:tc>
          <w:tcPr>
            <w:tcW w:w="560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Receivables</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123</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(619)</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(548)</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(1,658)</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Benefits payable</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980</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(116)</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680</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Unearned revenues</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29</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3,252</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6"/>
        </w:trPr>
        <w:tc>
          <w:tcPr>
            <w:tcW w:w="5600" w:type="dxa"/>
            <w:vAlign w:val="bottom"/>
            <w:tcBorders>
              <w:right w:val="single" w:sz="8" w:color="auto"/>
            </w:tcBorders>
          </w:tcPr>
          <w:p>
            <w:pPr>
              <w:ind w:left="68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45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2,330</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3,561</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($1,231)</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-34.6%</w:t>
            </w:r>
          </w:p>
        </w:tc>
      </w:tr>
      <w:tr>
        <w:trPr>
          <w:trHeight w:val="191"/>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38"/>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Acquisitions, net of cash acquired</w:t>
            </w:r>
          </w:p>
        </w:tc>
        <w:tc>
          <w:tcPr>
            <w:tcW w:w="260" w:type="dxa"/>
            <w:vAlign w:val="bottom"/>
          </w:tcPr>
          <w:p>
            <w:pPr>
              <w:spacing w:after="0"/>
              <w:rPr>
                <w:sz w:val="24"/>
                <w:szCs w:val="24"/>
                <w:color w:val="auto"/>
              </w:rPr>
            </w:pP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Purchases of property and equipment, net</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(296)</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(272)</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Purchases of investment securities</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(3,135)</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(2,624)</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Maturities of investment securities</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894</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555</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6"/>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Proceeds from sales of investment securities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2,626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2,408</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89</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120" w:type="dxa"/>
            <w:vAlign w:val="bottom"/>
            <w:gridSpan w:val="2"/>
          </w:tcPr>
          <w:p>
            <w:pPr>
              <w:jc w:val="right"/>
              <w:ind w:right="68"/>
              <w:spacing w:after="0"/>
              <w:rPr>
                <w:sz w:val="20"/>
                <w:szCs w:val="20"/>
                <w:color w:val="auto"/>
              </w:rPr>
            </w:pPr>
            <w:r>
              <w:rPr>
                <w:rFonts w:ascii="Arial" w:cs="Arial" w:eastAsia="Arial" w:hAnsi="Arial"/>
                <w:sz w:val="14"/>
                <w:szCs w:val="14"/>
                <w:color w:val="auto"/>
              </w:rPr>
              <w:t>$376</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131.0%</w:t>
            </w:r>
          </w:p>
        </w:tc>
      </w:tr>
      <w:tr>
        <w:trPr>
          <w:trHeight w:val="191"/>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38"/>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Receipts from contract deposits, net</w:t>
            </w:r>
          </w:p>
        </w:tc>
        <w:tc>
          <w:tcPr>
            <w:tcW w:w="260" w:type="dxa"/>
            <w:vAlign w:val="bottom"/>
          </w:tcPr>
          <w:p>
            <w:pPr>
              <w:spacing w:after="0"/>
              <w:rPr>
                <w:sz w:val="24"/>
                <w:szCs w:val="24"/>
                <w:color w:val="auto"/>
              </w:rPr>
            </w:pP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473</w:t>
            </w:r>
          </w:p>
        </w:tc>
        <w:tc>
          <w:tcPr>
            <w:tcW w:w="28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1,515</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(Repayment) proceeds from the issuance of commercial paper, net</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(356)</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Change in book overdraft</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33</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Common stock repurchases</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(10)</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23"/>
                <w:szCs w:val="23"/>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497F"/>
              </w:rPr>
              <w:t>(142)</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(126)</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6"/>
        </w:trPr>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Proceeds from stock option exercises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18</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provided by financing activities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16</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1,515</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($1,499)</w:t>
            </w:r>
          </w:p>
        </w:tc>
        <w:tc>
          <w:tcPr>
            <w:tcW w:w="960" w:type="dxa"/>
            <w:vAlign w:val="bottom"/>
          </w:tcPr>
          <w:p>
            <w:pPr>
              <w:jc w:val="right"/>
              <w:spacing w:after="0"/>
              <w:rPr>
                <w:sz w:val="20"/>
                <w:szCs w:val="20"/>
                <w:color w:val="auto"/>
              </w:rPr>
            </w:pPr>
            <w:r>
              <w:rPr>
                <w:rFonts w:ascii="Arial" w:cs="Arial" w:eastAsia="Arial" w:hAnsi="Arial"/>
                <w:sz w:val="14"/>
                <w:szCs w:val="14"/>
                <w:color w:val="auto"/>
              </w:rPr>
              <w:t>-98.9 %</w:t>
            </w:r>
          </w:p>
        </w:tc>
      </w:tr>
      <w:tr>
        <w:trPr>
          <w:trHeight w:val="244"/>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Increase in cash and cash equivalents</w:t>
            </w:r>
          </w:p>
        </w:tc>
        <w:tc>
          <w:tcPr>
            <w:tcW w:w="260" w:type="dxa"/>
            <w:vAlign w:val="bottom"/>
          </w:tcPr>
          <w:p>
            <w:pPr>
              <w:spacing w:after="0"/>
              <w:rPr>
                <w:sz w:val="21"/>
                <w:szCs w:val="21"/>
                <w:color w:val="auto"/>
              </w:rPr>
            </w:pPr>
          </w:p>
        </w:tc>
        <w:tc>
          <w:tcPr>
            <w:tcW w:w="9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2,435</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4,789</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6"/>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2,343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4,042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497F"/>
              </w:rPr>
              <w:t>$</w:t>
            </w:r>
          </w:p>
        </w:tc>
        <w:tc>
          <w:tcPr>
            <w:tcW w:w="9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4,778</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8,831</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38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S-7</w:t>
      </w:r>
    </w:p>
    <w:p>
      <w:pPr>
        <w:sectPr>
          <w:pgSz w:w="11900" w:h="16838" w:orient="portrait"/>
          <w:cols w:equalWidth="0" w:num="1">
            <w:col w:w="10219"/>
          </w:cols>
          <w:pgMar w:left="240" w:top="608" w:right="1440" w:bottom="1440" w:gutter="0" w:footer="0" w:header="0"/>
        </w:sectPr>
      </w:pPr>
    </w:p>
    <w:bookmarkStart w:id="40" w:name="page41"/>
    <w:bookmarkEnd w:id="40"/>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Consolidating Statements of Income—For the three months ended June 30, 2019 (C)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Group and</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Healthcare</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Eliminations/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Retail</w:t>
            </w:r>
          </w:p>
        </w:tc>
        <w:tc>
          <w:tcPr>
            <w:tcW w:w="12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Specialty</w:t>
            </w:r>
          </w:p>
        </w:tc>
        <w:tc>
          <w:tcPr>
            <w:tcW w:w="12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Services</w:t>
            </w:r>
          </w:p>
        </w:tc>
        <w:tc>
          <w:tcPr>
            <w:tcW w:w="14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w:t>
            </w:r>
          </w:p>
        </w:tc>
        <w:tc>
          <w:tcPr>
            <w:tcW w:w="11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40" w:type="dxa"/>
            <w:vAlign w:val="bottom"/>
          </w:tcPr>
          <w:p>
            <w:pPr>
              <w:ind w:left="240"/>
              <w:spacing w:after="0"/>
              <w:rPr>
                <w:sz w:val="20"/>
                <w:szCs w:val="20"/>
                <w:color w:val="auto"/>
              </w:rPr>
            </w:pPr>
            <w:r>
              <w:rPr>
                <w:rFonts w:ascii="Arial" w:cs="Arial" w:eastAsia="Arial" w:hAnsi="Arial"/>
                <w:sz w:val="14"/>
                <w:szCs w:val="14"/>
                <w:color w:val="auto"/>
              </w:rPr>
              <w:t>Individual Medicare Advantage</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10,793</w:t>
            </w:r>
          </w:p>
        </w:tc>
        <w:tc>
          <w:tcPr>
            <w:tcW w:w="1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10,793</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40"/>
              <w:spacing w:after="0"/>
              <w:rPr>
                <w:sz w:val="20"/>
                <w:szCs w:val="20"/>
                <w:color w:val="auto"/>
              </w:rPr>
            </w:pPr>
            <w:r>
              <w:rPr>
                <w:rFonts w:ascii="Arial" w:cs="Arial" w:eastAsia="Arial" w:hAnsi="Arial"/>
                <w:sz w:val="14"/>
                <w:szCs w:val="14"/>
                <w:color w:val="auto"/>
              </w:rPr>
              <w:t>Group Medicare Advantage</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1,626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40"/>
              <w:spacing w:after="0"/>
              <w:rPr>
                <w:sz w:val="20"/>
                <w:szCs w:val="20"/>
                <w:color w:val="auto"/>
              </w:rPr>
            </w:pPr>
            <w:r>
              <w:rPr>
                <w:rFonts w:ascii="Arial" w:cs="Arial" w:eastAsia="Arial" w:hAnsi="Arial"/>
                <w:sz w:val="14"/>
                <w:szCs w:val="14"/>
                <w:color w:val="auto"/>
              </w:rPr>
              <w:t>Medicare stand-alone PDP</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340"/>
              <w:spacing w:after="0"/>
              <w:rPr>
                <w:sz w:val="20"/>
                <w:szCs w:val="20"/>
                <w:color w:val="auto"/>
              </w:rPr>
            </w:pPr>
            <w:r>
              <w:rPr>
                <w:rFonts w:ascii="Arial" w:cs="Arial" w:eastAsia="Arial" w:hAnsi="Arial"/>
                <w:sz w:val="14"/>
                <w:szCs w:val="14"/>
                <w:b w:val="1"/>
                <w:bCs w:val="1"/>
                <w:color w:val="auto"/>
              </w:rPr>
              <w:t>Total Medicare</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13,237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13,237</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240"/>
              <w:spacing w:after="0"/>
              <w:rPr>
                <w:sz w:val="20"/>
                <w:szCs w:val="20"/>
                <w:color w:val="auto"/>
              </w:rPr>
            </w:pPr>
            <w:r>
              <w:rPr>
                <w:rFonts w:ascii="Arial" w:cs="Arial" w:eastAsia="Arial" w:hAnsi="Arial"/>
                <w:sz w:val="14"/>
                <w:szCs w:val="14"/>
                <w:color w:val="auto"/>
              </w:rPr>
              <w:t>Fully-insured</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1,284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40"/>
              <w:spacing w:after="0"/>
              <w:rPr>
                <w:sz w:val="20"/>
                <w:szCs w:val="20"/>
                <w:color w:val="auto"/>
              </w:rPr>
            </w:pPr>
            <w:r>
              <w:rPr>
                <w:rFonts w:ascii="Arial" w:cs="Arial" w:eastAsia="Arial" w:hAnsi="Arial"/>
                <w:sz w:val="14"/>
                <w:szCs w:val="14"/>
                <w:color w:val="auto"/>
              </w:rPr>
              <w:t>Specialty</w:t>
            </w:r>
          </w:p>
        </w:tc>
        <w:tc>
          <w:tcPr>
            <w:tcW w:w="200" w:type="dxa"/>
            <w:vAlign w:val="bottom"/>
          </w:tcPr>
          <w:p>
            <w:pPr>
              <w:spacing w:after="0"/>
              <w:rPr>
                <w:sz w:val="18"/>
                <w:szCs w:val="18"/>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40"/>
              <w:spacing w:after="0"/>
              <w:rPr>
                <w:sz w:val="20"/>
                <w:szCs w:val="20"/>
                <w:color w:val="auto"/>
              </w:rPr>
            </w:pPr>
            <w:r>
              <w:rPr>
                <w:rFonts w:ascii="Arial" w:cs="Arial" w:eastAsia="Arial" w:hAnsi="Arial"/>
                <w:sz w:val="14"/>
                <w:szCs w:val="14"/>
                <w:color w:val="auto"/>
              </w:rPr>
              <w:t>Medicaid and other (D)</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340"/>
              <w:spacing w:after="0"/>
              <w:rPr>
                <w:sz w:val="20"/>
                <w:szCs w:val="20"/>
                <w:color w:val="auto"/>
              </w:rPr>
            </w:pPr>
            <w:r>
              <w:rPr>
                <w:rFonts w:ascii="Arial" w:cs="Arial" w:eastAsia="Arial" w:hAnsi="Arial"/>
                <w:sz w:val="14"/>
                <w:szCs w:val="14"/>
                <w:b w:val="1"/>
                <w:bCs w:val="1"/>
                <w:color w:val="auto"/>
              </w:rPr>
              <w:t>Total premiums</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14,105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15,776</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140"/>
              <w:spacing w:after="0"/>
              <w:rPr>
                <w:sz w:val="20"/>
                <w:szCs w:val="20"/>
                <w:color w:val="auto"/>
              </w:rPr>
            </w:pPr>
            <w:r>
              <w:rPr>
                <w:rFonts w:ascii="Arial" w:cs="Arial" w:eastAsia="Arial" w:hAnsi="Arial"/>
                <w:sz w:val="14"/>
                <w:szCs w:val="14"/>
                <w:b w:val="1"/>
                <w:bCs w:val="1"/>
                <w:color w:val="auto"/>
              </w:rPr>
              <w:t>Services revenue:</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40" w:type="dxa"/>
            <w:vAlign w:val="bottom"/>
          </w:tcPr>
          <w:p>
            <w:pPr>
              <w:ind w:left="240"/>
              <w:spacing w:after="0"/>
              <w:rPr>
                <w:sz w:val="20"/>
                <w:szCs w:val="20"/>
                <w:color w:val="auto"/>
              </w:rPr>
            </w:pPr>
            <w:r>
              <w:rPr>
                <w:rFonts w:ascii="Arial" w:cs="Arial" w:eastAsia="Arial" w:hAnsi="Arial"/>
                <w:sz w:val="14"/>
                <w:szCs w:val="14"/>
                <w:color w:val="auto"/>
              </w:rPr>
              <w:t>Provider</w:t>
            </w:r>
          </w:p>
        </w:tc>
        <w:tc>
          <w:tcPr>
            <w:tcW w:w="200" w:type="dxa"/>
            <w:vAlign w:val="bottom"/>
          </w:tcPr>
          <w:p>
            <w:pPr>
              <w:spacing w:after="0"/>
              <w:rPr>
                <w:sz w:val="24"/>
                <w:szCs w:val="24"/>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40"/>
              <w:spacing w:after="0"/>
              <w:rPr>
                <w:sz w:val="20"/>
                <w:szCs w:val="20"/>
                <w:color w:val="auto"/>
              </w:rPr>
            </w:pPr>
            <w:r>
              <w:rPr>
                <w:rFonts w:ascii="Arial" w:cs="Arial" w:eastAsia="Arial" w:hAnsi="Arial"/>
                <w:sz w:val="14"/>
                <w:szCs w:val="14"/>
                <w:color w:val="auto"/>
              </w:rPr>
              <w:t>ASO and other (E)</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40"/>
              <w:spacing w:after="0"/>
              <w:rPr>
                <w:sz w:val="20"/>
                <w:szCs w:val="20"/>
                <w:color w:val="auto"/>
              </w:rPr>
            </w:pPr>
            <w:r>
              <w:rPr>
                <w:rFonts w:ascii="Arial" w:cs="Arial" w:eastAsia="Arial" w:hAnsi="Arial"/>
                <w:sz w:val="14"/>
                <w:szCs w:val="14"/>
                <w:color w:val="auto"/>
              </w:rPr>
              <w:t>Pharmacy</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340"/>
              <w:spacing w:after="0"/>
              <w:rPr>
                <w:sz w:val="20"/>
                <w:szCs w:val="20"/>
                <w:color w:val="auto"/>
              </w:rPr>
            </w:pPr>
            <w:r>
              <w:rPr>
                <w:rFonts w:ascii="Arial" w:cs="Arial" w:eastAsia="Arial" w:hAnsi="Arial"/>
                <w:sz w:val="14"/>
                <w:szCs w:val="14"/>
                <w:b w:val="1"/>
                <w:bCs w:val="1"/>
                <w:color w:val="auto"/>
              </w:rPr>
              <w:t>Total services revenue</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14,110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1,864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16,131</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40" w:type="dxa"/>
            <w:vAlign w:val="bottom"/>
          </w:tcPr>
          <w:p>
            <w:pPr>
              <w:ind w:left="240"/>
              <w:spacing w:after="0"/>
              <w:rPr>
                <w:sz w:val="20"/>
                <w:szCs w:val="20"/>
                <w:color w:val="auto"/>
              </w:rPr>
            </w:pPr>
            <w:r>
              <w:rPr>
                <w:rFonts w:ascii="Arial" w:cs="Arial" w:eastAsia="Arial" w:hAnsi="Arial"/>
                <w:sz w:val="14"/>
                <w:szCs w:val="14"/>
                <w:color w:val="auto"/>
              </w:rPr>
              <w:t>Services</w:t>
            </w:r>
          </w:p>
        </w:tc>
        <w:tc>
          <w:tcPr>
            <w:tcW w:w="200" w:type="dxa"/>
            <w:vAlign w:val="bottom"/>
          </w:tcPr>
          <w:p>
            <w:pPr>
              <w:spacing w:after="0"/>
              <w:rPr>
                <w:sz w:val="24"/>
                <w:szCs w:val="24"/>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4,496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(4,501)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40"/>
              <w:spacing w:after="0"/>
              <w:rPr>
                <w:sz w:val="20"/>
                <w:szCs w:val="20"/>
                <w:color w:val="auto"/>
              </w:rPr>
            </w:pPr>
            <w:r>
              <w:rPr>
                <w:rFonts w:ascii="Arial" w:cs="Arial" w:eastAsia="Arial" w:hAnsi="Arial"/>
                <w:sz w:val="14"/>
                <w:szCs w:val="14"/>
                <w:color w:val="auto"/>
              </w:rPr>
              <w:t>Products</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200" w:type="dxa"/>
            <w:vAlign w:val="bottom"/>
          </w:tcPr>
          <w:p>
            <w:pPr>
              <w:spacing w:after="0"/>
              <w:rPr>
                <w:sz w:val="16"/>
                <w:szCs w:val="16"/>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6,229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(6,234)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20"/>
                <w:szCs w:val="20"/>
                <w:color w:val="auto"/>
              </w:rPr>
            </w:pPr>
            <w:r>
              <w:rPr>
                <w:rFonts w:ascii="Arial" w:cs="Arial" w:eastAsia="Arial" w:hAnsi="Arial"/>
                <w:sz w:val="14"/>
                <w:szCs w:val="14"/>
                <w:color w:val="auto"/>
              </w:rPr>
              <w:t>Investment income</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3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14,158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6,387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(6,174)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16,245</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40" w:type="dxa"/>
            <w:vAlign w:val="bottom"/>
          </w:tcPr>
          <w:p>
            <w:pPr>
              <w:ind w:left="140"/>
              <w:spacing w:after="0"/>
              <w:rPr>
                <w:sz w:val="20"/>
                <w:szCs w:val="20"/>
                <w:color w:val="auto"/>
              </w:rPr>
            </w:pPr>
            <w:r>
              <w:rPr>
                <w:rFonts w:ascii="Arial" w:cs="Arial" w:eastAsia="Arial" w:hAnsi="Arial"/>
                <w:sz w:val="14"/>
                <w:szCs w:val="14"/>
                <w:color w:val="auto"/>
              </w:rPr>
              <w:t>Benefits</w:t>
            </w:r>
          </w:p>
        </w:tc>
        <w:tc>
          <w:tcPr>
            <w:tcW w:w="200" w:type="dxa"/>
            <w:vAlign w:val="bottom"/>
          </w:tcPr>
          <w:p>
            <w:pPr>
              <w:spacing w:after="0"/>
              <w:rPr>
                <w:sz w:val="24"/>
                <w:szCs w:val="24"/>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12,019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1,442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13,318</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Operating costs</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6,135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(6,044)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1,703</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240"/>
              <w:spacing w:after="0"/>
              <w:rPr>
                <w:sz w:val="20"/>
                <w:szCs w:val="20"/>
                <w:color w:val="auto"/>
              </w:rPr>
            </w:pPr>
            <w:r>
              <w:rPr>
                <w:rFonts w:ascii="Arial" w:cs="Arial" w:eastAsia="Arial" w:hAnsi="Arial"/>
                <w:sz w:val="14"/>
                <w:szCs w:val="14"/>
                <w:b w:val="1"/>
                <w:bCs w:val="1"/>
                <w:color w:val="auto"/>
              </w:rPr>
              <w:t>Total operating expenses</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13,302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1,869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6,175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(6,216)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15,130</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8"/>
                <w:szCs w:val="18"/>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color w:val="auto"/>
              </w:rPr>
              <w:t>Other income, net (A)</w:t>
            </w:r>
          </w:p>
        </w:tc>
        <w:tc>
          <w:tcPr>
            <w:tcW w:w="200" w:type="dxa"/>
            <w:vAlign w:val="bottom"/>
          </w:tcPr>
          <w:p>
            <w:pPr>
              <w:spacing w:after="0"/>
              <w:rPr>
                <w:sz w:val="18"/>
                <w:szCs w:val="18"/>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b w:val="1"/>
                <w:bCs w:val="1"/>
                <w:color w:val="auto"/>
              </w:rPr>
              <w:t>Income before income taxes and equity in net</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91"/>
        </w:trPr>
        <w:tc>
          <w:tcPr>
            <w:tcW w:w="3340" w:type="dxa"/>
            <w:vAlign w:val="bottom"/>
          </w:tcPr>
          <w:p>
            <w:pPr>
              <w:ind w:left="340"/>
              <w:spacing w:after="0"/>
              <w:rPr>
                <w:sz w:val="20"/>
                <w:szCs w:val="20"/>
                <w:color w:val="auto"/>
              </w:rPr>
            </w:pPr>
            <w:r>
              <w:rPr>
                <w:rFonts w:ascii="Arial" w:cs="Arial" w:eastAsia="Arial" w:hAnsi="Arial"/>
                <w:sz w:val="14"/>
                <w:szCs w:val="14"/>
                <w:color w:val="auto"/>
              </w:rPr>
              <w:t>Equity in net earnings of Kindred at Home (B)</w:t>
            </w:r>
          </w:p>
        </w:tc>
        <w:tc>
          <w:tcPr>
            <w:tcW w:w="200" w:type="dxa"/>
            <w:vAlign w:val="bottom"/>
          </w:tcPr>
          <w:p>
            <w:pPr>
              <w:spacing w:after="0"/>
              <w:rPr>
                <w:sz w:val="16"/>
                <w:szCs w:val="16"/>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4"/>
                <w:szCs w:val="14"/>
                <w:b w:val="1"/>
                <w:bCs w:val="1"/>
                <w:color w:val="auto"/>
              </w:rPr>
              <w:t>Segment earnings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Benefit ratio</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3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Operating cost ratio</w:t>
            </w:r>
          </w:p>
        </w:tc>
        <w:tc>
          <w:tcPr>
            <w:tcW w:w="20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S-8</w:t>
      </w:r>
    </w:p>
    <w:p>
      <w:pPr>
        <w:sectPr>
          <w:pgSz w:w="11900" w:h="16838" w:orient="portrait"/>
          <w:cols w:equalWidth="0" w:num="1">
            <w:col w:w="10219"/>
          </w:cols>
          <w:pgMar w:left="240" w:top="614" w:right="1440" w:bottom="1440" w:gutter="0" w:footer="0" w:header="0"/>
        </w:sectPr>
      </w:pPr>
    </w:p>
    <w:bookmarkStart w:id="41" w:name="page42"/>
    <w:bookmarkEnd w:id="41"/>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Consolidating Statements of Income—For the three months ended June 30, 2018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Group and</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Healthcare</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Individual</w:t>
            </w:r>
          </w:p>
        </w:tc>
        <w:tc>
          <w:tcPr>
            <w:tcW w:w="2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160" w:type="dxa"/>
            <w:vAlign w:val="bottom"/>
            <w:gridSpan w:val="3"/>
          </w:tcPr>
          <w:p>
            <w:pPr>
              <w:ind w:left="40"/>
              <w:spacing w:after="0"/>
              <w:rPr>
                <w:sz w:val="20"/>
                <w:szCs w:val="20"/>
                <w:color w:val="auto"/>
              </w:rPr>
            </w:pPr>
            <w:r>
              <w:rPr>
                <w:rFonts w:ascii="Arial" w:cs="Arial" w:eastAsia="Arial" w:hAnsi="Arial"/>
                <w:sz w:val="16"/>
                <w:szCs w:val="16"/>
                <w:b w:val="1"/>
                <w:bCs w:val="1"/>
                <w:color w:val="auto"/>
              </w:rPr>
              <w:t>Eliminations/</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Specialty</w:t>
            </w:r>
          </w:p>
        </w:tc>
        <w:tc>
          <w:tcPr>
            <w:tcW w:w="12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Services</w:t>
            </w: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Commercial</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Businesses</w:t>
            </w:r>
          </w:p>
        </w:tc>
        <w:tc>
          <w:tcPr>
            <w:tcW w:w="12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w:t>
            </w:r>
          </w:p>
        </w:tc>
        <w:tc>
          <w:tcPr>
            <w:tcW w:w="108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80" w:type="dxa"/>
            <w:vAlign w:val="bottom"/>
          </w:tcPr>
          <w:p>
            <w:pPr>
              <w:ind w:left="340"/>
              <w:spacing w:after="0"/>
              <w:rPr>
                <w:sz w:val="20"/>
                <w:szCs w:val="20"/>
                <w:color w:val="auto"/>
              </w:rPr>
            </w:pPr>
            <w:r>
              <w:rPr>
                <w:rFonts w:ascii="Arial" w:cs="Arial" w:eastAsia="Arial" w:hAnsi="Arial"/>
                <w:sz w:val="14"/>
                <w:szCs w:val="14"/>
                <w:color w:val="auto"/>
              </w:rPr>
              <w:t>Individual Medicare Advantage</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8,908</w:t>
            </w:r>
          </w:p>
        </w:tc>
        <w:tc>
          <w:tcPr>
            <w:tcW w:w="12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5"/>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8,908</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Arial" w:cs="Arial" w:eastAsia="Arial" w:hAnsi="Arial"/>
                <w:sz w:val="14"/>
                <w:szCs w:val="14"/>
                <w:color w:val="auto"/>
              </w:rPr>
              <w:t>Group Medicare Advantage</w:t>
            </w:r>
          </w:p>
        </w:tc>
        <w:tc>
          <w:tcPr>
            <w:tcW w:w="220" w:type="dxa"/>
            <w:vAlign w:val="bottom"/>
          </w:tcPr>
          <w:p>
            <w:pPr>
              <w:spacing w:after="0"/>
              <w:rPr>
                <w:sz w:val="18"/>
                <w:szCs w:val="18"/>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1,509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Arial" w:cs="Arial" w:eastAsia="Arial" w:hAnsi="Arial"/>
                <w:sz w:val="14"/>
                <w:szCs w:val="14"/>
                <w:color w:val="auto"/>
              </w:rPr>
              <w:t>Medicare stand-alone PDP</w:t>
            </w:r>
          </w:p>
        </w:tc>
        <w:tc>
          <w:tcPr>
            <w:tcW w:w="220" w:type="dxa"/>
            <w:vAlign w:val="bottom"/>
          </w:tcPr>
          <w:p>
            <w:pPr>
              <w:spacing w:after="0"/>
              <w:rPr>
                <w:sz w:val="18"/>
                <w:szCs w:val="18"/>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460"/>
              <w:spacing w:after="0"/>
              <w:rPr>
                <w:sz w:val="20"/>
                <w:szCs w:val="20"/>
                <w:color w:val="auto"/>
              </w:rPr>
            </w:pPr>
            <w:r>
              <w:rPr>
                <w:rFonts w:ascii="Arial" w:cs="Arial" w:eastAsia="Arial" w:hAnsi="Arial"/>
                <w:sz w:val="14"/>
                <w:szCs w:val="14"/>
                <w:b w:val="1"/>
                <w:bCs w:val="1"/>
                <w:color w:val="auto"/>
              </w:rPr>
              <w:t>Total Medicare</w:t>
            </w:r>
          </w:p>
        </w:tc>
        <w:tc>
          <w:tcPr>
            <w:tcW w:w="22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11,331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11,331</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340"/>
              <w:spacing w:after="0"/>
              <w:rPr>
                <w:sz w:val="20"/>
                <w:szCs w:val="20"/>
                <w:color w:val="auto"/>
              </w:rPr>
            </w:pPr>
            <w:r>
              <w:rPr>
                <w:rFonts w:ascii="Arial" w:cs="Arial" w:eastAsia="Arial" w:hAnsi="Arial"/>
                <w:sz w:val="14"/>
                <w:szCs w:val="14"/>
                <w:color w:val="auto"/>
              </w:rPr>
              <w:t>Fully-insured</w:t>
            </w:r>
          </w:p>
        </w:tc>
        <w:tc>
          <w:tcPr>
            <w:tcW w:w="22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1,346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Arial" w:cs="Arial" w:eastAsia="Arial" w:hAnsi="Arial"/>
                <w:sz w:val="14"/>
                <w:szCs w:val="14"/>
                <w:color w:val="auto"/>
              </w:rPr>
              <w:t>Specialty</w:t>
            </w:r>
          </w:p>
        </w:tc>
        <w:tc>
          <w:tcPr>
            <w:tcW w:w="220" w:type="dxa"/>
            <w:vAlign w:val="bottom"/>
          </w:tcPr>
          <w:p>
            <w:pPr>
              <w:spacing w:after="0"/>
              <w:rPr>
                <w:sz w:val="18"/>
                <w:szCs w:val="18"/>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Arial" w:cs="Arial" w:eastAsia="Arial" w:hAnsi="Arial"/>
                <w:sz w:val="14"/>
                <w:szCs w:val="14"/>
                <w:color w:val="auto"/>
              </w:rPr>
              <w:t>Medicaid and other (D)</w:t>
            </w:r>
          </w:p>
        </w:tc>
        <w:tc>
          <w:tcPr>
            <w:tcW w:w="220" w:type="dxa"/>
            <w:vAlign w:val="bottom"/>
          </w:tcPr>
          <w:p>
            <w:pPr>
              <w:spacing w:after="0"/>
              <w:rPr>
                <w:sz w:val="18"/>
                <w:szCs w:val="18"/>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460"/>
              <w:spacing w:after="0"/>
              <w:rPr>
                <w:sz w:val="20"/>
                <w:szCs w:val="20"/>
                <w:color w:val="auto"/>
              </w:rPr>
            </w:pPr>
            <w:r>
              <w:rPr>
                <w:rFonts w:ascii="Arial" w:cs="Arial" w:eastAsia="Arial" w:hAnsi="Arial"/>
                <w:sz w:val="14"/>
                <w:szCs w:val="14"/>
                <w:b w:val="1"/>
                <w:bCs w:val="1"/>
                <w:color w:val="auto"/>
              </w:rPr>
              <w:t>Total premiums</w:t>
            </w:r>
          </w:p>
        </w:tc>
        <w:tc>
          <w:tcPr>
            <w:tcW w:w="22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12,006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1,688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13,713</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140"/>
              <w:spacing w:after="0"/>
              <w:rPr>
                <w:sz w:val="20"/>
                <w:szCs w:val="20"/>
                <w:color w:val="auto"/>
              </w:rPr>
            </w:pPr>
            <w:r>
              <w:rPr>
                <w:rFonts w:ascii="Arial" w:cs="Arial" w:eastAsia="Arial" w:hAnsi="Arial"/>
                <w:sz w:val="14"/>
                <w:szCs w:val="14"/>
                <w:b w:val="1"/>
                <w:bCs w:val="1"/>
                <w:color w:val="auto"/>
              </w:rPr>
              <w:t>Services revenue:</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80" w:type="dxa"/>
            <w:vAlign w:val="bottom"/>
          </w:tcPr>
          <w:p>
            <w:pPr>
              <w:ind w:left="340"/>
              <w:spacing w:after="0"/>
              <w:rPr>
                <w:sz w:val="20"/>
                <w:szCs w:val="20"/>
                <w:color w:val="auto"/>
              </w:rPr>
            </w:pPr>
            <w:r>
              <w:rPr>
                <w:rFonts w:ascii="Arial" w:cs="Arial" w:eastAsia="Arial" w:hAnsi="Arial"/>
                <w:sz w:val="14"/>
                <w:szCs w:val="14"/>
                <w:color w:val="auto"/>
              </w:rPr>
              <w:t>Provider</w:t>
            </w:r>
          </w:p>
        </w:tc>
        <w:tc>
          <w:tcPr>
            <w:tcW w:w="220" w:type="dxa"/>
            <w:vAlign w:val="bottom"/>
          </w:tcPr>
          <w:p>
            <w:pPr>
              <w:spacing w:after="0"/>
              <w:rPr>
                <w:sz w:val="24"/>
                <w:szCs w:val="24"/>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Arial" w:cs="Arial" w:eastAsia="Arial" w:hAnsi="Arial"/>
                <w:sz w:val="14"/>
                <w:szCs w:val="14"/>
                <w:color w:val="auto"/>
              </w:rPr>
              <w:t>ASO and other (E)</w:t>
            </w:r>
          </w:p>
        </w:tc>
        <w:tc>
          <w:tcPr>
            <w:tcW w:w="220" w:type="dxa"/>
            <w:vAlign w:val="bottom"/>
          </w:tcPr>
          <w:p>
            <w:pPr>
              <w:spacing w:after="0"/>
              <w:rPr>
                <w:sz w:val="18"/>
                <w:szCs w:val="18"/>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Arial" w:cs="Arial" w:eastAsia="Arial" w:hAnsi="Arial"/>
                <w:sz w:val="14"/>
                <w:szCs w:val="14"/>
                <w:color w:val="auto"/>
              </w:rPr>
              <w:t>Pharmacy</w:t>
            </w:r>
          </w:p>
        </w:tc>
        <w:tc>
          <w:tcPr>
            <w:tcW w:w="220" w:type="dxa"/>
            <w:vAlign w:val="bottom"/>
          </w:tcPr>
          <w:p>
            <w:pPr>
              <w:spacing w:after="0"/>
              <w:rPr>
                <w:sz w:val="18"/>
                <w:szCs w:val="18"/>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460"/>
              <w:spacing w:after="0"/>
              <w:rPr>
                <w:sz w:val="20"/>
                <w:szCs w:val="20"/>
                <w:color w:val="auto"/>
              </w:rPr>
            </w:pPr>
            <w:r>
              <w:rPr>
                <w:rFonts w:ascii="Arial" w:cs="Arial" w:eastAsia="Arial" w:hAnsi="Arial"/>
                <w:sz w:val="14"/>
                <w:szCs w:val="14"/>
                <w:b w:val="1"/>
                <w:bCs w:val="1"/>
                <w:color w:val="auto"/>
              </w:rPr>
              <w:t>Total services revenue</w:t>
            </w:r>
          </w:p>
        </w:tc>
        <w:tc>
          <w:tcPr>
            <w:tcW w:w="22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22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12,009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1,896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14,095</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80" w:type="dxa"/>
            <w:vAlign w:val="bottom"/>
          </w:tcPr>
          <w:p>
            <w:pPr>
              <w:ind w:left="140"/>
              <w:spacing w:after="0"/>
              <w:rPr>
                <w:sz w:val="20"/>
                <w:szCs w:val="20"/>
                <w:color w:val="auto"/>
              </w:rPr>
            </w:pPr>
            <w:r>
              <w:rPr>
                <w:rFonts w:ascii="Arial" w:cs="Arial" w:eastAsia="Arial" w:hAnsi="Arial"/>
                <w:sz w:val="14"/>
                <w:szCs w:val="14"/>
                <w:color w:val="auto"/>
              </w:rPr>
              <w:t>Services</w:t>
            </w:r>
          </w:p>
        </w:tc>
        <w:tc>
          <w:tcPr>
            <w:tcW w:w="220" w:type="dxa"/>
            <w:vAlign w:val="bottom"/>
          </w:tcPr>
          <w:p>
            <w:pPr>
              <w:spacing w:after="0"/>
              <w:rPr>
                <w:sz w:val="24"/>
                <w:szCs w:val="24"/>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4,194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(4,198)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40"/>
              <w:spacing w:after="0"/>
              <w:rPr>
                <w:sz w:val="20"/>
                <w:szCs w:val="20"/>
                <w:color w:val="auto"/>
              </w:rPr>
            </w:pPr>
            <w:r>
              <w:rPr>
                <w:rFonts w:ascii="Arial" w:cs="Arial" w:eastAsia="Arial" w:hAnsi="Arial"/>
                <w:sz w:val="14"/>
                <w:szCs w:val="14"/>
                <w:color w:val="auto"/>
              </w:rPr>
              <w:t>Products</w:t>
            </w:r>
          </w:p>
        </w:tc>
        <w:tc>
          <w:tcPr>
            <w:tcW w:w="220" w:type="dxa"/>
            <w:vAlign w:val="bottom"/>
          </w:tcPr>
          <w:p>
            <w:pPr>
              <w:spacing w:after="0"/>
              <w:rPr>
                <w:sz w:val="18"/>
                <w:szCs w:val="18"/>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1,611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(1,611)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22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5,805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(5,809)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color w:val="auto"/>
              </w:rPr>
              <w:t>Investment income</w:t>
            </w:r>
          </w:p>
        </w:tc>
        <w:tc>
          <w:tcPr>
            <w:tcW w:w="22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34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12,039</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1,906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5,991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(5,763)</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14,259</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80" w:type="dxa"/>
            <w:vAlign w:val="bottom"/>
          </w:tcPr>
          <w:p>
            <w:pPr>
              <w:ind w:left="140"/>
              <w:spacing w:after="0"/>
              <w:rPr>
                <w:sz w:val="20"/>
                <w:szCs w:val="20"/>
                <w:color w:val="auto"/>
              </w:rPr>
            </w:pPr>
            <w:r>
              <w:rPr>
                <w:rFonts w:ascii="Arial" w:cs="Arial" w:eastAsia="Arial" w:hAnsi="Arial"/>
                <w:sz w:val="14"/>
                <w:szCs w:val="14"/>
                <w:color w:val="auto"/>
              </w:rPr>
              <w:t>Benefits</w:t>
            </w:r>
          </w:p>
        </w:tc>
        <w:tc>
          <w:tcPr>
            <w:tcW w:w="220" w:type="dxa"/>
            <w:vAlign w:val="bottom"/>
          </w:tcPr>
          <w:p>
            <w:pPr>
              <w:spacing w:after="0"/>
              <w:rPr>
                <w:sz w:val="24"/>
                <w:szCs w:val="24"/>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10,270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1,357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11,536</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40"/>
              <w:spacing w:after="0"/>
              <w:rPr>
                <w:sz w:val="20"/>
                <w:szCs w:val="20"/>
                <w:color w:val="auto"/>
              </w:rPr>
            </w:pPr>
            <w:r>
              <w:rPr>
                <w:rFonts w:ascii="Arial" w:cs="Arial" w:eastAsia="Arial" w:hAnsi="Arial"/>
                <w:sz w:val="14"/>
                <w:szCs w:val="14"/>
                <w:color w:val="auto"/>
              </w:rPr>
              <w:t>Operating costs</w:t>
            </w:r>
          </w:p>
        </w:tc>
        <w:tc>
          <w:tcPr>
            <w:tcW w:w="220" w:type="dxa"/>
            <w:vAlign w:val="bottom"/>
          </w:tcPr>
          <w:p>
            <w:pPr>
              <w:spacing w:after="0"/>
              <w:rPr>
                <w:sz w:val="18"/>
                <w:szCs w:val="18"/>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1,210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5,749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(5,648)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1,761</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8"/>
                <w:szCs w:val="18"/>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240"/>
              <w:spacing w:after="0"/>
              <w:rPr>
                <w:sz w:val="20"/>
                <w:szCs w:val="20"/>
                <w:color w:val="auto"/>
              </w:rPr>
            </w:pPr>
            <w:r>
              <w:rPr>
                <w:rFonts w:ascii="Arial" w:cs="Arial" w:eastAsia="Arial" w:hAnsi="Arial"/>
                <w:sz w:val="14"/>
                <w:szCs w:val="14"/>
                <w:b w:val="1"/>
                <w:bCs w:val="1"/>
                <w:color w:val="auto"/>
              </w:rPr>
              <w:t>Total operating expenses</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11,546</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1,826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5,785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(5,793)</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13,397</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20" w:type="dxa"/>
            <w:vAlign w:val="bottom"/>
          </w:tcPr>
          <w:p>
            <w:pPr>
              <w:spacing w:after="0"/>
              <w:rPr>
                <w:sz w:val="16"/>
                <w:szCs w:val="16"/>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4"/>
                <w:szCs w:val="14"/>
                <w:color w:val="auto"/>
              </w:rPr>
              <w:t>Loss on sale of business</w:t>
            </w:r>
          </w:p>
        </w:tc>
        <w:tc>
          <w:tcPr>
            <w:tcW w:w="220" w:type="dxa"/>
            <w:vAlign w:val="bottom"/>
          </w:tcPr>
          <w:p>
            <w:pPr>
              <w:spacing w:after="0"/>
              <w:rPr>
                <w:sz w:val="23"/>
                <w:szCs w:val="2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87"/>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8"/>
                <w:szCs w:val="18"/>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Arial" w:cs="Arial" w:eastAsia="Arial" w:hAnsi="Arial"/>
                <w:sz w:val="14"/>
                <w:szCs w:val="14"/>
                <w:b w:val="1"/>
                <w:bCs w:val="1"/>
                <w:color w:val="auto"/>
              </w:rPr>
              <w:t>net earnings</w:t>
            </w:r>
          </w:p>
        </w:tc>
        <w:tc>
          <w:tcPr>
            <w:tcW w:w="22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87"/>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87"/>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7"/>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Arial" w:cs="Arial" w:eastAsia="Arial" w:hAnsi="Arial"/>
                <w:sz w:val="14"/>
                <w:szCs w:val="14"/>
                <w:color w:val="auto"/>
              </w:rPr>
              <w:t>Equity in net earnings of Kindred at Home (B)</w:t>
            </w:r>
          </w:p>
        </w:tc>
        <w:tc>
          <w:tcPr>
            <w:tcW w:w="220" w:type="dxa"/>
            <w:vAlign w:val="bottom"/>
          </w:tcPr>
          <w:p>
            <w:pPr>
              <w:spacing w:after="0"/>
              <w:rPr>
                <w:sz w:val="18"/>
                <w:szCs w:val="18"/>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r>
              <w:rPr>
                <w:rFonts w:ascii="Arial" w:cs="Arial" w:eastAsia="Arial" w:hAnsi="Arial"/>
                <w:sz w:val="14"/>
                <w:szCs w:val="14"/>
                <w:b w:val="1"/>
                <w:bCs w:val="1"/>
                <w:color w:val="auto"/>
              </w:rPr>
              <w:t>Segment earnings (loss)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Benefit ratio</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81"/>
        </w:trPr>
        <w:tc>
          <w:tcPr>
            <w:tcW w:w="3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4"/>
                <w:szCs w:val="14"/>
                <w:b w:val="1"/>
                <w:bCs w:val="1"/>
                <w:color w:val="auto"/>
              </w:rPr>
              <w:t>Operating cost ratio</w:t>
            </w: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S-9</w:t>
      </w:r>
    </w:p>
    <w:p>
      <w:pPr>
        <w:sectPr>
          <w:pgSz w:w="11900" w:h="16838" w:orient="portrait"/>
          <w:cols w:equalWidth="0" w:num="1">
            <w:col w:w="11400"/>
          </w:cols>
          <w:pgMar w:left="240" w:top="614" w:right="259" w:bottom="1440" w:gutter="0" w:footer="0" w:header="0"/>
        </w:sectPr>
      </w:pPr>
    </w:p>
    <w:bookmarkStart w:id="42" w:name="page43"/>
    <w:bookmarkEnd w:id="42"/>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Consolidating Statements of Income—For the six months ended June 30, 2019 (C)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Group and</w:t>
            </w:r>
          </w:p>
        </w:tc>
        <w:tc>
          <w:tcPr>
            <w:tcW w:w="1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Healthcare</w:t>
            </w: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rPr>
              <w:t>Eliminations/</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Specialty</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Services</w:t>
            </w:r>
          </w:p>
        </w:tc>
        <w:tc>
          <w:tcPr>
            <w:tcW w:w="12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00" w:type="dxa"/>
            <w:vAlign w:val="bottom"/>
          </w:tcPr>
          <w:p>
            <w:pPr>
              <w:ind w:left="340"/>
              <w:spacing w:after="0"/>
              <w:rPr>
                <w:sz w:val="20"/>
                <w:szCs w:val="20"/>
                <w:color w:val="auto"/>
              </w:rPr>
            </w:pPr>
            <w:r>
              <w:rPr>
                <w:rFonts w:ascii="Arial" w:cs="Arial" w:eastAsia="Arial" w:hAnsi="Arial"/>
                <w:sz w:val="14"/>
                <w:szCs w:val="14"/>
                <w:color w:val="auto"/>
              </w:rPr>
              <w:t>Individual Medicare Advantage</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21,502</w:t>
            </w:r>
          </w:p>
        </w:tc>
        <w:tc>
          <w:tcPr>
            <w:tcW w:w="1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21,502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4"/>
                <w:szCs w:val="14"/>
                <w:color w:val="auto"/>
              </w:rPr>
              <w:t>Group Medicare Advantage</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3,258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3,258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4"/>
                <w:szCs w:val="14"/>
                <w:color w:val="auto"/>
              </w:rPr>
              <w:t>Medicare stand-alone PDP</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1,627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460"/>
              <w:spacing w:after="0"/>
              <w:rPr>
                <w:sz w:val="20"/>
                <w:szCs w:val="20"/>
                <w:color w:val="auto"/>
              </w:rPr>
            </w:pPr>
            <w:r>
              <w:rPr>
                <w:rFonts w:ascii="Arial" w:cs="Arial" w:eastAsia="Arial" w:hAnsi="Arial"/>
                <w:sz w:val="14"/>
                <w:szCs w:val="14"/>
                <w:b w:val="1"/>
                <w:bCs w:val="1"/>
                <w:color w:val="auto"/>
              </w:rPr>
              <w:t>Total Medicare</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26,387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26,387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340"/>
              <w:spacing w:after="0"/>
              <w:rPr>
                <w:sz w:val="20"/>
                <w:szCs w:val="20"/>
                <w:color w:val="auto"/>
              </w:rPr>
            </w:pPr>
            <w:r>
              <w:rPr>
                <w:rFonts w:ascii="Arial" w:cs="Arial" w:eastAsia="Arial" w:hAnsi="Arial"/>
                <w:sz w:val="14"/>
                <w:szCs w:val="14"/>
                <w:color w:val="auto"/>
              </w:rPr>
              <w:t>Fully-insured</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2,595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2,879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4"/>
                <w:szCs w:val="14"/>
                <w:color w:val="auto"/>
              </w:rPr>
              <w:t>Specialty</w:t>
            </w:r>
          </w:p>
        </w:tc>
        <w:tc>
          <w:tcPr>
            <w:tcW w:w="200" w:type="dxa"/>
            <w:vAlign w:val="bottom"/>
          </w:tcPr>
          <w:p>
            <w:pPr>
              <w:spacing w:after="0"/>
              <w:rPr>
                <w:sz w:val="18"/>
                <w:szCs w:val="18"/>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4"/>
                <w:szCs w:val="14"/>
                <w:color w:val="auto"/>
              </w:rPr>
              <w:t>Medicaid and other (D)</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460"/>
              <w:spacing w:after="0"/>
              <w:rPr>
                <w:sz w:val="20"/>
                <w:szCs w:val="20"/>
                <w:color w:val="auto"/>
              </w:rPr>
            </w:pPr>
            <w:r>
              <w:rPr>
                <w:rFonts w:ascii="Arial" w:cs="Arial" w:eastAsia="Arial" w:hAnsi="Arial"/>
                <w:sz w:val="14"/>
                <w:szCs w:val="14"/>
                <w:b w:val="1"/>
                <w:bCs w:val="1"/>
                <w:color w:val="auto"/>
              </w:rPr>
              <w:t>Total premiums</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28,072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3,355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31,427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140"/>
              <w:spacing w:after="0"/>
              <w:rPr>
                <w:sz w:val="20"/>
                <w:szCs w:val="20"/>
                <w:color w:val="auto"/>
              </w:rPr>
            </w:pPr>
            <w:r>
              <w:rPr>
                <w:rFonts w:ascii="Arial" w:cs="Arial" w:eastAsia="Arial" w:hAnsi="Arial"/>
                <w:sz w:val="14"/>
                <w:szCs w:val="14"/>
                <w:b w:val="1"/>
                <w:bCs w:val="1"/>
                <w:color w:val="auto"/>
              </w:rPr>
              <w:t>Services revenue:</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00" w:type="dxa"/>
            <w:vAlign w:val="bottom"/>
          </w:tcPr>
          <w:p>
            <w:pPr>
              <w:ind w:left="340"/>
              <w:spacing w:after="0"/>
              <w:rPr>
                <w:sz w:val="20"/>
                <w:szCs w:val="20"/>
                <w:color w:val="auto"/>
              </w:rPr>
            </w:pPr>
            <w:r>
              <w:rPr>
                <w:rFonts w:ascii="Arial" w:cs="Arial" w:eastAsia="Arial" w:hAnsi="Arial"/>
                <w:sz w:val="14"/>
                <w:szCs w:val="14"/>
                <w:color w:val="auto"/>
              </w:rPr>
              <w:t>Provider</w:t>
            </w:r>
          </w:p>
        </w:tc>
        <w:tc>
          <w:tcPr>
            <w:tcW w:w="200" w:type="dxa"/>
            <w:vAlign w:val="bottom"/>
          </w:tcPr>
          <w:p>
            <w:pPr>
              <w:spacing w:after="0"/>
              <w:rPr>
                <w:sz w:val="24"/>
                <w:szCs w:val="24"/>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231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4"/>
                <w:szCs w:val="14"/>
                <w:color w:val="auto"/>
              </w:rPr>
              <w:t>ASO and other (E)</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4"/>
                <w:szCs w:val="14"/>
                <w:color w:val="auto"/>
              </w:rPr>
              <w:t>Pharmacy</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460"/>
              <w:spacing w:after="0"/>
              <w:rPr>
                <w:sz w:val="20"/>
                <w:szCs w:val="20"/>
                <w:color w:val="auto"/>
              </w:rPr>
            </w:pPr>
            <w:r>
              <w:rPr>
                <w:rFonts w:ascii="Arial" w:cs="Arial" w:eastAsia="Arial" w:hAnsi="Arial"/>
                <w:sz w:val="14"/>
                <w:szCs w:val="14"/>
                <w:b w:val="1"/>
                <w:bCs w:val="1"/>
                <w:color w:val="auto"/>
              </w:rPr>
              <w:t>Total services revenue</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313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28,082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3,742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313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32,137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00" w:type="dxa"/>
            <w:vAlign w:val="bottom"/>
          </w:tcPr>
          <w:p>
            <w:pPr>
              <w:ind w:left="140"/>
              <w:spacing w:after="0"/>
              <w:rPr>
                <w:sz w:val="20"/>
                <w:szCs w:val="20"/>
                <w:color w:val="auto"/>
              </w:rPr>
            </w:pPr>
            <w:r>
              <w:rPr>
                <w:rFonts w:ascii="Arial" w:cs="Arial" w:eastAsia="Arial" w:hAnsi="Arial"/>
                <w:sz w:val="14"/>
                <w:szCs w:val="14"/>
                <w:color w:val="auto"/>
              </w:rPr>
              <w:t>Services</w:t>
            </w:r>
          </w:p>
        </w:tc>
        <w:tc>
          <w:tcPr>
            <w:tcW w:w="200" w:type="dxa"/>
            <w:vAlign w:val="bottom"/>
          </w:tcPr>
          <w:p>
            <w:pPr>
              <w:spacing w:after="0"/>
              <w:rPr>
                <w:sz w:val="24"/>
                <w:szCs w:val="24"/>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8,802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(8,811)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Products</w:t>
            </w:r>
          </w:p>
        </w:tc>
        <w:tc>
          <w:tcPr>
            <w:tcW w:w="200" w:type="dxa"/>
            <w:vAlign w:val="bottom"/>
          </w:tcPr>
          <w:p>
            <w:pPr>
              <w:spacing w:after="0"/>
              <w:rPr>
                <w:sz w:val="18"/>
                <w:szCs w:val="18"/>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3,369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(3,369)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200" w:type="dxa"/>
            <w:vAlign w:val="bottom"/>
          </w:tcPr>
          <w:p>
            <w:pPr>
              <w:spacing w:after="0"/>
              <w:rPr>
                <w:sz w:val="16"/>
                <w:szCs w:val="16"/>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12,171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(12,180)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20"/>
                <w:szCs w:val="20"/>
                <w:color w:val="auto"/>
              </w:rPr>
            </w:pPr>
            <w:r>
              <w:rPr>
                <w:rFonts w:ascii="Arial" w:cs="Arial" w:eastAsia="Arial" w:hAnsi="Arial"/>
                <w:sz w:val="14"/>
                <w:szCs w:val="14"/>
                <w:color w:val="auto"/>
              </w:rPr>
              <w:t>Investment income</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3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28,171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3,761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color w:val="auto"/>
              </w:rPr>
              <w:t>12,485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(12,065)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32,352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7620</wp:posOffset>
            </wp:positionV>
            <wp:extent cx="3756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expenses:</w:t>
      </w:r>
    </w:p>
    <w:p>
      <w:pPr>
        <w:sectPr>
          <w:pgSz w:w="11900" w:h="16838" w:orient="portrait"/>
          <w:cols w:equalWidth="0" w:num="1">
            <w:col w:w="10219"/>
          </w:cols>
          <w:pgMar w:left="240" w:top="614" w:right="1440" w:bottom="1440" w:gutter="0" w:footer="0" w:header="0"/>
        </w:sectPr>
      </w:pPr>
    </w:p>
    <w:p>
      <w:pPr>
        <w:spacing w:after="0" w:line="1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Benefits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costs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Depreciation and amortization</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Total operating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from operations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net (A)</w:t>
      </w:r>
    </w:p>
    <w:p>
      <w:pPr>
        <w:spacing w:after="0" w:line="91" w:lineRule="exact"/>
        <w:rPr>
          <w:sz w:val="20"/>
          <w:szCs w:val="20"/>
          <w:color w:val="auto"/>
        </w:rPr>
      </w:pPr>
    </w:p>
    <w:p>
      <w:pPr>
        <w:ind w:left="40" w:right="280"/>
        <w:spacing w:after="0" w:line="285" w:lineRule="auto"/>
        <w:rPr>
          <w:sz w:val="20"/>
          <w:szCs w:val="20"/>
          <w:color w:val="auto"/>
        </w:rPr>
      </w:pPr>
      <w:r>
        <w:rPr>
          <w:rFonts w:ascii="Arial" w:cs="Arial" w:eastAsia="Arial" w:hAnsi="Arial"/>
          <w:sz w:val="14"/>
          <w:szCs w:val="14"/>
          <w:b w:val="1"/>
          <w:bCs w:val="1"/>
          <w:color w:val="auto"/>
        </w:rPr>
        <w:t>Income before income taxes and equity in net earnings</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Equity in net earnings of Kindred at Home (B)</w:t>
      </w:r>
    </w:p>
    <w:p>
      <w:pPr>
        <w:spacing w:after="0" w:line="11"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4"/>
          <w:szCs w:val="14"/>
          <w:b w:val="1"/>
          <w:bCs w:val="1"/>
          <w:color w:val="auto"/>
        </w:rPr>
        <w:t>Segment earnings</w:t>
      </w:r>
      <w:r>
        <w:rPr>
          <w:sz w:val="20"/>
          <w:szCs w:val="20"/>
          <w:color w:val="auto"/>
        </w:rPr>
        <w:tab/>
      </w:r>
      <w:r>
        <w:rPr>
          <w:rFonts w:ascii="Arial" w:cs="Arial" w:eastAsia="Arial" w:hAnsi="Arial"/>
          <w:sz w:val="21"/>
          <w:szCs w:val="21"/>
          <w:color w:val="auto"/>
          <w:vertAlign w:val="subscript"/>
        </w:rPr>
        <w:t>$</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Benefit ratio</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cost ratio</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20" w:type="dxa"/>
            <w:vAlign w:val="bottom"/>
          </w:tcPr>
          <w:p>
            <w:pPr>
              <w:jc w:val="right"/>
              <w:ind w:right="208"/>
              <w:spacing w:after="0"/>
              <w:rPr>
                <w:sz w:val="20"/>
                <w:szCs w:val="20"/>
                <w:color w:val="auto"/>
              </w:rPr>
            </w:pPr>
            <w:r>
              <w:rPr>
                <w:rFonts w:ascii="Arial" w:cs="Arial" w:eastAsia="Arial" w:hAnsi="Arial"/>
                <w:sz w:val="14"/>
                <w:szCs w:val="14"/>
                <w:color w:val="auto"/>
                <w:w w:val="97"/>
              </w:rPr>
              <w:t>24,346</w:t>
            </w:r>
          </w:p>
        </w:tc>
        <w:tc>
          <w:tcPr>
            <w:tcW w:w="34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2,729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26,811</w:t>
            </w:r>
          </w:p>
        </w:tc>
      </w:tr>
      <w:tr>
        <w:trPr>
          <w:trHeight w:val="270"/>
        </w:trPr>
        <w:tc>
          <w:tcPr>
            <w:tcW w:w="720" w:type="dxa"/>
            <w:vAlign w:val="bottom"/>
          </w:tcPr>
          <w:p>
            <w:pPr>
              <w:jc w:val="right"/>
              <w:ind w:right="208"/>
              <w:spacing w:after="0"/>
              <w:rPr>
                <w:sz w:val="20"/>
                <w:szCs w:val="20"/>
                <w:color w:val="auto"/>
              </w:rPr>
            </w:pPr>
            <w:r>
              <w:rPr>
                <w:rFonts w:ascii="Arial" w:cs="Arial" w:eastAsia="Arial" w:hAnsi="Arial"/>
                <w:sz w:val="14"/>
                <w:szCs w:val="14"/>
                <w:color w:val="auto"/>
              </w:rPr>
              <w:t>2,354</w:t>
            </w:r>
          </w:p>
        </w:tc>
        <w:tc>
          <w:tcPr>
            <w:tcW w:w="34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12,023</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3,363</w:t>
            </w:r>
          </w:p>
        </w:tc>
      </w:tr>
      <w:tr>
        <w:trPr>
          <w:trHeight w:val="276"/>
        </w:trPr>
        <w:tc>
          <w:tcPr>
            <w:tcW w:w="720" w:type="dxa"/>
            <w:vAlign w:val="bottom"/>
          </w:tcPr>
          <w:p>
            <w:pPr>
              <w:jc w:val="right"/>
              <w:ind w:right="208"/>
              <w:spacing w:after="0"/>
              <w:rPr>
                <w:sz w:val="20"/>
                <w:szCs w:val="20"/>
                <w:color w:val="auto"/>
              </w:rPr>
            </w:pPr>
            <w:r>
              <w:rPr>
                <w:rFonts w:ascii="Arial" w:cs="Arial" w:eastAsia="Arial" w:hAnsi="Arial"/>
                <w:sz w:val="14"/>
                <w:szCs w:val="14"/>
                <w:color w:val="auto"/>
              </w:rPr>
              <w:t>150</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216</w:t>
            </w:r>
          </w:p>
        </w:tc>
      </w:tr>
      <w:tr>
        <w:trPr>
          <w:trHeight w:val="250"/>
        </w:trPr>
        <w:tc>
          <w:tcPr>
            <w:tcW w:w="720" w:type="dxa"/>
            <w:vAlign w:val="bottom"/>
          </w:tcPr>
          <w:p>
            <w:pPr>
              <w:jc w:val="right"/>
              <w:ind w:right="208"/>
              <w:spacing w:after="0"/>
              <w:rPr>
                <w:sz w:val="20"/>
                <w:szCs w:val="20"/>
                <w:color w:val="auto"/>
              </w:rPr>
            </w:pPr>
            <w:r>
              <w:rPr>
                <w:rFonts w:ascii="Arial" w:cs="Arial" w:eastAsia="Arial" w:hAnsi="Arial"/>
                <w:sz w:val="14"/>
                <w:szCs w:val="14"/>
                <w:color w:val="auto"/>
                <w:w w:val="97"/>
              </w:rPr>
              <w:t>26,850</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3,591</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12,101</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30,390</w:t>
            </w:r>
          </w:p>
        </w:tc>
      </w:tr>
      <w:tr>
        <w:trPr>
          <w:trHeight w:val="244"/>
        </w:trPr>
        <w:tc>
          <w:tcPr>
            <w:tcW w:w="720" w:type="dxa"/>
            <w:vAlign w:val="bottom"/>
          </w:tcPr>
          <w:p>
            <w:pPr>
              <w:jc w:val="right"/>
              <w:ind w:right="208"/>
              <w:spacing w:after="0"/>
              <w:rPr>
                <w:sz w:val="20"/>
                <w:szCs w:val="20"/>
                <w:color w:val="auto"/>
              </w:rPr>
            </w:pPr>
            <w:r>
              <w:rPr>
                <w:rFonts w:ascii="Arial" w:cs="Arial" w:eastAsia="Arial" w:hAnsi="Arial"/>
                <w:sz w:val="14"/>
                <w:szCs w:val="14"/>
                <w:color w:val="auto"/>
              </w:rPr>
              <w:t>1,321</w:t>
            </w:r>
          </w:p>
        </w:tc>
        <w:tc>
          <w:tcPr>
            <w:tcW w:w="340" w:type="dxa"/>
            <w:vAlign w:val="bottom"/>
          </w:tcPr>
          <w:p>
            <w:pPr>
              <w:spacing w:after="0"/>
              <w:rPr>
                <w:sz w:val="21"/>
                <w:szCs w:val="21"/>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384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1,962</w:t>
            </w:r>
          </w:p>
        </w:tc>
      </w:tr>
      <w:tr>
        <w:trPr>
          <w:trHeight w:val="270"/>
        </w:trPr>
        <w:tc>
          <w:tcPr>
            <w:tcW w:w="7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122</w:t>
            </w:r>
          </w:p>
        </w:tc>
      </w:tr>
      <w:tr>
        <w:trPr>
          <w:trHeight w:val="276"/>
        </w:trPr>
        <w:tc>
          <w:tcPr>
            <w:tcW w:w="7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(135)</w:t>
            </w:r>
          </w:p>
        </w:tc>
      </w:tr>
      <w:tr>
        <w:trPr>
          <w:trHeight w:val="358"/>
        </w:trPr>
        <w:tc>
          <w:tcPr>
            <w:tcW w:w="720" w:type="dxa"/>
            <w:vAlign w:val="bottom"/>
          </w:tcPr>
          <w:p>
            <w:pPr>
              <w:jc w:val="right"/>
              <w:ind w:right="208"/>
              <w:spacing w:after="0"/>
              <w:rPr>
                <w:sz w:val="20"/>
                <w:szCs w:val="20"/>
                <w:color w:val="auto"/>
              </w:rPr>
            </w:pPr>
            <w:r>
              <w:rPr>
                <w:rFonts w:ascii="Arial" w:cs="Arial" w:eastAsia="Arial" w:hAnsi="Arial"/>
                <w:sz w:val="14"/>
                <w:szCs w:val="14"/>
                <w:color w:val="auto"/>
              </w:rPr>
              <w:t>1,321</w:t>
            </w:r>
          </w:p>
        </w:tc>
        <w:tc>
          <w:tcPr>
            <w:tcW w:w="3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384</w:t>
            </w:r>
          </w:p>
        </w:tc>
        <w:tc>
          <w:tcPr>
            <w:tcW w:w="22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1,975</w:t>
            </w:r>
          </w:p>
        </w:tc>
      </w:tr>
      <w:tr>
        <w:trPr>
          <w:trHeight w:val="250"/>
        </w:trPr>
        <w:tc>
          <w:tcPr>
            <w:tcW w:w="7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15</w:t>
            </w:r>
          </w:p>
        </w:tc>
      </w:tr>
      <w:tr>
        <w:trPr>
          <w:trHeight w:val="237"/>
        </w:trPr>
        <w:tc>
          <w:tcPr>
            <w:tcW w:w="720" w:type="dxa"/>
            <w:vAlign w:val="bottom"/>
          </w:tcPr>
          <w:p>
            <w:pPr>
              <w:jc w:val="right"/>
              <w:ind w:right="208"/>
              <w:spacing w:after="0"/>
              <w:rPr>
                <w:sz w:val="20"/>
                <w:szCs w:val="20"/>
                <w:color w:val="auto"/>
              </w:rPr>
            </w:pPr>
            <w:r>
              <w:rPr>
                <w:rFonts w:ascii="Arial" w:cs="Arial" w:eastAsia="Arial" w:hAnsi="Arial"/>
                <w:sz w:val="14"/>
                <w:szCs w:val="14"/>
                <w:color w:val="auto"/>
              </w:rPr>
              <w:t>1,321</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399</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1,990</w:t>
            </w:r>
          </w:p>
        </w:tc>
      </w:tr>
      <w:tr>
        <w:trPr>
          <w:trHeight w:val="20"/>
        </w:trPr>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5"/>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86.7%</w:t>
            </w: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85.3%</w:t>
            </w:r>
          </w:p>
        </w:tc>
      </w:tr>
      <w:tr>
        <w:trPr>
          <w:trHeight w:val="270"/>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96.3%</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-360680</wp:posOffset>
            </wp:positionV>
            <wp:extent cx="660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-343535</wp:posOffset>
            </wp:positionV>
            <wp:extent cx="660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-523240</wp:posOffset>
            </wp:positionV>
            <wp:extent cx="660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-694690</wp:posOffset>
            </wp:positionV>
            <wp:extent cx="660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-935355</wp:posOffset>
            </wp:positionV>
            <wp:extent cx="660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-1449705</wp:posOffset>
            </wp:positionV>
            <wp:extent cx="660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-1621155</wp:posOffset>
            </wp:positionV>
            <wp:extent cx="660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320"/>
            <w:col w:w="6459"/>
          </w:cols>
          <w:pgMar w:left="240" w:top="614" w:right="1440" w:bottom="1440" w:gutter="0" w:footer="0" w:header="0"/>
          <w:type w:val="continuous"/>
        </w:sectPr>
      </w:pPr>
    </w:p>
    <w:p>
      <w:pPr>
        <w:spacing w:after="0" w:line="38"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S-10</w:t>
      </w:r>
    </w:p>
    <w:p>
      <w:pPr>
        <w:sectPr>
          <w:pgSz w:w="11900" w:h="16838" w:orient="portrait"/>
          <w:cols w:equalWidth="0" w:num="1">
            <w:col w:w="10219"/>
          </w:cols>
          <w:pgMar w:left="240" w:top="614" w:right="1440"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Consolidating Statements of Income—For the six months ended June 30, 2018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Group and</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Healthcare</w:t>
            </w:r>
          </w:p>
        </w:tc>
        <w:tc>
          <w:tcPr>
            <w:tcW w:w="1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Individual</w:t>
            </w:r>
          </w:p>
        </w:tc>
        <w:tc>
          <w:tcPr>
            <w:tcW w:w="20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Other</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Eliminations/</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Specialty</w:t>
            </w:r>
          </w:p>
        </w:tc>
        <w:tc>
          <w:tcPr>
            <w:tcW w:w="12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Services</w:t>
            </w: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Commercial</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Businesses</w:t>
            </w: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w:t>
            </w:r>
          </w:p>
        </w:tc>
        <w:tc>
          <w:tcPr>
            <w:tcW w:w="10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80" w:type="dxa"/>
            <w:vAlign w:val="bottom"/>
          </w:tcPr>
          <w:p>
            <w:pPr>
              <w:ind w:left="340"/>
              <w:spacing w:after="0"/>
              <w:rPr>
                <w:sz w:val="20"/>
                <w:szCs w:val="20"/>
                <w:color w:val="auto"/>
              </w:rPr>
            </w:pPr>
            <w:r>
              <w:rPr>
                <w:rFonts w:ascii="Arial" w:cs="Arial" w:eastAsia="Arial" w:hAnsi="Arial"/>
                <w:sz w:val="14"/>
                <w:szCs w:val="14"/>
                <w:color w:val="auto"/>
              </w:rPr>
              <w:t>Individual Medicare Advantage</w:t>
            </w:r>
          </w:p>
        </w:tc>
        <w:tc>
          <w:tcPr>
            <w:tcW w:w="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17,878</w:t>
            </w:r>
          </w:p>
        </w:tc>
        <w:tc>
          <w:tcPr>
            <w:tcW w:w="10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5"/>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17,878</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Arial" w:cs="Arial" w:eastAsia="Arial" w:hAnsi="Arial"/>
                <w:sz w:val="14"/>
                <w:szCs w:val="14"/>
                <w:color w:val="auto"/>
              </w:rPr>
              <w:t>Group Medicare Advantage</w:t>
            </w:r>
          </w:p>
        </w:tc>
        <w:tc>
          <w:tcPr>
            <w:tcW w:w="220" w:type="dxa"/>
            <w:vAlign w:val="bottom"/>
          </w:tcPr>
          <w:p>
            <w:pPr>
              <w:spacing w:after="0"/>
              <w:rPr>
                <w:sz w:val="18"/>
                <w:szCs w:val="18"/>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3,033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3,033</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Arial" w:cs="Arial" w:eastAsia="Arial" w:hAnsi="Arial"/>
                <w:sz w:val="14"/>
                <w:szCs w:val="14"/>
                <w:color w:val="auto"/>
              </w:rPr>
              <w:t>Medicare stand-alone PDP</w:t>
            </w:r>
          </w:p>
        </w:tc>
        <w:tc>
          <w:tcPr>
            <w:tcW w:w="220" w:type="dxa"/>
            <w:vAlign w:val="bottom"/>
          </w:tcPr>
          <w:p>
            <w:pPr>
              <w:spacing w:after="0"/>
              <w:rPr>
                <w:sz w:val="18"/>
                <w:szCs w:val="18"/>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1,810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460"/>
              <w:spacing w:after="0"/>
              <w:rPr>
                <w:sz w:val="20"/>
                <w:szCs w:val="20"/>
                <w:color w:val="auto"/>
              </w:rPr>
            </w:pPr>
            <w:r>
              <w:rPr>
                <w:rFonts w:ascii="Arial" w:cs="Arial" w:eastAsia="Arial" w:hAnsi="Arial"/>
                <w:sz w:val="14"/>
                <w:szCs w:val="14"/>
                <w:b w:val="1"/>
                <w:bCs w:val="1"/>
                <w:color w:val="auto"/>
              </w:rPr>
              <w:t>Total Medicare</w:t>
            </w:r>
          </w:p>
        </w:tc>
        <w:tc>
          <w:tcPr>
            <w:tcW w:w="220" w:type="dxa"/>
            <w:vAlign w:val="bottom"/>
          </w:tcPr>
          <w:p>
            <w:pPr>
              <w:spacing w:after="0"/>
              <w:rPr>
                <w:sz w:val="16"/>
                <w:szCs w:val="16"/>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22,721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22,721</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340"/>
              <w:spacing w:after="0"/>
              <w:rPr>
                <w:sz w:val="20"/>
                <w:szCs w:val="20"/>
                <w:color w:val="auto"/>
              </w:rPr>
            </w:pPr>
            <w:r>
              <w:rPr>
                <w:rFonts w:ascii="Arial" w:cs="Arial" w:eastAsia="Arial" w:hAnsi="Arial"/>
                <w:sz w:val="14"/>
                <w:szCs w:val="14"/>
                <w:color w:val="auto"/>
              </w:rPr>
              <w:t>Fully-insured</w:t>
            </w:r>
          </w:p>
        </w:tc>
        <w:tc>
          <w:tcPr>
            <w:tcW w:w="220" w:type="dxa"/>
            <w:vAlign w:val="bottom"/>
          </w:tcPr>
          <w:p>
            <w:pPr>
              <w:spacing w:after="0"/>
              <w:rPr>
                <w:sz w:val="16"/>
                <w:szCs w:val="16"/>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2,738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2,993</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Arial" w:cs="Arial" w:eastAsia="Arial" w:hAnsi="Arial"/>
                <w:sz w:val="14"/>
                <w:szCs w:val="14"/>
                <w:color w:val="auto"/>
              </w:rPr>
              <w:t>Specialty</w:t>
            </w:r>
          </w:p>
        </w:tc>
        <w:tc>
          <w:tcPr>
            <w:tcW w:w="220" w:type="dxa"/>
            <w:vAlign w:val="bottom"/>
          </w:tcPr>
          <w:p>
            <w:pPr>
              <w:spacing w:after="0"/>
              <w:rPr>
                <w:sz w:val="18"/>
                <w:szCs w:val="18"/>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Arial" w:cs="Arial" w:eastAsia="Arial" w:hAnsi="Arial"/>
                <w:sz w:val="14"/>
                <w:szCs w:val="14"/>
                <w:color w:val="auto"/>
              </w:rPr>
              <w:t>Medicaid and other (D)</w:t>
            </w:r>
          </w:p>
        </w:tc>
        <w:tc>
          <w:tcPr>
            <w:tcW w:w="220" w:type="dxa"/>
            <w:vAlign w:val="bottom"/>
          </w:tcPr>
          <w:p>
            <w:pPr>
              <w:spacing w:after="0"/>
              <w:rPr>
                <w:sz w:val="18"/>
                <w:szCs w:val="18"/>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460"/>
              <w:spacing w:after="0"/>
              <w:rPr>
                <w:sz w:val="20"/>
                <w:szCs w:val="20"/>
                <w:color w:val="auto"/>
              </w:rPr>
            </w:pPr>
            <w:r>
              <w:rPr>
                <w:rFonts w:ascii="Arial" w:cs="Arial" w:eastAsia="Arial" w:hAnsi="Arial"/>
                <w:sz w:val="14"/>
                <w:szCs w:val="14"/>
                <w:b w:val="1"/>
                <w:bCs w:val="1"/>
                <w:color w:val="auto"/>
              </w:rPr>
              <w:t>Total premiums</w:t>
            </w:r>
          </w:p>
        </w:tc>
        <w:tc>
          <w:tcPr>
            <w:tcW w:w="220" w:type="dxa"/>
            <w:vAlign w:val="bottom"/>
          </w:tcPr>
          <w:p>
            <w:pPr>
              <w:spacing w:after="0"/>
              <w:rPr>
                <w:sz w:val="16"/>
                <w:szCs w:val="16"/>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24,074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3,427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27,524</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140"/>
              <w:spacing w:after="0"/>
              <w:rPr>
                <w:sz w:val="20"/>
                <w:szCs w:val="20"/>
                <w:color w:val="auto"/>
              </w:rPr>
            </w:pPr>
            <w:r>
              <w:rPr>
                <w:rFonts w:ascii="Arial" w:cs="Arial" w:eastAsia="Arial" w:hAnsi="Arial"/>
                <w:sz w:val="14"/>
                <w:szCs w:val="14"/>
                <w:b w:val="1"/>
                <w:bCs w:val="1"/>
                <w:color w:val="auto"/>
              </w:rPr>
              <w:t>Services revenue:</w:t>
            </w: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80" w:type="dxa"/>
            <w:vAlign w:val="bottom"/>
          </w:tcPr>
          <w:p>
            <w:pPr>
              <w:ind w:left="340"/>
              <w:spacing w:after="0"/>
              <w:rPr>
                <w:sz w:val="20"/>
                <w:szCs w:val="20"/>
                <w:color w:val="auto"/>
              </w:rPr>
            </w:pPr>
            <w:r>
              <w:rPr>
                <w:rFonts w:ascii="Arial" w:cs="Arial" w:eastAsia="Arial" w:hAnsi="Arial"/>
                <w:sz w:val="14"/>
                <w:szCs w:val="14"/>
                <w:color w:val="auto"/>
              </w:rPr>
              <w:t>Provider</w:t>
            </w:r>
          </w:p>
        </w:tc>
        <w:tc>
          <w:tcPr>
            <w:tcW w:w="220" w:type="dxa"/>
            <w:vAlign w:val="bottom"/>
          </w:tcPr>
          <w:p>
            <w:pPr>
              <w:spacing w:after="0"/>
              <w:rPr>
                <w:sz w:val="24"/>
                <w:szCs w:val="24"/>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Arial" w:cs="Arial" w:eastAsia="Arial" w:hAnsi="Arial"/>
                <w:sz w:val="14"/>
                <w:szCs w:val="14"/>
                <w:color w:val="auto"/>
              </w:rPr>
              <w:t>ASO and other (E)</w:t>
            </w:r>
          </w:p>
        </w:tc>
        <w:tc>
          <w:tcPr>
            <w:tcW w:w="220" w:type="dxa"/>
            <w:vAlign w:val="bottom"/>
          </w:tcPr>
          <w:p>
            <w:pPr>
              <w:spacing w:after="0"/>
              <w:rPr>
                <w:sz w:val="18"/>
                <w:szCs w:val="18"/>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Arial" w:cs="Arial" w:eastAsia="Arial" w:hAnsi="Arial"/>
                <w:sz w:val="14"/>
                <w:szCs w:val="14"/>
                <w:color w:val="auto"/>
              </w:rPr>
              <w:t>Pharmacy</w:t>
            </w:r>
          </w:p>
        </w:tc>
        <w:tc>
          <w:tcPr>
            <w:tcW w:w="220" w:type="dxa"/>
            <w:vAlign w:val="bottom"/>
          </w:tcPr>
          <w:p>
            <w:pPr>
              <w:spacing w:after="0"/>
              <w:rPr>
                <w:sz w:val="18"/>
                <w:szCs w:val="18"/>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460"/>
              <w:spacing w:after="0"/>
              <w:rPr>
                <w:sz w:val="20"/>
                <w:szCs w:val="20"/>
                <w:color w:val="auto"/>
              </w:rPr>
            </w:pPr>
            <w:r>
              <w:rPr>
                <w:rFonts w:ascii="Arial" w:cs="Arial" w:eastAsia="Arial" w:hAnsi="Arial"/>
                <w:sz w:val="14"/>
                <w:szCs w:val="14"/>
                <w:b w:val="1"/>
                <w:bCs w:val="1"/>
                <w:color w:val="auto"/>
              </w:rPr>
              <w:t>Total services revenue</w:t>
            </w:r>
          </w:p>
        </w:tc>
        <w:tc>
          <w:tcPr>
            <w:tcW w:w="220" w:type="dxa"/>
            <w:vAlign w:val="bottom"/>
          </w:tcPr>
          <w:p>
            <w:pPr>
              <w:spacing w:after="0"/>
              <w:rPr>
                <w:sz w:val="16"/>
                <w:szCs w:val="16"/>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220" w:type="dxa"/>
            <w:vAlign w:val="bottom"/>
          </w:tcPr>
          <w:p>
            <w:pPr>
              <w:spacing w:after="0"/>
              <w:rPr>
                <w:sz w:val="16"/>
                <w:szCs w:val="16"/>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24,079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3,854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28,233</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80" w:type="dxa"/>
            <w:vAlign w:val="bottom"/>
          </w:tcPr>
          <w:p>
            <w:pPr>
              <w:ind w:left="140"/>
              <w:spacing w:after="0"/>
              <w:rPr>
                <w:sz w:val="20"/>
                <w:szCs w:val="20"/>
                <w:color w:val="auto"/>
              </w:rPr>
            </w:pPr>
            <w:r>
              <w:rPr>
                <w:rFonts w:ascii="Arial" w:cs="Arial" w:eastAsia="Arial" w:hAnsi="Arial"/>
                <w:sz w:val="14"/>
                <w:szCs w:val="14"/>
                <w:color w:val="auto"/>
              </w:rPr>
              <w:t>Services</w:t>
            </w:r>
          </w:p>
        </w:tc>
        <w:tc>
          <w:tcPr>
            <w:tcW w:w="220" w:type="dxa"/>
            <w:vAlign w:val="bottom"/>
          </w:tcPr>
          <w:p>
            <w:pPr>
              <w:spacing w:after="0"/>
              <w:rPr>
                <w:sz w:val="24"/>
                <w:szCs w:val="24"/>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8,212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(8,221)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40"/>
              <w:spacing w:after="0"/>
              <w:rPr>
                <w:sz w:val="20"/>
                <w:szCs w:val="20"/>
                <w:color w:val="auto"/>
              </w:rPr>
            </w:pPr>
            <w:r>
              <w:rPr>
                <w:rFonts w:ascii="Arial" w:cs="Arial" w:eastAsia="Arial" w:hAnsi="Arial"/>
                <w:sz w:val="14"/>
                <w:szCs w:val="14"/>
                <w:color w:val="auto"/>
              </w:rPr>
              <w:t>Products</w:t>
            </w:r>
          </w:p>
        </w:tc>
        <w:tc>
          <w:tcPr>
            <w:tcW w:w="220" w:type="dxa"/>
            <w:vAlign w:val="bottom"/>
          </w:tcPr>
          <w:p>
            <w:pPr>
              <w:spacing w:after="0"/>
              <w:rPr>
                <w:sz w:val="18"/>
                <w:szCs w:val="18"/>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3,146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(3,146)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220" w:type="dxa"/>
            <w:vAlign w:val="bottom"/>
          </w:tcPr>
          <w:p>
            <w:pPr>
              <w:spacing w:after="0"/>
              <w:rPr>
                <w:sz w:val="16"/>
                <w:szCs w:val="16"/>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11,358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(11,367)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color w:val="auto"/>
              </w:rPr>
              <w:t>Investment income</w:t>
            </w:r>
          </w:p>
        </w:tc>
        <w:tc>
          <w:tcPr>
            <w:tcW w:w="220" w:type="dxa"/>
            <w:vAlign w:val="bottom"/>
          </w:tcPr>
          <w:p>
            <w:pPr>
              <w:spacing w:after="0"/>
              <w:rPr>
                <w:sz w:val="16"/>
                <w:szCs w:val="16"/>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34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24,146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3,876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11,654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(11,265)</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28,538</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380" w:type="dxa"/>
            <w:vAlign w:val="bottom"/>
          </w:tcPr>
          <w:p>
            <w:pPr>
              <w:ind w:left="140"/>
              <w:spacing w:after="0"/>
              <w:rPr>
                <w:sz w:val="20"/>
                <w:szCs w:val="20"/>
                <w:color w:val="auto"/>
              </w:rPr>
            </w:pPr>
            <w:r>
              <w:rPr>
                <w:rFonts w:ascii="Arial" w:cs="Arial" w:eastAsia="Arial" w:hAnsi="Arial"/>
                <w:sz w:val="14"/>
                <w:szCs w:val="14"/>
                <w:color w:val="auto"/>
              </w:rPr>
              <w:t>Benefits</w:t>
            </w:r>
          </w:p>
        </w:tc>
        <w:tc>
          <w:tcPr>
            <w:tcW w:w="220" w:type="dxa"/>
            <w:vAlign w:val="bottom"/>
          </w:tcPr>
          <w:p>
            <w:pPr>
              <w:spacing w:after="0"/>
              <w:rPr>
                <w:sz w:val="24"/>
                <w:szCs w:val="24"/>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20,822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2,630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23,206</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40"/>
              <w:spacing w:after="0"/>
              <w:rPr>
                <w:sz w:val="20"/>
                <w:szCs w:val="20"/>
                <w:color w:val="auto"/>
              </w:rPr>
            </w:pPr>
            <w:r>
              <w:rPr>
                <w:rFonts w:ascii="Arial" w:cs="Arial" w:eastAsia="Arial" w:hAnsi="Arial"/>
                <w:sz w:val="14"/>
                <w:szCs w:val="14"/>
                <w:color w:val="auto"/>
              </w:rPr>
              <w:t>Operating costs</w:t>
            </w:r>
          </w:p>
        </w:tc>
        <w:tc>
          <w:tcPr>
            <w:tcW w:w="220" w:type="dxa"/>
            <w:vAlign w:val="bottom"/>
          </w:tcPr>
          <w:p>
            <w:pPr>
              <w:spacing w:after="0"/>
              <w:rPr>
                <w:sz w:val="18"/>
                <w:szCs w:val="18"/>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2,432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11,190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(11,029)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3,510</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8"/>
                <w:szCs w:val="18"/>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240"/>
              <w:spacing w:after="0"/>
              <w:rPr>
                <w:sz w:val="20"/>
                <w:szCs w:val="20"/>
                <w:color w:val="auto"/>
              </w:rPr>
            </w:pPr>
            <w:r>
              <w:rPr>
                <w:rFonts w:ascii="Arial" w:cs="Arial" w:eastAsia="Arial" w:hAnsi="Arial"/>
                <w:sz w:val="14"/>
                <w:szCs w:val="14"/>
                <w:b w:val="1"/>
                <w:bCs w:val="1"/>
                <w:color w:val="auto"/>
              </w:rPr>
              <w:t>Total operating expenses</w:t>
            </w: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23,386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3,585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11,275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(11,333)</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26,916</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20" w:type="dxa"/>
            <w:vAlign w:val="bottom"/>
          </w:tcPr>
          <w:p>
            <w:pPr>
              <w:spacing w:after="0"/>
              <w:rPr>
                <w:sz w:val="16"/>
                <w:szCs w:val="16"/>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7"/>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1,622</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4"/>
                <w:szCs w:val="14"/>
                <w:color w:val="auto"/>
              </w:rPr>
              <w:t>Loss on sale of business</w:t>
            </w:r>
          </w:p>
        </w:tc>
        <w:tc>
          <w:tcPr>
            <w:tcW w:w="2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8"/>
                <w:szCs w:val="18"/>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20"/>
                <w:szCs w:val="20"/>
                <w:color w:val="auto"/>
              </w:rPr>
            </w:pPr>
            <w:r>
              <w:rPr>
                <w:rFonts w:ascii="Arial" w:cs="Arial" w:eastAsia="Arial" w:hAnsi="Arial"/>
                <w:sz w:val="14"/>
                <w:szCs w:val="14"/>
                <w:b w:val="1"/>
                <w:bCs w:val="1"/>
                <w:color w:val="auto"/>
              </w:rPr>
              <w:t>net earnings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91"/>
        </w:trPr>
        <w:tc>
          <w:tcPr>
            <w:tcW w:w="3380" w:type="dxa"/>
            <w:vAlign w:val="bottom"/>
          </w:tcPr>
          <w:p>
            <w:pPr>
              <w:ind w:left="340"/>
              <w:spacing w:after="0"/>
              <w:rPr>
                <w:sz w:val="20"/>
                <w:szCs w:val="20"/>
                <w:color w:val="auto"/>
              </w:rPr>
            </w:pPr>
            <w:r>
              <w:rPr>
                <w:rFonts w:ascii="Arial" w:cs="Arial" w:eastAsia="Arial" w:hAnsi="Arial"/>
                <w:sz w:val="14"/>
                <w:szCs w:val="14"/>
                <w:color w:val="auto"/>
              </w:rPr>
              <w:t>Equity in net earnings of Kindred at Home (B)</w:t>
            </w:r>
          </w:p>
        </w:tc>
        <w:tc>
          <w:tcPr>
            <w:tcW w:w="220" w:type="dxa"/>
            <w:vAlign w:val="bottom"/>
          </w:tcPr>
          <w:p>
            <w:pPr>
              <w:spacing w:after="0"/>
              <w:rPr>
                <w:sz w:val="16"/>
                <w:szCs w:val="16"/>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r>
              <w:rPr>
                <w:rFonts w:ascii="Arial" w:cs="Arial" w:eastAsia="Arial" w:hAnsi="Arial"/>
                <w:sz w:val="14"/>
                <w:szCs w:val="14"/>
                <w:b w:val="1"/>
                <w:bCs w:val="1"/>
                <w:color w:val="auto"/>
              </w:rPr>
              <w:t>Segment earnings (loss)</w:t>
            </w: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Benefit ratio</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81"/>
        </w:trPr>
        <w:tc>
          <w:tcPr>
            <w:tcW w:w="3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4"/>
                <w:szCs w:val="14"/>
                <w:b w:val="1"/>
                <w:bCs w:val="1"/>
                <w:color w:val="auto"/>
              </w:rPr>
              <w:t>Operating cost ratio</w:t>
            </w:r>
          </w:p>
        </w:tc>
        <w:tc>
          <w:tcPr>
            <w:tcW w:w="2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S-11</w:t>
      </w:r>
    </w:p>
    <w:p>
      <w:pPr>
        <w:sectPr>
          <w:pgSz w:w="11900" w:h="16838" w:orient="portrait"/>
          <w:cols w:equalWidth="0" w:num="1">
            <w:col w:w="11400"/>
          </w:cols>
          <w:pgMar w:left="240" w:top="614" w:right="25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Humana Inc.</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Ending Membership Detail</w:t>
      </w:r>
    </w:p>
    <w:p>
      <w:pPr>
        <w:spacing w:after="0"/>
        <w:rPr>
          <w:sz w:val="20"/>
          <w:szCs w:val="20"/>
          <w:color w:val="auto"/>
        </w:rPr>
      </w:pPr>
      <w:r>
        <w:rPr>
          <w:rFonts w:ascii="Arial" w:cs="Arial" w:eastAsia="Arial" w:hAnsi="Arial"/>
          <w:sz w:val="16"/>
          <w:szCs w:val="16"/>
          <w:i w:val="1"/>
          <w:iCs w:val="1"/>
          <w:color w:val="auto"/>
        </w:rPr>
        <w:t>In thousands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2380" w:type="dxa"/>
            <w:vAlign w:val="bottom"/>
          </w:tcPr>
          <w:p>
            <w:pPr>
              <w:spacing w:after="0"/>
              <w:rPr>
                <w:sz w:val="22"/>
                <w:szCs w:val="22"/>
                <w:color w:val="auto"/>
              </w:rPr>
            </w:pPr>
          </w:p>
        </w:tc>
        <w:tc>
          <w:tcPr>
            <w:tcW w:w="1100" w:type="dxa"/>
            <w:vAlign w:val="bottom"/>
            <w:tcBorders>
              <w:top w:val="single" w:sz="8" w:color="auto"/>
              <w:left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2080" w:type="dxa"/>
            <w:vAlign w:val="bottom"/>
            <w:tcBorders>
              <w:top w:val="single" w:sz="8" w:color="auto"/>
              <w:bottom w:val="single" w:sz="8" w:color="auto"/>
              <w:right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580" w:type="dxa"/>
            <w:vAlign w:val="bottom"/>
            <w:tcBorders>
              <w:top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Year-to- Date Change</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100" w:type="dxa"/>
            <w:vAlign w:val="bottom"/>
            <w:tcBorders>
              <w:lef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22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14"/>
                <w:szCs w:val="14"/>
                <w:b w:val="1"/>
                <w:bCs w:val="1"/>
                <w:color w:val="00497F"/>
              </w:rPr>
              <w:t>June 30, 2019</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0497F"/>
              </w:rPr>
              <w:t>Average 2Q19</w:t>
            </w: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June 30, 2018</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Percent</w:t>
            </w: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2380" w:type="dxa"/>
            <w:vAlign w:val="bottom"/>
          </w:tcPr>
          <w:p>
            <w:pPr>
              <w:spacing w:after="0"/>
              <w:rPr>
                <w:sz w:val="20"/>
                <w:szCs w:val="20"/>
                <w:color w:val="auto"/>
              </w:rPr>
            </w:pPr>
            <w:r>
              <w:rPr>
                <w:rFonts w:ascii="Arial" w:cs="Arial" w:eastAsia="Arial" w:hAnsi="Arial"/>
                <w:sz w:val="14"/>
                <w:szCs w:val="14"/>
                <w:b w:val="1"/>
                <w:bCs w:val="1"/>
                <w:color w:val="auto"/>
              </w:rPr>
              <w:t>Medical Membership:</w:t>
            </w:r>
          </w:p>
        </w:tc>
        <w:tc>
          <w:tcPr>
            <w:tcW w:w="110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380" w:type="dxa"/>
            <w:vAlign w:val="bottom"/>
          </w:tcPr>
          <w:p>
            <w:pPr>
              <w:spacing w:after="0"/>
              <w:rPr>
                <w:sz w:val="20"/>
                <w:szCs w:val="20"/>
                <w:color w:val="auto"/>
              </w:rPr>
            </w:pPr>
            <w:r>
              <w:rPr>
                <w:rFonts w:ascii="Arial" w:cs="Arial" w:eastAsia="Arial" w:hAnsi="Arial"/>
                <w:sz w:val="14"/>
                <w:szCs w:val="14"/>
                <w:b w:val="1"/>
                <w:bCs w:val="1"/>
                <w:color w:val="auto"/>
              </w:rPr>
              <w:t>Retail</w:t>
            </w:r>
          </w:p>
        </w:tc>
        <w:tc>
          <w:tcPr>
            <w:tcW w:w="110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80" w:type="dxa"/>
            <w:vAlign w:val="bottom"/>
          </w:tcPr>
          <w:p>
            <w:pPr>
              <w:ind w:left="240"/>
              <w:spacing w:after="0"/>
              <w:rPr>
                <w:sz w:val="20"/>
                <w:szCs w:val="20"/>
                <w:color w:val="auto"/>
              </w:rPr>
            </w:pPr>
            <w:r>
              <w:rPr>
                <w:rFonts w:ascii="Arial" w:cs="Arial" w:eastAsia="Arial" w:hAnsi="Arial"/>
                <w:sz w:val="14"/>
                <w:szCs w:val="14"/>
                <w:color w:val="auto"/>
              </w:rPr>
              <w:t>Individual Medicare Advantage</w:t>
            </w:r>
          </w:p>
        </w:tc>
        <w:tc>
          <w:tcPr>
            <w:tcW w:w="1220" w:type="dxa"/>
            <w:vAlign w:val="bottom"/>
            <w:tcBorders>
              <w:left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3,484.5</w:t>
            </w: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00497F"/>
              </w:rPr>
              <w:t>3,465.4</w:t>
            </w:r>
          </w:p>
        </w:tc>
        <w:tc>
          <w:tcPr>
            <w:tcW w:w="1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3,027.2</w:t>
            </w:r>
          </w:p>
        </w:tc>
        <w:tc>
          <w:tcPr>
            <w:tcW w:w="12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457.3</w:t>
            </w:r>
          </w:p>
        </w:tc>
        <w:tc>
          <w:tcPr>
            <w:tcW w:w="960" w:type="dxa"/>
            <w:vAlign w:val="bottom"/>
          </w:tcPr>
          <w:p>
            <w:pPr>
              <w:jc w:val="right"/>
              <w:spacing w:after="0"/>
              <w:rPr>
                <w:sz w:val="20"/>
                <w:szCs w:val="20"/>
                <w:color w:val="auto"/>
              </w:rPr>
            </w:pPr>
            <w:r>
              <w:rPr>
                <w:rFonts w:ascii="Arial" w:cs="Arial" w:eastAsia="Arial" w:hAnsi="Arial"/>
                <w:sz w:val="14"/>
                <w:szCs w:val="14"/>
                <w:color w:val="auto"/>
              </w:rPr>
              <w:t>15.1 %</w:t>
            </w:r>
          </w:p>
        </w:tc>
        <w:tc>
          <w:tcPr>
            <w:tcW w:w="10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3,064.0</w:t>
            </w:r>
          </w:p>
        </w:tc>
        <w:tc>
          <w:tcPr>
            <w:tcW w:w="1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420.5</w:t>
            </w:r>
          </w:p>
        </w:tc>
        <w:tc>
          <w:tcPr>
            <w:tcW w:w="860" w:type="dxa"/>
            <w:vAlign w:val="bottom"/>
          </w:tcPr>
          <w:p>
            <w:pPr>
              <w:jc w:val="right"/>
              <w:spacing w:after="0"/>
              <w:rPr>
                <w:sz w:val="20"/>
                <w:szCs w:val="20"/>
                <w:color w:val="auto"/>
              </w:rPr>
            </w:pPr>
            <w:r>
              <w:rPr>
                <w:rFonts w:ascii="Arial" w:cs="Arial" w:eastAsia="Arial" w:hAnsi="Arial"/>
                <w:sz w:val="14"/>
                <w:szCs w:val="14"/>
                <w:color w:val="auto"/>
              </w:rPr>
              <w:t>13.7 %</w:t>
            </w:r>
          </w:p>
        </w:tc>
        <w:tc>
          <w:tcPr>
            <w:tcW w:w="0" w:type="dxa"/>
            <w:vAlign w:val="bottom"/>
          </w:tcPr>
          <w:p>
            <w:pPr>
              <w:spacing w:after="0"/>
              <w:rPr>
                <w:sz w:val="1"/>
                <w:szCs w:val="1"/>
                <w:color w:val="auto"/>
              </w:rPr>
            </w:pPr>
          </w:p>
        </w:tc>
      </w:tr>
      <w:tr>
        <w:trPr>
          <w:trHeight w:val="270"/>
        </w:trPr>
        <w:tc>
          <w:tcPr>
            <w:tcW w:w="2380" w:type="dxa"/>
            <w:vAlign w:val="bottom"/>
          </w:tcPr>
          <w:p>
            <w:pPr>
              <w:ind w:left="240"/>
              <w:spacing w:after="0"/>
              <w:rPr>
                <w:sz w:val="20"/>
                <w:szCs w:val="20"/>
                <w:color w:val="auto"/>
              </w:rPr>
            </w:pPr>
            <w:r>
              <w:rPr>
                <w:rFonts w:ascii="Arial" w:cs="Arial" w:eastAsia="Arial" w:hAnsi="Arial"/>
                <w:sz w:val="14"/>
                <w:szCs w:val="14"/>
                <w:color w:val="auto"/>
              </w:rPr>
              <w:t>Group Medicare Advantage</w:t>
            </w:r>
          </w:p>
        </w:tc>
        <w:tc>
          <w:tcPr>
            <w:tcW w:w="1220" w:type="dxa"/>
            <w:vAlign w:val="bottom"/>
            <w:tcBorders>
              <w:left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519.1</w:t>
            </w: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00497F"/>
              </w:rPr>
              <w:t>518.8</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493.1</w:t>
            </w:r>
          </w:p>
        </w:tc>
        <w:tc>
          <w:tcPr>
            <w:tcW w:w="120" w:type="dxa"/>
            <w:vAlign w:val="bottom"/>
          </w:tcPr>
          <w:p>
            <w:pPr>
              <w:spacing w:after="0"/>
              <w:rPr>
                <w:sz w:val="23"/>
                <w:szCs w:val="23"/>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26.0</w:t>
            </w:r>
          </w:p>
        </w:tc>
        <w:tc>
          <w:tcPr>
            <w:tcW w:w="960" w:type="dxa"/>
            <w:vAlign w:val="bottom"/>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497.8</w:t>
            </w:r>
          </w:p>
        </w:tc>
        <w:tc>
          <w:tcPr>
            <w:tcW w:w="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860" w:type="dxa"/>
            <w:vAlign w:val="bottom"/>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276"/>
        </w:trPr>
        <w:tc>
          <w:tcPr>
            <w:tcW w:w="2380" w:type="dxa"/>
            <w:vAlign w:val="bottom"/>
          </w:tcPr>
          <w:p>
            <w:pPr>
              <w:ind w:left="240"/>
              <w:spacing w:after="0"/>
              <w:rPr>
                <w:sz w:val="20"/>
                <w:szCs w:val="20"/>
                <w:color w:val="auto"/>
              </w:rPr>
            </w:pPr>
            <w:r>
              <w:rPr>
                <w:rFonts w:ascii="Arial" w:cs="Arial" w:eastAsia="Arial" w:hAnsi="Arial"/>
                <w:sz w:val="14"/>
                <w:szCs w:val="14"/>
                <w:color w:val="auto"/>
              </w:rPr>
              <w:t>Medicare stand-alone PDP</w:t>
            </w:r>
          </w:p>
        </w:tc>
        <w:tc>
          <w:tcPr>
            <w:tcW w:w="1220" w:type="dxa"/>
            <w:vAlign w:val="bottom"/>
            <w:tcBorders>
              <w:left w:val="single" w:sz="8" w:color="auto"/>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4,400.5</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4,414.9</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5,008.2</w:t>
            </w:r>
          </w:p>
        </w:tc>
        <w:tc>
          <w:tcPr>
            <w:tcW w:w="120" w:type="dxa"/>
            <w:vAlign w:val="bottom"/>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(607.7)</w:t>
            </w:r>
          </w:p>
        </w:tc>
        <w:tc>
          <w:tcPr>
            <w:tcW w:w="960" w:type="dxa"/>
            <w:vAlign w:val="bottom"/>
          </w:tcPr>
          <w:p>
            <w:pPr>
              <w:jc w:val="right"/>
              <w:spacing w:after="0"/>
              <w:rPr>
                <w:sz w:val="20"/>
                <w:szCs w:val="20"/>
                <w:color w:val="auto"/>
              </w:rPr>
            </w:pPr>
            <w:r>
              <w:rPr>
                <w:rFonts w:ascii="Arial" w:cs="Arial" w:eastAsia="Arial" w:hAnsi="Arial"/>
                <w:sz w:val="14"/>
                <w:szCs w:val="14"/>
                <w:color w:val="auto"/>
              </w:rPr>
              <w:t>-12.1 %</w:t>
            </w:r>
          </w:p>
        </w:tc>
        <w:tc>
          <w:tcPr>
            <w:tcW w:w="100" w:type="dxa"/>
            <w:vAlign w:val="bottom"/>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5,004.3</w:t>
            </w:r>
          </w:p>
        </w:tc>
        <w:tc>
          <w:tcPr>
            <w:tcW w:w="120" w:type="dxa"/>
            <w:vAlign w:val="bottom"/>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(603.8)</w:t>
            </w:r>
          </w:p>
        </w:tc>
        <w:tc>
          <w:tcPr>
            <w:tcW w:w="860" w:type="dxa"/>
            <w:vAlign w:val="bottom"/>
          </w:tcPr>
          <w:p>
            <w:pPr>
              <w:jc w:val="right"/>
              <w:spacing w:after="0"/>
              <w:rPr>
                <w:sz w:val="20"/>
                <w:szCs w:val="20"/>
                <w:color w:val="auto"/>
              </w:rPr>
            </w:pPr>
            <w:r>
              <w:rPr>
                <w:rFonts w:ascii="Arial" w:cs="Arial" w:eastAsia="Arial" w:hAnsi="Arial"/>
                <w:sz w:val="14"/>
                <w:szCs w:val="14"/>
                <w:color w:val="auto"/>
              </w:rPr>
              <w:t>-12.1 %</w:t>
            </w:r>
          </w:p>
        </w:tc>
        <w:tc>
          <w:tcPr>
            <w:tcW w:w="0" w:type="dxa"/>
            <w:vAlign w:val="bottom"/>
          </w:tcPr>
          <w:p>
            <w:pPr>
              <w:spacing w:after="0"/>
              <w:rPr>
                <w:sz w:val="1"/>
                <w:szCs w:val="1"/>
                <w:color w:val="auto"/>
              </w:rPr>
            </w:pPr>
          </w:p>
        </w:tc>
      </w:tr>
      <w:tr>
        <w:trPr>
          <w:trHeight w:val="191"/>
        </w:trPr>
        <w:tc>
          <w:tcPr>
            <w:tcW w:w="2380" w:type="dxa"/>
            <w:vAlign w:val="bottom"/>
          </w:tcPr>
          <w:p>
            <w:pPr>
              <w:ind w:left="680"/>
              <w:spacing w:after="0"/>
              <w:rPr>
                <w:sz w:val="20"/>
                <w:szCs w:val="20"/>
                <w:color w:val="auto"/>
              </w:rPr>
            </w:pPr>
            <w:r>
              <w:rPr>
                <w:rFonts w:ascii="Arial" w:cs="Arial" w:eastAsia="Arial" w:hAnsi="Arial"/>
                <w:sz w:val="14"/>
                <w:szCs w:val="14"/>
                <w:color w:val="auto"/>
              </w:rPr>
              <w:t>Total Medicare</w:t>
            </w:r>
          </w:p>
        </w:tc>
        <w:tc>
          <w:tcPr>
            <w:tcW w:w="1220" w:type="dxa"/>
            <w:vAlign w:val="bottom"/>
            <w:tcBorders>
              <w:left w:val="single" w:sz="8" w:color="auto"/>
              <w:right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00497F"/>
              </w:rPr>
              <w:t>8,404.1</w:t>
            </w: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00497F"/>
              </w:rPr>
              <w:t>8,399.1</w:t>
            </w: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8,528.5</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(124.4)</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8,566.1</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(162.0)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220" w:type="dxa"/>
            <w:vAlign w:val="bottom"/>
            <w:tcBorders>
              <w:left w:val="single" w:sz="8" w:color="auto"/>
              <w:bottom w:val="single" w:sz="8" w:color="auto"/>
              <w:right w:val="single" w:sz="8" w:color="auto"/>
            </w:tcBorders>
            <w:gridSpan w:val="2"/>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240"/>
              <w:spacing w:after="0"/>
              <w:rPr>
                <w:sz w:val="20"/>
                <w:szCs w:val="20"/>
                <w:color w:val="auto"/>
              </w:rPr>
            </w:pPr>
            <w:r>
              <w:rPr>
                <w:rFonts w:ascii="Arial" w:cs="Arial" w:eastAsia="Arial" w:hAnsi="Arial"/>
                <w:sz w:val="14"/>
                <w:szCs w:val="14"/>
                <w:color w:val="auto"/>
              </w:rPr>
              <w:t>State-based contracts (F)</w:t>
            </w:r>
          </w:p>
        </w:tc>
        <w:tc>
          <w:tcPr>
            <w:tcW w:w="1220" w:type="dxa"/>
            <w:vAlign w:val="bottom"/>
            <w:tcBorders>
              <w:left w:val="single" w:sz="8" w:color="auto"/>
              <w:right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00497F"/>
              </w:rPr>
              <w:t>465.2</w:t>
            </w: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00497F"/>
              </w:rPr>
              <w:t>463.9</w:t>
            </w: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325.2</w:t>
            </w:r>
          </w:p>
        </w:tc>
        <w:tc>
          <w:tcPr>
            <w:tcW w:w="120" w:type="dxa"/>
            <w:vAlign w:val="bottom"/>
          </w:tcPr>
          <w:p>
            <w:pPr>
              <w:spacing w:after="0"/>
              <w:rPr>
                <w:sz w:val="16"/>
                <w:szCs w:val="16"/>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140.0</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43.1 %</w:t>
            </w:r>
          </w:p>
        </w:tc>
        <w:tc>
          <w:tcPr>
            <w:tcW w:w="1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341.1</w:t>
            </w:r>
          </w:p>
        </w:tc>
        <w:tc>
          <w:tcPr>
            <w:tcW w:w="1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124.1</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36.4 %</w:t>
            </w:r>
          </w:p>
        </w:tc>
        <w:tc>
          <w:tcPr>
            <w:tcW w:w="0" w:type="dxa"/>
            <w:vAlign w:val="bottom"/>
          </w:tcPr>
          <w:p>
            <w:pPr>
              <w:spacing w:after="0"/>
              <w:rPr>
                <w:sz w:val="1"/>
                <w:szCs w:val="1"/>
                <w:color w:val="auto"/>
              </w:rPr>
            </w:pPr>
          </w:p>
        </w:tc>
      </w:tr>
      <w:tr>
        <w:trPr>
          <w:trHeight w:val="68"/>
        </w:trPr>
        <w:tc>
          <w:tcPr>
            <w:tcW w:w="2380" w:type="dxa"/>
            <w:vAlign w:val="bottom"/>
          </w:tcPr>
          <w:p>
            <w:pPr>
              <w:spacing w:after="0"/>
              <w:rPr>
                <w:sz w:val="5"/>
                <w:szCs w:val="5"/>
                <w:color w:val="auto"/>
              </w:rPr>
            </w:pPr>
          </w:p>
        </w:tc>
        <w:tc>
          <w:tcPr>
            <w:tcW w:w="1220" w:type="dxa"/>
            <w:vAlign w:val="bottom"/>
            <w:tcBorders>
              <w:left w:val="single" w:sz="8" w:color="auto"/>
              <w:right w:val="single" w:sz="8" w:color="auto"/>
            </w:tcBorders>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380" w:type="dxa"/>
            <w:vAlign w:val="bottom"/>
          </w:tcPr>
          <w:p>
            <w:pPr>
              <w:ind w:left="240"/>
              <w:spacing w:after="0"/>
              <w:rPr>
                <w:sz w:val="20"/>
                <w:szCs w:val="20"/>
                <w:color w:val="auto"/>
              </w:rPr>
            </w:pPr>
            <w:r>
              <w:rPr>
                <w:rFonts w:ascii="Arial" w:cs="Arial" w:eastAsia="Arial" w:hAnsi="Arial"/>
                <w:sz w:val="14"/>
                <w:szCs w:val="14"/>
                <w:color w:val="auto"/>
              </w:rPr>
              <w:t>Medicare Supplement</w:t>
            </w:r>
          </w:p>
        </w:tc>
        <w:tc>
          <w:tcPr>
            <w:tcW w:w="1220" w:type="dxa"/>
            <w:vAlign w:val="bottom"/>
            <w:tcBorders>
              <w:left w:val="single" w:sz="8" w:color="auto"/>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276.0</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273.0</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241.5</w:t>
            </w:r>
          </w:p>
        </w:tc>
        <w:tc>
          <w:tcPr>
            <w:tcW w:w="120" w:type="dxa"/>
            <w:vAlign w:val="bottom"/>
          </w:tcPr>
          <w:p>
            <w:pPr>
              <w:spacing w:after="0"/>
              <w:rPr>
                <w:sz w:val="23"/>
                <w:szCs w:val="23"/>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34.5</w:t>
            </w:r>
          </w:p>
        </w:tc>
        <w:tc>
          <w:tcPr>
            <w:tcW w:w="960" w:type="dxa"/>
            <w:vAlign w:val="bottom"/>
          </w:tcPr>
          <w:p>
            <w:pPr>
              <w:jc w:val="right"/>
              <w:spacing w:after="0"/>
              <w:rPr>
                <w:sz w:val="20"/>
                <w:szCs w:val="20"/>
                <w:color w:val="auto"/>
              </w:rPr>
            </w:pPr>
            <w:r>
              <w:rPr>
                <w:rFonts w:ascii="Arial" w:cs="Arial" w:eastAsia="Arial" w:hAnsi="Arial"/>
                <w:sz w:val="14"/>
                <w:szCs w:val="14"/>
                <w:color w:val="auto"/>
              </w:rPr>
              <w:t>14.3 %</w:t>
            </w:r>
          </w:p>
        </w:tc>
        <w:tc>
          <w:tcPr>
            <w:tcW w:w="100" w:type="dxa"/>
            <w:vAlign w:val="bottom"/>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254.3</w:t>
            </w:r>
          </w:p>
        </w:tc>
        <w:tc>
          <w:tcPr>
            <w:tcW w:w="120" w:type="dxa"/>
            <w:vAlign w:val="bottom"/>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w:t>
            </w:r>
          </w:p>
        </w:tc>
        <w:tc>
          <w:tcPr>
            <w:tcW w:w="860" w:type="dxa"/>
            <w:vAlign w:val="bottom"/>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191"/>
        </w:trPr>
        <w:tc>
          <w:tcPr>
            <w:tcW w:w="2380" w:type="dxa"/>
            <w:vAlign w:val="bottom"/>
          </w:tcPr>
          <w:p>
            <w:pPr>
              <w:ind w:left="560"/>
              <w:spacing w:after="0"/>
              <w:rPr>
                <w:sz w:val="20"/>
                <w:szCs w:val="20"/>
                <w:color w:val="auto"/>
              </w:rPr>
            </w:pPr>
            <w:r>
              <w:rPr>
                <w:rFonts w:ascii="Arial" w:cs="Arial" w:eastAsia="Arial" w:hAnsi="Arial"/>
                <w:sz w:val="14"/>
                <w:szCs w:val="14"/>
                <w:b w:val="1"/>
                <w:bCs w:val="1"/>
                <w:color w:val="auto"/>
              </w:rPr>
              <w:t>Total Retail</w:t>
            </w:r>
          </w:p>
        </w:tc>
        <w:tc>
          <w:tcPr>
            <w:tcW w:w="1220" w:type="dxa"/>
            <w:vAlign w:val="bottom"/>
            <w:tcBorders>
              <w:left w:val="single" w:sz="8" w:color="auto"/>
              <w:right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00497F"/>
              </w:rPr>
              <w:t>9,145.3</w:t>
            </w: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00497F"/>
              </w:rPr>
              <w:t>9,136.0</w:t>
            </w: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9,095.2</w:t>
            </w:r>
          </w:p>
        </w:tc>
        <w:tc>
          <w:tcPr>
            <w:tcW w:w="120" w:type="dxa"/>
            <w:vAlign w:val="bottom"/>
          </w:tcPr>
          <w:p>
            <w:pPr>
              <w:spacing w:after="0"/>
              <w:rPr>
                <w:sz w:val="16"/>
                <w:szCs w:val="16"/>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50.1</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9,161.5</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220" w:type="dxa"/>
            <w:vAlign w:val="bottom"/>
            <w:tcBorders>
              <w:left w:val="single" w:sz="8" w:color="auto"/>
              <w:bottom w:val="single" w:sz="8" w:color="auto"/>
              <w:right w:val="single" w:sz="8" w:color="auto"/>
            </w:tcBorders>
            <w:gridSpan w:val="2"/>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80" w:type="dxa"/>
            <w:vAlign w:val="bottom"/>
          </w:tcPr>
          <w:p>
            <w:pPr>
              <w:spacing w:after="0"/>
              <w:rPr>
                <w:sz w:val="20"/>
                <w:szCs w:val="20"/>
                <w:color w:val="auto"/>
              </w:rPr>
            </w:pPr>
            <w:r>
              <w:rPr>
                <w:rFonts w:ascii="Arial" w:cs="Arial" w:eastAsia="Arial" w:hAnsi="Arial"/>
                <w:sz w:val="14"/>
                <w:szCs w:val="14"/>
                <w:b w:val="1"/>
                <w:bCs w:val="1"/>
                <w:color w:val="auto"/>
              </w:rPr>
              <w:t>Group and Specialty</w:t>
            </w:r>
          </w:p>
        </w:tc>
        <w:tc>
          <w:tcPr>
            <w:tcW w:w="110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380" w:type="dxa"/>
            <w:vAlign w:val="bottom"/>
          </w:tcPr>
          <w:p>
            <w:pPr>
              <w:ind w:left="240"/>
              <w:spacing w:after="0"/>
              <w:rPr>
                <w:sz w:val="20"/>
                <w:szCs w:val="20"/>
                <w:color w:val="auto"/>
              </w:rPr>
            </w:pPr>
            <w:r>
              <w:rPr>
                <w:rFonts w:ascii="Arial" w:cs="Arial" w:eastAsia="Arial" w:hAnsi="Arial"/>
                <w:sz w:val="14"/>
                <w:szCs w:val="14"/>
                <w:color w:val="auto"/>
              </w:rPr>
              <w:t>Fully-insured commercial</w:t>
            </w:r>
          </w:p>
        </w:tc>
        <w:tc>
          <w:tcPr>
            <w:tcW w:w="1220" w:type="dxa"/>
            <w:vAlign w:val="bottom"/>
            <w:tcBorders>
              <w:left w:val="single" w:sz="8" w:color="auto"/>
              <w:right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00497F"/>
              </w:rPr>
              <w:t>942.5</w:t>
            </w: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00497F"/>
              </w:rPr>
              <w:t>946.7</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380" w:type="dxa"/>
            <w:vAlign w:val="bottom"/>
          </w:tcPr>
          <w:p>
            <w:pPr>
              <w:ind w:left="240"/>
              <w:spacing w:after="0"/>
              <w:rPr>
                <w:sz w:val="20"/>
                <w:szCs w:val="20"/>
                <w:color w:val="auto"/>
              </w:rPr>
            </w:pPr>
            <w:r>
              <w:rPr>
                <w:rFonts w:ascii="Arial" w:cs="Arial" w:eastAsia="Arial" w:hAnsi="Arial"/>
                <w:sz w:val="14"/>
                <w:szCs w:val="14"/>
                <w:color w:val="auto"/>
              </w:rPr>
              <w:t>medical</w:t>
            </w:r>
          </w:p>
        </w:tc>
        <w:tc>
          <w:tcPr>
            <w:tcW w:w="1220" w:type="dxa"/>
            <w:vAlign w:val="bottom"/>
            <w:tcBorders>
              <w:left w:val="single" w:sz="8" w:color="auto"/>
              <w:right w:val="single" w:sz="8" w:color="auto"/>
            </w:tcBorders>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1,050.9</w:t>
            </w:r>
          </w:p>
        </w:tc>
        <w:tc>
          <w:tcPr>
            <w:tcW w:w="1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(108.4)</w:t>
            </w:r>
          </w:p>
        </w:tc>
        <w:tc>
          <w:tcPr>
            <w:tcW w:w="960" w:type="dxa"/>
            <w:vAlign w:val="bottom"/>
          </w:tcPr>
          <w:p>
            <w:pPr>
              <w:jc w:val="right"/>
              <w:spacing w:after="0"/>
              <w:rPr>
                <w:sz w:val="20"/>
                <w:szCs w:val="20"/>
                <w:color w:val="auto"/>
              </w:rPr>
            </w:pPr>
            <w:r>
              <w:rPr>
                <w:rFonts w:ascii="Arial" w:cs="Arial" w:eastAsia="Arial" w:hAnsi="Arial"/>
                <w:sz w:val="14"/>
                <w:szCs w:val="14"/>
                <w:color w:val="auto"/>
              </w:rPr>
              <w:t>-10.3 %</w:t>
            </w:r>
          </w:p>
        </w:tc>
        <w:tc>
          <w:tcPr>
            <w:tcW w:w="10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1,004.7</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(62.2)</w:t>
            </w:r>
          </w:p>
        </w:tc>
        <w:tc>
          <w:tcPr>
            <w:tcW w:w="860" w:type="dxa"/>
            <w:vAlign w:val="bottom"/>
          </w:tcPr>
          <w:p>
            <w:pPr>
              <w:jc w:val="right"/>
              <w:spacing w:after="0"/>
              <w:rPr>
                <w:sz w:val="20"/>
                <w:szCs w:val="20"/>
                <w:color w:val="auto"/>
              </w:rPr>
            </w:pPr>
            <w:r>
              <w:rPr>
                <w:rFonts w:ascii="Arial" w:cs="Arial" w:eastAsia="Arial" w:hAnsi="Arial"/>
                <w:sz w:val="14"/>
                <w:szCs w:val="14"/>
                <w:color w:val="auto"/>
              </w:rPr>
              <w:t>-6.2 %</w:t>
            </w:r>
          </w:p>
        </w:tc>
        <w:tc>
          <w:tcPr>
            <w:tcW w:w="0" w:type="dxa"/>
            <w:vAlign w:val="bottom"/>
          </w:tcPr>
          <w:p>
            <w:pPr>
              <w:spacing w:after="0"/>
              <w:rPr>
                <w:sz w:val="1"/>
                <w:szCs w:val="1"/>
                <w:color w:val="auto"/>
              </w:rPr>
            </w:pPr>
          </w:p>
        </w:tc>
      </w:tr>
      <w:tr>
        <w:trPr>
          <w:trHeight w:val="270"/>
        </w:trPr>
        <w:tc>
          <w:tcPr>
            <w:tcW w:w="2380" w:type="dxa"/>
            <w:vAlign w:val="bottom"/>
          </w:tcPr>
          <w:p>
            <w:pPr>
              <w:ind w:left="240"/>
              <w:spacing w:after="0"/>
              <w:rPr>
                <w:sz w:val="20"/>
                <w:szCs w:val="20"/>
                <w:color w:val="auto"/>
              </w:rPr>
            </w:pPr>
            <w:r>
              <w:rPr>
                <w:rFonts w:ascii="Arial" w:cs="Arial" w:eastAsia="Arial" w:hAnsi="Arial"/>
                <w:sz w:val="14"/>
                <w:szCs w:val="14"/>
                <w:color w:val="auto"/>
              </w:rPr>
              <w:t>ASO commercial</w:t>
            </w:r>
          </w:p>
        </w:tc>
        <w:tc>
          <w:tcPr>
            <w:tcW w:w="1220" w:type="dxa"/>
            <w:vAlign w:val="bottom"/>
            <w:tcBorders>
              <w:left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496.0</w:t>
            </w: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00497F"/>
              </w:rPr>
              <w:t>490.8</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458.8</w:t>
            </w:r>
          </w:p>
        </w:tc>
        <w:tc>
          <w:tcPr>
            <w:tcW w:w="120" w:type="dxa"/>
            <w:vAlign w:val="bottom"/>
          </w:tcPr>
          <w:p>
            <w:pPr>
              <w:spacing w:after="0"/>
              <w:rPr>
                <w:sz w:val="23"/>
                <w:szCs w:val="23"/>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37.2</w:t>
            </w:r>
          </w:p>
        </w:tc>
        <w:tc>
          <w:tcPr>
            <w:tcW w:w="960" w:type="dxa"/>
            <w:vAlign w:val="bottom"/>
          </w:tcPr>
          <w:p>
            <w:pPr>
              <w:jc w:val="right"/>
              <w:spacing w:after="0"/>
              <w:rPr>
                <w:sz w:val="20"/>
                <w:szCs w:val="20"/>
                <w:color w:val="auto"/>
              </w:rPr>
            </w:pPr>
            <w:r>
              <w:rPr>
                <w:rFonts w:ascii="Arial" w:cs="Arial" w:eastAsia="Arial" w:hAnsi="Arial"/>
                <w:sz w:val="14"/>
                <w:szCs w:val="14"/>
                <w:color w:val="auto"/>
              </w:rPr>
              <w:t>8.1 %</w:t>
            </w:r>
          </w:p>
        </w:tc>
        <w:tc>
          <w:tcPr>
            <w:tcW w:w="10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481.9</w:t>
            </w:r>
          </w:p>
        </w:tc>
        <w:tc>
          <w:tcPr>
            <w:tcW w:w="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860" w:type="dxa"/>
            <w:vAlign w:val="bottom"/>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276"/>
        </w:trPr>
        <w:tc>
          <w:tcPr>
            <w:tcW w:w="2380" w:type="dxa"/>
            <w:vAlign w:val="bottom"/>
          </w:tcPr>
          <w:p>
            <w:pPr>
              <w:ind w:left="240"/>
              <w:spacing w:after="0"/>
              <w:rPr>
                <w:sz w:val="20"/>
                <w:szCs w:val="20"/>
                <w:color w:val="auto"/>
              </w:rPr>
            </w:pPr>
            <w:r>
              <w:rPr>
                <w:rFonts w:ascii="Arial" w:cs="Arial" w:eastAsia="Arial" w:hAnsi="Arial"/>
                <w:sz w:val="14"/>
                <w:szCs w:val="14"/>
                <w:color w:val="auto"/>
              </w:rPr>
              <w:t>Military services</w:t>
            </w:r>
          </w:p>
        </w:tc>
        <w:tc>
          <w:tcPr>
            <w:tcW w:w="1220" w:type="dxa"/>
            <w:vAlign w:val="bottom"/>
            <w:tcBorders>
              <w:left w:val="single" w:sz="8" w:color="auto"/>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5,971.4</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5,961.8</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5,931.5</w:t>
            </w:r>
          </w:p>
        </w:tc>
        <w:tc>
          <w:tcPr>
            <w:tcW w:w="120" w:type="dxa"/>
            <w:vAlign w:val="bottom"/>
          </w:tcPr>
          <w:p>
            <w:pPr>
              <w:spacing w:after="0"/>
              <w:rPr>
                <w:sz w:val="23"/>
                <w:szCs w:val="23"/>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39.9</w:t>
            </w:r>
          </w:p>
        </w:tc>
        <w:tc>
          <w:tcPr>
            <w:tcW w:w="960" w:type="dxa"/>
            <w:vAlign w:val="bottom"/>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5,928.6</w:t>
            </w:r>
          </w:p>
        </w:tc>
        <w:tc>
          <w:tcPr>
            <w:tcW w:w="120" w:type="dxa"/>
            <w:vAlign w:val="bottom"/>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42.8</w:t>
            </w:r>
          </w:p>
        </w:tc>
        <w:tc>
          <w:tcPr>
            <w:tcW w:w="860" w:type="dxa"/>
            <w:vAlign w:val="bottom"/>
          </w:tcPr>
          <w:p>
            <w:pPr>
              <w:jc w:val="right"/>
              <w:spacing w:after="0"/>
              <w:rPr>
                <w:sz w:val="20"/>
                <w:szCs w:val="20"/>
                <w:color w:val="auto"/>
              </w:rPr>
            </w:pPr>
            <w:r>
              <w:rPr>
                <w:rFonts w:ascii="Arial" w:cs="Arial" w:eastAsia="Arial" w:hAnsi="Arial"/>
                <w:sz w:val="14"/>
                <w:szCs w:val="14"/>
                <w:color w:val="auto"/>
              </w:rPr>
              <w:t>0.7 %</w:t>
            </w:r>
          </w:p>
        </w:tc>
        <w:tc>
          <w:tcPr>
            <w:tcW w:w="0" w:type="dxa"/>
            <w:vAlign w:val="bottom"/>
          </w:tcPr>
          <w:p>
            <w:pPr>
              <w:spacing w:after="0"/>
              <w:rPr>
                <w:sz w:val="1"/>
                <w:szCs w:val="1"/>
                <w:color w:val="auto"/>
              </w:rPr>
            </w:pPr>
          </w:p>
        </w:tc>
      </w:tr>
      <w:tr>
        <w:trPr>
          <w:trHeight w:val="191"/>
        </w:trPr>
        <w:tc>
          <w:tcPr>
            <w:tcW w:w="2380" w:type="dxa"/>
            <w:vAlign w:val="bottom"/>
          </w:tcPr>
          <w:p>
            <w:pPr>
              <w:ind w:left="560"/>
              <w:spacing w:after="0"/>
              <w:rPr>
                <w:sz w:val="20"/>
                <w:szCs w:val="20"/>
                <w:color w:val="auto"/>
              </w:rPr>
            </w:pPr>
            <w:r>
              <w:rPr>
                <w:rFonts w:ascii="Arial" w:cs="Arial" w:eastAsia="Arial" w:hAnsi="Arial"/>
                <w:sz w:val="14"/>
                <w:szCs w:val="14"/>
                <w:b w:val="1"/>
                <w:bCs w:val="1"/>
                <w:color w:val="auto"/>
              </w:rPr>
              <w:t>Total Group and Specialty</w:t>
            </w:r>
          </w:p>
        </w:tc>
        <w:tc>
          <w:tcPr>
            <w:tcW w:w="1220" w:type="dxa"/>
            <w:vAlign w:val="bottom"/>
            <w:tcBorders>
              <w:left w:val="single" w:sz="8" w:color="auto"/>
              <w:right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00497F"/>
              </w:rPr>
              <w:t>7,409.9</w:t>
            </w: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00497F"/>
              </w:rPr>
              <w:t>7,399.3</w:t>
            </w: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7,441.2</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(31.3)</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7,415.2</w:t>
            </w: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220" w:type="dxa"/>
            <w:vAlign w:val="bottom"/>
            <w:tcBorders>
              <w:left w:val="single" w:sz="8" w:color="auto"/>
              <w:bottom w:val="single" w:sz="8" w:color="auto"/>
              <w:right w:val="single" w:sz="8" w:color="auto"/>
            </w:tcBorders>
            <w:gridSpan w:val="2"/>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80" w:type="dxa"/>
            <w:vAlign w:val="bottom"/>
          </w:tcPr>
          <w:p>
            <w:pPr>
              <w:spacing w:after="0"/>
              <w:rPr>
                <w:sz w:val="20"/>
                <w:szCs w:val="20"/>
                <w:color w:val="auto"/>
              </w:rPr>
            </w:pPr>
            <w:r>
              <w:rPr>
                <w:rFonts w:ascii="Arial" w:cs="Arial" w:eastAsia="Arial" w:hAnsi="Arial"/>
                <w:sz w:val="14"/>
                <w:szCs w:val="14"/>
                <w:b w:val="1"/>
                <w:bCs w:val="1"/>
                <w:color w:val="auto"/>
              </w:rPr>
              <w:t>Other Businesses</w:t>
            </w:r>
          </w:p>
        </w:tc>
        <w:tc>
          <w:tcPr>
            <w:tcW w:w="110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2380" w:type="dxa"/>
            <w:vAlign w:val="bottom"/>
          </w:tcPr>
          <w:p>
            <w:pPr>
              <w:ind w:left="240"/>
              <w:spacing w:after="0"/>
              <w:rPr>
                <w:sz w:val="20"/>
                <w:szCs w:val="20"/>
                <w:color w:val="auto"/>
              </w:rPr>
            </w:pPr>
            <w:r>
              <w:rPr>
                <w:rFonts w:ascii="Arial" w:cs="Arial" w:eastAsia="Arial" w:hAnsi="Arial"/>
                <w:sz w:val="14"/>
                <w:szCs w:val="14"/>
                <w:color w:val="auto"/>
              </w:rPr>
              <w:t>Long-term care</w:t>
            </w:r>
          </w:p>
        </w:tc>
        <w:tc>
          <w:tcPr>
            <w:tcW w:w="1220" w:type="dxa"/>
            <w:vAlign w:val="bottom"/>
            <w:tcBorders>
              <w:left w:val="single" w:sz="8" w:color="auto"/>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w:t>
            </w: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00497F"/>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w:t>
            </w:r>
          </w:p>
        </w:tc>
        <w:tc>
          <w:tcPr>
            <w:tcW w:w="96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560"/>
              <w:spacing w:after="0"/>
              <w:rPr>
                <w:sz w:val="20"/>
                <w:szCs w:val="20"/>
                <w:color w:val="auto"/>
              </w:rPr>
            </w:pPr>
            <w:r>
              <w:rPr>
                <w:rFonts w:ascii="Arial" w:cs="Arial" w:eastAsia="Arial" w:hAnsi="Arial"/>
                <w:sz w:val="14"/>
                <w:szCs w:val="14"/>
                <w:b w:val="1"/>
                <w:bCs w:val="1"/>
                <w:color w:val="auto"/>
              </w:rPr>
              <w:t>Total Other Businesses</w:t>
            </w:r>
          </w:p>
        </w:tc>
        <w:tc>
          <w:tcPr>
            <w:tcW w:w="1220" w:type="dxa"/>
            <w:vAlign w:val="bottom"/>
            <w:tcBorders>
              <w:left w:val="single" w:sz="8" w:color="auto"/>
              <w:right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00497F"/>
              </w:rPr>
              <w:t>—</w:t>
            </w: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00497F"/>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(29.2)</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220" w:type="dxa"/>
            <w:vAlign w:val="bottom"/>
            <w:tcBorders>
              <w:left w:val="single" w:sz="8" w:color="auto"/>
              <w:right w:val="single" w:sz="8" w:color="auto"/>
            </w:tcBorders>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4"/>
                <w:szCs w:val="14"/>
                <w:b w:val="1"/>
                <w:bCs w:val="1"/>
                <w:color w:val="auto"/>
              </w:rPr>
              <w:t>Total Medical Membership</w:t>
            </w:r>
          </w:p>
        </w:tc>
        <w:tc>
          <w:tcPr>
            <w:tcW w:w="1220" w:type="dxa"/>
            <w:vAlign w:val="bottom"/>
            <w:tcBorders>
              <w:top w:val="single" w:sz="8" w:color="auto"/>
              <w:left w:val="single" w:sz="8" w:color="auto"/>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16,555.2</w:t>
            </w: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16,535.3</w:t>
            </w:r>
          </w:p>
        </w:tc>
        <w:tc>
          <w:tcPr>
            <w:tcW w:w="1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16,565.6</w:t>
            </w:r>
          </w:p>
        </w:tc>
        <w:tc>
          <w:tcPr>
            <w:tcW w:w="120" w:type="dxa"/>
            <w:vAlign w:val="bottom"/>
          </w:tcPr>
          <w:p>
            <w:pPr>
              <w:spacing w:after="0"/>
              <w:rPr>
                <w:sz w:val="23"/>
                <w:szCs w:val="23"/>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c>
          <w:tcPr>
            <w:tcW w:w="960" w:type="dxa"/>
            <w:vAlign w:val="bottom"/>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16,576.7</w:t>
            </w:r>
          </w:p>
        </w:tc>
        <w:tc>
          <w:tcPr>
            <w:tcW w:w="120" w:type="dxa"/>
            <w:vAlign w:val="bottom"/>
          </w:tcPr>
          <w:p>
            <w:pPr>
              <w:spacing w:after="0"/>
              <w:rPr>
                <w:sz w:val="23"/>
                <w:szCs w:val="2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860" w:type="dxa"/>
            <w:vAlign w:val="bottom"/>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Specialty Membership (included</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vMerge w:val="continue"/>
          </w:tcPr>
          <w:p>
            <w:pPr>
              <w:spacing w:after="0"/>
              <w:rPr>
                <w:sz w:val="11"/>
                <w:szCs w:val="11"/>
                <w:color w:val="auto"/>
              </w:rPr>
            </w:pPr>
          </w:p>
        </w:tc>
        <w:tc>
          <w:tcPr>
            <w:tcW w:w="1100" w:type="dxa"/>
            <w:vAlign w:val="bottom"/>
            <w:tcBorders>
              <w:lef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20"/>
                <w:szCs w:val="20"/>
                <w:color w:val="auto"/>
              </w:rPr>
            </w:pPr>
            <w:r>
              <w:rPr>
                <w:rFonts w:ascii="Arial" w:cs="Arial" w:eastAsia="Arial" w:hAnsi="Arial"/>
                <w:sz w:val="14"/>
                <w:szCs w:val="14"/>
                <w:b w:val="1"/>
                <w:bCs w:val="1"/>
                <w:color w:val="auto"/>
              </w:rPr>
              <w:t>in Group and Specialty segment):</w:t>
            </w:r>
          </w:p>
        </w:tc>
        <w:tc>
          <w:tcPr>
            <w:tcW w:w="1100" w:type="dxa"/>
            <w:vAlign w:val="bottom"/>
            <w:tcBorders>
              <w:lef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40"/>
              <w:spacing w:after="0"/>
              <w:rPr>
                <w:sz w:val="20"/>
                <w:szCs w:val="20"/>
                <w:color w:val="auto"/>
              </w:rPr>
            </w:pPr>
            <w:r>
              <w:rPr>
                <w:rFonts w:ascii="Arial" w:cs="Arial" w:eastAsia="Arial" w:hAnsi="Arial"/>
                <w:sz w:val="14"/>
                <w:szCs w:val="14"/>
                <w:color w:val="auto"/>
              </w:rPr>
              <w:t>Dental—fully-insured</w:t>
            </w:r>
          </w:p>
        </w:tc>
        <w:tc>
          <w:tcPr>
            <w:tcW w:w="1220" w:type="dxa"/>
            <w:vAlign w:val="bottom"/>
            <w:tcBorders>
              <w:left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2,747.5</w:t>
            </w: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00497F"/>
              </w:rPr>
              <w:t>2,742.2</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2,859.2</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(111.7)</w:t>
            </w:r>
          </w:p>
        </w:tc>
        <w:tc>
          <w:tcPr>
            <w:tcW w:w="960" w:type="dxa"/>
            <w:vAlign w:val="bottom"/>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2,834.8</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(87.3)</w:t>
            </w:r>
          </w:p>
        </w:tc>
        <w:tc>
          <w:tcPr>
            <w:tcW w:w="860" w:type="dxa"/>
            <w:vAlign w:val="bottom"/>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270"/>
        </w:trPr>
        <w:tc>
          <w:tcPr>
            <w:tcW w:w="2380" w:type="dxa"/>
            <w:vAlign w:val="bottom"/>
          </w:tcPr>
          <w:p>
            <w:pPr>
              <w:ind w:left="240"/>
              <w:spacing w:after="0"/>
              <w:rPr>
                <w:sz w:val="20"/>
                <w:szCs w:val="20"/>
                <w:color w:val="auto"/>
              </w:rPr>
            </w:pPr>
            <w:r>
              <w:rPr>
                <w:rFonts w:ascii="Arial" w:cs="Arial" w:eastAsia="Arial" w:hAnsi="Arial"/>
                <w:sz w:val="14"/>
                <w:szCs w:val="14"/>
                <w:color w:val="auto"/>
              </w:rPr>
              <w:t>Dental—ASO</w:t>
            </w:r>
          </w:p>
        </w:tc>
        <w:tc>
          <w:tcPr>
            <w:tcW w:w="1220" w:type="dxa"/>
            <w:vAlign w:val="bottom"/>
            <w:tcBorders>
              <w:left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611.3</w:t>
            </w: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00497F"/>
              </w:rPr>
              <w:t>611.7</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625.9</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96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637.0</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(25.7)</w:t>
            </w:r>
          </w:p>
        </w:tc>
        <w:tc>
          <w:tcPr>
            <w:tcW w:w="860" w:type="dxa"/>
            <w:vAlign w:val="bottom"/>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270"/>
        </w:trPr>
        <w:tc>
          <w:tcPr>
            <w:tcW w:w="2380" w:type="dxa"/>
            <w:vAlign w:val="bottom"/>
          </w:tcPr>
          <w:p>
            <w:pPr>
              <w:ind w:left="240"/>
              <w:spacing w:after="0"/>
              <w:rPr>
                <w:sz w:val="20"/>
                <w:szCs w:val="20"/>
                <w:color w:val="auto"/>
              </w:rPr>
            </w:pPr>
            <w:r>
              <w:rPr>
                <w:rFonts w:ascii="Arial" w:cs="Arial" w:eastAsia="Arial" w:hAnsi="Arial"/>
                <w:sz w:val="14"/>
                <w:szCs w:val="14"/>
                <w:color w:val="auto"/>
              </w:rPr>
              <w:t>Vision</w:t>
            </w:r>
          </w:p>
        </w:tc>
        <w:tc>
          <w:tcPr>
            <w:tcW w:w="1220" w:type="dxa"/>
            <w:vAlign w:val="bottom"/>
            <w:tcBorders>
              <w:left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2,084.3</w:t>
            </w: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00497F"/>
              </w:rPr>
              <w:t>2,078.4</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2,119.1</w:t>
            </w:r>
          </w:p>
        </w:tc>
        <w:tc>
          <w:tcPr>
            <w:tcW w:w="1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(34.8)</w:t>
            </w:r>
          </w:p>
        </w:tc>
        <w:tc>
          <w:tcPr>
            <w:tcW w:w="96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2,102.9</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(18.6)</w:t>
            </w:r>
          </w:p>
        </w:tc>
        <w:tc>
          <w:tcPr>
            <w:tcW w:w="860" w:type="dxa"/>
            <w:vAlign w:val="bottom"/>
          </w:tcPr>
          <w:p>
            <w:pPr>
              <w:jc w:val="right"/>
              <w:spacing w:after="0"/>
              <w:rPr>
                <w:sz w:val="20"/>
                <w:szCs w:val="20"/>
                <w:color w:val="auto"/>
              </w:rPr>
            </w:pPr>
            <w:r>
              <w:rPr>
                <w:rFonts w:ascii="Arial" w:cs="Arial" w:eastAsia="Arial" w:hAnsi="Arial"/>
                <w:sz w:val="14"/>
                <w:szCs w:val="14"/>
                <w:color w:val="auto"/>
              </w:rPr>
              <w:t>-0.9 %</w:t>
            </w:r>
          </w:p>
        </w:tc>
        <w:tc>
          <w:tcPr>
            <w:tcW w:w="0" w:type="dxa"/>
            <w:vAlign w:val="bottom"/>
          </w:tcPr>
          <w:p>
            <w:pPr>
              <w:spacing w:after="0"/>
              <w:rPr>
                <w:sz w:val="1"/>
                <w:szCs w:val="1"/>
                <w:color w:val="auto"/>
              </w:rPr>
            </w:pPr>
          </w:p>
        </w:tc>
      </w:tr>
      <w:tr>
        <w:trPr>
          <w:trHeight w:val="276"/>
        </w:trPr>
        <w:tc>
          <w:tcPr>
            <w:tcW w:w="2380" w:type="dxa"/>
            <w:vAlign w:val="bottom"/>
          </w:tcPr>
          <w:p>
            <w:pPr>
              <w:ind w:left="240"/>
              <w:spacing w:after="0"/>
              <w:rPr>
                <w:sz w:val="20"/>
                <w:szCs w:val="20"/>
                <w:color w:val="auto"/>
              </w:rPr>
            </w:pPr>
            <w:r>
              <w:rPr>
                <w:rFonts w:ascii="Arial" w:cs="Arial" w:eastAsia="Arial" w:hAnsi="Arial"/>
                <w:sz w:val="14"/>
                <w:szCs w:val="14"/>
                <w:color w:val="auto"/>
              </w:rPr>
              <w:t>Other supplemental benefits (G)</w:t>
            </w:r>
          </w:p>
        </w:tc>
        <w:tc>
          <w:tcPr>
            <w:tcW w:w="1220" w:type="dxa"/>
            <w:vAlign w:val="bottom"/>
            <w:tcBorders>
              <w:left w:val="single" w:sz="8" w:color="auto"/>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416.9</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417.2</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623.5</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(206.6)</w:t>
            </w:r>
          </w:p>
        </w:tc>
        <w:tc>
          <w:tcPr>
            <w:tcW w:w="960" w:type="dxa"/>
            <w:vAlign w:val="bottom"/>
          </w:tcPr>
          <w:p>
            <w:pPr>
              <w:jc w:val="right"/>
              <w:spacing w:after="0"/>
              <w:rPr>
                <w:sz w:val="20"/>
                <w:szCs w:val="20"/>
                <w:color w:val="auto"/>
              </w:rPr>
            </w:pPr>
            <w:r>
              <w:rPr>
                <w:rFonts w:ascii="Arial" w:cs="Arial" w:eastAsia="Arial" w:hAnsi="Arial"/>
                <w:sz w:val="14"/>
                <w:szCs w:val="14"/>
                <w:color w:val="auto"/>
              </w:rPr>
              <w:t>-33.1 %</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497.6</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w:t>
            </w:r>
          </w:p>
        </w:tc>
        <w:tc>
          <w:tcPr>
            <w:tcW w:w="860" w:type="dxa"/>
            <w:vAlign w:val="bottom"/>
          </w:tcPr>
          <w:p>
            <w:pPr>
              <w:jc w:val="right"/>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4"/>
                <w:szCs w:val="14"/>
                <w:b w:val="1"/>
                <w:bCs w:val="1"/>
                <w:color w:val="auto"/>
              </w:rPr>
              <w:t>Total Specialty Membership</w:t>
            </w:r>
          </w:p>
        </w:tc>
        <w:tc>
          <w:tcPr>
            <w:tcW w:w="1220" w:type="dxa"/>
            <w:vAlign w:val="bottom"/>
            <w:tcBorders>
              <w:left w:val="single" w:sz="8" w:color="auto"/>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5,860.0</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5,849.5</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6,227.7</w:t>
            </w:r>
          </w:p>
        </w:tc>
        <w:tc>
          <w:tcPr>
            <w:tcW w:w="120" w:type="dxa"/>
            <w:vAlign w:val="bottom"/>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(367.7)</w:t>
            </w:r>
          </w:p>
        </w:tc>
        <w:tc>
          <w:tcPr>
            <w:tcW w:w="960" w:type="dxa"/>
            <w:vAlign w:val="bottom"/>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6,072.3</w:t>
            </w:r>
          </w:p>
        </w:tc>
        <w:tc>
          <w:tcPr>
            <w:tcW w:w="120" w:type="dxa"/>
            <w:vAlign w:val="bottom"/>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(212.3)</w:t>
            </w:r>
          </w:p>
        </w:tc>
        <w:tc>
          <w:tcPr>
            <w:tcW w:w="860" w:type="dxa"/>
            <w:vAlign w:val="bottom"/>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380" w:type="dxa"/>
            <w:vAlign w:val="bottom"/>
          </w:tcPr>
          <w:p>
            <w:pPr>
              <w:spacing w:after="0"/>
              <w:rPr>
                <w:sz w:val="12"/>
                <w:szCs w:val="12"/>
                <w:color w:val="auto"/>
              </w:rPr>
            </w:pPr>
          </w:p>
        </w:tc>
        <w:tc>
          <w:tcPr>
            <w:tcW w:w="1100" w:type="dxa"/>
            <w:vAlign w:val="bottom"/>
            <w:tcBorders>
              <w:left w:val="single" w:sz="8" w:color="auto"/>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Member Mix</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Member Mix</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38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110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100" w:type="dxa"/>
            <w:vAlign w:val="bottom"/>
            <w:tcBorders>
              <w:left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00497F"/>
              </w:rPr>
              <w:t>June 30, 2019</w:t>
            </w:r>
          </w:p>
        </w:tc>
        <w:tc>
          <w:tcPr>
            <w:tcW w:w="12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June 30, 2019</w:t>
            </w: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June 30, 2018</w:t>
            </w:r>
          </w:p>
        </w:tc>
        <w:tc>
          <w:tcPr>
            <w:tcW w:w="1120" w:type="dxa"/>
            <w:vAlign w:val="bottom"/>
          </w:tcPr>
          <w:p>
            <w:pPr>
              <w:jc w:val="center"/>
              <w:spacing w:after="0"/>
              <w:rPr>
                <w:sz w:val="20"/>
                <w:szCs w:val="20"/>
                <w:color w:val="auto"/>
              </w:rPr>
            </w:pPr>
            <w:r>
              <w:rPr>
                <w:rFonts w:ascii="Arial" w:cs="Arial" w:eastAsia="Arial" w:hAnsi="Arial"/>
                <w:sz w:val="14"/>
                <w:szCs w:val="14"/>
                <w:color w:val="auto"/>
              </w:rPr>
              <w:t>June 30, 2018</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20"/>
                <w:szCs w:val="20"/>
                <w:color w:val="auto"/>
              </w:rPr>
            </w:pPr>
            <w:r>
              <w:rPr>
                <w:rFonts w:ascii="Arial" w:cs="Arial" w:eastAsia="Arial" w:hAnsi="Arial"/>
                <w:sz w:val="14"/>
                <w:szCs w:val="14"/>
                <w:color w:val="auto"/>
              </w:rPr>
              <w:t>Individual Medicare Advantage</w:t>
            </w:r>
          </w:p>
        </w:tc>
        <w:tc>
          <w:tcPr>
            <w:tcW w:w="1100" w:type="dxa"/>
            <w:vAlign w:val="bottom"/>
            <w:tcBorders>
              <w:top w:val="single" w:sz="8" w:color="auto"/>
              <w:left w:val="single" w:sz="8" w:color="auto"/>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tcPr>
          <w:p>
            <w:pPr>
              <w:spacing w:after="0"/>
              <w:rPr>
                <w:sz w:val="20"/>
                <w:szCs w:val="20"/>
                <w:color w:val="auto"/>
              </w:rPr>
            </w:pPr>
            <w:r>
              <w:rPr>
                <w:rFonts w:ascii="Arial" w:cs="Arial" w:eastAsia="Arial" w:hAnsi="Arial"/>
                <w:sz w:val="14"/>
                <w:szCs w:val="14"/>
                <w:color w:val="auto"/>
              </w:rPr>
              <w:t>Membership</w:t>
            </w:r>
          </w:p>
        </w:tc>
        <w:tc>
          <w:tcPr>
            <w:tcW w:w="1100" w:type="dxa"/>
            <w:vAlign w:val="bottom"/>
            <w:tcBorders>
              <w:left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40"/>
              <w:spacing w:after="0"/>
              <w:rPr>
                <w:sz w:val="20"/>
                <w:szCs w:val="20"/>
                <w:color w:val="auto"/>
              </w:rPr>
            </w:pPr>
            <w:r>
              <w:rPr>
                <w:rFonts w:ascii="Arial" w:cs="Arial" w:eastAsia="Arial" w:hAnsi="Arial"/>
                <w:sz w:val="14"/>
                <w:szCs w:val="14"/>
                <w:color w:val="auto"/>
              </w:rPr>
              <w:t>HMO</w:t>
            </w:r>
          </w:p>
        </w:tc>
        <w:tc>
          <w:tcPr>
            <w:tcW w:w="11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00497F"/>
              </w:rPr>
              <w:t>2,055.2</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1,771.1</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380" w:type="dxa"/>
            <w:vAlign w:val="bottom"/>
          </w:tcPr>
          <w:p>
            <w:pPr>
              <w:ind w:left="240"/>
              <w:spacing w:after="0"/>
              <w:rPr>
                <w:sz w:val="20"/>
                <w:szCs w:val="20"/>
                <w:color w:val="auto"/>
              </w:rPr>
            </w:pPr>
            <w:r>
              <w:rPr>
                <w:rFonts w:ascii="Arial" w:cs="Arial" w:eastAsia="Arial" w:hAnsi="Arial"/>
                <w:sz w:val="14"/>
                <w:szCs w:val="14"/>
                <w:color w:val="auto"/>
              </w:rPr>
              <w:t>PPO</w:t>
            </w:r>
          </w:p>
        </w:tc>
        <w:tc>
          <w:tcPr>
            <w:tcW w:w="1100" w:type="dxa"/>
            <w:vAlign w:val="bottom"/>
            <w:tcBorders>
              <w:left w:val="single" w:sz="8" w:color="auto"/>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00497F"/>
              </w:rPr>
              <w:t>1,429.3</w:t>
            </w:r>
          </w:p>
        </w:tc>
        <w:tc>
          <w:tcPr>
            <w:tcW w:w="120" w:type="dxa"/>
            <w:vAlign w:val="bottom"/>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1,256.1</w:t>
            </w:r>
          </w:p>
        </w:tc>
        <w:tc>
          <w:tcPr>
            <w:tcW w:w="12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b w:val="1"/>
                <w:bCs w:val="1"/>
                <w:color w:val="auto"/>
              </w:rPr>
              <w:t>Total Individual Medicare</w:t>
            </w:r>
          </w:p>
        </w:tc>
        <w:tc>
          <w:tcPr>
            <w:tcW w:w="1100" w:type="dxa"/>
            <w:vAlign w:val="bottom"/>
            <w:tcBorders>
              <w:left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20"/>
                <w:szCs w:val="20"/>
                <w:color w:val="auto"/>
              </w:rPr>
            </w:pPr>
            <w:r>
              <w:rPr>
                <w:rFonts w:ascii="Arial" w:cs="Arial" w:eastAsia="Arial" w:hAnsi="Arial"/>
                <w:sz w:val="14"/>
                <w:szCs w:val="14"/>
                <w:b w:val="1"/>
                <w:bCs w:val="1"/>
                <w:color w:val="auto"/>
              </w:rPr>
              <w:t>Advantage</w:t>
            </w:r>
          </w:p>
        </w:tc>
        <w:tc>
          <w:tcPr>
            <w:tcW w:w="1100" w:type="dxa"/>
            <w:vAlign w:val="bottom"/>
            <w:tcBorders>
              <w:left w:val="single" w:sz="8" w:color="auto"/>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00497F"/>
              </w:rPr>
              <w:t>3,484.5</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3,027.2</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20"/>
                <w:szCs w:val="20"/>
                <w:color w:val="auto"/>
              </w:rPr>
            </w:pPr>
            <w:r>
              <w:rPr>
                <w:rFonts w:ascii="Arial" w:cs="Arial" w:eastAsia="Arial" w:hAnsi="Arial"/>
                <w:sz w:val="14"/>
                <w:szCs w:val="14"/>
                <w:color w:val="auto"/>
              </w:rPr>
              <w:t>Individual Medicare Advantage</w:t>
            </w:r>
          </w:p>
        </w:tc>
        <w:tc>
          <w:tcPr>
            <w:tcW w:w="1100" w:type="dxa"/>
            <w:vAlign w:val="bottom"/>
            <w:tcBorders>
              <w:left w:val="single" w:sz="8" w:color="auto"/>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tcPr>
          <w:p>
            <w:pPr>
              <w:spacing w:after="0"/>
              <w:rPr>
                <w:sz w:val="20"/>
                <w:szCs w:val="20"/>
                <w:color w:val="auto"/>
              </w:rPr>
            </w:pPr>
            <w:r>
              <w:rPr>
                <w:rFonts w:ascii="Arial" w:cs="Arial" w:eastAsia="Arial" w:hAnsi="Arial"/>
                <w:sz w:val="14"/>
                <w:szCs w:val="14"/>
                <w:color w:val="auto"/>
              </w:rPr>
              <w:t>Membership</w:t>
            </w:r>
          </w:p>
        </w:tc>
        <w:tc>
          <w:tcPr>
            <w:tcW w:w="1100" w:type="dxa"/>
            <w:vAlign w:val="bottom"/>
            <w:tcBorders>
              <w:left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380" w:type="dxa"/>
            <w:vAlign w:val="bottom"/>
          </w:tcPr>
          <w:p>
            <w:pPr>
              <w:ind w:left="240"/>
              <w:spacing w:after="0"/>
              <w:rPr>
                <w:sz w:val="20"/>
                <w:szCs w:val="20"/>
                <w:color w:val="auto"/>
              </w:rPr>
            </w:pPr>
            <w:r>
              <w:rPr>
                <w:rFonts w:ascii="Arial" w:cs="Arial" w:eastAsia="Arial" w:hAnsi="Arial"/>
                <w:sz w:val="14"/>
                <w:szCs w:val="14"/>
                <w:color w:val="auto"/>
              </w:rPr>
              <w:t>Shared Risk (H)</w:t>
            </w:r>
          </w:p>
        </w:tc>
        <w:tc>
          <w:tcPr>
            <w:tcW w:w="11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00497F"/>
              </w:rPr>
              <w:t>1,056.9</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928.8</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380" w:type="dxa"/>
            <w:vAlign w:val="bottom"/>
          </w:tcPr>
          <w:p>
            <w:pPr>
              <w:ind w:left="240"/>
              <w:spacing w:after="0"/>
              <w:rPr>
                <w:sz w:val="20"/>
                <w:szCs w:val="20"/>
                <w:color w:val="auto"/>
              </w:rPr>
            </w:pPr>
            <w:r>
              <w:rPr>
                <w:rFonts w:ascii="Arial" w:cs="Arial" w:eastAsia="Arial" w:hAnsi="Arial"/>
                <w:sz w:val="14"/>
                <w:szCs w:val="14"/>
                <w:color w:val="auto"/>
              </w:rPr>
              <w:t>Path to Risk (I)</w:t>
            </w:r>
          </w:p>
        </w:tc>
        <w:tc>
          <w:tcPr>
            <w:tcW w:w="1100" w:type="dxa"/>
            <w:vAlign w:val="bottom"/>
            <w:tcBorders>
              <w:left w:val="single" w:sz="8" w:color="auto"/>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00497F"/>
              </w:rPr>
              <w:t>1,215.4</w:t>
            </w:r>
          </w:p>
        </w:tc>
        <w:tc>
          <w:tcPr>
            <w:tcW w:w="120" w:type="dxa"/>
            <w:vAlign w:val="bottom"/>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1,049.4</w:t>
            </w:r>
          </w:p>
        </w:tc>
        <w:tc>
          <w:tcPr>
            <w:tcW w:w="12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2380" w:type="dxa"/>
            <w:vAlign w:val="bottom"/>
          </w:tcPr>
          <w:p>
            <w:pPr>
              <w:ind w:left="560"/>
              <w:spacing w:after="0"/>
              <w:rPr>
                <w:sz w:val="20"/>
                <w:szCs w:val="20"/>
                <w:color w:val="auto"/>
              </w:rPr>
            </w:pPr>
            <w:r>
              <w:rPr>
                <w:rFonts w:ascii="Arial" w:cs="Arial" w:eastAsia="Arial" w:hAnsi="Arial"/>
                <w:sz w:val="14"/>
                <w:szCs w:val="14"/>
                <w:color w:val="auto"/>
              </w:rPr>
              <w:t>Total Value-based</w:t>
            </w:r>
          </w:p>
        </w:tc>
        <w:tc>
          <w:tcPr>
            <w:tcW w:w="1100" w:type="dxa"/>
            <w:vAlign w:val="bottom"/>
            <w:tcBorders>
              <w:left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00497F"/>
              </w:rPr>
              <w:t>2,272.3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1,978.2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380" w:type="dxa"/>
            <w:vAlign w:val="bottom"/>
          </w:tcPr>
          <w:p>
            <w:pPr>
              <w:ind w:left="240"/>
              <w:spacing w:after="0"/>
              <w:rPr>
                <w:sz w:val="20"/>
                <w:szCs w:val="20"/>
                <w:color w:val="auto"/>
              </w:rPr>
            </w:pPr>
            <w:r>
              <w:rPr>
                <w:rFonts w:ascii="Arial" w:cs="Arial" w:eastAsia="Arial" w:hAnsi="Arial"/>
                <w:sz w:val="14"/>
                <w:szCs w:val="14"/>
                <w:color w:val="auto"/>
              </w:rPr>
              <w:t>Other</w:t>
            </w:r>
          </w:p>
        </w:tc>
        <w:tc>
          <w:tcPr>
            <w:tcW w:w="1100" w:type="dxa"/>
            <w:vAlign w:val="bottom"/>
            <w:tcBorders>
              <w:left w:val="single" w:sz="8" w:color="auto"/>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00497F"/>
              </w:rPr>
              <w:t>1,212.2</w:t>
            </w:r>
          </w:p>
        </w:tc>
        <w:tc>
          <w:tcPr>
            <w:tcW w:w="120" w:type="dxa"/>
            <w:vAlign w:val="bottom"/>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1,049.0</w:t>
            </w:r>
          </w:p>
        </w:tc>
        <w:tc>
          <w:tcPr>
            <w:tcW w:w="12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b w:val="1"/>
                <w:bCs w:val="1"/>
                <w:color w:val="auto"/>
              </w:rPr>
              <w:t>Total Individual Medicare</w:t>
            </w:r>
          </w:p>
        </w:tc>
        <w:tc>
          <w:tcPr>
            <w:tcW w:w="1100" w:type="dxa"/>
            <w:vAlign w:val="bottom"/>
            <w:tcBorders>
              <w:left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20"/>
                <w:szCs w:val="20"/>
                <w:color w:val="auto"/>
              </w:rPr>
            </w:pPr>
            <w:r>
              <w:rPr>
                <w:rFonts w:ascii="Arial" w:cs="Arial" w:eastAsia="Arial" w:hAnsi="Arial"/>
                <w:sz w:val="14"/>
                <w:szCs w:val="14"/>
                <w:b w:val="1"/>
                <w:bCs w:val="1"/>
                <w:color w:val="auto"/>
              </w:rPr>
              <w:t>Advantage</w:t>
            </w:r>
          </w:p>
        </w:tc>
        <w:tc>
          <w:tcPr>
            <w:tcW w:w="1100" w:type="dxa"/>
            <w:vAlign w:val="bottom"/>
            <w:tcBorders>
              <w:left w:val="single" w:sz="8" w:color="auto"/>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00497F"/>
              </w:rPr>
              <w:t>3,484.5</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3,027.2</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ind w:right="-539"/>
        <w:spacing w:after="0"/>
        <w:rPr>
          <w:sz w:val="20"/>
          <w:szCs w:val="20"/>
          <w:color w:val="auto"/>
        </w:rPr>
      </w:pPr>
      <w:r>
        <w:rPr>
          <w:rFonts w:ascii="Arial" w:cs="Arial" w:eastAsia="Arial" w:hAnsi="Arial"/>
          <w:sz w:val="20"/>
          <w:szCs w:val="20"/>
          <w:color w:val="auto"/>
        </w:rPr>
        <w:t>S-12</w:t>
      </w:r>
    </w:p>
    <w:p>
      <w:pPr>
        <w:sectPr>
          <w:pgSz w:w="11900" w:h="16838" w:orient="portrait"/>
          <w:cols w:equalWidth="0" w:num="1">
            <w:col w:w="10880"/>
          </w:cols>
          <w:pgMar w:left="240" w:top="619" w:right="779" w:bottom="1440" w:gutter="0" w:footer="0" w:header="0"/>
        </w:sectPr>
      </w:pPr>
    </w:p>
    <w:bookmarkStart w:id="45" w:name="page46"/>
    <w:bookmarkEnd w:id="45"/>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Premiums and Services Revenue Detail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per member per month</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880" w:type="dxa"/>
            <w:vAlign w:val="bottom"/>
            <w:tcBorders>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500" w:type="dxa"/>
            <w:vAlign w:val="bottom"/>
            <w:tcBorders>
              <w:top w:val="single" w:sz="8" w:color="auto"/>
              <w:right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rPr>
              <w:t>Per Member per Month (K)</w:t>
            </w:r>
          </w:p>
        </w:tc>
        <w:tc>
          <w:tcPr>
            <w:tcW w:w="0" w:type="dxa"/>
            <w:vAlign w:val="bottom"/>
          </w:tcPr>
          <w:p>
            <w:pPr>
              <w:spacing w:after="0"/>
              <w:rPr>
                <w:sz w:val="1"/>
                <w:szCs w:val="1"/>
                <w:color w:val="auto"/>
              </w:rPr>
            </w:pPr>
          </w:p>
        </w:tc>
      </w:tr>
      <w:tr>
        <w:trPr>
          <w:trHeight w:val="189"/>
        </w:trPr>
        <w:tc>
          <w:tcPr>
            <w:tcW w:w="28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For the three months ended June</w:t>
            </w:r>
          </w:p>
        </w:tc>
        <w:tc>
          <w:tcPr>
            <w:tcW w:w="0" w:type="dxa"/>
            <w:vAlign w:val="bottom"/>
          </w:tcPr>
          <w:p>
            <w:pPr>
              <w:spacing w:after="0"/>
              <w:rPr>
                <w:sz w:val="1"/>
                <w:szCs w:val="1"/>
                <w:color w:val="auto"/>
              </w:rPr>
            </w:pPr>
          </w:p>
        </w:tc>
      </w:tr>
      <w:tr>
        <w:trPr>
          <w:trHeight w:val="228"/>
        </w:trPr>
        <w:tc>
          <w:tcPr>
            <w:tcW w:w="2880" w:type="dxa"/>
            <w:vAlign w:val="bottom"/>
            <w:tcBorders>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30,</w:t>
            </w: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400"/>
              <w:spacing w:after="0"/>
              <w:rPr>
                <w:sz w:val="20"/>
                <w:szCs w:val="20"/>
                <w:color w:val="auto"/>
              </w:rPr>
            </w:pPr>
            <w:r>
              <w:rPr>
                <w:rFonts w:ascii="Arial" w:cs="Arial" w:eastAsia="Arial" w:hAnsi="Arial"/>
                <w:sz w:val="14"/>
                <w:szCs w:val="14"/>
                <w:color w:val="auto"/>
              </w:rPr>
              <w:t>Dollar</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rPr>
              <w:t>Percentage</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8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right w:val="single" w:sz="8" w:color="auto"/>
            </w:tcBorders>
          </w:tcPr>
          <w:p>
            <w:pPr>
              <w:jc w:val="right"/>
              <w:ind w:right="460"/>
              <w:spacing w:after="0"/>
              <w:rPr>
                <w:sz w:val="20"/>
                <w:szCs w:val="20"/>
                <w:color w:val="auto"/>
              </w:rPr>
            </w:pPr>
            <w:r>
              <w:rPr>
                <w:rFonts w:ascii="Arial" w:cs="Arial" w:eastAsia="Arial" w:hAnsi="Arial"/>
                <w:sz w:val="14"/>
                <w:szCs w:val="14"/>
                <w:b w:val="1"/>
                <w:bCs w:val="1"/>
                <w:color w:val="366092"/>
              </w:rPr>
              <w:t>2019</w:t>
            </w:r>
          </w:p>
        </w:tc>
        <w:tc>
          <w:tcPr>
            <w:tcW w:w="300" w:type="dxa"/>
            <w:vAlign w:val="bottom"/>
          </w:tcPr>
          <w:p>
            <w:pPr>
              <w:spacing w:after="0"/>
              <w:rPr>
                <w:sz w:val="21"/>
                <w:szCs w:val="21"/>
                <w:color w:val="auto"/>
              </w:rPr>
            </w:pPr>
          </w:p>
        </w:tc>
        <w:tc>
          <w:tcPr>
            <w:tcW w:w="1080" w:type="dxa"/>
            <w:vAlign w:val="bottom"/>
          </w:tcPr>
          <w:p>
            <w:pPr>
              <w:jc w:val="right"/>
              <w:ind w:right="46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40"/>
              <w:spacing w:after="0"/>
              <w:rPr>
                <w:sz w:val="20"/>
                <w:szCs w:val="20"/>
                <w:color w:val="auto"/>
              </w:rPr>
            </w:pPr>
            <w:r>
              <w:rPr>
                <w:rFonts w:ascii="Arial" w:cs="Arial" w:eastAsia="Arial" w:hAnsi="Arial"/>
                <w:sz w:val="14"/>
                <w:szCs w:val="14"/>
                <w:color w:val="auto"/>
              </w:rPr>
              <w:t>Change</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rPr>
              <w:t>Change</w:t>
            </w:r>
          </w:p>
        </w:tc>
        <w:tc>
          <w:tcPr>
            <w:tcW w:w="220" w:type="dxa"/>
            <w:vAlign w:val="bottom"/>
          </w:tcPr>
          <w:p>
            <w:pPr>
              <w:spacing w:after="0"/>
              <w:rPr>
                <w:sz w:val="21"/>
                <w:szCs w:val="21"/>
                <w:color w:val="auto"/>
              </w:rPr>
            </w:pPr>
          </w:p>
        </w:tc>
        <w:tc>
          <w:tcPr>
            <w:tcW w:w="1020" w:type="dxa"/>
            <w:vAlign w:val="bottom"/>
          </w:tcPr>
          <w:p>
            <w:pPr>
              <w:jc w:val="right"/>
              <w:ind w:right="340"/>
              <w:spacing w:after="0"/>
              <w:rPr>
                <w:sz w:val="20"/>
                <w:szCs w:val="20"/>
                <w:color w:val="auto"/>
              </w:rPr>
            </w:pPr>
            <w:r>
              <w:rPr>
                <w:rFonts w:ascii="Arial" w:cs="Arial" w:eastAsia="Arial" w:hAnsi="Arial"/>
                <w:sz w:val="14"/>
                <w:szCs w:val="14"/>
                <w:b w:val="1"/>
                <w:bCs w:val="1"/>
                <w:color w:val="366092"/>
              </w:rPr>
              <w:t>2019</w:t>
            </w:r>
          </w:p>
        </w:tc>
        <w:tc>
          <w:tcPr>
            <w:tcW w:w="420" w:type="dxa"/>
            <w:vAlign w:val="bottom"/>
          </w:tcPr>
          <w:p>
            <w:pPr>
              <w:spacing w:after="0"/>
              <w:rPr>
                <w:sz w:val="21"/>
                <w:szCs w:val="21"/>
                <w:color w:val="auto"/>
              </w:rPr>
            </w:pPr>
          </w:p>
        </w:tc>
        <w:tc>
          <w:tcPr>
            <w:tcW w:w="1060" w:type="dxa"/>
            <w:vAlign w:val="bottom"/>
          </w:tcPr>
          <w:p>
            <w:pPr>
              <w:jc w:val="right"/>
              <w:ind w:right="46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10"/>
        </w:trPr>
        <w:tc>
          <w:tcPr>
            <w:tcW w:w="288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Premiums and Services Revenue</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88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auto"/>
              </w:rPr>
              <w:t>Retail</w:t>
            </w:r>
          </w:p>
        </w:tc>
        <w:tc>
          <w:tcPr>
            <w:tcW w:w="12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Individual Medicare Advantage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366092"/>
                <w:w w:val="89"/>
              </w:rPr>
              <w:t>$</w:t>
            </w:r>
          </w:p>
        </w:tc>
        <w:tc>
          <w:tcPr>
            <w:tcW w:w="12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10,793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8,908</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1,885</w:t>
            </w:r>
          </w:p>
        </w:tc>
        <w:tc>
          <w:tcPr>
            <w:tcW w:w="1460" w:type="dxa"/>
            <w:vAlign w:val="bottom"/>
          </w:tcPr>
          <w:p>
            <w:pPr>
              <w:jc w:val="right"/>
              <w:spacing w:after="0"/>
              <w:rPr>
                <w:sz w:val="20"/>
                <w:szCs w:val="20"/>
                <w:color w:val="auto"/>
              </w:rPr>
            </w:pPr>
            <w:r>
              <w:rPr>
                <w:rFonts w:ascii="Arial" w:cs="Arial" w:eastAsia="Arial" w:hAnsi="Arial"/>
                <w:sz w:val="16"/>
                <w:szCs w:val="16"/>
                <w:color w:val="auto"/>
              </w:rPr>
              <w:t>21.2 %</w:t>
            </w:r>
          </w:p>
        </w:tc>
        <w:tc>
          <w:tcPr>
            <w:tcW w:w="140" w:type="dxa"/>
            <w:vAlign w:val="bottom"/>
          </w:tcPr>
          <w:p>
            <w:pPr>
              <w:spacing w:after="0"/>
              <w:rPr>
                <w:sz w:val="24"/>
                <w:szCs w:val="24"/>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366092"/>
                <w:w w:val="71"/>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366092"/>
              </w:rPr>
              <w:t>1,038</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70"/>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Group Medicare Advantage</w:t>
            </w:r>
          </w:p>
        </w:tc>
        <w:tc>
          <w:tcPr>
            <w:tcW w:w="120" w:type="dxa"/>
            <w:vAlign w:val="bottom"/>
          </w:tcPr>
          <w:p>
            <w:pPr>
              <w:spacing w:after="0"/>
              <w:rPr>
                <w:sz w:val="23"/>
                <w:szCs w:val="23"/>
                <w:color w:val="auto"/>
              </w:rPr>
            </w:pPr>
          </w:p>
        </w:tc>
        <w:tc>
          <w:tcPr>
            <w:tcW w:w="12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1,626</w:t>
            </w:r>
          </w:p>
        </w:tc>
        <w:tc>
          <w:tcPr>
            <w:tcW w:w="30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117</w:t>
            </w:r>
          </w:p>
        </w:tc>
        <w:tc>
          <w:tcPr>
            <w:tcW w:w="1460" w:type="dxa"/>
            <w:vAlign w:val="bottom"/>
          </w:tcPr>
          <w:p>
            <w:pPr>
              <w:jc w:val="right"/>
              <w:spacing w:after="0"/>
              <w:rPr>
                <w:sz w:val="20"/>
                <w:szCs w:val="20"/>
                <w:color w:val="auto"/>
              </w:rPr>
            </w:pPr>
            <w:r>
              <w:rPr>
                <w:rFonts w:ascii="Arial" w:cs="Arial" w:eastAsia="Arial" w:hAnsi="Arial"/>
                <w:sz w:val="16"/>
                <w:szCs w:val="16"/>
                <w:color w:val="auto"/>
              </w:rPr>
              <w:t>7.8 %</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366092"/>
              </w:rPr>
              <w:t>1,045</w:t>
            </w:r>
          </w:p>
        </w:tc>
        <w:tc>
          <w:tcPr>
            <w:tcW w:w="4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70"/>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Medicare stand-alone PDP</w:t>
            </w:r>
          </w:p>
        </w:tc>
        <w:tc>
          <w:tcPr>
            <w:tcW w:w="120" w:type="dxa"/>
            <w:vAlign w:val="bottom"/>
          </w:tcPr>
          <w:p>
            <w:pPr>
              <w:spacing w:after="0"/>
              <w:rPr>
                <w:sz w:val="23"/>
                <w:szCs w:val="23"/>
                <w:color w:val="auto"/>
              </w:rPr>
            </w:pPr>
          </w:p>
        </w:tc>
        <w:tc>
          <w:tcPr>
            <w:tcW w:w="12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818</w:t>
            </w:r>
          </w:p>
        </w:tc>
        <w:tc>
          <w:tcPr>
            <w:tcW w:w="30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w:t>
            </w:r>
          </w:p>
        </w:tc>
        <w:tc>
          <w:tcPr>
            <w:tcW w:w="1460" w:type="dxa"/>
            <w:vAlign w:val="bottom"/>
          </w:tcPr>
          <w:p>
            <w:pPr>
              <w:jc w:val="right"/>
              <w:spacing w:after="0"/>
              <w:rPr>
                <w:sz w:val="20"/>
                <w:szCs w:val="20"/>
                <w:color w:val="auto"/>
              </w:rPr>
            </w:pPr>
            <w:r>
              <w:rPr>
                <w:rFonts w:ascii="Arial" w:cs="Arial" w:eastAsia="Arial" w:hAnsi="Arial"/>
                <w:sz w:val="16"/>
                <w:szCs w:val="16"/>
                <w:color w:val="auto"/>
              </w:rPr>
              <w:t>-10.5 %</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366092"/>
              </w:rPr>
              <w:t>62</w:t>
            </w:r>
          </w:p>
        </w:tc>
        <w:tc>
          <w:tcPr>
            <w:tcW w:w="4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0"/>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State-based contracts (F)</w:t>
            </w:r>
          </w:p>
        </w:tc>
        <w:tc>
          <w:tcPr>
            <w:tcW w:w="120" w:type="dxa"/>
            <w:vAlign w:val="bottom"/>
          </w:tcPr>
          <w:p>
            <w:pPr>
              <w:spacing w:after="0"/>
              <w:rPr>
                <w:sz w:val="23"/>
                <w:szCs w:val="23"/>
                <w:color w:val="auto"/>
              </w:rPr>
            </w:pPr>
          </w:p>
        </w:tc>
        <w:tc>
          <w:tcPr>
            <w:tcW w:w="12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724</w:t>
            </w:r>
          </w:p>
        </w:tc>
        <w:tc>
          <w:tcPr>
            <w:tcW w:w="30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174</w:t>
            </w:r>
          </w:p>
        </w:tc>
        <w:tc>
          <w:tcPr>
            <w:tcW w:w="1460" w:type="dxa"/>
            <w:vAlign w:val="bottom"/>
          </w:tcPr>
          <w:p>
            <w:pPr>
              <w:jc w:val="right"/>
              <w:spacing w:after="0"/>
              <w:rPr>
                <w:sz w:val="20"/>
                <w:szCs w:val="20"/>
                <w:color w:val="auto"/>
              </w:rPr>
            </w:pPr>
            <w:r>
              <w:rPr>
                <w:rFonts w:ascii="Arial" w:cs="Arial" w:eastAsia="Arial" w:hAnsi="Arial"/>
                <w:sz w:val="16"/>
                <w:szCs w:val="16"/>
                <w:color w:val="auto"/>
              </w:rPr>
              <w:t>31.6 %</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366092"/>
              </w:rPr>
              <w:t>520</w:t>
            </w:r>
          </w:p>
        </w:tc>
        <w:tc>
          <w:tcPr>
            <w:tcW w:w="4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70"/>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Medicare Supplement</w:t>
            </w:r>
          </w:p>
        </w:tc>
        <w:tc>
          <w:tcPr>
            <w:tcW w:w="120" w:type="dxa"/>
            <w:vAlign w:val="bottom"/>
          </w:tcPr>
          <w:p>
            <w:pPr>
              <w:spacing w:after="0"/>
              <w:rPr>
                <w:sz w:val="23"/>
                <w:szCs w:val="23"/>
                <w:color w:val="auto"/>
              </w:rPr>
            </w:pPr>
          </w:p>
        </w:tc>
        <w:tc>
          <w:tcPr>
            <w:tcW w:w="12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144</w:t>
            </w:r>
          </w:p>
        </w:tc>
        <w:tc>
          <w:tcPr>
            <w:tcW w:w="30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460" w:type="dxa"/>
            <w:vAlign w:val="bottom"/>
          </w:tcPr>
          <w:p>
            <w:pPr>
              <w:jc w:val="right"/>
              <w:spacing w:after="0"/>
              <w:rPr>
                <w:sz w:val="20"/>
                <w:szCs w:val="20"/>
                <w:color w:val="auto"/>
              </w:rPr>
            </w:pPr>
            <w:r>
              <w:rPr>
                <w:rFonts w:ascii="Arial" w:cs="Arial" w:eastAsia="Arial" w:hAnsi="Arial"/>
                <w:sz w:val="16"/>
                <w:szCs w:val="16"/>
                <w:color w:val="auto"/>
              </w:rPr>
              <w:t>15.2 %</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366092"/>
              </w:rPr>
              <w:t>176</w:t>
            </w:r>
          </w:p>
        </w:tc>
        <w:tc>
          <w:tcPr>
            <w:tcW w:w="4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83"/>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Other services</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5</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w:t>
            </w:r>
          </w:p>
        </w:tc>
        <w:tc>
          <w:tcPr>
            <w:tcW w:w="1460" w:type="dxa"/>
            <w:vAlign w:val="bottom"/>
          </w:tcPr>
          <w:p>
            <w:pPr>
              <w:jc w:val="right"/>
              <w:spacing w:after="0"/>
              <w:rPr>
                <w:sz w:val="20"/>
                <w:szCs w:val="20"/>
                <w:color w:val="auto"/>
              </w:rPr>
            </w:pPr>
            <w:r>
              <w:rPr>
                <w:rFonts w:ascii="Arial" w:cs="Arial" w:eastAsia="Arial" w:hAnsi="Arial"/>
                <w:sz w:val="16"/>
                <w:szCs w:val="16"/>
                <w:color w:val="auto"/>
              </w:rPr>
              <w:t>66.7 %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80" w:type="dxa"/>
            <w:vAlign w:val="bottom"/>
            <w:tcBorders>
              <w:right w:val="single" w:sz="8" w:color="auto"/>
            </w:tcBorders>
          </w:tcPr>
          <w:p>
            <w:pPr>
              <w:ind w:left="680"/>
              <w:spacing w:after="0"/>
              <w:rPr>
                <w:sz w:val="20"/>
                <w:szCs w:val="20"/>
                <w:color w:val="auto"/>
              </w:rPr>
            </w:pPr>
            <w:r>
              <w:rPr>
                <w:rFonts w:ascii="Arial" w:cs="Arial" w:eastAsia="Arial" w:hAnsi="Arial"/>
                <w:sz w:val="16"/>
                <w:szCs w:val="16"/>
                <w:b w:val="1"/>
                <w:bCs w:val="1"/>
                <w:color w:val="auto"/>
              </w:rPr>
              <w:t>Total Retail</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14,110</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12,009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2,101</w:t>
            </w:r>
          </w:p>
        </w:tc>
        <w:tc>
          <w:tcPr>
            <w:tcW w:w="1460" w:type="dxa"/>
            <w:vAlign w:val="bottom"/>
          </w:tcPr>
          <w:p>
            <w:pPr>
              <w:jc w:val="right"/>
              <w:spacing w:after="0"/>
              <w:rPr>
                <w:sz w:val="20"/>
                <w:szCs w:val="20"/>
                <w:color w:val="auto"/>
              </w:rPr>
            </w:pPr>
            <w:r>
              <w:rPr>
                <w:rFonts w:ascii="Arial" w:cs="Arial" w:eastAsia="Arial" w:hAnsi="Arial"/>
                <w:sz w:val="16"/>
                <w:szCs w:val="16"/>
                <w:color w:val="auto"/>
              </w:rPr>
              <w:t>17.5 %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8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auto"/>
              </w:rPr>
              <w:t>Group and Specialty</w:t>
            </w:r>
          </w:p>
        </w:tc>
        <w:tc>
          <w:tcPr>
            <w:tcW w:w="1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Fully-insured commercial medical</w:t>
            </w:r>
          </w:p>
        </w:tc>
        <w:tc>
          <w:tcPr>
            <w:tcW w:w="120" w:type="dxa"/>
            <w:vAlign w:val="bottom"/>
          </w:tcPr>
          <w:p>
            <w:pPr>
              <w:spacing w:after="0"/>
              <w:rPr>
                <w:sz w:val="24"/>
                <w:szCs w:val="24"/>
                <w:color w:val="auto"/>
              </w:rPr>
            </w:pPr>
          </w:p>
        </w:tc>
        <w:tc>
          <w:tcPr>
            <w:tcW w:w="12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1,284</w:t>
            </w:r>
          </w:p>
        </w:tc>
        <w:tc>
          <w:tcPr>
            <w:tcW w:w="300" w:type="dxa"/>
            <w:vAlign w:val="bottom"/>
          </w:tcPr>
          <w:p>
            <w:pPr>
              <w:spacing w:after="0"/>
              <w:rPr>
                <w:sz w:val="24"/>
                <w:szCs w:val="24"/>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w:t>
            </w:r>
          </w:p>
        </w:tc>
        <w:tc>
          <w:tcPr>
            <w:tcW w:w="1460" w:type="dxa"/>
            <w:vAlign w:val="bottom"/>
          </w:tcPr>
          <w:p>
            <w:pPr>
              <w:jc w:val="right"/>
              <w:spacing w:after="0"/>
              <w:rPr>
                <w:sz w:val="20"/>
                <w:szCs w:val="20"/>
                <w:color w:val="auto"/>
              </w:rPr>
            </w:pPr>
            <w:r>
              <w:rPr>
                <w:rFonts w:ascii="Arial" w:cs="Arial" w:eastAsia="Arial" w:hAnsi="Arial"/>
                <w:sz w:val="16"/>
                <w:szCs w:val="16"/>
                <w:color w:val="auto"/>
              </w:rPr>
              <w:t>-4.6 %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366092"/>
              </w:rPr>
              <w:t>452</w:t>
            </w:r>
          </w:p>
        </w:tc>
        <w:tc>
          <w:tcPr>
            <w:tcW w:w="42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70"/>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Specialty</w:t>
            </w:r>
          </w:p>
        </w:tc>
        <w:tc>
          <w:tcPr>
            <w:tcW w:w="120" w:type="dxa"/>
            <w:vAlign w:val="bottom"/>
          </w:tcPr>
          <w:p>
            <w:pPr>
              <w:spacing w:after="0"/>
              <w:rPr>
                <w:sz w:val="23"/>
                <w:szCs w:val="23"/>
                <w:color w:val="auto"/>
              </w:rPr>
            </w:pPr>
          </w:p>
        </w:tc>
        <w:tc>
          <w:tcPr>
            <w:tcW w:w="12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387</w:t>
            </w:r>
          </w:p>
        </w:tc>
        <w:tc>
          <w:tcPr>
            <w:tcW w:w="30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460" w:type="dxa"/>
            <w:vAlign w:val="bottom"/>
          </w:tcPr>
          <w:p>
            <w:pPr>
              <w:jc w:val="right"/>
              <w:spacing w:after="0"/>
              <w:rPr>
                <w:sz w:val="20"/>
                <w:szCs w:val="20"/>
                <w:color w:val="auto"/>
              </w:rPr>
            </w:pPr>
            <w:r>
              <w:rPr>
                <w:rFonts w:ascii="Arial" w:cs="Arial" w:eastAsia="Arial" w:hAnsi="Arial"/>
                <w:sz w:val="16"/>
                <w:szCs w:val="16"/>
                <w:color w:val="auto"/>
              </w:rPr>
              <w:t>13.2 %</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366092"/>
              </w:rPr>
              <w:t>25</w:t>
            </w:r>
          </w:p>
        </w:tc>
        <w:tc>
          <w:tcPr>
            <w:tcW w:w="42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8"/>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Commercial ASO &amp; other services</w:t>
            </w:r>
          </w:p>
        </w:tc>
        <w:tc>
          <w:tcPr>
            <w:tcW w:w="120" w:type="dxa"/>
            <w:vAlign w:val="bottom"/>
          </w:tcPr>
          <w:p>
            <w:pPr>
              <w:spacing w:after="0"/>
              <w:rPr>
                <w:sz w:val="20"/>
                <w:szCs w:val="20"/>
                <w:color w:val="auto"/>
              </w:rPr>
            </w:pPr>
          </w:p>
        </w:tc>
        <w:tc>
          <w:tcPr>
            <w:tcW w:w="1260" w:type="dxa"/>
            <w:vAlign w:val="bottom"/>
            <w:tcBorders>
              <w:right w:val="single" w:sz="8" w:color="auto"/>
            </w:tcBorders>
            <w:vMerge w:val="restart"/>
          </w:tcPr>
          <w:p>
            <w:pPr>
              <w:jc w:val="right"/>
              <w:ind w:right="60"/>
              <w:spacing w:after="0"/>
              <w:rPr>
                <w:sz w:val="20"/>
                <w:szCs w:val="20"/>
                <w:color w:val="auto"/>
              </w:rPr>
            </w:pPr>
            <w:r>
              <w:rPr>
                <w:rFonts w:ascii="Arial" w:cs="Arial" w:eastAsia="Arial" w:hAnsi="Arial"/>
                <w:sz w:val="16"/>
                <w:szCs w:val="16"/>
                <w:b w:val="1"/>
                <w:bCs w:val="1"/>
                <w:color w:val="366092"/>
              </w:rPr>
              <w:t>78</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(E)</w:t>
            </w:r>
          </w:p>
        </w:tc>
        <w:tc>
          <w:tcPr>
            <w:tcW w:w="120" w:type="dxa"/>
            <w:vAlign w:val="bottom"/>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460" w:type="dxa"/>
            <w:vAlign w:val="bottom"/>
          </w:tcPr>
          <w:p>
            <w:pPr>
              <w:jc w:val="right"/>
              <w:spacing w:after="0"/>
              <w:rPr>
                <w:sz w:val="20"/>
                <w:szCs w:val="20"/>
                <w:color w:val="auto"/>
              </w:rPr>
            </w:pPr>
            <w:r>
              <w:rPr>
                <w:rFonts w:ascii="Arial" w:cs="Arial" w:eastAsia="Arial" w:hAnsi="Arial"/>
                <w:sz w:val="16"/>
                <w:szCs w:val="16"/>
                <w:color w:val="auto"/>
              </w:rPr>
              <w:t>-2.5 %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Military services (J)</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120</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60" w:type="dxa"/>
            <w:vAlign w:val="bottom"/>
          </w:tcPr>
          <w:p>
            <w:pPr>
              <w:jc w:val="right"/>
              <w:spacing w:after="0"/>
              <w:rPr>
                <w:sz w:val="20"/>
                <w:szCs w:val="20"/>
                <w:color w:val="auto"/>
              </w:rPr>
            </w:pPr>
            <w:r>
              <w:rPr>
                <w:rFonts w:ascii="Arial" w:cs="Arial" w:eastAsia="Arial" w:hAnsi="Arial"/>
                <w:sz w:val="16"/>
                <w:szCs w:val="16"/>
                <w:color w:val="auto"/>
              </w:rPr>
              <w:t>-9.1 %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80" w:type="dxa"/>
            <w:vAlign w:val="bottom"/>
            <w:tcBorders>
              <w:right w:val="single" w:sz="8" w:color="auto"/>
            </w:tcBorders>
          </w:tcPr>
          <w:p>
            <w:pPr>
              <w:ind w:left="680"/>
              <w:spacing w:after="0"/>
              <w:rPr>
                <w:sz w:val="20"/>
                <w:szCs w:val="20"/>
                <w:color w:val="auto"/>
              </w:rPr>
            </w:pPr>
            <w:r>
              <w:rPr>
                <w:rFonts w:ascii="Arial" w:cs="Arial" w:eastAsia="Arial" w:hAnsi="Arial"/>
                <w:sz w:val="16"/>
                <w:szCs w:val="16"/>
                <w:b w:val="1"/>
                <w:bCs w:val="1"/>
                <w:color w:val="auto"/>
              </w:rPr>
              <w:t>Total Group and Specialty</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1,869</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460" w:type="dxa"/>
            <w:vAlign w:val="bottom"/>
          </w:tcPr>
          <w:p>
            <w:pPr>
              <w:jc w:val="right"/>
              <w:spacing w:after="0"/>
              <w:rPr>
                <w:sz w:val="20"/>
                <w:szCs w:val="20"/>
                <w:color w:val="auto"/>
              </w:rPr>
            </w:pPr>
            <w:r>
              <w:rPr>
                <w:rFonts w:ascii="Arial" w:cs="Arial" w:eastAsia="Arial" w:hAnsi="Arial"/>
                <w:sz w:val="16"/>
                <w:szCs w:val="16"/>
                <w:color w:val="auto"/>
              </w:rPr>
              <w:t>-1.6 %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8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auto"/>
              </w:rPr>
              <w:t>Healthcare Services</w:t>
            </w:r>
          </w:p>
        </w:tc>
        <w:tc>
          <w:tcPr>
            <w:tcW w:w="1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Pharmacy solutions</w:t>
            </w:r>
          </w:p>
        </w:tc>
        <w:tc>
          <w:tcPr>
            <w:tcW w:w="120" w:type="dxa"/>
            <w:vAlign w:val="bottom"/>
          </w:tcPr>
          <w:p>
            <w:pPr>
              <w:spacing w:after="0"/>
              <w:rPr>
                <w:sz w:val="24"/>
                <w:szCs w:val="24"/>
                <w:color w:val="auto"/>
              </w:rPr>
            </w:pPr>
          </w:p>
        </w:tc>
        <w:tc>
          <w:tcPr>
            <w:tcW w:w="12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5,510</w:t>
            </w:r>
          </w:p>
        </w:tc>
        <w:tc>
          <w:tcPr>
            <w:tcW w:w="300" w:type="dxa"/>
            <w:vAlign w:val="bottom"/>
          </w:tcPr>
          <w:p>
            <w:pPr>
              <w:spacing w:after="0"/>
              <w:rPr>
                <w:sz w:val="24"/>
                <w:szCs w:val="24"/>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5,151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359</w:t>
            </w:r>
          </w:p>
        </w:tc>
        <w:tc>
          <w:tcPr>
            <w:tcW w:w="1460" w:type="dxa"/>
            <w:vAlign w:val="bottom"/>
          </w:tcPr>
          <w:p>
            <w:pPr>
              <w:jc w:val="right"/>
              <w:spacing w:after="0"/>
              <w:rPr>
                <w:sz w:val="20"/>
                <w:szCs w:val="20"/>
                <w:color w:val="auto"/>
              </w:rPr>
            </w:pPr>
            <w:r>
              <w:rPr>
                <w:rFonts w:ascii="Arial" w:cs="Arial" w:eastAsia="Arial" w:hAnsi="Arial"/>
                <w:sz w:val="16"/>
                <w:szCs w:val="16"/>
                <w:color w:val="auto"/>
              </w:rPr>
              <w:t>7.0 %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Provider services</w:t>
            </w:r>
          </w:p>
        </w:tc>
        <w:tc>
          <w:tcPr>
            <w:tcW w:w="120" w:type="dxa"/>
            <w:vAlign w:val="bottom"/>
          </w:tcPr>
          <w:p>
            <w:pPr>
              <w:spacing w:after="0"/>
              <w:rPr>
                <w:sz w:val="23"/>
                <w:szCs w:val="23"/>
                <w:color w:val="auto"/>
              </w:rPr>
            </w:pPr>
          </w:p>
        </w:tc>
        <w:tc>
          <w:tcPr>
            <w:tcW w:w="12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684</w:t>
            </w:r>
          </w:p>
        </w:tc>
        <w:tc>
          <w:tcPr>
            <w:tcW w:w="30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1460" w:type="dxa"/>
            <w:vAlign w:val="bottom"/>
          </w:tcPr>
          <w:p>
            <w:pPr>
              <w:jc w:val="right"/>
              <w:spacing w:after="0"/>
              <w:rPr>
                <w:sz w:val="20"/>
                <w:szCs w:val="20"/>
                <w:color w:val="auto"/>
              </w:rPr>
            </w:pPr>
            <w:r>
              <w:rPr>
                <w:rFonts w:ascii="Arial" w:cs="Arial" w:eastAsia="Arial" w:hAnsi="Arial"/>
                <w:sz w:val="16"/>
                <w:szCs w:val="16"/>
                <w:color w:val="auto"/>
              </w:rPr>
              <w:t>12.5 %</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88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Clinical programs</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192</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460" w:type="dxa"/>
            <w:vAlign w:val="bottom"/>
          </w:tcPr>
          <w:p>
            <w:pPr>
              <w:jc w:val="right"/>
              <w:spacing w:after="0"/>
              <w:rPr>
                <w:sz w:val="20"/>
                <w:szCs w:val="20"/>
                <w:color w:val="auto"/>
              </w:rPr>
            </w:pPr>
            <w:r>
              <w:rPr>
                <w:rFonts w:ascii="Arial" w:cs="Arial" w:eastAsia="Arial" w:hAnsi="Arial"/>
                <w:sz w:val="16"/>
                <w:szCs w:val="16"/>
                <w:color w:val="auto"/>
              </w:rPr>
              <w:t>-10.7 %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80" w:type="dxa"/>
            <w:vAlign w:val="bottom"/>
            <w:tcBorders>
              <w:right w:val="single" w:sz="8" w:color="auto"/>
            </w:tcBorders>
          </w:tcPr>
          <w:p>
            <w:pPr>
              <w:ind w:left="680"/>
              <w:spacing w:after="0"/>
              <w:rPr>
                <w:sz w:val="20"/>
                <w:szCs w:val="20"/>
                <w:color w:val="auto"/>
              </w:rPr>
            </w:pPr>
            <w:r>
              <w:rPr>
                <w:rFonts w:ascii="Arial" w:cs="Arial" w:eastAsia="Arial" w:hAnsi="Arial"/>
                <w:sz w:val="16"/>
                <w:szCs w:val="16"/>
                <w:b w:val="1"/>
                <w:bCs w:val="1"/>
                <w:color w:val="auto"/>
              </w:rPr>
              <w:t>Total Healthcare Services</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6,386</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5,974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412</w:t>
            </w:r>
          </w:p>
        </w:tc>
        <w:tc>
          <w:tcPr>
            <w:tcW w:w="1460" w:type="dxa"/>
            <w:vAlign w:val="bottom"/>
          </w:tcPr>
          <w:p>
            <w:pPr>
              <w:jc w:val="right"/>
              <w:spacing w:after="0"/>
              <w:rPr>
                <w:sz w:val="20"/>
                <w:szCs w:val="20"/>
                <w:color w:val="auto"/>
              </w:rPr>
            </w:pPr>
            <w:r>
              <w:rPr>
                <w:rFonts w:ascii="Arial" w:cs="Arial" w:eastAsia="Arial" w:hAnsi="Arial"/>
                <w:sz w:val="16"/>
                <w:szCs w:val="16"/>
                <w:color w:val="auto"/>
              </w:rPr>
              <w:t>6.9 %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S-13</w:t>
      </w:r>
    </w:p>
    <w:p>
      <w:pPr>
        <w:sectPr>
          <w:pgSz w:w="11900" w:h="16838" w:orient="portrait"/>
          <w:cols w:equalWidth="0" w:num="1">
            <w:col w:w="11440"/>
          </w:cols>
          <w:pgMar w:left="240" w:top="614" w:right="219" w:bottom="1440" w:gutter="0" w:footer="0" w:header="0"/>
        </w:sectPr>
      </w:pPr>
    </w:p>
    <w:bookmarkStart w:id="46" w:name="page47"/>
    <w:bookmarkEnd w:id="46"/>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Premiums and Services Revenue Detail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per member per month</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900" w:type="dxa"/>
            <w:vAlign w:val="bottom"/>
            <w:tcBorders>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500" w:type="dxa"/>
            <w:vAlign w:val="bottom"/>
            <w:tcBorders>
              <w:top w:val="single" w:sz="8" w:color="auto"/>
              <w:right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Per Member per Month (K)</w:t>
            </w:r>
          </w:p>
        </w:tc>
        <w:tc>
          <w:tcPr>
            <w:tcW w:w="0" w:type="dxa"/>
            <w:vAlign w:val="bottom"/>
          </w:tcPr>
          <w:p>
            <w:pPr>
              <w:spacing w:after="0"/>
              <w:rPr>
                <w:sz w:val="1"/>
                <w:szCs w:val="1"/>
                <w:color w:val="auto"/>
              </w:rPr>
            </w:pPr>
          </w:p>
        </w:tc>
      </w:tr>
      <w:tr>
        <w:trPr>
          <w:trHeight w:val="228"/>
        </w:trPr>
        <w:tc>
          <w:tcPr>
            <w:tcW w:w="2900" w:type="dxa"/>
            <w:vAlign w:val="bottom"/>
            <w:tcBorders>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For the six months ended June 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color w:val="auto"/>
              </w:rPr>
              <w:t>Dollar</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rPr>
              <w:t>Percentage</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9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Borders>
              <w:right w:val="single" w:sz="8" w:color="auto"/>
            </w:tcBorders>
          </w:tcPr>
          <w:p>
            <w:pPr>
              <w:jc w:val="right"/>
              <w:ind w:right="460"/>
              <w:spacing w:after="0"/>
              <w:rPr>
                <w:sz w:val="20"/>
                <w:szCs w:val="20"/>
                <w:color w:val="auto"/>
              </w:rPr>
            </w:pPr>
            <w:r>
              <w:rPr>
                <w:rFonts w:ascii="Arial" w:cs="Arial" w:eastAsia="Arial" w:hAnsi="Arial"/>
                <w:sz w:val="14"/>
                <w:szCs w:val="14"/>
                <w:b w:val="1"/>
                <w:bCs w:val="1"/>
                <w:color w:val="366092"/>
              </w:rPr>
              <w:t>2019</w:t>
            </w:r>
          </w:p>
        </w:tc>
        <w:tc>
          <w:tcPr>
            <w:tcW w:w="300" w:type="dxa"/>
            <w:vAlign w:val="bottom"/>
          </w:tcPr>
          <w:p>
            <w:pPr>
              <w:spacing w:after="0"/>
              <w:rPr>
                <w:sz w:val="21"/>
                <w:szCs w:val="21"/>
                <w:color w:val="auto"/>
              </w:rPr>
            </w:pPr>
          </w:p>
        </w:tc>
        <w:tc>
          <w:tcPr>
            <w:tcW w:w="1060" w:type="dxa"/>
            <w:vAlign w:val="bottom"/>
          </w:tcPr>
          <w:p>
            <w:pPr>
              <w:jc w:val="right"/>
              <w:ind w:right="46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60"/>
              <w:spacing w:after="0"/>
              <w:rPr>
                <w:sz w:val="20"/>
                <w:szCs w:val="20"/>
                <w:color w:val="auto"/>
              </w:rPr>
            </w:pPr>
            <w:r>
              <w:rPr>
                <w:rFonts w:ascii="Arial" w:cs="Arial" w:eastAsia="Arial" w:hAnsi="Arial"/>
                <w:sz w:val="14"/>
                <w:szCs w:val="14"/>
                <w:color w:val="auto"/>
              </w:rPr>
              <w:t>Change</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rPr>
              <w:t>Change</w:t>
            </w:r>
          </w:p>
        </w:tc>
        <w:tc>
          <w:tcPr>
            <w:tcW w:w="220" w:type="dxa"/>
            <w:vAlign w:val="bottom"/>
          </w:tcPr>
          <w:p>
            <w:pPr>
              <w:spacing w:after="0"/>
              <w:rPr>
                <w:sz w:val="21"/>
                <w:szCs w:val="21"/>
                <w:color w:val="auto"/>
              </w:rPr>
            </w:pPr>
          </w:p>
        </w:tc>
        <w:tc>
          <w:tcPr>
            <w:tcW w:w="1080" w:type="dxa"/>
            <w:vAlign w:val="bottom"/>
          </w:tcPr>
          <w:p>
            <w:pPr>
              <w:jc w:val="right"/>
              <w:ind w:right="400"/>
              <w:spacing w:after="0"/>
              <w:rPr>
                <w:sz w:val="20"/>
                <w:szCs w:val="20"/>
                <w:color w:val="auto"/>
              </w:rPr>
            </w:pPr>
            <w:r>
              <w:rPr>
                <w:rFonts w:ascii="Arial" w:cs="Arial" w:eastAsia="Arial" w:hAnsi="Arial"/>
                <w:sz w:val="14"/>
                <w:szCs w:val="14"/>
                <w:b w:val="1"/>
                <w:bCs w:val="1"/>
                <w:color w:val="366092"/>
              </w:rPr>
              <w:t>2019</w:t>
            </w:r>
          </w:p>
        </w:tc>
        <w:tc>
          <w:tcPr>
            <w:tcW w:w="360" w:type="dxa"/>
            <w:vAlign w:val="bottom"/>
          </w:tcPr>
          <w:p>
            <w:pPr>
              <w:spacing w:after="0"/>
              <w:rPr>
                <w:sz w:val="21"/>
                <w:szCs w:val="21"/>
                <w:color w:val="auto"/>
              </w:rPr>
            </w:pPr>
          </w:p>
        </w:tc>
        <w:tc>
          <w:tcPr>
            <w:tcW w:w="1060" w:type="dxa"/>
            <w:vAlign w:val="bottom"/>
          </w:tcPr>
          <w:p>
            <w:pPr>
              <w:jc w:val="right"/>
              <w:ind w:right="46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10"/>
        </w:trPr>
        <w:tc>
          <w:tcPr>
            <w:tcW w:w="29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Premiums and Services Revenue</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90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auto"/>
              </w:rPr>
              <w:t>Retail</w:t>
            </w:r>
          </w:p>
        </w:tc>
        <w:tc>
          <w:tcPr>
            <w:tcW w:w="14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Individual Medicare Advantage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366092"/>
                <w:w w:val="89"/>
              </w:rPr>
              <w:t>$</w:t>
            </w:r>
          </w:p>
        </w:tc>
        <w:tc>
          <w:tcPr>
            <w:tcW w:w="122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21,502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17,878</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3,624</w:t>
            </w:r>
          </w:p>
        </w:tc>
        <w:tc>
          <w:tcPr>
            <w:tcW w:w="1460" w:type="dxa"/>
            <w:vAlign w:val="bottom"/>
          </w:tcPr>
          <w:p>
            <w:pPr>
              <w:jc w:val="right"/>
              <w:spacing w:after="0"/>
              <w:rPr>
                <w:sz w:val="20"/>
                <w:szCs w:val="20"/>
                <w:color w:val="auto"/>
              </w:rPr>
            </w:pPr>
            <w:r>
              <w:rPr>
                <w:rFonts w:ascii="Arial" w:cs="Arial" w:eastAsia="Arial" w:hAnsi="Arial"/>
                <w:sz w:val="16"/>
                <w:szCs w:val="16"/>
                <w:color w:val="auto"/>
              </w:rPr>
              <w:t>20.3 %</w:t>
            </w:r>
          </w:p>
        </w:tc>
        <w:tc>
          <w:tcPr>
            <w:tcW w:w="140" w:type="dxa"/>
            <w:vAlign w:val="bottom"/>
          </w:tcPr>
          <w:p>
            <w:pPr>
              <w:spacing w:after="0"/>
              <w:rPr>
                <w:sz w:val="24"/>
                <w:szCs w:val="24"/>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366092"/>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366092"/>
              </w:rPr>
              <w:t>1,041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70"/>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Group Medicare Advantage</w:t>
            </w:r>
          </w:p>
        </w:tc>
        <w:tc>
          <w:tcPr>
            <w:tcW w:w="140" w:type="dxa"/>
            <w:vAlign w:val="bottom"/>
          </w:tcPr>
          <w:p>
            <w:pPr>
              <w:spacing w:after="0"/>
              <w:rPr>
                <w:sz w:val="23"/>
                <w:szCs w:val="23"/>
                <w:color w:val="auto"/>
              </w:rPr>
            </w:pPr>
          </w:p>
        </w:tc>
        <w:tc>
          <w:tcPr>
            <w:tcW w:w="122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3,258</w:t>
            </w:r>
          </w:p>
        </w:tc>
        <w:tc>
          <w:tcPr>
            <w:tcW w:w="3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3,033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225</w:t>
            </w:r>
          </w:p>
        </w:tc>
        <w:tc>
          <w:tcPr>
            <w:tcW w:w="1460" w:type="dxa"/>
            <w:vAlign w:val="bottom"/>
          </w:tcPr>
          <w:p>
            <w:pPr>
              <w:jc w:val="right"/>
              <w:spacing w:after="0"/>
              <w:rPr>
                <w:sz w:val="20"/>
                <w:szCs w:val="20"/>
                <w:color w:val="auto"/>
              </w:rPr>
            </w:pPr>
            <w:r>
              <w:rPr>
                <w:rFonts w:ascii="Arial" w:cs="Arial" w:eastAsia="Arial" w:hAnsi="Arial"/>
                <w:sz w:val="16"/>
                <w:szCs w:val="16"/>
                <w:color w:val="auto"/>
              </w:rPr>
              <w:t>7.4 %</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366092"/>
              </w:rPr>
              <w:t>1,048</w:t>
            </w:r>
          </w:p>
        </w:tc>
        <w:tc>
          <w:tcPr>
            <w:tcW w:w="36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1,025</w:t>
            </w:r>
          </w:p>
        </w:tc>
        <w:tc>
          <w:tcPr>
            <w:tcW w:w="0" w:type="dxa"/>
            <w:vAlign w:val="bottom"/>
          </w:tcPr>
          <w:p>
            <w:pPr>
              <w:spacing w:after="0"/>
              <w:rPr>
                <w:sz w:val="1"/>
                <w:szCs w:val="1"/>
                <w:color w:val="auto"/>
              </w:rPr>
            </w:pPr>
          </w:p>
        </w:tc>
      </w:tr>
      <w:tr>
        <w:trPr>
          <w:trHeight w:val="270"/>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Medicare stand-alone PDP</w:t>
            </w:r>
          </w:p>
        </w:tc>
        <w:tc>
          <w:tcPr>
            <w:tcW w:w="140" w:type="dxa"/>
            <w:vAlign w:val="bottom"/>
          </w:tcPr>
          <w:p>
            <w:pPr>
              <w:spacing w:after="0"/>
              <w:rPr>
                <w:sz w:val="23"/>
                <w:szCs w:val="23"/>
                <w:color w:val="auto"/>
              </w:rPr>
            </w:pPr>
          </w:p>
        </w:tc>
        <w:tc>
          <w:tcPr>
            <w:tcW w:w="122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1,627</w:t>
            </w:r>
          </w:p>
        </w:tc>
        <w:tc>
          <w:tcPr>
            <w:tcW w:w="3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(183)</w:t>
            </w:r>
          </w:p>
        </w:tc>
        <w:tc>
          <w:tcPr>
            <w:tcW w:w="1460" w:type="dxa"/>
            <w:vAlign w:val="bottom"/>
          </w:tcPr>
          <w:p>
            <w:pPr>
              <w:jc w:val="right"/>
              <w:spacing w:after="0"/>
              <w:rPr>
                <w:sz w:val="20"/>
                <w:szCs w:val="20"/>
                <w:color w:val="auto"/>
              </w:rPr>
            </w:pPr>
            <w:r>
              <w:rPr>
                <w:rFonts w:ascii="Arial" w:cs="Arial" w:eastAsia="Arial" w:hAnsi="Arial"/>
                <w:sz w:val="16"/>
                <w:szCs w:val="16"/>
                <w:color w:val="auto"/>
              </w:rPr>
              <w:t>-10.1 %</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366092"/>
              </w:rPr>
              <w:t>61</w:t>
            </w:r>
          </w:p>
        </w:tc>
        <w:tc>
          <w:tcPr>
            <w:tcW w:w="36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0"/>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State-based contracts (F)</w:t>
            </w:r>
          </w:p>
        </w:tc>
        <w:tc>
          <w:tcPr>
            <w:tcW w:w="140" w:type="dxa"/>
            <w:vAlign w:val="bottom"/>
          </w:tcPr>
          <w:p>
            <w:pPr>
              <w:spacing w:after="0"/>
              <w:rPr>
                <w:sz w:val="23"/>
                <w:szCs w:val="23"/>
                <w:color w:val="auto"/>
              </w:rPr>
            </w:pPr>
          </w:p>
        </w:tc>
        <w:tc>
          <w:tcPr>
            <w:tcW w:w="122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1,401</w:t>
            </w:r>
          </w:p>
        </w:tc>
        <w:tc>
          <w:tcPr>
            <w:tcW w:w="3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298</w:t>
            </w:r>
          </w:p>
        </w:tc>
        <w:tc>
          <w:tcPr>
            <w:tcW w:w="1460" w:type="dxa"/>
            <w:vAlign w:val="bottom"/>
          </w:tcPr>
          <w:p>
            <w:pPr>
              <w:jc w:val="right"/>
              <w:spacing w:after="0"/>
              <w:rPr>
                <w:sz w:val="20"/>
                <w:szCs w:val="20"/>
                <w:color w:val="auto"/>
              </w:rPr>
            </w:pPr>
            <w:r>
              <w:rPr>
                <w:rFonts w:ascii="Arial" w:cs="Arial" w:eastAsia="Arial" w:hAnsi="Arial"/>
                <w:sz w:val="16"/>
                <w:szCs w:val="16"/>
                <w:color w:val="auto"/>
              </w:rPr>
              <w:t>27.0 %</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366092"/>
              </w:rPr>
              <w:t>517</w:t>
            </w:r>
          </w:p>
        </w:tc>
        <w:tc>
          <w:tcPr>
            <w:tcW w:w="36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70"/>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Medicare Supplement</w:t>
            </w:r>
          </w:p>
        </w:tc>
        <w:tc>
          <w:tcPr>
            <w:tcW w:w="140" w:type="dxa"/>
            <w:vAlign w:val="bottom"/>
          </w:tcPr>
          <w:p>
            <w:pPr>
              <w:spacing w:after="0"/>
              <w:rPr>
                <w:sz w:val="23"/>
                <w:szCs w:val="23"/>
                <w:color w:val="auto"/>
              </w:rPr>
            </w:pPr>
          </w:p>
        </w:tc>
        <w:tc>
          <w:tcPr>
            <w:tcW w:w="122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284</w:t>
            </w:r>
          </w:p>
        </w:tc>
        <w:tc>
          <w:tcPr>
            <w:tcW w:w="3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460" w:type="dxa"/>
            <w:vAlign w:val="bottom"/>
          </w:tcPr>
          <w:p>
            <w:pPr>
              <w:jc w:val="right"/>
              <w:spacing w:after="0"/>
              <w:rPr>
                <w:sz w:val="20"/>
                <w:szCs w:val="20"/>
                <w:color w:val="auto"/>
              </w:rPr>
            </w:pPr>
            <w:r>
              <w:rPr>
                <w:rFonts w:ascii="Arial" w:cs="Arial" w:eastAsia="Arial" w:hAnsi="Arial"/>
                <w:sz w:val="16"/>
                <w:szCs w:val="16"/>
                <w:color w:val="auto"/>
              </w:rPr>
              <w:t>13.6 %</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366092"/>
              </w:rPr>
              <w:t>176</w:t>
            </w:r>
          </w:p>
        </w:tc>
        <w:tc>
          <w:tcPr>
            <w:tcW w:w="36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83"/>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Other services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10</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460" w:type="dxa"/>
            <w:vAlign w:val="bottom"/>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00" w:type="dxa"/>
            <w:vAlign w:val="bottom"/>
            <w:tcBorders>
              <w:right w:val="single" w:sz="8" w:color="auto"/>
            </w:tcBorders>
          </w:tcPr>
          <w:p>
            <w:pPr>
              <w:ind w:left="680"/>
              <w:spacing w:after="0"/>
              <w:rPr>
                <w:sz w:val="20"/>
                <w:szCs w:val="20"/>
                <w:color w:val="auto"/>
              </w:rPr>
            </w:pPr>
            <w:r>
              <w:rPr>
                <w:rFonts w:ascii="Arial" w:cs="Arial" w:eastAsia="Arial" w:hAnsi="Arial"/>
                <w:sz w:val="16"/>
                <w:szCs w:val="16"/>
                <w:b w:val="1"/>
                <w:bCs w:val="1"/>
                <w:color w:val="auto"/>
              </w:rPr>
              <w:t>Total Retail</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28,082</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24,079</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4,003</w:t>
            </w:r>
          </w:p>
        </w:tc>
        <w:tc>
          <w:tcPr>
            <w:tcW w:w="1460" w:type="dxa"/>
            <w:vAlign w:val="bottom"/>
          </w:tcPr>
          <w:p>
            <w:pPr>
              <w:jc w:val="right"/>
              <w:spacing w:after="0"/>
              <w:rPr>
                <w:sz w:val="20"/>
                <w:szCs w:val="20"/>
                <w:color w:val="auto"/>
              </w:rPr>
            </w:pPr>
            <w:r>
              <w:rPr>
                <w:rFonts w:ascii="Arial" w:cs="Arial" w:eastAsia="Arial" w:hAnsi="Arial"/>
                <w:sz w:val="16"/>
                <w:szCs w:val="16"/>
                <w:color w:val="auto"/>
              </w:rPr>
              <w:t>16.6 %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90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auto"/>
              </w:rPr>
              <w:t>Group and Specialty</w:t>
            </w:r>
          </w:p>
        </w:tc>
        <w:tc>
          <w:tcPr>
            <w:tcW w:w="14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Fully-insured commercial medical</w:t>
            </w:r>
          </w:p>
        </w:tc>
        <w:tc>
          <w:tcPr>
            <w:tcW w:w="140" w:type="dxa"/>
            <w:vAlign w:val="bottom"/>
          </w:tcPr>
          <w:p>
            <w:pPr>
              <w:spacing w:after="0"/>
              <w:rPr>
                <w:sz w:val="24"/>
                <w:szCs w:val="24"/>
                <w:color w:val="auto"/>
              </w:rPr>
            </w:pPr>
          </w:p>
        </w:tc>
        <w:tc>
          <w:tcPr>
            <w:tcW w:w="122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2,595</w:t>
            </w:r>
          </w:p>
        </w:tc>
        <w:tc>
          <w:tcPr>
            <w:tcW w:w="30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2,738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w:t>
            </w:r>
          </w:p>
        </w:tc>
        <w:tc>
          <w:tcPr>
            <w:tcW w:w="1460" w:type="dxa"/>
            <w:vAlign w:val="bottom"/>
          </w:tcPr>
          <w:p>
            <w:pPr>
              <w:jc w:val="right"/>
              <w:spacing w:after="0"/>
              <w:rPr>
                <w:sz w:val="20"/>
                <w:szCs w:val="20"/>
                <w:color w:val="auto"/>
              </w:rPr>
            </w:pPr>
            <w:r>
              <w:rPr>
                <w:rFonts w:ascii="Arial" w:cs="Arial" w:eastAsia="Arial" w:hAnsi="Arial"/>
                <w:sz w:val="16"/>
                <w:szCs w:val="16"/>
                <w:color w:val="auto"/>
              </w:rPr>
              <w:t>-5.2 %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366092"/>
              </w:rPr>
              <w:t>453</w:t>
            </w:r>
          </w:p>
        </w:tc>
        <w:tc>
          <w:tcPr>
            <w:tcW w:w="36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70"/>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Specialty</w:t>
            </w:r>
          </w:p>
        </w:tc>
        <w:tc>
          <w:tcPr>
            <w:tcW w:w="140" w:type="dxa"/>
            <w:vAlign w:val="bottom"/>
          </w:tcPr>
          <w:p>
            <w:pPr>
              <w:spacing w:after="0"/>
              <w:rPr>
                <w:sz w:val="23"/>
                <w:szCs w:val="23"/>
                <w:color w:val="auto"/>
              </w:rPr>
            </w:pPr>
          </w:p>
        </w:tc>
        <w:tc>
          <w:tcPr>
            <w:tcW w:w="122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760</w:t>
            </w:r>
          </w:p>
        </w:tc>
        <w:tc>
          <w:tcPr>
            <w:tcW w:w="3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1460" w:type="dxa"/>
            <w:vAlign w:val="bottom"/>
          </w:tcPr>
          <w:p>
            <w:pPr>
              <w:jc w:val="right"/>
              <w:spacing w:after="0"/>
              <w:rPr>
                <w:sz w:val="20"/>
                <w:szCs w:val="20"/>
                <w:color w:val="auto"/>
              </w:rPr>
            </w:pPr>
            <w:r>
              <w:rPr>
                <w:rFonts w:ascii="Arial" w:cs="Arial" w:eastAsia="Arial" w:hAnsi="Arial"/>
                <w:sz w:val="16"/>
                <w:szCs w:val="16"/>
                <w:color w:val="auto"/>
              </w:rPr>
              <w:t>10.3 %</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366092"/>
              </w:rPr>
              <w:t>24</w:t>
            </w:r>
          </w:p>
        </w:tc>
        <w:tc>
          <w:tcPr>
            <w:tcW w:w="36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8"/>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Commercial ASO &amp; other services</w:t>
            </w:r>
          </w:p>
        </w:tc>
        <w:tc>
          <w:tcPr>
            <w:tcW w:w="140" w:type="dxa"/>
            <w:vAlign w:val="bottom"/>
          </w:tcPr>
          <w:p>
            <w:pPr>
              <w:spacing w:after="0"/>
              <w:rPr>
                <w:sz w:val="20"/>
                <w:szCs w:val="20"/>
                <w:color w:val="auto"/>
              </w:rPr>
            </w:pPr>
          </w:p>
        </w:tc>
        <w:tc>
          <w:tcPr>
            <w:tcW w:w="1220" w:type="dxa"/>
            <w:vAlign w:val="bottom"/>
            <w:tcBorders>
              <w:right w:val="single" w:sz="8" w:color="auto"/>
            </w:tcBorders>
            <w:vMerge w:val="restart"/>
          </w:tcPr>
          <w:p>
            <w:pPr>
              <w:jc w:val="right"/>
              <w:ind w:right="60"/>
              <w:spacing w:after="0"/>
              <w:rPr>
                <w:sz w:val="20"/>
                <w:szCs w:val="20"/>
                <w:color w:val="auto"/>
              </w:rPr>
            </w:pPr>
            <w:r>
              <w:rPr>
                <w:rFonts w:ascii="Arial" w:cs="Arial" w:eastAsia="Arial" w:hAnsi="Arial"/>
                <w:sz w:val="16"/>
                <w:szCs w:val="16"/>
                <w:b w:val="1"/>
                <w:bCs w:val="1"/>
                <w:color w:val="366092"/>
              </w:rPr>
              <w:t>155</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(E)</w:t>
            </w:r>
          </w:p>
        </w:tc>
        <w:tc>
          <w:tcPr>
            <w:tcW w:w="140" w:type="dxa"/>
            <w:vAlign w:val="bottom"/>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1460" w:type="dxa"/>
            <w:vAlign w:val="bottom"/>
          </w:tcPr>
          <w:p>
            <w:pPr>
              <w:jc w:val="right"/>
              <w:spacing w:after="0"/>
              <w:rPr>
                <w:sz w:val="20"/>
                <w:szCs w:val="20"/>
                <w:color w:val="auto"/>
              </w:rPr>
            </w:pPr>
            <w:r>
              <w:rPr>
                <w:rFonts w:ascii="Arial" w:cs="Arial" w:eastAsia="Arial" w:hAnsi="Arial"/>
                <w:sz w:val="16"/>
                <w:szCs w:val="16"/>
                <w:color w:val="auto"/>
              </w:rPr>
              <w:t>-3.7 %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Military services (J)</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241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460" w:type="dxa"/>
            <w:vAlign w:val="bottom"/>
          </w:tcPr>
          <w:p>
            <w:pPr>
              <w:jc w:val="right"/>
              <w:spacing w:after="0"/>
              <w:rPr>
                <w:sz w:val="20"/>
                <w:szCs w:val="20"/>
                <w:color w:val="auto"/>
              </w:rPr>
            </w:pPr>
            <w:r>
              <w:rPr>
                <w:rFonts w:ascii="Arial" w:cs="Arial" w:eastAsia="Arial" w:hAnsi="Arial"/>
                <w:sz w:val="16"/>
                <w:szCs w:val="16"/>
                <w:color w:val="auto"/>
              </w:rPr>
              <w:t>-12.4 %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00" w:type="dxa"/>
            <w:vAlign w:val="bottom"/>
            <w:tcBorders>
              <w:right w:val="single" w:sz="8" w:color="auto"/>
            </w:tcBorders>
          </w:tcPr>
          <w:p>
            <w:pPr>
              <w:ind w:left="680"/>
              <w:spacing w:after="0"/>
              <w:rPr>
                <w:sz w:val="20"/>
                <w:szCs w:val="20"/>
                <w:color w:val="auto"/>
              </w:rPr>
            </w:pPr>
            <w:r>
              <w:rPr>
                <w:rFonts w:ascii="Arial" w:cs="Arial" w:eastAsia="Arial" w:hAnsi="Arial"/>
                <w:sz w:val="16"/>
                <w:szCs w:val="16"/>
                <w:b w:val="1"/>
                <w:bCs w:val="1"/>
                <w:color w:val="auto"/>
              </w:rPr>
              <w:t>Total Group and Specialty</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366092"/>
              </w:rPr>
              <w:t>3,751</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3,863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460" w:type="dxa"/>
            <w:vAlign w:val="bottom"/>
          </w:tcPr>
          <w:p>
            <w:pPr>
              <w:jc w:val="right"/>
              <w:spacing w:after="0"/>
              <w:rPr>
                <w:sz w:val="20"/>
                <w:szCs w:val="20"/>
                <w:color w:val="auto"/>
              </w:rPr>
            </w:pPr>
            <w:r>
              <w:rPr>
                <w:rFonts w:ascii="Arial" w:cs="Arial" w:eastAsia="Arial" w:hAnsi="Arial"/>
                <w:sz w:val="16"/>
                <w:szCs w:val="16"/>
                <w:color w:val="auto"/>
              </w:rPr>
              <w:t>-2.9 %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90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auto"/>
              </w:rPr>
              <w:t>Healthcare Services</w:t>
            </w:r>
          </w:p>
        </w:tc>
        <w:tc>
          <w:tcPr>
            <w:tcW w:w="14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Pharmacy solutions</w:t>
            </w:r>
          </w:p>
        </w:tc>
        <w:tc>
          <w:tcPr>
            <w:tcW w:w="140" w:type="dxa"/>
            <w:vAlign w:val="bottom"/>
          </w:tcPr>
          <w:p>
            <w:pPr>
              <w:spacing w:after="0"/>
              <w:rPr>
                <w:sz w:val="24"/>
                <w:szCs w:val="24"/>
                <w:color w:val="auto"/>
              </w:rPr>
            </w:pPr>
          </w:p>
        </w:tc>
        <w:tc>
          <w:tcPr>
            <w:tcW w:w="122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00497F"/>
              </w:rPr>
              <w:t>10,743</w:t>
            </w:r>
          </w:p>
        </w:tc>
        <w:tc>
          <w:tcPr>
            <w:tcW w:w="30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10,185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558</w:t>
            </w:r>
          </w:p>
        </w:tc>
        <w:tc>
          <w:tcPr>
            <w:tcW w:w="1460" w:type="dxa"/>
            <w:vAlign w:val="bottom"/>
          </w:tcPr>
          <w:p>
            <w:pPr>
              <w:jc w:val="right"/>
              <w:spacing w:after="0"/>
              <w:rPr>
                <w:sz w:val="20"/>
                <w:szCs w:val="20"/>
                <w:color w:val="auto"/>
              </w:rPr>
            </w:pPr>
            <w:r>
              <w:rPr>
                <w:rFonts w:ascii="Arial" w:cs="Arial" w:eastAsia="Arial" w:hAnsi="Arial"/>
                <w:sz w:val="16"/>
                <w:szCs w:val="16"/>
                <w:color w:val="auto"/>
              </w:rPr>
              <w:t>5.5 %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Provider services</w:t>
            </w:r>
          </w:p>
        </w:tc>
        <w:tc>
          <w:tcPr>
            <w:tcW w:w="140" w:type="dxa"/>
            <w:vAlign w:val="bottom"/>
          </w:tcPr>
          <w:p>
            <w:pPr>
              <w:spacing w:after="0"/>
              <w:rPr>
                <w:sz w:val="23"/>
                <w:szCs w:val="23"/>
                <w:color w:val="auto"/>
              </w:rPr>
            </w:pPr>
          </w:p>
        </w:tc>
        <w:tc>
          <w:tcPr>
            <w:tcW w:w="122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b w:val="1"/>
                <w:bCs w:val="1"/>
                <w:color w:val="00497F"/>
              </w:rPr>
              <w:t>1,362</w:t>
            </w:r>
          </w:p>
        </w:tc>
        <w:tc>
          <w:tcPr>
            <w:tcW w:w="30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355</w:t>
            </w:r>
          </w:p>
        </w:tc>
        <w:tc>
          <w:tcPr>
            <w:tcW w:w="1460" w:type="dxa"/>
            <w:vAlign w:val="bottom"/>
          </w:tcPr>
          <w:p>
            <w:pPr>
              <w:jc w:val="right"/>
              <w:spacing w:after="0"/>
              <w:rPr>
                <w:sz w:val="20"/>
                <w:szCs w:val="20"/>
                <w:color w:val="auto"/>
              </w:rPr>
            </w:pPr>
            <w:r>
              <w:rPr>
                <w:rFonts w:ascii="Arial" w:cs="Arial" w:eastAsia="Arial" w:hAnsi="Arial"/>
                <w:sz w:val="16"/>
                <w:szCs w:val="16"/>
                <w:color w:val="auto"/>
              </w:rPr>
              <w:t>35.3 %</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9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Clinical programs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00497F"/>
              </w:rPr>
              <w:t>379</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460" w:type="dxa"/>
            <w:vAlign w:val="bottom"/>
          </w:tcPr>
          <w:p>
            <w:pPr>
              <w:jc w:val="right"/>
              <w:spacing w:after="0"/>
              <w:rPr>
                <w:sz w:val="20"/>
                <w:szCs w:val="20"/>
                <w:color w:val="auto"/>
              </w:rPr>
            </w:pPr>
            <w:r>
              <w:rPr>
                <w:rFonts w:ascii="Arial" w:cs="Arial" w:eastAsia="Arial" w:hAnsi="Arial"/>
                <w:sz w:val="16"/>
                <w:szCs w:val="16"/>
                <w:color w:val="auto"/>
              </w:rPr>
              <w:t>-13.7 %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00" w:type="dxa"/>
            <w:vAlign w:val="bottom"/>
            <w:tcBorders>
              <w:right w:val="single" w:sz="8" w:color="auto"/>
            </w:tcBorders>
          </w:tcPr>
          <w:p>
            <w:pPr>
              <w:ind w:left="680"/>
              <w:spacing w:after="0"/>
              <w:rPr>
                <w:sz w:val="20"/>
                <w:szCs w:val="20"/>
                <w:color w:val="auto"/>
              </w:rPr>
            </w:pPr>
            <w:r>
              <w:rPr>
                <w:rFonts w:ascii="Arial" w:cs="Arial" w:eastAsia="Arial" w:hAnsi="Arial"/>
                <w:sz w:val="16"/>
                <w:szCs w:val="16"/>
                <w:b w:val="1"/>
                <w:bCs w:val="1"/>
                <w:color w:val="auto"/>
              </w:rPr>
              <w:t>Total Healthcare Services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b w:val="1"/>
                <w:bCs w:val="1"/>
                <w:color w:val="00497F"/>
              </w:rPr>
              <w:t>12,484</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11,631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853</w:t>
            </w:r>
          </w:p>
        </w:tc>
        <w:tc>
          <w:tcPr>
            <w:tcW w:w="1460" w:type="dxa"/>
            <w:vAlign w:val="bottom"/>
          </w:tcPr>
          <w:p>
            <w:pPr>
              <w:jc w:val="right"/>
              <w:spacing w:after="0"/>
              <w:rPr>
                <w:sz w:val="20"/>
                <w:szCs w:val="20"/>
                <w:color w:val="auto"/>
              </w:rPr>
            </w:pPr>
            <w:r>
              <w:rPr>
                <w:rFonts w:ascii="Arial" w:cs="Arial" w:eastAsia="Arial" w:hAnsi="Arial"/>
                <w:sz w:val="16"/>
                <w:szCs w:val="16"/>
                <w:color w:val="auto"/>
              </w:rPr>
              <w:t>7.3 %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S-14</w:t>
      </w:r>
    </w:p>
    <w:p>
      <w:pPr>
        <w:sectPr>
          <w:pgSz w:w="11900" w:h="16838" w:orient="portrait"/>
          <w:cols w:equalWidth="0" w:num="1">
            <w:col w:w="11440"/>
          </w:cols>
          <w:pgMar w:left="240" w:top="614" w:right="219" w:bottom="1440" w:gutter="0" w:footer="0" w:header="0"/>
        </w:sectPr>
      </w:pPr>
    </w:p>
    <w:bookmarkStart w:id="47" w:name="page48"/>
    <w:bookmarkEnd w:id="47"/>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Healthcare Services Segment Metrics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220" w:type="dxa"/>
            <w:vAlign w:val="bottom"/>
            <w:tcBorders>
              <w:right w:val="single" w:sz="8" w:color="auto"/>
            </w:tcBorders>
          </w:tcPr>
          <w:p>
            <w:pPr>
              <w:spacing w:after="0"/>
              <w:rPr>
                <w:sz w:val="22"/>
                <w:szCs w:val="22"/>
                <w:color w:val="auto"/>
              </w:rPr>
            </w:pPr>
          </w:p>
        </w:tc>
        <w:tc>
          <w:tcPr>
            <w:tcW w:w="1240" w:type="dxa"/>
            <w:vAlign w:val="bottom"/>
            <w:tcBorders>
              <w:top w:val="single" w:sz="8" w:color="auto"/>
              <w:right w:val="single" w:sz="8" w:color="auto"/>
            </w:tcBorders>
          </w:tcPr>
          <w:p>
            <w:pPr>
              <w:jc w:val="right"/>
              <w:ind w:right="80"/>
              <w:spacing w:after="0"/>
              <w:rPr>
                <w:sz w:val="20"/>
                <w:szCs w:val="20"/>
                <w:color w:val="auto"/>
              </w:rPr>
            </w:pPr>
            <w:r>
              <w:rPr>
                <w:rFonts w:ascii="Arial" w:cs="Arial" w:eastAsia="Arial" w:hAnsi="Arial"/>
                <w:sz w:val="14"/>
                <w:szCs w:val="14"/>
                <w:b w:val="1"/>
                <w:bCs w:val="1"/>
                <w:color w:val="366092"/>
              </w:rPr>
              <w:t>June 30, 2019</w:t>
            </w:r>
          </w:p>
        </w:tc>
        <w:tc>
          <w:tcPr>
            <w:tcW w:w="1320" w:type="dxa"/>
            <w:vAlign w:val="bottom"/>
            <w:gridSpan w:val="2"/>
          </w:tcPr>
          <w:p>
            <w:pPr>
              <w:ind w:left="160"/>
              <w:spacing w:after="0"/>
              <w:rPr>
                <w:sz w:val="20"/>
                <w:szCs w:val="20"/>
                <w:color w:val="auto"/>
              </w:rPr>
            </w:pPr>
            <w:r>
              <w:rPr>
                <w:rFonts w:ascii="Arial" w:cs="Arial" w:eastAsia="Arial" w:hAnsi="Arial"/>
                <w:sz w:val="14"/>
                <w:szCs w:val="14"/>
                <w:color w:val="auto"/>
              </w:rPr>
              <w:t>June 30, 2018</w:t>
            </w:r>
          </w:p>
        </w:tc>
        <w:tc>
          <w:tcPr>
            <w:tcW w:w="1240" w:type="dxa"/>
            <w:vAlign w:val="bottom"/>
          </w:tcPr>
          <w:p>
            <w:pPr>
              <w:jc w:val="right"/>
              <w:ind w:right="200"/>
              <w:spacing w:after="0"/>
              <w:rPr>
                <w:sz w:val="20"/>
                <w:szCs w:val="20"/>
                <w:color w:val="auto"/>
              </w:rPr>
            </w:pPr>
            <w:r>
              <w:rPr>
                <w:rFonts w:ascii="Arial" w:cs="Arial" w:eastAsia="Arial" w:hAnsi="Arial"/>
                <w:sz w:val="14"/>
                <w:szCs w:val="14"/>
                <w:color w:val="auto"/>
              </w:rPr>
              <w:t>Difference</w:t>
            </w:r>
          </w:p>
        </w:tc>
        <w:tc>
          <w:tcPr>
            <w:tcW w:w="84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color w:val="auto"/>
              </w:rPr>
              <w:t>December 31, 2018</w:t>
            </w:r>
          </w:p>
        </w:tc>
        <w:tc>
          <w:tcPr>
            <w:tcW w:w="1240" w:type="dxa"/>
            <w:vAlign w:val="bottom"/>
          </w:tcPr>
          <w:p>
            <w:pPr>
              <w:jc w:val="right"/>
              <w:ind w:right="200"/>
              <w:spacing w:after="0"/>
              <w:rPr>
                <w:sz w:val="20"/>
                <w:szCs w:val="20"/>
                <w:color w:val="auto"/>
              </w:rPr>
            </w:pPr>
            <w:r>
              <w:rPr>
                <w:rFonts w:ascii="Arial" w:cs="Arial" w:eastAsia="Arial" w:hAnsi="Arial"/>
                <w:sz w:val="14"/>
                <w:szCs w:val="14"/>
                <w:color w:val="auto"/>
              </w:rPr>
              <w:t>Difference</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Primary Care Providers:</w:t>
            </w:r>
          </w:p>
        </w:tc>
        <w:tc>
          <w:tcPr>
            <w:tcW w:w="124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2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Shared Risk (H)</w:t>
            </w:r>
          </w:p>
        </w:tc>
        <w:tc>
          <w:tcPr>
            <w:tcW w:w="1240" w:type="dxa"/>
            <w:vAlign w:val="bottom"/>
            <w:tcBorders>
              <w:righ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220" w:type="dxa"/>
            <w:vAlign w:val="bottom"/>
            <w:tcBorders>
              <w:right w:val="single" w:sz="8" w:color="auto"/>
            </w:tcBorders>
          </w:tcPr>
          <w:p>
            <w:pPr>
              <w:ind w:left="680"/>
              <w:spacing w:after="0"/>
              <w:rPr>
                <w:sz w:val="20"/>
                <w:szCs w:val="20"/>
                <w:color w:val="auto"/>
              </w:rPr>
            </w:pPr>
            <w:r>
              <w:rPr>
                <w:rFonts w:ascii="Arial" w:cs="Arial" w:eastAsia="Arial" w:hAnsi="Arial"/>
                <w:sz w:val="16"/>
                <w:szCs w:val="16"/>
                <w:color w:val="auto"/>
              </w:rPr>
              <w:t>Owned / JV</w:t>
            </w:r>
          </w:p>
        </w:tc>
        <w:tc>
          <w:tcPr>
            <w:tcW w:w="124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00497F"/>
              </w:rPr>
              <w:t>1,600</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4"/>
                <w:szCs w:val="24"/>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840" w:type="dxa"/>
            <w:vAlign w:val="bottom"/>
          </w:tcPr>
          <w:p>
            <w:pPr>
              <w:jc w:val="right"/>
              <w:spacing w:after="0"/>
              <w:rPr>
                <w:sz w:val="20"/>
                <w:szCs w:val="20"/>
                <w:color w:val="auto"/>
              </w:rPr>
            </w:pPr>
            <w:r>
              <w:rPr>
                <w:rFonts w:ascii="Arial" w:cs="Arial" w:eastAsia="Arial" w:hAnsi="Arial"/>
                <w:sz w:val="16"/>
                <w:szCs w:val="16"/>
                <w:color w:val="auto"/>
              </w:rPr>
              <w:t>6.7%</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24"/>
                <w:szCs w:val="24"/>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220" w:type="dxa"/>
            <w:vAlign w:val="bottom"/>
            <w:tcBorders>
              <w:right w:val="single" w:sz="8" w:color="auto"/>
            </w:tcBorders>
          </w:tcPr>
          <w:p>
            <w:pPr>
              <w:ind w:left="680"/>
              <w:spacing w:after="0"/>
              <w:rPr>
                <w:sz w:val="20"/>
                <w:szCs w:val="20"/>
                <w:color w:val="auto"/>
              </w:rPr>
            </w:pPr>
            <w:r>
              <w:rPr>
                <w:rFonts w:ascii="Arial" w:cs="Arial" w:eastAsia="Arial" w:hAnsi="Arial"/>
                <w:sz w:val="16"/>
                <w:szCs w:val="16"/>
                <w:color w:val="auto"/>
              </w:rPr>
              <w:t>Contracted</w:t>
            </w:r>
          </w:p>
        </w:tc>
        <w:tc>
          <w:tcPr>
            <w:tcW w:w="124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b w:val="1"/>
                <w:bCs w:val="1"/>
                <w:color w:val="00497F"/>
              </w:rPr>
              <w:t>17,600</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14,500</w:t>
            </w:r>
          </w:p>
        </w:tc>
        <w:tc>
          <w:tcPr>
            <w:tcW w:w="100" w:type="dxa"/>
            <w:vAlign w:val="bottom"/>
          </w:tcPr>
          <w:p>
            <w:pPr>
              <w:spacing w:after="0"/>
              <w:rPr>
                <w:sz w:val="23"/>
                <w:szCs w:val="23"/>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3,100</w:t>
            </w:r>
          </w:p>
        </w:tc>
        <w:tc>
          <w:tcPr>
            <w:tcW w:w="840" w:type="dxa"/>
            <w:vAlign w:val="bottom"/>
          </w:tcPr>
          <w:p>
            <w:pPr>
              <w:jc w:val="right"/>
              <w:spacing w:after="0"/>
              <w:rPr>
                <w:sz w:val="20"/>
                <w:szCs w:val="20"/>
                <w:color w:val="auto"/>
              </w:rPr>
            </w:pPr>
            <w:r>
              <w:rPr>
                <w:rFonts w:ascii="Arial" w:cs="Arial" w:eastAsia="Arial" w:hAnsi="Arial"/>
                <w:sz w:val="16"/>
                <w:szCs w:val="16"/>
                <w:color w:val="auto"/>
              </w:rPr>
              <w:t>21.4%</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2,600</w:t>
            </w:r>
          </w:p>
        </w:tc>
        <w:tc>
          <w:tcPr>
            <w:tcW w:w="82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83"/>
        </w:trPr>
        <w:tc>
          <w:tcPr>
            <w:tcW w:w="32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Path to Risk (I)</w:t>
            </w:r>
          </w:p>
        </w:tc>
        <w:tc>
          <w:tcPr>
            <w:tcW w:w="124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00497F"/>
              </w:rPr>
              <w:t>39,300</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36,100</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3,200</w:t>
            </w:r>
          </w:p>
        </w:tc>
        <w:tc>
          <w:tcPr>
            <w:tcW w:w="840" w:type="dxa"/>
            <w:vAlign w:val="bottom"/>
          </w:tcPr>
          <w:p>
            <w:pPr>
              <w:jc w:val="right"/>
              <w:spacing w:after="0"/>
              <w:rPr>
                <w:sz w:val="20"/>
                <w:szCs w:val="20"/>
                <w:color w:val="auto"/>
              </w:rPr>
            </w:pPr>
            <w:r>
              <w:rPr>
                <w:rFonts w:ascii="Arial" w:cs="Arial" w:eastAsia="Arial" w:hAnsi="Arial"/>
                <w:sz w:val="16"/>
                <w:szCs w:val="16"/>
                <w:color w:val="auto"/>
              </w:rPr>
              <w:t>8.9%</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36,800</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2,500</w:t>
            </w:r>
          </w:p>
        </w:tc>
        <w:tc>
          <w:tcPr>
            <w:tcW w:w="8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50"/>
        </w:trPr>
        <w:tc>
          <w:tcPr>
            <w:tcW w:w="3220" w:type="dxa"/>
            <w:vAlign w:val="bottom"/>
            <w:tcBorders>
              <w:right w:val="single" w:sz="8" w:color="auto"/>
            </w:tcBorders>
          </w:tcPr>
          <w:p>
            <w:pPr>
              <w:ind w:left="680"/>
              <w:spacing w:after="0"/>
              <w:rPr>
                <w:sz w:val="20"/>
                <w:szCs w:val="20"/>
                <w:color w:val="auto"/>
              </w:rPr>
            </w:pPr>
            <w:r>
              <w:rPr>
                <w:rFonts w:ascii="Arial" w:cs="Arial" w:eastAsia="Arial" w:hAnsi="Arial"/>
                <w:sz w:val="16"/>
                <w:szCs w:val="16"/>
                <w:b w:val="1"/>
                <w:bCs w:val="1"/>
                <w:color w:val="auto"/>
              </w:rPr>
              <w:t>Total Value-based</w:t>
            </w:r>
          </w:p>
        </w:tc>
        <w:tc>
          <w:tcPr>
            <w:tcW w:w="124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b w:val="1"/>
                <w:bCs w:val="1"/>
                <w:color w:val="00497F"/>
              </w:rPr>
              <w:t>58,500</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52,100</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6,400</w:t>
            </w:r>
          </w:p>
        </w:tc>
        <w:tc>
          <w:tcPr>
            <w:tcW w:w="840" w:type="dxa"/>
            <w:vAlign w:val="bottom"/>
          </w:tcPr>
          <w:p>
            <w:pPr>
              <w:jc w:val="right"/>
              <w:spacing w:after="0"/>
              <w:rPr>
                <w:sz w:val="20"/>
                <w:szCs w:val="20"/>
                <w:color w:val="auto"/>
              </w:rPr>
            </w:pPr>
            <w:r>
              <w:rPr>
                <w:rFonts w:ascii="Arial" w:cs="Arial" w:eastAsia="Arial" w:hAnsi="Arial"/>
                <w:sz w:val="16"/>
                <w:szCs w:val="16"/>
                <w:color w:val="auto"/>
              </w:rPr>
              <w:t>12.3%</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53,400</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5,100</w:t>
            </w:r>
          </w:p>
        </w:tc>
        <w:tc>
          <w:tcPr>
            <w:tcW w:w="82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0"/>
        </w:trPr>
        <w:tc>
          <w:tcPr>
            <w:tcW w:w="32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Care Management Statistics:</w:t>
            </w:r>
          </w:p>
        </w:tc>
        <w:tc>
          <w:tcPr>
            <w:tcW w:w="124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2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Members enrolled in a Humana chronic</w:t>
            </w:r>
          </w:p>
        </w:tc>
        <w:tc>
          <w:tcPr>
            <w:tcW w:w="1240" w:type="dxa"/>
            <w:vAlign w:val="bottom"/>
            <w:tcBorders>
              <w:right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00497F"/>
              </w:rPr>
              <w:t>853,600</w:t>
            </w: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2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care management program (L)</w:t>
            </w:r>
          </w:p>
        </w:tc>
        <w:tc>
          <w:tcPr>
            <w:tcW w:w="1240" w:type="dxa"/>
            <w:vAlign w:val="bottom"/>
            <w:tcBorders>
              <w:right w:val="single" w:sz="8" w:color="auto"/>
            </w:tcBorders>
            <w:vMerge w:val="continue"/>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752,700</w:t>
            </w:r>
          </w:p>
        </w:tc>
        <w:tc>
          <w:tcPr>
            <w:tcW w:w="100" w:type="dxa"/>
            <w:vAlign w:val="bottom"/>
          </w:tcPr>
          <w:p>
            <w:pPr>
              <w:spacing w:after="0"/>
              <w:rPr>
                <w:sz w:val="16"/>
                <w:szCs w:val="16"/>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100,900</w:t>
            </w:r>
          </w:p>
        </w:tc>
        <w:tc>
          <w:tcPr>
            <w:tcW w:w="840" w:type="dxa"/>
            <w:vAlign w:val="bottom"/>
          </w:tcPr>
          <w:p>
            <w:pPr>
              <w:jc w:val="right"/>
              <w:spacing w:after="0"/>
              <w:rPr>
                <w:sz w:val="20"/>
                <w:szCs w:val="20"/>
                <w:color w:val="auto"/>
              </w:rPr>
            </w:pPr>
            <w:r>
              <w:rPr>
                <w:rFonts w:ascii="Arial" w:cs="Arial" w:eastAsia="Arial" w:hAnsi="Arial"/>
                <w:sz w:val="16"/>
                <w:szCs w:val="16"/>
                <w:color w:val="auto"/>
              </w:rPr>
              <w:t>13.4%</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716,000</w:t>
            </w:r>
          </w:p>
        </w:tc>
        <w:tc>
          <w:tcPr>
            <w:tcW w:w="10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137,600</w:t>
            </w:r>
          </w:p>
        </w:tc>
        <w:tc>
          <w:tcPr>
            <w:tcW w:w="82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38"/>
        </w:trPr>
        <w:tc>
          <w:tcPr>
            <w:tcW w:w="32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Number of high-risk discharges</w:t>
            </w:r>
          </w:p>
        </w:tc>
        <w:tc>
          <w:tcPr>
            <w:tcW w:w="124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2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enrolled in a post-discharge care</w:t>
            </w:r>
          </w:p>
        </w:tc>
        <w:tc>
          <w:tcPr>
            <w:tcW w:w="1240" w:type="dxa"/>
            <w:vAlign w:val="bottom"/>
            <w:tcBorders>
              <w:right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00497F"/>
              </w:rPr>
              <w:t>72,300</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management program (M)</w:t>
            </w:r>
          </w:p>
        </w:tc>
        <w:tc>
          <w:tcPr>
            <w:tcW w:w="1240" w:type="dxa"/>
            <w:vAlign w:val="bottom"/>
            <w:tcBorders>
              <w:bottom w:val="single" w:sz="8" w:color="auto"/>
              <w:right w:val="single" w:sz="8" w:color="auto"/>
            </w:tcBorders>
            <w:vMerge w:val="continue"/>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69,500</w:t>
            </w:r>
          </w:p>
        </w:tc>
        <w:tc>
          <w:tcPr>
            <w:tcW w:w="10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2,800</w:t>
            </w: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64,000</w:t>
            </w:r>
          </w:p>
        </w:tc>
        <w:tc>
          <w:tcPr>
            <w:tcW w:w="10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8,300</w:t>
            </w:r>
          </w:p>
        </w:tc>
        <w:tc>
          <w:tcPr>
            <w:tcW w:w="82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S-15</w:t>
      </w:r>
    </w:p>
    <w:p>
      <w:pPr>
        <w:sectPr>
          <w:pgSz w:w="11900" w:h="16838" w:orient="portrait"/>
          <w:cols w:equalWidth="0" w:num="1">
            <w:col w:w="11380"/>
          </w:cols>
          <w:pgMar w:left="240" w:top="614" w:right="279" w:bottom="1440" w:gutter="0" w:footer="0" w:header="0"/>
        </w:sectPr>
      </w:pPr>
    </w:p>
    <w:bookmarkStart w:id="48" w:name="page49"/>
    <w:bookmarkEnd w:id="48"/>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Healthcare Services Segment Metrics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Script volume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92075</wp:posOffset>
            </wp:positionV>
            <wp:extent cx="2769870" cy="31216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69870" cy="3121660"/>
                    </a:xfrm>
                    <a:prstGeom prst="rect">
                      <a:avLst/>
                    </a:prstGeom>
                    <a:noFill/>
                  </pic:spPr>
                </pic:pic>
              </a:graphicData>
            </a:graphic>
          </wp:anchor>
        </w:drawing>
      </w:r>
    </w:p>
    <w:p>
      <w:pPr>
        <w:sectPr>
          <w:pgSz w:w="11900" w:h="16838" w:orient="portrait"/>
          <w:cols w:equalWidth="0" w:num="1">
            <w:col w:w="11480"/>
          </w:cols>
          <w:pgMar w:left="240" w:top="614" w:right="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Pharmacy:</w:t>
      </w:r>
    </w:p>
    <w:p>
      <w:pPr>
        <w:spacing w:after="0" w:line="81" w:lineRule="exact"/>
        <w:rPr>
          <w:sz w:val="20"/>
          <w:szCs w:val="20"/>
          <w:color w:val="auto"/>
        </w:rPr>
      </w:pPr>
    </w:p>
    <w:p>
      <w:pPr>
        <w:ind w:left="180" w:right="260"/>
        <w:spacing w:after="0" w:line="266" w:lineRule="auto"/>
        <w:rPr>
          <w:sz w:val="20"/>
          <w:szCs w:val="20"/>
          <w:color w:val="auto"/>
        </w:rPr>
      </w:pPr>
      <w:r>
        <w:rPr>
          <w:rFonts w:ascii="Arial" w:cs="Arial" w:eastAsia="Arial" w:hAnsi="Arial"/>
          <w:sz w:val="16"/>
          <w:szCs w:val="16"/>
          <w:b w:val="1"/>
          <w:bCs w:val="1"/>
          <w:color w:val="auto"/>
        </w:rPr>
        <w:t>Generic Dispense Rate</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Retail</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Group</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and</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Specialty</w:t>
      </w:r>
    </w:p>
    <w:p>
      <w:pPr>
        <w:spacing w:after="0" w:line="39" w:lineRule="exact"/>
        <w:rPr>
          <w:sz w:val="20"/>
          <w:szCs w:val="20"/>
          <w:color w:val="auto"/>
        </w:rPr>
      </w:pPr>
    </w:p>
    <w:p>
      <w:pPr>
        <w:ind w:left="180" w:right="100"/>
        <w:spacing w:after="0" w:line="314" w:lineRule="auto"/>
        <w:rPr>
          <w:sz w:val="20"/>
          <w:szCs w:val="20"/>
          <w:color w:val="auto"/>
        </w:rPr>
      </w:pPr>
      <w:r>
        <w:rPr>
          <w:rFonts w:ascii="Arial" w:cs="Arial" w:eastAsia="Arial" w:hAnsi="Arial"/>
          <w:sz w:val="15"/>
          <w:szCs w:val="15"/>
          <w:b w:val="1"/>
          <w:bCs w:val="1"/>
          <w:color w:val="auto"/>
        </w:rPr>
        <w:t>Mail-Order Penetration</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Retail</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Group</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and</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Specialty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60"/>
        <w:spacing w:after="0" w:line="286" w:lineRule="auto"/>
        <w:rPr>
          <w:sz w:val="20"/>
          <w:szCs w:val="20"/>
          <w:color w:val="auto"/>
        </w:rPr>
      </w:pPr>
      <w:r>
        <w:rPr>
          <w:rFonts w:ascii="Arial" w:cs="Arial" w:eastAsia="Arial" w:hAnsi="Arial"/>
          <w:sz w:val="16"/>
          <w:szCs w:val="16"/>
          <w:b w:val="1"/>
          <w:bCs w:val="1"/>
          <w:color w:val="auto"/>
        </w:rPr>
        <w:t>Script volume (N)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200" w:type="dxa"/>
            <w:vAlign w:val="bottom"/>
            <w:vMerge w:val="restart"/>
          </w:tcPr>
          <w:p>
            <w:pPr>
              <w:jc w:val="center"/>
              <w:spacing w:after="0"/>
              <w:rPr>
                <w:sz w:val="20"/>
                <w:szCs w:val="20"/>
                <w:color w:val="auto"/>
              </w:rPr>
            </w:pPr>
            <w:r>
              <w:rPr>
                <w:rFonts w:ascii="Arial" w:cs="Arial" w:eastAsia="Arial" w:hAnsi="Arial"/>
                <w:sz w:val="16"/>
                <w:szCs w:val="16"/>
                <w:b w:val="1"/>
                <w:bCs w:val="1"/>
                <w:color w:val="366092"/>
              </w:rPr>
              <w:t>For the three months ended</w:t>
            </w:r>
          </w:p>
        </w:tc>
        <w:tc>
          <w:tcPr>
            <w:tcW w:w="2220" w:type="dxa"/>
            <w:vAlign w:val="bottom"/>
          </w:tcPr>
          <w:p>
            <w:pPr>
              <w:spacing w:after="0"/>
              <w:rPr>
                <w:sz w:val="16"/>
                <w:szCs w:val="16"/>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6"/>
                <w:szCs w:val="16"/>
                <w:color w:val="auto"/>
              </w:rPr>
              <w:t>Year-over-</w:t>
            </w: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00" w:type="dxa"/>
            <w:vAlign w:val="bottom"/>
            <w:vMerge w:val="continue"/>
          </w:tcPr>
          <w:p>
            <w:pPr>
              <w:spacing w:after="0"/>
              <w:rPr>
                <w:sz w:val="14"/>
                <w:szCs w:val="14"/>
                <w:color w:val="auto"/>
              </w:rPr>
            </w:pPr>
          </w:p>
        </w:tc>
        <w:tc>
          <w:tcPr>
            <w:tcW w:w="2220" w:type="dxa"/>
            <w:vAlign w:val="bottom"/>
          </w:tcPr>
          <w:p>
            <w:pPr>
              <w:jc w:val="center"/>
              <w:ind w:right="19"/>
              <w:spacing w:after="0" w:line="169" w:lineRule="exact"/>
              <w:rPr>
                <w:sz w:val="20"/>
                <w:szCs w:val="20"/>
                <w:color w:val="auto"/>
              </w:rPr>
            </w:pPr>
            <w:r>
              <w:rPr>
                <w:rFonts w:ascii="Arial" w:cs="Arial" w:eastAsia="Arial" w:hAnsi="Arial"/>
                <w:sz w:val="16"/>
                <w:szCs w:val="16"/>
                <w:color w:val="auto"/>
              </w:rPr>
              <w:t>For the three months ended</w:t>
            </w:r>
          </w:p>
        </w:tc>
        <w:tc>
          <w:tcPr>
            <w:tcW w:w="1780" w:type="dxa"/>
            <w:vAlign w:val="bottom"/>
            <w:gridSpan w:val="2"/>
          </w:tcPr>
          <w:p>
            <w:pPr>
              <w:jc w:val="center"/>
              <w:ind w:right="940"/>
              <w:spacing w:after="0" w:line="169" w:lineRule="exact"/>
              <w:rPr>
                <w:sz w:val="20"/>
                <w:szCs w:val="20"/>
                <w:color w:val="auto"/>
              </w:rPr>
            </w:pPr>
            <w:r>
              <w:rPr>
                <w:rFonts w:ascii="Arial" w:cs="Arial" w:eastAsia="Arial" w:hAnsi="Arial"/>
                <w:sz w:val="16"/>
                <w:szCs w:val="16"/>
                <w:color w:val="auto"/>
                <w:w w:val="94"/>
              </w:rPr>
              <w:t>Year</w:t>
            </w:r>
          </w:p>
        </w:tc>
        <w:tc>
          <w:tcPr>
            <w:tcW w:w="224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For the three months ended</w:t>
            </w:r>
          </w:p>
        </w:tc>
        <w:tc>
          <w:tcPr>
            <w:tcW w:w="840" w:type="dxa"/>
            <w:vAlign w:val="bottom"/>
          </w:tcPr>
          <w:p>
            <w:pPr>
              <w:ind w:left="40"/>
              <w:spacing w:after="0" w:line="169" w:lineRule="exact"/>
              <w:rPr>
                <w:sz w:val="20"/>
                <w:szCs w:val="20"/>
                <w:color w:val="auto"/>
              </w:rPr>
            </w:pPr>
            <w:r>
              <w:rPr>
                <w:rFonts w:ascii="Arial" w:cs="Arial" w:eastAsia="Arial" w:hAnsi="Arial"/>
                <w:sz w:val="16"/>
                <w:szCs w:val="16"/>
                <w:color w:val="auto"/>
              </w:rPr>
              <w:t>Sequential</w:t>
            </w:r>
          </w:p>
        </w:tc>
        <w:tc>
          <w:tcPr>
            <w:tcW w:w="0" w:type="dxa"/>
            <w:vAlign w:val="bottom"/>
          </w:tcPr>
          <w:p>
            <w:pPr>
              <w:spacing w:after="0"/>
              <w:rPr>
                <w:sz w:val="1"/>
                <w:szCs w:val="1"/>
                <w:color w:val="auto"/>
              </w:rPr>
            </w:pPr>
          </w:p>
        </w:tc>
      </w:tr>
      <w:tr>
        <w:trPr>
          <w:trHeight w:val="228"/>
        </w:trPr>
        <w:tc>
          <w:tcPr>
            <w:tcW w:w="2200" w:type="dxa"/>
            <w:vAlign w:val="bottom"/>
          </w:tcPr>
          <w:p>
            <w:pPr>
              <w:jc w:val="center"/>
              <w:spacing w:after="0"/>
              <w:rPr>
                <w:sz w:val="20"/>
                <w:szCs w:val="20"/>
                <w:color w:val="auto"/>
              </w:rPr>
            </w:pPr>
            <w:r>
              <w:rPr>
                <w:rFonts w:ascii="Arial" w:cs="Arial" w:eastAsia="Arial" w:hAnsi="Arial"/>
                <w:sz w:val="16"/>
                <w:szCs w:val="16"/>
                <w:b w:val="1"/>
                <w:bCs w:val="1"/>
                <w:color w:val="366092"/>
              </w:rPr>
              <w:t>June 30, 2019</w:t>
            </w:r>
          </w:p>
        </w:tc>
        <w:tc>
          <w:tcPr>
            <w:tcW w:w="2220" w:type="dxa"/>
            <w:vAlign w:val="bottom"/>
          </w:tcPr>
          <w:p>
            <w:pPr>
              <w:jc w:val="center"/>
              <w:ind w:right="39"/>
              <w:spacing w:after="0"/>
              <w:rPr>
                <w:sz w:val="20"/>
                <w:szCs w:val="20"/>
                <w:color w:val="auto"/>
              </w:rPr>
            </w:pPr>
            <w:r>
              <w:rPr>
                <w:rFonts w:ascii="Arial" w:cs="Arial" w:eastAsia="Arial" w:hAnsi="Arial"/>
                <w:sz w:val="16"/>
                <w:szCs w:val="16"/>
                <w:color w:val="auto"/>
              </w:rPr>
              <w:t>June 30, 2018</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Difference</w:t>
            </w:r>
          </w:p>
        </w:tc>
        <w:tc>
          <w:tcPr>
            <w:tcW w:w="94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March 31, 2019</w:t>
            </w:r>
          </w:p>
        </w:tc>
        <w:tc>
          <w:tcPr>
            <w:tcW w:w="120" w:type="dxa"/>
            <w:vAlign w:val="bottom"/>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Difference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420" w:type="dxa"/>
        <w:tblCellMar>
          <w:top w:w="0" w:type="dxa"/>
          <w:left w:w="0" w:type="dxa"/>
          <w:bottom w:w="0" w:type="dxa"/>
          <w:right w:w="0" w:type="dxa"/>
        </w:tblCellMar>
      </w:tblPr>
      <w:tr>
        <w:trPr>
          <w:trHeight w:val="215"/>
        </w:trPr>
        <w:tc>
          <w:tcPr>
            <w:tcW w:w="1420" w:type="dxa"/>
            <w:vAlign w:val="bottom"/>
          </w:tcPr>
          <w:p>
            <w:pPr>
              <w:jc w:val="right"/>
              <w:ind w:right="599"/>
              <w:spacing w:after="0"/>
              <w:rPr>
                <w:sz w:val="20"/>
                <w:szCs w:val="20"/>
                <w:color w:val="auto"/>
              </w:rPr>
            </w:pPr>
            <w:r>
              <w:rPr>
                <w:rFonts w:ascii="Arial" w:cs="Arial" w:eastAsia="Arial" w:hAnsi="Arial"/>
                <w:sz w:val="16"/>
                <w:szCs w:val="16"/>
                <w:b w:val="1"/>
                <w:bCs w:val="1"/>
                <w:color w:val="00497F"/>
              </w:rPr>
              <w:t>91.7%</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91.6%</w:t>
            </w:r>
          </w:p>
        </w:tc>
        <w:tc>
          <w:tcPr>
            <w:tcW w:w="860" w:type="dxa"/>
            <w:vAlign w:val="bottom"/>
          </w:tcPr>
          <w:p>
            <w:pPr>
              <w:jc w:val="right"/>
              <w:spacing w:after="0"/>
              <w:rPr>
                <w:sz w:val="20"/>
                <w:szCs w:val="20"/>
                <w:color w:val="auto"/>
              </w:rPr>
            </w:pPr>
            <w:r>
              <w:rPr>
                <w:rFonts w:ascii="Arial" w:cs="Arial" w:eastAsia="Arial" w:hAnsi="Arial"/>
                <w:sz w:val="16"/>
                <w:szCs w:val="16"/>
                <w:color w:val="auto"/>
              </w:rPr>
              <w:t>0.1 %</w:t>
            </w:r>
          </w:p>
        </w:tc>
        <w:tc>
          <w:tcPr>
            <w:tcW w:w="920" w:type="dxa"/>
            <w:vAlign w:val="bottom"/>
          </w:tcPr>
          <w:p>
            <w:pPr>
              <w:spacing w:after="0"/>
              <w:rPr>
                <w:sz w:val="18"/>
                <w:szCs w:val="18"/>
                <w:color w:val="auto"/>
              </w:rPr>
            </w:pPr>
          </w:p>
        </w:tc>
        <w:tc>
          <w:tcPr>
            <w:tcW w:w="2240" w:type="dxa"/>
            <w:vAlign w:val="bottom"/>
          </w:tcPr>
          <w:p>
            <w:pPr>
              <w:jc w:val="right"/>
              <w:ind w:right="59"/>
              <w:spacing w:after="0"/>
              <w:rPr>
                <w:sz w:val="20"/>
                <w:szCs w:val="20"/>
                <w:color w:val="auto"/>
              </w:rPr>
            </w:pPr>
            <w:r>
              <w:rPr>
                <w:rFonts w:ascii="Arial" w:cs="Arial" w:eastAsia="Arial" w:hAnsi="Arial"/>
                <w:sz w:val="16"/>
                <w:szCs w:val="16"/>
                <w:color w:val="auto"/>
              </w:rPr>
              <w:t>91.8%</w:t>
            </w:r>
          </w:p>
        </w:tc>
        <w:tc>
          <w:tcPr>
            <w:tcW w:w="860" w:type="dxa"/>
            <w:vAlign w:val="bottom"/>
          </w:tcPr>
          <w:p>
            <w:pPr>
              <w:jc w:val="right"/>
              <w:spacing w:after="0"/>
              <w:rPr>
                <w:sz w:val="20"/>
                <w:szCs w:val="20"/>
                <w:color w:val="auto"/>
              </w:rPr>
            </w:pPr>
            <w:r>
              <w:rPr>
                <w:rFonts w:ascii="Arial" w:cs="Arial" w:eastAsia="Arial" w:hAnsi="Arial"/>
                <w:sz w:val="16"/>
                <w:szCs w:val="16"/>
                <w:color w:val="auto"/>
              </w:rPr>
              <w:t>-0.1 %</w:t>
            </w:r>
          </w:p>
        </w:tc>
        <w:tc>
          <w:tcPr>
            <w:tcW w:w="940" w:type="dxa"/>
            <w:vAlign w:val="bottom"/>
          </w:tcPr>
          <w:p>
            <w:pPr>
              <w:spacing w:after="0"/>
              <w:rPr>
                <w:sz w:val="18"/>
                <w:szCs w:val="18"/>
                <w:color w:val="auto"/>
              </w:rPr>
            </w:pPr>
          </w:p>
        </w:tc>
      </w:tr>
      <w:tr>
        <w:trPr>
          <w:trHeight w:val="621"/>
        </w:trPr>
        <w:tc>
          <w:tcPr>
            <w:tcW w:w="1420" w:type="dxa"/>
            <w:vAlign w:val="bottom"/>
          </w:tcPr>
          <w:p>
            <w:pPr>
              <w:jc w:val="right"/>
              <w:ind w:right="599"/>
              <w:spacing w:after="0"/>
              <w:rPr>
                <w:sz w:val="20"/>
                <w:szCs w:val="20"/>
                <w:color w:val="auto"/>
              </w:rPr>
            </w:pPr>
            <w:r>
              <w:rPr>
                <w:rFonts w:ascii="Arial" w:cs="Arial" w:eastAsia="Arial" w:hAnsi="Arial"/>
                <w:sz w:val="16"/>
                <w:szCs w:val="16"/>
                <w:b w:val="1"/>
                <w:bCs w:val="1"/>
                <w:color w:val="00497F"/>
              </w:rPr>
              <w:t>87.4%</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87.0%</w:t>
            </w:r>
          </w:p>
        </w:tc>
        <w:tc>
          <w:tcPr>
            <w:tcW w:w="860" w:type="dxa"/>
            <w:vAlign w:val="bottom"/>
          </w:tcPr>
          <w:p>
            <w:pPr>
              <w:jc w:val="right"/>
              <w:spacing w:after="0"/>
              <w:rPr>
                <w:sz w:val="20"/>
                <w:szCs w:val="20"/>
                <w:color w:val="auto"/>
              </w:rPr>
            </w:pPr>
            <w:r>
              <w:rPr>
                <w:rFonts w:ascii="Arial" w:cs="Arial" w:eastAsia="Arial" w:hAnsi="Arial"/>
                <w:sz w:val="16"/>
                <w:szCs w:val="16"/>
                <w:color w:val="auto"/>
              </w:rPr>
              <w:t>0.4 %</w:t>
            </w:r>
          </w:p>
        </w:tc>
        <w:tc>
          <w:tcPr>
            <w:tcW w:w="920" w:type="dxa"/>
            <w:vAlign w:val="bottom"/>
          </w:tcPr>
          <w:p>
            <w:pPr>
              <w:spacing w:after="0"/>
              <w:rPr>
                <w:sz w:val="24"/>
                <w:szCs w:val="24"/>
                <w:color w:val="auto"/>
              </w:rPr>
            </w:pPr>
          </w:p>
        </w:tc>
        <w:tc>
          <w:tcPr>
            <w:tcW w:w="2240" w:type="dxa"/>
            <w:vAlign w:val="bottom"/>
          </w:tcPr>
          <w:p>
            <w:pPr>
              <w:jc w:val="right"/>
              <w:ind w:right="59"/>
              <w:spacing w:after="0"/>
              <w:rPr>
                <w:sz w:val="20"/>
                <w:szCs w:val="20"/>
                <w:color w:val="auto"/>
              </w:rPr>
            </w:pPr>
            <w:r>
              <w:rPr>
                <w:rFonts w:ascii="Arial" w:cs="Arial" w:eastAsia="Arial" w:hAnsi="Arial"/>
                <w:sz w:val="16"/>
                <w:szCs w:val="16"/>
                <w:color w:val="auto"/>
              </w:rPr>
              <w:t>87.5%</w:t>
            </w:r>
          </w:p>
        </w:tc>
        <w:tc>
          <w:tcPr>
            <w:tcW w:w="860" w:type="dxa"/>
            <w:vAlign w:val="bottom"/>
          </w:tcPr>
          <w:p>
            <w:pPr>
              <w:jc w:val="right"/>
              <w:spacing w:after="0"/>
              <w:rPr>
                <w:sz w:val="20"/>
                <w:szCs w:val="20"/>
                <w:color w:val="auto"/>
              </w:rPr>
            </w:pPr>
            <w:r>
              <w:rPr>
                <w:rFonts w:ascii="Arial" w:cs="Arial" w:eastAsia="Arial" w:hAnsi="Arial"/>
                <w:sz w:val="16"/>
                <w:szCs w:val="16"/>
                <w:color w:val="auto"/>
              </w:rPr>
              <w:t>-0.1 %</w:t>
            </w:r>
          </w:p>
        </w:tc>
        <w:tc>
          <w:tcPr>
            <w:tcW w:w="940" w:type="dxa"/>
            <w:vAlign w:val="bottom"/>
          </w:tcPr>
          <w:p>
            <w:pPr>
              <w:spacing w:after="0"/>
              <w:rPr>
                <w:sz w:val="24"/>
                <w:szCs w:val="24"/>
                <w:color w:val="auto"/>
              </w:rPr>
            </w:pPr>
          </w:p>
        </w:tc>
      </w:tr>
      <w:tr>
        <w:trPr>
          <w:trHeight w:val="702"/>
        </w:trPr>
        <w:tc>
          <w:tcPr>
            <w:tcW w:w="1420" w:type="dxa"/>
            <w:vAlign w:val="bottom"/>
          </w:tcPr>
          <w:p>
            <w:pPr>
              <w:jc w:val="right"/>
              <w:ind w:right="599"/>
              <w:spacing w:after="0"/>
              <w:rPr>
                <w:sz w:val="20"/>
                <w:szCs w:val="20"/>
                <w:color w:val="auto"/>
              </w:rPr>
            </w:pPr>
            <w:r>
              <w:rPr>
                <w:rFonts w:ascii="Arial" w:cs="Arial" w:eastAsia="Arial" w:hAnsi="Arial"/>
                <w:sz w:val="16"/>
                <w:szCs w:val="16"/>
                <w:b w:val="1"/>
                <w:bCs w:val="1"/>
                <w:color w:val="00497F"/>
              </w:rPr>
              <w:t>28.6%</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29.6%</w:t>
            </w:r>
          </w:p>
        </w:tc>
        <w:tc>
          <w:tcPr>
            <w:tcW w:w="860" w:type="dxa"/>
            <w:vAlign w:val="bottom"/>
          </w:tcPr>
          <w:p>
            <w:pPr>
              <w:jc w:val="right"/>
              <w:spacing w:after="0"/>
              <w:rPr>
                <w:sz w:val="20"/>
                <w:szCs w:val="20"/>
                <w:color w:val="auto"/>
              </w:rPr>
            </w:pPr>
            <w:r>
              <w:rPr>
                <w:rFonts w:ascii="Arial" w:cs="Arial" w:eastAsia="Arial" w:hAnsi="Arial"/>
                <w:sz w:val="16"/>
                <w:szCs w:val="16"/>
                <w:color w:val="auto"/>
              </w:rPr>
              <w:t>-1.0 %</w:t>
            </w:r>
          </w:p>
        </w:tc>
        <w:tc>
          <w:tcPr>
            <w:tcW w:w="920" w:type="dxa"/>
            <w:vAlign w:val="bottom"/>
          </w:tcPr>
          <w:p>
            <w:pPr>
              <w:spacing w:after="0"/>
              <w:rPr>
                <w:sz w:val="24"/>
                <w:szCs w:val="24"/>
                <w:color w:val="auto"/>
              </w:rPr>
            </w:pPr>
          </w:p>
        </w:tc>
        <w:tc>
          <w:tcPr>
            <w:tcW w:w="2240" w:type="dxa"/>
            <w:vAlign w:val="bottom"/>
          </w:tcPr>
          <w:p>
            <w:pPr>
              <w:jc w:val="right"/>
              <w:ind w:right="59"/>
              <w:spacing w:after="0"/>
              <w:rPr>
                <w:sz w:val="20"/>
                <w:szCs w:val="20"/>
                <w:color w:val="auto"/>
              </w:rPr>
            </w:pPr>
            <w:r>
              <w:rPr>
                <w:rFonts w:ascii="Arial" w:cs="Arial" w:eastAsia="Arial" w:hAnsi="Arial"/>
                <w:sz w:val="16"/>
                <w:szCs w:val="16"/>
                <w:color w:val="auto"/>
              </w:rPr>
              <w:t>28.5%</w:t>
            </w:r>
          </w:p>
        </w:tc>
        <w:tc>
          <w:tcPr>
            <w:tcW w:w="860" w:type="dxa"/>
            <w:vAlign w:val="bottom"/>
          </w:tcPr>
          <w:p>
            <w:pPr>
              <w:jc w:val="right"/>
              <w:spacing w:after="0"/>
              <w:rPr>
                <w:sz w:val="20"/>
                <w:szCs w:val="20"/>
                <w:color w:val="auto"/>
              </w:rPr>
            </w:pPr>
            <w:r>
              <w:rPr>
                <w:rFonts w:ascii="Arial" w:cs="Arial" w:eastAsia="Arial" w:hAnsi="Arial"/>
                <w:sz w:val="16"/>
                <w:szCs w:val="16"/>
                <w:color w:val="auto"/>
              </w:rPr>
              <w:t>0.1 %</w:t>
            </w:r>
          </w:p>
        </w:tc>
        <w:tc>
          <w:tcPr>
            <w:tcW w:w="940" w:type="dxa"/>
            <w:vAlign w:val="bottom"/>
          </w:tcPr>
          <w:p>
            <w:pPr>
              <w:spacing w:after="0"/>
              <w:rPr>
                <w:sz w:val="24"/>
                <w:szCs w:val="24"/>
                <w:color w:val="auto"/>
              </w:rPr>
            </w:pPr>
          </w:p>
        </w:tc>
      </w:tr>
      <w:tr>
        <w:trPr>
          <w:trHeight w:val="621"/>
        </w:trPr>
        <w:tc>
          <w:tcPr>
            <w:tcW w:w="1420" w:type="dxa"/>
            <w:vAlign w:val="bottom"/>
          </w:tcPr>
          <w:p>
            <w:pPr>
              <w:jc w:val="right"/>
              <w:ind w:right="599"/>
              <w:spacing w:after="0"/>
              <w:rPr>
                <w:sz w:val="20"/>
                <w:szCs w:val="20"/>
                <w:color w:val="auto"/>
              </w:rPr>
            </w:pPr>
            <w:r>
              <w:rPr>
                <w:rFonts w:ascii="Arial" w:cs="Arial" w:eastAsia="Arial" w:hAnsi="Arial"/>
                <w:sz w:val="16"/>
                <w:szCs w:val="16"/>
                <w:b w:val="1"/>
                <w:bCs w:val="1"/>
                <w:color w:val="00497F"/>
              </w:rPr>
              <w:t>6.5%</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6.4%</w:t>
            </w:r>
          </w:p>
        </w:tc>
        <w:tc>
          <w:tcPr>
            <w:tcW w:w="860" w:type="dxa"/>
            <w:vAlign w:val="bottom"/>
          </w:tcPr>
          <w:p>
            <w:pPr>
              <w:jc w:val="right"/>
              <w:spacing w:after="0"/>
              <w:rPr>
                <w:sz w:val="20"/>
                <w:szCs w:val="20"/>
                <w:color w:val="auto"/>
              </w:rPr>
            </w:pPr>
            <w:r>
              <w:rPr>
                <w:rFonts w:ascii="Arial" w:cs="Arial" w:eastAsia="Arial" w:hAnsi="Arial"/>
                <w:sz w:val="16"/>
                <w:szCs w:val="16"/>
                <w:color w:val="auto"/>
              </w:rPr>
              <w:t>0.1 %</w:t>
            </w:r>
          </w:p>
        </w:tc>
        <w:tc>
          <w:tcPr>
            <w:tcW w:w="920" w:type="dxa"/>
            <w:vAlign w:val="bottom"/>
          </w:tcPr>
          <w:p>
            <w:pPr>
              <w:spacing w:after="0"/>
              <w:rPr>
                <w:sz w:val="24"/>
                <w:szCs w:val="24"/>
                <w:color w:val="auto"/>
              </w:rPr>
            </w:pPr>
          </w:p>
        </w:tc>
        <w:tc>
          <w:tcPr>
            <w:tcW w:w="2240" w:type="dxa"/>
            <w:vAlign w:val="bottom"/>
          </w:tcPr>
          <w:p>
            <w:pPr>
              <w:jc w:val="right"/>
              <w:ind w:right="59"/>
              <w:spacing w:after="0"/>
              <w:rPr>
                <w:sz w:val="20"/>
                <w:szCs w:val="20"/>
                <w:color w:val="auto"/>
              </w:rPr>
            </w:pPr>
            <w:r>
              <w:rPr>
                <w:rFonts w:ascii="Arial" w:cs="Arial" w:eastAsia="Arial" w:hAnsi="Arial"/>
                <w:sz w:val="16"/>
                <w:szCs w:val="16"/>
                <w:color w:val="auto"/>
              </w:rPr>
              <w:t>6.2%</w:t>
            </w:r>
          </w:p>
        </w:tc>
        <w:tc>
          <w:tcPr>
            <w:tcW w:w="860" w:type="dxa"/>
            <w:vAlign w:val="bottom"/>
          </w:tcPr>
          <w:p>
            <w:pPr>
              <w:jc w:val="right"/>
              <w:spacing w:after="0"/>
              <w:rPr>
                <w:sz w:val="20"/>
                <w:szCs w:val="20"/>
                <w:color w:val="auto"/>
              </w:rPr>
            </w:pPr>
            <w:r>
              <w:rPr>
                <w:rFonts w:ascii="Arial" w:cs="Arial" w:eastAsia="Arial" w:hAnsi="Arial"/>
                <w:sz w:val="16"/>
                <w:szCs w:val="16"/>
                <w:color w:val="auto"/>
              </w:rPr>
              <w:t>0.3 %</w:t>
            </w:r>
          </w:p>
        </w:tc>
        <w:tc>
          <w:tcPr>
            <w:tcW w:w="940" w:type="dxa"/>
            <w:vAlign w:val="bottom"/>
          </w:tcPr>
          <w:p>
            <w:pPr>
              <w:spacing w:after="0"/>
              <w:rPr>
                <w:sz w:val="24"/>
                <w:szCs w:val="24"/>
                <w:color w:val="auto"/>
              </w:rPr>
            </w:pPr>
          </w:p>
        </w:tc>
      </w:tr>
      <w:tr>
        <w:trPr>
          <w:trHeight w:val="535"/>
        </w:trPr>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Percentage</w:t>
            </w: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Percentage</w:t>
            </w:r>
          </w:p>
        </w:tc>
      </w:tr>
      <w:tr>
        <w:trPr>
          <w:trHeight w:val="208"/>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Difference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Change</w:t>
            </w:r>
          </w:p>
        </w:tc>
        <w:tc>
          <w:tcPr>
            <w:tcW w:w="2240" w:type="dxa"/>
            <w:vAlign w:val="bottom"/>
          </w:tcPr>
          <w:p>
            <w:pPr>
              <w:spacing w:after="0"/>
              <w:rPr>
                <w:sz w:val="18"/>
                <w:szCs w:val="18"/>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Difference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Change</w:t>
            </w:r>
          </w:p>
        </w:tc>
      </w:tr>
      <w:tr>
        <w:trPr>
          <w:trHeight w:val="399"/>
        </w:trPr>
        <w:tc>
          <w:tcPr>
            <w:tcW w:w="1420" w:type="dxa"/>
            <w:vAlign w:val="bottom"/>
          </w:tcPr>
          <w:p>
            <w:pPr>
              <w:jc w:val="right"/>
              <w:ind w:right="759"/>
              <w:spacing w:after="0"/>
              <w:rPr>
                <w:sz w:val="20"/>
                <w:szCs w:val="20"/>
                <w:color w:val="auto"/>
              </w:rPr>
            </w:pPr>
            <w:r>
              <w:rPr>
                <w:rFonts w:ascii="Arial" w:cs="Arial" w:eastAsia="Arial" w:hAnsi="Arial"/>
                <w:sz w:val="16"/>
                <w:szCs w:val="16"/>
                <w:b w:val="1"/>
                <w:bCs w:val="1"/>
                <w:color w:val="00497F"/>
                <w:w w:val="96"/>
              </w:rPr>
              <w:t>113,000</w:t>
            </w:r>
          </w:p>
        </w:tc>
        <w:tc>
          <w:tcPr>
            <w:tcW w:w="1580" w:type="dxa"/>
            <w:vAlign w:val="bottom"/>
          </w:tcPr>
          <w:p>
            <w:pPr>
              <w:jc w:val="right"/>
              <w:ind w:right="219"/>
              <w:spacing w:after="0"/>
              <w:rPr>
                <w:sz w:val="20"/>
                <w:szCs w:val="20"/>
                <w:color w:val="auto"/>
              </w:rPr>
            </w:pPr>
            <w:r>
              <w:rPr>
                <w:rFonts w:ascii="Arial" w:cs="Arial" w:eastAsia="Arial" w:hAnsi="Arial"/>
                <w:sz w:val="16"/>
                <w:szCs w:val="16"/>
                <w:color w:val="auto"/>
              </w:rPr>
              <w:t>110,100</w:t>
            </w:r>
          </w:p>
        </w:tc>
        <w:tc>
          <w:tcPr>
            <w:tcW w:w="860" w:type="dxa"/>
            <w:vAlign w:val="bottom"/>
          </w:tcPr>
          <w:p>
            <w:pPr>
              <w:jc w:val="right"/>
              <w:ind w:right="160"/>
              <w:spacing w:after="0"/>
              <w:rPr>
                <w:sz w:val="20"/>
                <w:szCs w:val="20"/>
                <w:color w:val="auto"/>
              </w:rPr>
            </w:pPr>
            <w:r>
              <w:rPr>
                <w:rFonts w:ascii="Arial" w:cs="Arial" w:eastAsia="Arial" w:hAnsi="Arial"/>
                <w:sz w:val="16"/>
                <w:szCs w:val="16"/>
                <w:color w:val="auto"/>
              </w:rPr>
              <w:t>2,900</w:t>
            </w: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2240" w:type="dxa"/>
            <w:vAlign w:val="bottom"/>
          </w:tcPr>
          <w:p>
            <w:pPr>
              <w:jc w:val="right"/>
              <w:ind w:right="199"/>
              <w:spacing w:after="0"/>
              <w:rPr>
                <w:sz w:val="20"/>
                <w:szCs w:val="20"/>
                <w:color w:val="auto"/>
              </w:rPr>
            </w:pPr>
            <w:r>
              <w:rPr>
                <w:rFonts w:ascii="Arial" w:cs="Arial" w:eastAsia="Arial" w:hAnsi="Arial"/>
                <w:sz w:val="16"/>
                <w:szCs w:val="16"/>
                <w:color w:val="auto"/>
              </w:rPr>
              <w:t>110,100</w:t>
            </w:r>
          </w:p>
        </w:tc>
        <w:tc>
          <w:tcPr>
            <w:tcW w:w="860" w:type="dxa"/>
            <w:vAlign w:val="bottom"/>
          </w:tcPr>
          <w:p>
            <w:pPr>
              <w:jc w:val="right"/>
              <w:ind w:right="160"/>
              <w:spacing w:after="0"/>
              <w:rPr>
                <w:sz w:val="20"/>
                <w:szCs w:val="20"/>
                <w:color w:val="auto"/>
              </w:rPr>
            </w:pPr>
            <w:r>
              <w:rPr>
                <w:rFonts w:ascii="Arial" w:cs="Arial" w:eastAsia="Arial" w:hAnsi="Arial"/>
                <w:sz w:val="16"/>
                <w:szCs w:val="16"/>
                <w:color w:val="auto"/>
              </w:rPr>
              <w:t>2,900</w:t>
            </w: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34" w:lineRule="exact"/>
        <w:rPr>
          <w:sz w:val="20"/>
          <w:szCs w:val="20"/>
          <w:color w:val="auto"/>
        </w:rPr>
      </w:pPr>
    </w:p>
    <w:p>
      <w:pPr>
        <w:sectPr>
          <w:pgSz w:w="11900" w:h="16838" w:orient="portrait"/>
          <w:cols w:equalWidth="0" w:num="2">
            <w:col w:w="1160" w:space="80"/>
            <w:col w:w="10240"/>
          </w:cols>
          <w:pgMar w:left="240" w:top="614" w:right="179" w:bottom="1440" w:gutter="0" w:footer="0" w:header="0"/>
          <w:type w:val="continuous"/>
        </w:sectPr>
      </w:pP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S-16</w:t>
      </w:r>
    </w:p>
    <w:p>
      <w:pPr>
        <w:sectPr>
          <w:pgSz w:w="11900" w:h="16838" w:orient="portrait"/>
          <w:cols w:equalWidth="0" w:num="1">
            <w:col w:w="11480"/>
          </w:cols>
          <w:pgMar w:left="240" w:top="614" w:right="17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Healthcare Services Segment Metrics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Script volume in thousands</w:t>
      </w:r>
    </w:p>
    <w:p>
      <w:pPr>
        <w:sectPr>
          <w:pgSz w:w="11900" w:h="16838" w:orient="portrait"/>
          <w:cols w:equalWidth="0" w:num="1">
            <w:col w:w="10219"/>
          </w:cols>
          <w:pgMar w:left="240" w:top="6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Pharmacy:</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Generic Dispense Rate</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Retail</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Group and Specialty</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Mail-Order Penetration</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Retail</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Group and Specialty</w:t>
      </w:r>
    </w:p>
    <w:p>
      <w:pPr>
        <w:spacing w:after="0" w:line="200" w:lineRule="exact"/>
        <w:rPr>
          <w:sz w:val="20"/>
          <w:szCs w:val="20"/>
          <w:color w:val="auto"/>
        </w:rPr>
      </w:pPr>
    </w:p>
    <w:p>
      <w:pPr>
        <w:spacing w:after="0" w:line="32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Script volume (N)</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366092"/>
              </w:rPr>
              <w:t>For the six</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Year-over-</w:t>
            </w:r>
          </w:p>
        </w:tc>
        <w:tc>
          <w:tcPr>
            <w:tcW w:w="960" w:type="dxa"/>
            <w:vAlign w:val="bottom"/>
          </w:tcPr>
          <w:p>
            <w:pPr>
              <w:spacing w:after="0"/>
              <w:rPr>
                <w:sz w:val="18"/>
                <w:szCs w:val="18"/>
                <w:color w:val="auto"/>
              </w:rPr>
            </w:pPr>
          </w:p>
        </w:tc>
      </w:tr>
      <w:tr>
        <w:trPr>
          <w:trHeight w:val="189"/>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366092"/>
              </w:rPr>
              <w:t>months ended</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rPr>
              <w:t>For the six months ended</w:t>
            </w:r>
          </w:p>
        </w:tc>
        <w:tc>
          <w:tcPr>
            <w:tcW w:w="1120" w:type="dxa"/>
            <w:vAlign w:val="bottom"/>
          </w:tcPr>
          <w:p>
            <w:pPr>
              <w:jc w:val="center"/>
              <w:spacing w:after="0"/>
              <w:rPr>
                <w:sz w:val="20"/>
                <w:szCs w:val="20"/>
                <w:color w:val="auto"/>
              </w:rPr>
            </w:pPr>
            <w:r>
              <w:rPr>
                <w:rFonts w:ascii="Arial" w:cs="Arial" w:eastAsia="Arial" w:hAnsi="Arial"/>
                <w:sz w:val="16"/>
                <w:szCs w:val="16"/>
                <w:color w:val="auto"/>
              </w:rPr>
              <w:t>Year</w:t>
            </w:r>
          </w:p>
        </w:tc>
        <w:tc>
          <w:tcPr>
            <w:tcW w:w="960" w:type="dxa"/>
            <w:vAlign w:val="bottom"/>
          </w:tcPr>
          <w:p>
            <w:pPr>
              <w:spacing w:after="0"/>
              <w:rPr>
                <w:sz w:val="16"/>
                <w:szCs w:val="16"/>
                <w:color w:val="auto"/>
              </w:rPr>
            </w:pPr>
          </w:p>
        </w:tc>
      </w:tr>
      <w:tr>
        <w:trPr>
          <w:trHeight w:val="228"/>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366092"/>
                <w:w w:val="99"/>
              </w:rPr>
              <w:t>June 30, 2019</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rPr>
              <w:t>June 30, 2018</w:t>
            </w:r>
          </w:p>
        </w:tc>
        <w:tc>
          <w:tcPr>
            <w:tcW w:w="1120" w:type="dxa"/>
            <w:vAlign w:val="bottom"/>
          </w:tcPr>
          <w:p>
            <w:pPr>
              <w:jc w:val="center"/>
              <w:spacing w:after="0"/>
              <w:rPr>
                <w:sz w:val="20"/>
                <w:szCs w:val="20"/>
                <w:color w:val="auto"/>
              </w:rPr>
            </w:pPr>
            <w:r>
              <w:rPr>
                <w:rFonts w:ascii="Arial" w:cs="Arial" w:eastAsia="Arial" w:hAnsi="Arial"/>
                <w:sz w:val="16"/>
                <w:szCs w:val="16"/>
                <w:color w:val="auto"/>
              </w:rPr>
              <w:t>Difference</w:t>
            </w:r>
          </w:p>
        </w:tc>
        <w:tc>
          <w:tcPr>
            <w:tcW w:w="960" w:type="dxa"/>
            <w:vAlign w:val="bottom"/>
          </w:tcPr>
          <w:p>
            <w:pPr>
              <w:spacing w:after="0"/>
              <w:rPr>
                <w:sz w:val="19"/>
                <w:szCs w:val="19"/>
                <w:color w:val="auto"/>
              </w:rPr>
            </w:pPr>
          </w:p>
        </w:tc>
      </w:tr>
      <w:tr>
        <w:trPr>
          <w:trHeight w:val="791"/>
        </w:trPr>
        <w:tc>
          <w:tcPr>
            <w:tcW w:w="182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00497F"/>
              </w:rPr>
              <w:t>91.6%</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960" w:type="dxa"/>
            <w:vAlign w:val="bottom"/>
          </w:tcPr>
          <w:p>
            <w:pPr>
              <w:spacing w:after="0"/>
              <w:rPr>
                <w:sz w:val="24"/>
                <w:szCs w:val="24"/>
                <w:color w:val="auto"/>
              </w:rPr>
            </w:pPr>
          </w:p>
        </w:tc>
      </w:tr>
      <w:tr>
        <w:trPr>
          <w:trHeight w:val="270"/>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00497F"/>
              </w:rPr>
              <w:t>87.5%</w:t>
            </w:r>
          </w:p>
        </w:tc>
        <w:tc>
          <w:tcPr>
            <w:tcW w:w="1940" w:type="dxa"/>
            <w:vAlign w:val="bottom"/>
          </w:tcPr>
          <w:p>
            <w:pPr>
              <w:jc w:val="right"/>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0.3 %</w:t>
            </w:r>
          </w:p>
        </w:tc>
        <w:tc>
          <w:tcPr>
            <w:tcW w:w="960" w:type="dxa"/>
            <w:vAlign w:val="bottom"/>
          </w:tcPr>
          <w:p>
            <w:pPr>
              <w:spacing w:after="0"/>
              <w:rPr>
                <w:sz w:val="23"/>
                <w:szCs w:val="23"/>
                <w:color w:val="auto"/>
              </w:rPr>
            </w:pPr>
          </w:p>
        </w:tc>
      </w:tr>
      <w:tr>
        <w:trPr>
          <w:trHeight w:val="540"/>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00497F"/>
              </w:rPr>
              <w:t>28.6%</w:t>
            </w:r>
          </w:p>
        </w:tc>
        <w:tc>
          <w:tcPr>
            <w:tcW w:w="194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-0.9 %</w:t>
            </w:r>
          </w:p>
        </w:tc>
        <w:tc>
          <w:tcPr>
            <w:tcW w:w="960" w:type="dxa"/>
            <w:vAlign w:val="bottom"/>
          </w:tcPr>
          <w:p>
            <w:pPr>
              <w:spacing w:after="0"/>
              <w:rPr>
                <w:sz w:val="24"/>
                <w:szCs w:val="24"/>
                <w:color w:val="auto"/>
              </w:rPr>
            </w:pPr>
          </w:p>
        </w:tc>
      </w:tr>
      <w:tr>
        <w:trPr>
          <w:trHeight w:val="270"/>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00497F"/>
              </w:rPr>
              <w:t>6.4%</w:t>
            </w:r>
          </w:p>
        </w:tc>
        <w:tc>
          <w:tcPr>
            <w:tcW w:w="194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960" w:type="dxa"/>
            <w:vAlign w:val="bottom"/>
          </w:tcPr>
          <w:p>
            <w:pPr>
              <w:spacing w:after="0"/>
              <w:rPr>
                <w:sz w:val="23"/>
                <w:szCs w:val="23"/>
                <w:color w:val="auto"/>
              </w:rPr>
            </w:pPr>
          </w:p>
        </w:tc>
      </w:tr>
      <w:tr>
        <w:trPr>
          <w:trHeight w:val="238"/>
        </w:trPr>
        <w:tc>
          <w:tcPr>
            <w:tcW w:w="1820" w:type="dxa"/>
            <w:vAlign w:val="bottom"/>
            <w:tcBorders>
              <w:left w:val="single" w:sz="8" w:color="auto"/>
              <w:right w:val="single" w:sz="8" w:color="auto"/>
            </w:tcBorders>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Percentage</w:t>
            </w:r>
          </w:p>
        </w:tc>
      </w:tr>
      <w:tr>
        <w:trPr>
          <w:trHeight w:val="208"/>
        </w:trPr>
        <w:tc>
          <w:tcPr>
            <w:tcW w:w="1820" w:type="dxa"/>
            <w:vAlign w:val="bottom"/>
            <w:tcBorders>
              <w:left w:val="single" w:sz="8" w:color="auto"/>
              <w:right w:val="single" w:sz="8" w:color="auto"/>
            </w:tcBorders>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Difference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Change</w:t>
            </w:r>
          </w:p>
        </w:tc>
      </w:tr>
      <w:tr>
        <w:trPr>
          <w:trHeight w:val="250"/>
        </w:trPr>
        <w:tc>
          <w:tcPr>
            <w:tcW w:w="1820" w:type="dxa"/>
            <w:vAlign w:val="bottom"/>
            <w:tcBorders>
              <w:left w:val="single" w:sz="8" w:color="auto"/>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b w:val="1"/>
                <w:bCs w:val="1"/>
                <w:color w:val="00497F"/>
              </w:rPr>
              <w:t>223,100</w:t>
            </w:r>
          </w:p>
        </w:tc>
        <w:tc>
          <w:tcPr>
            <w:tcW w:w="1940" w:type="dxa"/>
            <w:vAlign w:val="bottom"/>
          </w:tcPr>
          <w:p>
            <w:pPr>
              <w:jc w:val="right"/>
              <w:ind w:right="99"/>
              <w:spacing w:after="0"/>
              <w:rPr>
                <w:sz w:val="20"/>
                <w:szCs w:val="20"/>
                <w:color w:val="auto"/>
              </w:rPr>
            </w:pPr>
            <w:r>
              <w:rPr>
                <w:rFonts w:ascii="Arial" w:cs="Arial" w:eastAsia="Arial" w:hAnsi="Arial"/>
                <w:sz w:val="16"/>
                <w:szCs w:val="16"/>
                <w:color w:val="auto"/>
              </w:rPr>
              <w:t>218,200</w:t>
            </w:r>
          </w:p>
        </w:tc>
        <w:tc>
          <w:tcPr>
            <w:tcW w:w="120" w:type="dxa"/>
            <w:vAlign w:val="bottom"/>
          </w:tcPr>
          <w:p>
            <w:pPr>
              <w:spacing w:after="0"/>
              <w:rPr>
                <w:sz w:val="21"/>
                <w:szCs w:val="21"/>
                <w:color w:val="auto"/>
              </w:rPr>
            </w:pP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4,900</w:t>
            </w: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200" w:lineRule="exact"/>
        <w:rPr>
          <w:sz w:val="20"/>
          <w:szCs w:val="20"/>
          <w:color w:val="auto"/>
        </w:rPr>
      </w:pPr>
    </w:p>
    <w:p>
      <w:pPr>
        <w:sectPr>
          <w:pgSz w:w="11900" w:h="16838" w:orient="portrait"/>
          <w:cols w:equalWidth="0" w:num="2">
            <w:col w:w="2020" w:space="720"/>
            <w:col w:w="7479"/>
          </w:cols>
          <w:pgMar w:left="240" w:top="614" w:right="1440" w:bottom="1440" w:gutter="0" w:footer="0" w:header="0"/>
          <w:type w:val="continuous"/>
        </w:sectPr>
      </w:pPr>
    </w:p>
    <w:p>
      <w:pPr>
        <w:spacing w:after="0" w:line="2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S-17</w:t>
      </w:r>
    </w:p>
    <w:p>
      <w:pPr>
        <w:sectPr>
          <w:pgSz w:w="11900" w:h="16838" w:orient="portrait"/>
          <w:cols w:equalWidth="0" w:num="1">
            <w:col w:w="10219"/>
          </w:cols>
          <w:pgMar w:left="240" w:top="614"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Detail of Benefits Payable Balance and Year-to-Date Changes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w:t>
      </w:r>
    </w:p>
    <w:p>
      <w:pPr>
        <w:sectPr>
          <w:pgSz w:w="11900" w:h="16838" w:orient="portrait"/>
          <w:cols w:equalWidth="0" w:num="1">
            <w:col w:w="10219"/>
          </w:cols>
          <w:pgMar w:left="240" w:top="614"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40" w:right="420"/>
        <w:spacing w:after="0" w:line="271" w:lineRule="auto"/>
        <w:rPr>
          <w:sz w:val="20"/>
          <w:szCs w:val="20"/>
          <w:color w:val="auto"/>
        </w:rPr>
      </w:pPr>
      <w:r>
        <w:rPr>
          <w:rFonts w:ascii="Arial" w:cs="Arial" w:eastAsia="Arial" w:hAnsi="Arial"/>
          <w:sz w:val="18"/>
          <w:szCs w:val="18"/>
          <w:b w:val="1"/>
          <w:bCs w:val="1"/>
          <w:color w:val="auto"/>
        </w:rPr>
        <w:t>Year-to-date changes in benefits payable, excluding military services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Balances at January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Less: Reinsurance recoverables (O)</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Beginning balance, net of reinsurance recoverable</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Incurred related to:</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Current year</w:t>
      </w:r>
    </w:p>
    <w:p>
      <w:pPr>
        <w:spacing w:after="0" w:line="5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Prior years (P)</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incurred</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Paid related to:</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Current year</w:t>
      </w:r>
    </w:p>
    <w:p>
      <w:pPr>
        <w:spacing w:after="0" w:line="5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Prior years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paid</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Reinsurance recoverables (O)</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Less: Liabilities held-for-sale</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Ending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Consolidated Benefit Expense:</w:t>
      </w:r>
    </w:p>
    <w:p>
      <w:pPr>
        <w:spacing w:after="0" w:line="101" w:lineRule="exact"/>
        <w:rPr>
          <w:sz w:val="20"/>
          <w:szCs w:val="20"/>
          <w:color w:val="auto"/>
        </w:rPr>
      </w:pPr>
    </w:p>
    <w:p>
      <w:pPr>
        <w:ind w:left="380" w:right="640"/>
        <w:spacing w:after="0" w:line="334" w:lineRule="auto"/>
        <w:rPr>
          <w:sz w:val="20"/>
          <w:szCs w:val="20"/>
          <w:color w:val="auto"/>
        </w:rPr>
      </w:pPr>
      <w:r>
        <w:rPr>
          <w:rFonts w:ascii="Arial" w:cs="Arial" w:eastAsia="Arial" w:hAnsi="Arial"/>
          <w:sz w:val="16"/>
          <w:szCs w:val="16"/>
          <w:color w:val="auto"/>
        </w:rPr>
        <w:t>Total benefit expense incurred, per above Future policy benefit expense (Q)</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Consolidated Benefit Expense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11"/>
        </w:trPr>
        <w:tc>
          <w:tcPr>
            <w:tcW w:w="20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For the six months ended</w:t>
            </w:r>
          </w:p>
        </w:tc>
        <w:tc>
          <w:tcPr>
            <w:tcW w:w="1920" w:type="dxa"/>
            <w:vAlign w:val="bottom"/>
          </w:tcPr>
          <w:p>
            <w:pPr>
              <w:jc w:val="center"/>
              <w:spacing w:after="0"/>
              <w:rPr>
                <w:sz w:val="20"/>
                <w:szCs w:val="20"/>
                <w:color w:val="auto"/>
              </w:rPr>
            </w:pPr>
            <w:r>
              <w:rPr>
                <w:rFonts w:ascii="Arial" w:cs="Arial" w:eastAsia="Arial" w:hAnsi="Arial"/>
                <w:sz w:val="16"/>
                <w:szCs w:val="16"/>
                <w:color w:val="auto"/>
              </w:rPr>
              <w:t>For the six months ended</w:t>
            </w:r>
          </w:p>
        </w:tc>
        <w:tc>
          <w:tcPr>
            <w:tcW w:w="1640" w:type="dxa"/>
            <w:vAlign w:val="bottom"/>
          </w:tcPr>
          <w:p>
            <w:pPr>
              <w:jc w:val="center"/>
              <w:spacing w:after="0"/>
              <w:rPr>
                <w:sz w:val="20"/>
                <w:szCs w:val="20"/>
                <w:color w:val="auto"/>
              </w:rPr>
            </w:pPr>
            <w:r>
              <w:rPr>
                <w:rFonts w:ascii="Arial" w:cs="Arial" w:eastAsia="Arial" w:hAnsi="Arial"/>
                <w:sz w:val="16"/>
                <w:szCs w:val="16"/>
                <w:color w:val="auto"/>
              </w:rPr>
              <w:t>For the year ended</w:t>
            </w:r>
          </w:p>
        </w:tc>
      </w:tr>
      <w:tr>
        <w:trPr>
          <w:trHeight w:val="228"/>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June 30, 2019</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June 30, 2018</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December 31, 2018</w:t>
            </w:r>
          </w:p>
        </w:tc>
      </w:tr>
      <w:tr>
        <w:trPr>
          <w:trHeight w:val="696"/>
        </w:trPr>
        <w:tc>
          <w:tcPr>
            <w:tcW w:w="2060" w:type="dxa"/>
            <w:vAlign w:val="bottom"/>
            <w:tcBorders>
              <w:left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$4,862</w:t>
            </w:r>
          </w:p>
        </w:tc>
        <w:tc>
          <w:tcPr>
            <w:tcW w:w="1920" w:type="dxa"/>
            <w:vAlign w:val="bottom"/>
          </w:tcPr>
          <w:p>
            <w:pPr>
              <w:jc w:val="right"/>
              <w:ind w:right="79"/>
              <w:spacing w:after="0"/>
              <w:rPr>
                <w:sz w:val="20"/>
                <w:szCs w:val="20"/>
                <w:color w:val="auto"/>
              </w:rPr>
            </w:pPr>
            <w:r>
              <w:rPr>
                <w:rFonts w:ascii="Arial" w:cs="Arial" w:eastAsia="Arial" w:hAnsi="Arial"/>
                <w:sz w:val="16"/>
                <w:szCs w:val="16"/>
                <w:color w:val="auto"/>
              </w:rPr>
              <w:t>$4,668</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$4,668</w:t>
            </w:r>
          </w:p>
        </w:tc>
      </w:tr>
      <w:tr>
        <w:trPr>
          <w:trHeight w:val="256"/>
        </w:trPr>
        <w:tc>
          <w:tcPr>
            <w:tcW w:w="206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24"/>
        </w:trPr>
        <w:tc>
          <w:tcPr>
            <w:tcW w:w="2060" w:type="dxa"/>
            <w:vAlign w:val="bottom"/>
            <w:tcBorders>
              <w:left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4,767</w:t>
            </w:r>
          </w:p>
        </w:tc>
        <w:tc>
          <w:tcPr>
            <w:tcW w:w="1920" w:type="dxa"/>
            <w:vAlign w:val="bottom"/>
          </w:tcPr>
          <w:p>
            <w:pPr>
              <w:jc w:val="right"/>
              <w:ind w:right="79"/>
              <w:spacing w:after="0"/>
              <w:rPr>
                <w:sz w:val="20"/>
                <w:szCs w:val="20"/>
                <w:color w:val="auto"/>
              </w:rPr>
            </w:pPr>
            <w:r>
              <w:rPr>
                <w:rFonts w:ascii="Arial" w:cs="Arial" w:eastAsia="Arial" w:hAnsi="Arial"/>
                <w:sz w:val="16"/>
                <w:szCs w:val="16"/>
                <w:color w:val="auto"/>
              </w:rPr>
              <w:t>4,598</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4,598</w:t>
            </w:r>
          </w:p>
        </w:tc>
      </w:tr>
      <w:tr>
        <w:trPr>
          <w:trHeight w:val="513"/>
        </w:trPr>
        <w:tc>
          <w:tcPr>
            <w:tcW w:w="2060" w:type="dxa"/>
            <w:vAlign w:val="bottom"/>
            <w:tcBorders>
              <w:left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27,086</w:t>
            </w:r>
          </w:p>
        </w:tc>
        <w:tc>
          <w:tcPr>
            <w:tcW w:w="1920" w:type="dxa"/>
            <w:vAlign w:val="bottom"/>
          </w:tcPr>
          <w:p>
            <w:pPr>
              <w:jc w:val="right"/>
              <w:ind w:right="79"/>
              <w:spacing w:after="0"/>
              <w:rPr>
                <w:sz w:val="20"/>
                <w:szCs w:val="20"/>
                <w:color w:val="auto"/>
              </w:rPr>
            </w:pPr>
            <w:r>
              <w:rPr>
                <w:rFonts w:ascii="Arial" w:cs="Arial" w:eastAsia="Arial" w:hAnsi="Arial"/>
                <w:sz w:val="16"/>
                <w:szCs w:val="16"/>
                <w:color w:val="auto"/>
              </w:rPr>
              <w:t>23,543</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46,385</w:t>
            </w:r>
          </w:p>
        </w:tc>
      </w:tr>
      <w:tr>
        <w:trPr>
          <w:trHeight w:val="256"/>
        </w:trPr>
        <w:tc>
          <w:tcPr>
            <w:tcW w:w="206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r>
      <w:tr>
        <w:trPr>
          <w:trHeight w:val="237"/>
        </w:trPr>
        <w:tc>
          <w:tcPr>
            <w:tcW w:w="2060" w:type="dxa"/>
            <w:vAlign w:val="bottom"/>
            <w:tcBorders>
              <w:left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26,811</w:t>
            </w:r>
          </w:p>
        </w:tc>
        <w:tc>
          <w:tcPr>
            <w:tcW w:w="1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23,205</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45,882</w:t>
            </w:r>
          </w:p>
        </w:tc>
      </w:tr>
      <w:tr>
        <w:trPr>
          <w:trHeight w:val="494"/>
        </w:trPr>
        <w:tc>
          <w:tcPr>
            <w:tcW w:w="20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(21,700)</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(18,914)</w:t>
            </w:r>
          </w:p>
        </w:tc>
        <w:tc>
          <w:tcPr>
            <w:tcW w:w="1640" w:type="dxa"/>
            <w:vAlign w:val="bottom"/>
          </w:tcPr>
          <w:p>
            <w:pPr>
              <w:jc w:val="right"/>
              <w:spacing w:after="0"/>
              <w:rPr>
                <w:sz w:val="20"/>
                <w:szCs w:val="20"/>
                <w:color w:val="auto"/>
              </w:rPr>
            </w:pPr>
            <w:r>
              <w:rPr>
                <w:rFonts w:ascii="Arial" w:cs="Arial" w:eastAsia="Arial" w:hAnsi="Arial"/>
                <w:sz w:val="16"/>
                <w:szCs w:val="16"/>
                <w:color w:val="auto"/>
              </w:rPr>
              <w:t>(41,736)</w:t>
            </w:r>
          </w:p>
        </w:tc>
      </w:tr>
      <w:tr>
        <w:trPr>
          <w:trHeight w:val="256"/>
        </w:trPr>
        <w:tc>
          <w:tcPr>
            <w:tcW w:w="206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(4,108)</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(3,897)</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(3,977)</w:t>
            </w:r>
          </w:p>
        </w:tc>
      </w:tr>
      <w:tr>
        <w:trPr>
          <w:trHeight w:val="237"/>
        </w:trPr>
        <w:tc>
          <w:tcPr>
            <w:tcW w:w="206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(25,808)</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(22,811)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(45,713)</w:t>
            </w:r>
          </w:p>
        </w:tc>
      </w:tr>
      <w:tr>
        <w:trPr>
          <w:trHeight w:val="224"/>
        </w:trPr>
        <w:tc>
          <w:tcPr>
            <w:tcW w:w="2060" w:type="dxa"/>
            <w:vAlign w:val="bottom"/>
            <w:tcBorders>
              <w:left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72</w:t>
            </w:r>
          </w:p>
        </w:tc>
        <w:tc>
          <w:tcPr>
            <w:tcW w:w="1920" w:type="dxa"/>
            <w:vAlign w:val="bottom"/>
          </w:tcPr>
          <w:p>
            <w:pPr>
              <w:jc w:val="right"/>
              <w:ind w:right="79"/>
              <w:spacing w:after="0"/>
              <w:rPr>
                <w:sz w:val="20"/>
                <w:szCs w:val="20"/>
                <w:color w:val="auto"/>
              </w:rPr>
            </w:pPr>
            <w:r>
              <w:rPr>
                <w:rFonts w:ascii="Arial" w:cs="Arial" w:eastAsia="Arial" w:hAnsi="Arial"/>
                <w:sz w:val="16"/>
                <w:szCs w:val="16"/>
                <w:color w:val="auto"/>
              </w:rPr>
              <w:t>86</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256"/>
        </w:trPr>
        <w:tc>
          <w:tcPr>
            <w:tcW w:w="2060" w:type="dxa"/>
            <w:vAlign w:val="bottom"/>
            <w:tcBorders>
              <w:left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060" w:type="dxa"/>
            <w:vAlign w:val="bottom"/>
            <w:tcBorders>
              <w:left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$5,842</w:t>
            </w:r>
          </w:p>
        </w:tc>
        <w:tc>
          <w:tcPr>
            <w:tcW w:w="1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$5,020</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$4,862</w:t>
            </w: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35"/>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91"/>
        </w:trPr>
        <w:tc>
          <w:tcPr>
            <w:tcW w:w="2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For the six months ended</w:t>
            </w:r>
          </w:p>
        </w:tc>
        <w:tc>
          <w:tcPr>
            <w:tcW w:w="1920" w:type="dxa"/>
            <w:vAlign w:val="bottom"/>
          </w:tcPr>
          <w:p>
            <w:pPr>
              <w:jc w:val="center"/>
              <w:spacing w:after="0"/>
              <w:rPr>
                <w:sz w:val="20"/>
                <w:szCs w:val="20"/>
                <w:color w:val="auto"/>
              </w:rPr>
            </w:pPr>
            <w:r>
              <w:rPr>
                <w:rFonts w:ascii="Arial" w:cs="Arial" w:eastAsia="Arial" w:hAnsi="Arial"/>
                <w:sz w:val="16"/>
                <w:szCs w:val="16"/>
                <w:color w:val="auto"/>
              </w:rPr>
              <w:t>For the six months ended</w:t>
            </w:r>
          </w:p>
        </w:tc>
        <w:tc>
          <w:tcPr>
            <w:tcW w:w="1640" w:type="dxa"/>
            <w:vAlign w:val="bottom"/>
          </w:tcPr>
          <w:p>
            <w:pPr>
              <w:jc w:val="center"/>
              <w:spacing w:after="0"/>
              <w:rPr>
                <w:sz w:val="20"/>
                <w:szCs w:val="20"/>
                <w:color w:val="auto"/>
              </w:rPr>
            </w:pPr>
            <w:r>
              <w:rPr>
                <w:rFonts w:ascii="Arial" w:cs="Arial" w:eastAsia="Arial" w:hAnsi="Arial"/>
                <w:sz w:val="16"/>
                <w:szCs w:val="16"/>
                <w:color w:val="auto"/>
              </w:rPr>
              <w:t>For the year ended</w:t>
            </w:r>
          </w:p>
        </w:tc>
      </w:tr>
      <w:tr>
        <w:trPr>
          <w:trHeight w:val="228"/>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June 30, 2018</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June 30, 2018</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December 31, 2018</w:t>
            </w:r>
          </w:p>
        </w:tc>
      </w:tr>
      <w:tr>
        <w:trPr>
          <w:trHeight w:val="521"/>
        </w:trPr>
        <w:tc>
          <w:tcPr>
            <w:tcW w:w="2060" w:type="dxa"/>
            <w:vAlign w:val="bottom"/>
            <w:tcBorders>
              <w:left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$26,811</w:t>
            </w:r>
          </w:p>
        </w:tc>
        <w:tc>
          <w:tcPr>
            <w:tcW w:w="1920" w:type="dxa"/>
            <w:vAlign w:val="bottom"/>
          </w:tcPr>
          <w:p>
            <w:pPr>
              <w:jc w:val="right"/>
              <w:ind w:right="79"/>
              <w:spacing w:after="0"/>
              <w:rPr>
                <w:sz w:val="20"/>
                <w:szCs w:val="20"/>
                <w:color w:val="auto"/>
              </w:rPr>
            </w:pPr>
            <w:r>
              <w:rPr>
                <w:rFonts w:ascii="Arial" w:cs="Arial" w:eastAsia="Arial" w:hAnsi="Arial"/>
                <w:sz w:val="16"/>
                <w:szCs w:val="16"/>
                <w:color w:val="auto"/>
              </w:rPr>
              <w:t>$23,205</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$45,882</w:t>
            </w:r>
          </w:p>
        </w:tc>
      </w:tr>
      <w:tr>
        <w:trPr>
          <w:trHeight w:val="256"/>
        </w:trPr>
        <w:tc>
          <w:tcPr>
            <w:tcW w:w="2060" w:type="dxa"/>
            <w:vAlign w:val="bottom"/>
            <w:tcBorders>
              <w:left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060" w:type="dxa"/>
            <w:vAlign w:val="bottom"/>
            <w:tcBorders>
              <w:left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$26,811</w:t>
            </w:r>
          </w:p>
        </w:tc>
        <w:tc>
          <w:tcPr>
            <w:tcW w:w="1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$23,206</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$45,882</w:t>
            </w: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000" w:space="60"/>
            <w:col w:w="6159"/>
          </w:cols>
          <w:pgMar w:left="240" w:top="614" w:right="1440" w:bottom="1440" w:gutter="0" w:footer="0" w:header="0"/>
          <w:type w:val="continuous"/>
        </w:sectPr>
      </w:pPr>
    </w:p>
    <w:p>
      <w:pPr>
        <w:spacing w:after="0" w:line="2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S-18</w:t>
      </w:r>
    </w:p>
    <w:p>
      <w:pPr>
        <w:sectPr>
          <w:pgSz w:w="11900" w:h="16838" w:orient="portrait"/>
          <w:cols w:equalWidth="0" w:num="1">
            <w:col w:w="10219"/>
          </w:cols>
          <w:pgMar w:left="240" w:top="614"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Benefits Payable Statistics (Continued) (R)</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Days in Claims Payable</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Days in</w:t>
            </w:r>
          </w:p>
        </w:tc>
        <w:tc>
          <w:tcPr>
            <w:tcW w:w="116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Change</w:t>
            </w:r>
          </w:p>
        </w:tc>
        <w:tc>
          <w:tcPr>
            <w:tcW w:w="1260" w:type="dxa"/>
            <w:vAlign w:val="bottom"/>
          </w:tcPr>
          <w:p>
            <w:pPr>
              <w:spacing w:after="0"/>
              <w:rPr>
                <w:sz w:val="17"/>
                <w:szCs w:val="17"/>
                <w:color w:val="auto"/>
              </w:rPr>
            </w:pPr>
          </w:p>
        </w:tc>
      </w:tr>
      <w:tr>
        <w:trPr>
          <w:trHeight w:val="203"/>
        </w:trPr>
        <w:tc>
          <w:tcPr>
            <w:tcW w:w="278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Claims</w:t>
            </w:r>
          </w:p>
        </w:tc>
        <w:tc>
          <w:tcPr>
            <w:tcW w:w="1160" w:type="dxa"/>
            <w:vAlign w:val="bottom"/>
          </w:tcPr>
          <w:p>
            <w:pPr>
              <w:jc w:val="center"/>
              <w:ind w:right="76"/>
              <w:spacing w:after="0" w:line="202" w:lineRule="exact"/>
              <w:rPr>
                <w:sz w:val="20"/>
                <w:szCs w:val="20"/>
                <w:color w:val="auto"/>
              </w:rPr>
            </w:pPr>
            <w:r>
              <w:rPr>
                <w:rFonts w:ascii="Arial" w:cs="Arial" w:eastAsia="Arial" w:hAnsi="Arial"/>
                <w:sz w:val="18"/>
                <w:szCs w:val="18"/>
                <w:b w:val="1"/>
                <w:bCs w:val="1"/>
                <w:color w:val="auto"/>
                <w:w w:val="99"/>
              </w:rPr>
              <w:t>Last 4</w:t>
            </w:r>
          </w:p>
        </w:tc>
        <w:tc>
          <w:tcPr>
            <w:tcW w:w="126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Percentage</w:t>
            </w:r>
          </w:p>
        </w:tc>
      </w:tr>
      <w:tr>
        <w:trPr>
          <w:trHeight w:val="246"/>
        </w:trPr>
        <w:tc>
          <w:tcPr>
            <w:tcW w:w="2780" w:type="dxa"/>
            <w:vAlign w:val="bottom"/>
          </w:tcPr>
          <w:p>
            <w:pPr>
              <w:jc w:val="right"/>
              <w:ind w:right="677"/>
              <w:spacing w:after="0"/>
              <w:rPr>
                <w:sz w:val="20"/>
                <w:szCs w:val="20"/>
                <w:color w:val="auto"/>
              </w:rPr>
            </w:pPr>
            <w:r>
              <w:rPr>
                <w:rFonts w:ascii="Arial" w:cs="Arial" w:eastAsia="Arial" w:hAnsi="Arial"/>
                <w:sz w:val="18"/>
                <w:szCs w:val="18"/>
                <w:b w:val="1"/>
                <w:bCs w:val="1"/>
                <w:color w:val="auto"/>
              </w:rPr>
              <w:t>Quarter Ended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Payable (DCP)</w:t>
            </w:r>
          </w:p>
        </w:tc>
        <w:tc>
          <w:tcPr>
            <w:tcW w:w="1160" w:type="dxa"/>
            <w:vAlign w:val="bottom"/>
          </w:tcPr>
          <w:p>
            <w:pPr>
              <w:jc w:val="center"/>
              <w:ind w:right="76"/>
              <w:spacing w:after="0"/>
              <w:rPr>
                <w:sz w:val="20"/>
                <w:szCs w:val="20"/>
                <w:color w:val="auto"/>
              </w:rPr>
            </w:pPr>
            <w:r>
              <w:rPr>
                <w:rFonts w:ascii="Arial" w:cs="Arial" w:eastAsia="Arial" w:hAnsi="Arial"/>
                <w:sz w:val="18"/>
                <w:szCs w:val="18"/>
                <w:b w:val="1"/>
                <w:bCs w:val="1"/>
                <w:color w:val="auto"/>
              </w:rPr>
              <w:t>Quarters</w:t>
            </w:r>
          </w:p>
        </w:tc>
        <w:tc>
          <w:tcPr>
            <w:tcW w:w="1260" w:type="dxa"/>
            <w:vAlign w:val="bottom"/>
          </w:tcPr>
          <w:p>
            <w:pPr>
              <w:jc w:val="right"/>
              <w:ind w:right="256"/>
              <w:spacing w:after="0"/>
              <w:rPr>
                <w:sz w:val="20"/>
                <w:szCs w:val="20"/>
                <w:color w:val="auto"/>
              </w:rPr>
            </w:pPr>
            <w:r>
              <w:rPr>
                <w:rFonts w:ascii="Arial" w:cs="Arial" w:eastAsia="Arial" w:hAnsi="Arial"/>
                <w:sz w:val="18"/>
                <w:szCs w:val="18"/>
                <w:b w:val="1"/>
                <w:bCs w:val="1"/>
                <w:color w:val="auto"/>
              </w:rPr>
              <w:t>Change</w:t>
            </w:r>
          </w:p>
        </w:tc>
      </w:tr>
      <w:tr>
        <w:trPr>
          <w:trHeight w:val="224"/>
        </w:trPr>
        <w:tc>
          <w:tcPr>
            <w:tcW w:w="2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6/30/2018</w:t>
            </w:r>
          </w:p>
        </w:tc>
        <w:tc>
          <w:tcPr>
            <w:tcW w:w="136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color w:val="auto"/>
              </w:rPr>
              <w:t>40.1</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(0.3)</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-0.7 %</w:t>
            </w:r>
          </w:p>
        </w:tc>
      </w:tr>
      <w:tr>
        <w:trPr>
          <w:trHeight w:val="243"/>
        </w:trPr>
        <w:tc>
          <w:tcPr>
            <w:tcW w:w="2780" w:type="dxa"/>
            <w:vAlign w:val="bottom"/>
          </w:tcPr>
          <w:p>
            <w:pPr>
              <w:jc w:val="right"/>
              <w:spacing w:after="0"/>
              <w:rPr>
                <w:sz w:val="20"/>
                <w:szCs w:val="20"/>
                <w:color w:val="auto"/>
              </w:rPr>
            </w:pPr>
            <w:r>
              <w:rPr>
                <w:rFonts w:ascii="Arial" w:cs="Arial" w:eastAsia="Arial" w:hAnsi="Arial"/>
                <w:sz w:val="16"/>
                <w:szCs w:val="16"/>
                <w:color w:val="auto"/>
              </w:rPr>
              <w:t>9/30/2018</w:t>
            </w:r>
          </w:p>
        </w:tc>
        <w:tc>
          <w:tcPr>
            <w:tcW w:w="1360" w:type="dxa"/>
            <w:vAlign w:val="bottom"/>
          </w:tcPr>
          <w:p>
            <w:pPr>
              <w:jc w:val="right"/>
              <w:ind w:right="56"/>
              <w:spacing w:after="0"/>
              <w:rPr>
                <w:sz w:val="20"/>
                <w:szCs w:val="20"/>
                <w:color w:val="auto"/>
              </w:rPr>
            </w:pPr>
            <w:r>
              <w:rPr>
                <w:rFonts w:ascii="Arial" w:cs="Arial" w:eastAsia="Arial" w:hAnsi="Arial"/>
                <w:sz w:val="16"/>
                <w:szCs w:val="16"/>
                <w:color w:val="auto"/>
              </w:rPr>
              <w:t>41.1</w:t>
            </w:r>
          </w:p>
        </w:tc>
        <w:tc>
          <w:tcPr>
            <w:tcW w:w="1160" w:type="dxa"/>
            <w:vAlign w:val="bottom"/>
          </w:tcPr>
          <w:p>
            <w:pPr>
              <w:jc w:val="right"/>
              <w:ind w:right="16"/>
              <w:spacing w:after="0"/>
              <w:rPr>
                <w:sz w:val="20"/>
                <w:szCs w:val="20"/>
                <w:color w:val="auto"/>
              </w:rPr>
            </w:pPr>
            <w:r>
              <w:rPr>
                <w:rFonts w:ascii="Arial" w:cs="Arial" w:eastAsia="Arial" w:hAnsi="Arial"/>
                <w:sz w:val="16"/>
                <w:szCs w:val="16"/>
                <w:color w:val="auto"/>
              </w:rPr>
              <w:t>(1.8)</w:t>
            </w:r>
          </w:p>
        </w:tc>
        <w:tc>
          <w:tcPr>
            <w:tcW w:w="126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43"/>
        </w:trPr>
        <w:tc>
          <w:tcPr>
            <w:tcW w:w="2780" w:type="dxa"/>
            <w:vAlign w:val="bottom"/>
          </w:tcPr>
          <w:p>
            <w:pPr>
              <w:jc w:val="right"/>
              <w:spacing w:after="0"/>
              <w:rPr>
                <w:sz w:val="20"/>
                <w:szCs w:val="20"/>
                <w:color w:val="auto"/>
              </w:rPr>
            </w:pPr>
            <w:r>
              <w:rPr>
                <w:rFonts w:ascii="Arial" w:cs="Arial" w:eastAsia="Arial" w:hAnsi="Arial"/>
                <w:sz w:val="16"/>
                <w:szCs w:val="16"/>
                <w:color w:val="auto"/>
              </w:rPr>
              <w:t>12/31/2018</w:t>
            </w:r>
          </w:p>
        </w:tc>
        <w:tc>
          <w:tcPr>
            <w:tcW w:w="1360" w:type="dxa"/>
            <w:vAlign w:val="bottom"/>
          </w:tcPr>
          <w:p>
            <w:pPr>
              <w:jc w:val="right"/>
              <w:ind w:right="56"/>
              <w:spacing w:after="0"/>
              <w:rPr>
                <w:sz w:val="20"/>
                <w:szCs w:val="20"/>
                <w:color w:val="auto"/>
              </w:rPr>
            </w:pPr>
            <w:r>
              <w:rPr>
                <w:rFonts w:ascii="Arial" w:cs="Arial" w:eastAsia="Arial" w:hAnsi="Arial"/>
                <w:sz w:val="16"/>
                <w:szCs w:val="16"/>
                <w:color w:val="auto"/>
              </w:rPr>
              <w:t>39.1</w:t>
            </w:r>
          </w:p>
        </w:tc>
        <w:tc>
          <w:tcPr>
            <w:tcW w:w="1160" w:type="dxa"/>
            <w:vAlign w:val="bottom"/>
          </w:tcPr>
          <w:p>
            <w:pPr>
              <w:jc w:val="right"/>
              <w:ind w:right="16"/>
              <w:spacing w:after="0"/>
              <w:rPr>
                <w:sz w:val="20"/>
                <w:szCs w:val="20"/>
                <w:color w:val="auto"/>
              </w:rPr>
            </w:pPr>
            <w:r>
              <w:rPr>
                <w:rFonts w:ascii="Arial" w:cs="Arial" w:eastAsia="Arial" w:hAnsi="Arial"/>
                <w:sz w:val="16"/>
                <w:szCs w:val="16"/>
                <w:color w:val="auto"/>
              </w:rPr>
              <w:t>(1.3)</w:t>
            </w:r>
          </w:p>
        </w:tc>
        <w:tc>
          <w:tcPr>
            <w:tcW w:w="126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256"/>
        </w:trPr>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3/31/2019</w:t>
            </w: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color w:val="auto"/>
              </w:rPr>
              <w:t>40.2</w:t>
            </w: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color w:val="auto"/>
              </w:rPr>
              <w:t>1.9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5.0 %</w:t>
            </w:r>
          </w:p>
        </w:tc>
      </w:tr>
      <w:tr>
        <w:trPr>
          <w:trHeight w:val="237"/>
        </w:trPr>
        <w:tc>
          <w:tcPr>
            <w:tcW w:w="27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6/30/2019</w:t>
            </w: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00497F"/>
              </w:rPr>
              <w:t>39.9</w:t>
            </w: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00497F"/>
              </w:rPr>
              <w:t>(0.2)</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00497F"/>
              </w:rPr>
              <w:t>-0.5 %</w:t>
            </w:r>
          </w:p>
        </w:tc>
      </w:tr>
    </w:tbl>
    <w:p>
      <w:pPr>
        <w:spacing w:after="0" w:line="200" w:lineRule="exact"/>
        <w:rPr>
          <w:sz w:val="20"/>
          <w:szCs w:val="20"/>
          <w:color w:val="auto"/>
        </w:rPr>
      </w:pPr>
    </w:p>
    <w:p>
      <w:pPr>
        <w:sectPr>
          <w:pgSz w:w="11900" w:h="16838" w:orient="portrait"/>
          <w:cols w:equalWidth="0" w:num="1">
            <w:col w:w="10219"/>
          </w:cols>
          <w:pgMar w:left="240" w:top="614" w:right="1440" w:bottom="1440" w:gutter="0" w:footer="0" w:header="0"/>
        </w:sectPr>
      </w:pP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 in Days in Claims Payable (S)</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DCP—beginning of period</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Components of change in DCP:</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Provider accruals (T)</w:t>
      </w:r>
    </w:p>
    <w:p>
      <w:pPr>
        <w:spacing w:after="0" w:line="86" w:lineRule="exact"/>
        <w:rPr>
          <w:sz w:val="20"/>
          <w:szCs w:val="20"/>
          <w:color w:val="auto"/>
        </w:rPr>
      </w:pPr>
    </w:p>
    <w:p>
      <w:pPr>
        <w:ind w:left="40" w:right="180" w:firstLine="811"/>
        <w:spacing w:after="0" w:line="260" w:lineRule="auto"/>
        <w:rPr>
          <w:sz w:val="20"/>
          <w:szCs w:val="20"/>
          <w:color w:val="auto"/>
        </w:rPr>
      </w:pPr>
      <w:r>
        <w:rPr>
          <w:rFonts w:ascii="Arial" w:cs="Arial" w:eastAsia="Arial" w:hAnsi="Arial"/>
          <w:sz w:val="16"/>
          <w:szCs w:val="16"/>
          <w:color w:val="auto"/>
        </w:rPr>
        <w:t>Medical fee-for-service, excluding Individual Commercial (U)</w:t>
      </w:r>
    </w:p>
    <w:p>
      <w:pPr>
        <w:spacing w:after="0" w:line="3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Individual Commercial (V)</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Pharmacy (W)</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Processed claims inventory (X)</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(Y)</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DCP—end of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change from beginning of period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87"/>
        </w:trPr>
        <w:tc>
          <w:tcPr>
            <w:tcW w:w="920" w:type="dxa"/>
            <w:vAlign w:val="bottom"/>
          </w:tcPr>
          <w:p>
            <w:pPr>
              <w:jc w:val="center"/>
              <w:ind w:right="19"/>
              <w:spacing w:after="0"/>
              <w:rPr>
                <w:sz w:val="20"/>
                <w:szCs w:val="20"/>
                <w:color w:val="auto"/>
              </w:rPr>
            </w:pPr>
            <w:r>
              <w:rPr>
                <w:rFonts w:ascii="Arial" w:cs="Arial" w:eastAsia="Arial" w:hAnsi="Arial"/>
                <w:sz w:val="16"/>
                <w:szCs w:val="16"/>
                <w:color w:val="auto"/>
              </w:rPr>
              <w:t>1Q</w:t>
            </w:r>
          </w:p>
        </w:tc>
        <w:tc>
          <w:tcPr>
            <w:tcW w:w="72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rPr>
              <w:t>2Q</w:t>
            </w:r>
          </w:p>
        </w:tc>
        <w:tc>
          <w:tcPr>
            <w:tcW w:w="800" w:type="dxa"/>
            <w:vAlign w:val="bottom"/>
            <w:tcBorders>
              <w:top w:val="single" w:sz="8" w:color="auto"/>
              <w:right w:val="single" w:sz="8" w:color="auto"/>
            </w:tcBorders>
          </w:tcPr>
          <w:p>
            <w:pPr>
              <w:jc w:val="right"/>
              <w:ind w:right="159"/>
              <w:spacing w:after="0"/>
              <w:rPr>
                <w:sz w:val="20"/>
                <w:szCs w:val="20"/>
                <w:color w:val="auto"/>
              </w:rPr>
            </w:pPr>
            <w:r>
              <w:rPr>
                <w:rFonts w:ascii="Arial" w:cs="Arial" w:eastAsia="Arial" w:hAnsi="Arial"/>
                <w:sz w:val="16"/>
                <w:szCs w:val="16"/>
                <w:b w:val="1"/>
                <w:bCs w:val="1"/>
                <w:color w:val="00497F"/>
              </w:rPr>
              <w:t>YTD</w:t>
            </w:r>
          </w:p>
        </w:tc>
      </w:tr>
      <w:tr>
        <w:trPr>
          <w:trHeight w:val="228"/>
        </w:trPr>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c>
          <w:tcPr>
            <w:tcW w:w="72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2019</w:t>
            </w:r>
          </w:p>
        </w:tc>
        <w:tc>
          <w:tcPr>
            <w:tcW w:w="80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00497F"/>
              </w:rPr>
              <w:t>2Q19</w:t>
            </w:r>
          </w:p>
        </w:tc>
      </w:tr>
      <w:tr>
        <w:trPr>
          <w:trHeight w:val="237"/>
        </w:trPr>
        <w:tc>
          <w:tcPr>
            <w:tcW w:w="920" w:type="dxa"/>
            <w:vAlign w:val="bottom"/>
          </w:tcPr>
          <w:p>
            <w:pPr>
              <w:jc w:val="right"/>
              <w:ind w:right="99"/>
              <w:spacing w:after="0"/>
              <w:rPr>
                <w:sz w:val="20"/>
                <w:szCs w:val="20"/>
                <w:color w:val="auto"/>
              </w:rPr>
            </w:pPr>
            <w:r>
              <w:rPr>
                <w:rFonts w:ascii="Arial" w:cs="Arial" w:eastAsia="Arial" w:hAnsi="Arial"/>
                <w:sz w:val="16"/>
                <w:szCs w:val="16"/>
                <w:color w:val="auto"/>
              </w:rPr>
              <w:t>39.1</w:t>
            </w:r>
          </w:p>
        </w:tc>
        <w:tc>
          <w:tcPr>
            <w:tcW w:w="7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40.2</w:t>
            </w:r>
          </w:p>
        </w:tc>
        <w:tc>
          <w:tcPr>
            <w:tcW w:w="8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00497F"/>
              </w:rPr>
              <w:t>39.1</w:t>
            </w:r>
          </w:p>
        </w:tc>
      </w:tr>
      <w:tr>
        <w:trPr>
          <w:trHeight w:val="540"/>
        </w:trPr>
        <w:tc>
          <w:tcPr>
            <w:tcW w:w="92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7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c>
          <w:tcPr>
            <w:tcW w:w="8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00497F"/>
              </w:rPr>
              <w:t>1.9</w:t>
            </w:r>
          </w:p>
        </w:tc>
      </w:tr>
      <w:tr>
        <w:trPr>
          <w:trHeight w:val="432"/>
        </w:trPr>
        <w:tc>
          <w:tcPr>
            <w:tcW w:w="920" w:type="dxa"/>
            <w:vAlign w:val="bottom"/>
          </w:tcPr>
          <w:p>
            <w:pPr>
              <w:jc w:val="right"/>
              <w:ind w:right="59"/>
              <w:spacing w:after="0"/>
              <w:rPr>
                <w:sz w:val="20"/>
                <w:szCs w:val="20"/>
                <w:color w:val="auto"/>
              </w:rPr>
            </w:pPr>
            <w:r>
              <w:rPr>
                <w:rFonts w:ascii="Arial" w:cs="Arial" w:eastAsia="Arial" w:hAnsi="Arial"/>
                <w:sz w:val="16"/>
                <w:szCs w:val="16"/>
                <w:color w:val="auto"/>
              </w:rPr>
              <w:t>(0.8)</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00497F"/>
              </w:rPr>
              <w:t>(1.8)</w:t>
            </w:r>
          </w:p>
        </w:tc>
      </w:tr>
      <w:tr>
        <w:trPr>
          <w:trHeight w:val="270"/>
        </w:trPr>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00497F"/>
              </w:rPr>
              <w:t>—</w:t>
            </w:r>
          </w:p>
        </w:tc>
      </w:tr>
      <w:tr>
        <w:trPr>
          <w:trHeight w:val="270"/>
        </w:trPr>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00497F"/>
              </w:rPr>
              <w:t>(0.9)</w:t>
            </w:r>
          </w:p>
        </w:tc>
      </w:tr>
      <w:tr>
        <w:trPr>
          <w:trHeight w:val="270"/>
        </w:trPr>
        <w:tc>
          <w:tcPr>
            <w:tcW w:w="92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7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c>
          <w:tcPr>
            <w:tcW w:w="8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00497F"/>
              </w:rPr>
              <w:t>1.9</w:t>
            </w:r>
          </w:p>
        </w:tc>
      </w:tr>
      <w:tr>
        <w:trPr>
          <w:trHeight w:val="283"/>
        </w:trPr>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(0.2)</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00497F"/>
              </w:rPr>
              <w:t>(0.3)</w:t>
            </w:r>
          </w:p>
        </w:tc>
      </w:tr>
      <w:tr>
        <w:trPr>
          <w:trHeight w:val="237"/>
        </w:trPr>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40.2</w:t>
            </w:r>
          </w:p>
        </w:tc>
        <w:tc>
          <w:tcPr>
            <w:tcW w:w="7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39.9</w:t>
            </w:r>
          </w:p>
        </w:tc>
        <w:tc>
          <w:tcPr>
            <w:tcW w:w="8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00497F"/>
              </w:rPr>
              <w:t>39.9</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92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00497F"/>
              </w:rPr>
              <w:t>0.8</w:t>
            </w:r>
          </w:p>
        </w:tc>
      </w:tr>
    </w:tbl>
    <w:p>
      <w:pPr>
        <w:spacing w:after="0" w:line="22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S-19</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Last</w:t>
      </w:r>
    </w:p>
    <w:p>
      <w:pPr>
        <w:spacing w:after="0" w:line="5"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6"/>
          <w:szCs w:val="16"/>
          <w:color w:val="auto"/>
        </w:rPr>
        <w:t>2Q</w:t>
      </w:r>
      <w:r>
        <w:rPr>
          <w:sz w:val="20"/>
          <w:szCs w:val="20"/>
          <w:color w:val="auto"/>
        </w:rPr>
        <w:tab/>
      </w:r>
      <w:r>
        <w:rPr>
          <w:rFonts w:ascii="Arial" w:cs="Arial" w:eastAsia="Arial" w:hAnsi="Arial"/>
          <w:sz w:val="16"/>
          <w:szCs w:val="16"/>
          <w:color w:val="auto"/>
        </w:rPr>
        <w:t>Twelve</w:t>
      </w:r>
    </w:p>
    <w:p>
      <w:pPr>
        <w:spacing w:after="0" w:line="5"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2018</w:t>
      </w:r>
      <w:r>
        <w:rPr>
          <w:sz w:val="20"/>
          <w:szCs w:val="20"/>
          <w:color w:val="auto"/>
        </w:rPr>
        <w:tab/>
      </w:r>
      <w:r>
        <w:rPr>
          <w:rFonts w:ascii="Arial" w:cs="Arial" w:eastAsia="Arial" w:hAnsi="Arial"/>
          <w:sz w:val="16"/>
          <w:szCs w:val="16"/>
          <w:color w:val="auto"/>
        </w:rPr>
        <w:t>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19050</wp:posOffset>
            </wp:positionV>
            <wp:extent cx="1012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960" w:val="left"/>
        </w:tabs>
        <w:rPr>
          <w:sz w:val="20"/>
          <w:szCs w:val="20"/>
          <w:color w:val="auto"/>
        </w:rPr>
      </w:pPr>
      <w:r>
        <w:rPr>
          <w:rFonts w:ascii="Arial" w:cs="Arial" w:eastAsia="Arial" w:hAnsi="Arial"/>
          <w:sz w:val="16"/>
          <w:szCs w:val="16"/>
          <w:color w:val="auto"/>
        </w:rPr>
        <w:t>38.3</w:t>
      </w:r>
      <w:r>
        <w:rPr>
          <w:sz w:val="20"/>
          <w:szCs w:val="20"/>
          <w:color w:val="auto"/>
        </w:rPr>
        <w:tab/>
      </w:r>
      <w:r>
        <w:rPr>
          <w:rFonts w:ascii="Arial" w:cs="Arial" w:eastAsia="Arial" w:hAnsi="Arial"/>
          <w:sz w:val="16"/>
          <w:szCs w:val="16"/>
          <w:color w:val="auto"/>
        </w:rPr>
        <w:t>40.1</w:t>
      </w:r>
    </w:p>
    <w:p>
      <w:pPr>
        <w:spacing w:after="0" w:line="356"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6"/>
          <w:szCs w:val="16"/>
          <w:color w:val="auto"/>
        </w:rPr>
        <w:t>0.1</w:t>
      </w:r>
      <w:r>
        <w:rPr>
          <w:sz w:val="20"/>
          <w:szCs w:val="20"/>
          <w:color w:val="auto"/>
        </w:rPr>
        <w:tab/>
      </w:r>
      <w:r>
        <w:rPr>
          <w:rFonts w:ascii="Arial" w:cs="Arial" w:eastAsia="Arial" w:hAnsi="Arial"/>
          <w:sz w:val="16"/>
          <w:szCs w:val="16"/>
          <w:color w:val="auto"/>
        </w:rPr>
        <w:t>1.1</w:t>
      </w:r>
    </w:p>
    <w:p>
      <w:pPr>
        <w:spacing w:after="0" w:line="248" w:lineRule="exact"/>
        <w:rPr>
          <w:sz w:val="20"/>
          <w:szCs w:val="20"/>
          <w:color w:val="auto"/>
        </w:rPr>
      </w:pPr>
    </w:p>
    <w:p>
      <w:pPr>
        <w:jc w:val="right"/>
        <w:ind w:right="1239"/>
        <w:spacing w:after="0"/>
        <w:tabs>
          <w:tab w:leader="none" w:pos="30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5"/>
          <w:szCs w:val="15"/>
          <w:color w:val="auto"/>
        </w:rPr>
        <w:t>(1.3)</w:t>
      </w:r>
    </w:p>
    <w:p>
      <w:pPr>
        <w:spacing w:after="0" w:line="86" w:lineRule="exact"/>
        <w:rPr>
          <w:sz w:val="20"/>
          <w:szCs w:val="20"/>
          <w:color w:val="auto"/>
        </w:rPr>
      </w:pPr>
    </w:p>
    <w:p>
      <w:pPr>
        <w:ind w:left="220"/>
        <w:spacing w:after="0"/>
        <w:tabs>
          <w:tab w:leader="none" w:pos="1120" w:val="left"/>
        </w:tabs>
        <w:rPr>
          <w:sz w:val="20"/>
          <w:szCs w:val="20"/>
          <w:color w:val="auto"/>
        </w:rPr>
      </w:pPr>
      <w:r>
        <w:rPr>
          <w:rFonts w:ascii="Arial" w:cs="Arial" w:eastAsia="Arial" w:hAnsi="Arial"/>
          <w:sz w:val="16"/>
          <w:szCs w:val="16"/>
          <w:color w:val="auto"/>
        </w:rPr>
        <w:t>(0.1)</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jc w:val="right"/>
        <w:ind w:right="1239"/>
        <w:spacing w:after="0"/>
        <w:tabs>
          <w:tab w:leader="none" w:pos="300" w:val="left"/>
        </w:tabs>
        <w:rPr>
          <w:sz w:val="20"/>
          <w:szCs w:val="20"/>
          <w:color w:val="auto"/>
        </w:rPr>
      </w:pPr>
      <w:r>
        <w:rPr>
          <w:rFonts w:ascii="Arial" w:cs="Arial" w:eastAsia="Arial" w:hAnsi="Arial"/>
          <w:sz w:val="16"/>
          <w:szCs w:val="16"/>
          <w:color w:val="auto"/>
        </w:rPr>
        <w:t>0.2</w:t>
      </w:r>
      <w:r>
        <w:rPr>
          <w:sz w:val="20"/>
          <w:szCs w:val="20"/>
          <w:color w:val="auto"/>
        </w:rPr>
        <w:tab/>
      </w:r>
      <w:r>
        <w:rPr>
          <w:rFonts w:ascii="Arial" w:cs="Arial" w:eastAsia="Arial" w:hAnsi="Arial"/>
          <w:sz w:val="15"/>
          <w:szCs w:val="15"/>
          <w:color w:val="auto"/>
        </w:rPr>
        <w:t>(0.1)</w:t>
      </w:r>
    </w:p>
    <w:p>
      <w:pPr>
        <w:spacing w:after="0" w:line="86"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6"/>
          <w:szCs w:val="16"/>
          <w:color w:val="auto"/>
        </w:rPr>
        <w:t>0.3</w:t>
      </w:r>
      <w:r>
        <w:rPr>
          <w:sz w:val="20"/>
          <w:szCs w:val="20"/>
          <w:color w:val="auto"/>
        </w:rPr>
        <w:tab/>
      </w:r>
      <w:r>
        <w:rPr>
          <w:rFonts w:ascii="Arial" w:cs="Arial" w:eastAsia="Arial" w:hAnsi="Arial"/>
          <w:sz w:val="16"/>
          <w:szCs w:val="16"/>
          <w:color w:val="auto"/>
        </w:rPr>
        <w:t>0.7</w:t>
      </w:r>
    </w:p>
    <w:p>
      <w:pPr>
        <w:spacing w:after="0" w:line="86" w:lineRule="exact"/>
        <w:rPr>
          <w:sz w:val="20"/>
          <w:szCs w:val="20"/>
          <w:color w:val="auto"/>
        </w:rPr>
      </w:pPr>
    </w:p>
    <w:p>
      <w:pPr>
        <w:jc w:val="right"/>
        <w:ind w:right="1239"/>
        <w:spacing w:after="0"/>
        <w:tabs>
          <w:tab w:leader="none" w:pos="300" w:val="left"/>
        </w:tabs>
        <w:rPr>
          <w:sz w:val="20"/>
          <w:szCs w:val="20"/>
          <w:color w:val="auto"/>
        </w:rPr>
      </w:pPr>
      <w:r>
        <w:rPr>
          <w:rFonts w:ascii="Arial" w:cs="Arial" w:eastAsia="Arial" w:hAnsi="Arial"/>
          <w:sz w:val="16"/>
          <w:szCs w:val="16"/>
          <w:color w:val="auto"/>
        </w:rPr>
        <w:t>(0.1)</w:t>
      </w:r>
      <w:r>
        <w:rPr>
          <w:sz w:val="20"/>
          <w:szCs w:val="20"/>
          <w:color w:val="auto"/>
        </w:rPr>
        <w:tab/>
      </w:r>
      <w:r>
        <w:rPr>
          <w:rFonts w:ascii="Arial" w:cs="Arial" w:eastAsia="Arial" w:hAnsi="Arial"/>
          <w:sz w:val="15"/>
          <w:szCs w:val="15"/>
          <w:color w:val="auto"/>
        </w:rPr>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19050</wp:posOffset>
            </wp:positionV>
            <wp:extent cx="10121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53" w:lineRule="exact"/>
        <w:rPr>
          <w:sz w:val="20"/>
          <w:szCs w:val="20"/>
          <w:color w:val="auto"/>
        </w:rPr>
      </w:pPr>
    </w:p>
    <w:p>
      <w:pPr>
        <w:ind w:left="180"/>
        <w:spacing w:after="0"/>
        <w:tabs>
          <w:tab w:leader="none" w:pos="960" w:val="left"/>
        </w:tabs>
        <w:rPr>
          <w:sz w:val="20"/>
          <w:szCs w:val="20"/>
          <w:color w:val="auto"/>
        </w:rPr>
      </w:pPr>
      <w:r>
        <w:rPr>
          <w:rFonts w:ascii="Arial" w:cs="Arial" w:eastAsia="Arial" w:hAnsi="Arial"/>
          <w:sz w:val="16"/>
          <w:szCs w:val="16"/>
          <w:color w:val="auto"/>
        </w:rPr>
        <w:t>40.1</w:t>
      </w:r>
      <w:r>
        <w:rPr>
          <w:sz w:val="20"/>
          <w:szCs w:val="20"/>
          <w:color w:val="auto"/>
        </w:rPr>
        <w:tab/>
      </w:r>
      <w:r>
        <w:rPr>
          <w:rFonts w:ascii="Arial" w:cs="Arial" w:eastAsia="Arial" w:hAnsi="Arial"/>
          <w:sz w:val="16"/>
          <w:szCs w:val="16"/>
          <w:color w:val="auto"/>
        </w:rPr>
        <w:t>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19050</wp:posOffset>
            </wp:positionV>
            <wp:extent cx="10121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36195</wp:posOffset>
            </wp:positionV>
            <wp:extent cx="10121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80" w:lineRule="exact"/>
        <w:rPr>
          <w:sz w:val="20"/>
          <w:szCs w:val="20"/>
          <w:color w:val="auto"/>
        </w:rPr>
      </w:pPr>
    </w:p>
    <w:p>
      <w:pPr>
        <w:jc w:val="right"/>
        <w:ind w:right="1239"/>
        <w:spacing w:after="0"/>
        <w:tabs>
          <w:tab w:leader="none" w:pos="30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5"/>
          <w:szCs w:val="15"/>
          <w:color w:val="auto"/>
        </w:rPr>
        <w:t>(0.2)</w:t>
      </w:r>
    </w:p>
    <w:p>
      <w:pPr>
        <w:sectPr>
          <w:pgSz w:w="11900" w:h="16838" w:orient="portrait"/>
          <w:cols w:equalWidth="0" w:num="3">
            <w:col w:w="4160" w:space="720"/>
            <w:col w:w="2440" w:space="320"/>
            <w:col w:w="2579"/>
          </w:cols>
          <w:pgMar w:left="240" w:top="614"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Humana Inc.</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Footnotes to Statistical Schedules and Supplementary Information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2Q19 Earnings Release</w:t>
      </w:r>
    </w:p>
    <w:p>
      <w:pPr>
        <w:spacing w:after="0" w:line="217" w:lineRule="exact"/>
        <w:rPr>
          <w:sz w:val="20"/>
          <w:szCs w:val="20"/>
          <w:color w:val="auto"/>
        </w:rPr>
      </w:pPr>
    </w:p>
    <w:p>
      <w:pPr>
        <w:ind w:left="820" w:hanging="326"/>
        <w:spacing w:after="0"/>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Put/call valuation adjustments associated with Humana’s 40% minority interest ownership in Kindred at Home</w:t>
      </w:r>
    </w:p>
    <w:p>
      <w:pPr>
        <w:spacing w:after="0" w:line="1" w:lineRule="exact"/>
        <w:rPr>
          <w:rFonts w:ascii="Arial" w:cs="Arial" w:eastAsia="Arial" w:hAnsi="Arial"/>
          <w:sz w:val="14"/>
          <w:szCs w:val="14"/>
          <w:color w:val="auto"/>
        </w:rPr>
      </w:pPr>
    </w:p>
    <w:p>
      <w:pPr>
        <w:ind w:left="820" w:hanging="326"/>
        <w:spacing w:after="0"/>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Net earnings associated with the company’s 40% minority interest ownership in Kindred at Home</w:t>
      </w:r>
    </w:p>
    <w:p>
      <w:pPr>
        <w:spacing w:after="0" w:line="1" w:lineRule="exact"/>
        <w:rPr>
          <w:rFonts w:ascii="Arial" w:cs="Arial" w:eastAsia="Arial" w:hAnsi="Arial"/>
          <w:sz w:val="14"/>
          <w:szCs w:val="14"/>
          <w:color w:val="auto"/>
        </w:rPr>
      </w:pPr>
    </w:p>
    <w:p>
      <w:pPr>
        <w:ind w:left="820" w:right="140" w:hanging="326"/>
        <w:spacing w:after="0" w:line="241" w:lineRule="auto"/>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Humana exited the individual commercial fully-insured medical health insurance business beginning January 1, 2018, as well as exited certain other business, and therefore no longer report separately the Individual Commercial segment and the Other Businesses category in 2019.</w:t>
      </w:r>
    </w:p>
    <w:p>
      <w:pPr>
        <w:ind w:left="820" w:hanging="326"/>
        <w:spacing w:after="0"/>
        <w:tabs>
          <w:tab w:leader="none" w:pos="8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Medicaid and other category includes premiums associated with the company’s Medicaid business, as well as the closed block of long-term care insurance policies in 2018.</w:t>
      </w:r>
    </w:p>
    <w:p>
      <w:pPr>
        <w:spacing w:after="0" w:line="24" w:lineRule="exact"/>
        <w:rPr>
          <w:rFonts w:ascii="Arial" w:cs="Arial" w:eastAsia="Arial" w:hAnsi="Arial"/>
          <w:sz w:val="12"/>
          <w:szCs w:val="12"/>
          <w:color w:val="auto"/>
        </w:rPr>
      </w:pPr>
    </w:p>
    <w:p>
      <w:pPr>
        <w:ind w:left="820" w:right="240" w:hanging="326"/>
        <w:spacing w:after="0" w:line="241" w:lineRule="auto"/>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ASO and other category is primarily comprised of Administrative Services Only (ASO) fees and other ancillary services fees, including military services unless separately disclosed.</w:t>
      </w:r>
    </w:p>
    <w:p>
      <w:pPr>
        <w:ind w:left="820" w:hanging="326"/>
        <w:spacing w:after="0"/>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Medicaid Temporary Assistance for Needy Families (TANF), dual-eligible demonstration, and Long-Term Support Services (LTSS) from state-based contracts.</w:t>
      </w:r>
    </w:p>
    <w:p>
      <w:pPr>
        <w:spacing w:after="0" w:line="1" w:lineRule="exact"/>
        <w:rPr>
          <w:rFonts w:ascii="Arial" w:cs="Arial" w:eastAsia="Arial" w:hAnsi="Arial"/>
          <w:sz w:val="14"/>
          <w:szCs w:val="14"/>
          <w:color w:val="auto"/>
        </w:rPr>
      </w:pPr>
    </w:p>
    <w:p>
      <w:pPr>
        <w:ind w:left="820" w:hanging="326"/>
        <w:spacing w:after="0"/>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Other supplemental benefits include group life policies.</w:t>
      </w:r>
    </w:p>
    <w:p>
      <w:pPr>
        <w:spacing w:after="0" w:line="1" w:lineRule="exact"/>
        <w:rPr>
          <w:rFonts w:ascii="Arial" w:cs="Arial" w:eastAsia="Arial" w:hAnsi="Arial"/>
          <w:sz w:val="14"/>
          <w:szCs w:val="14"/>
          <w:color w:val="auto"/>
        </w:rPr>
      </w:pPr>
    </w:p>
    <w:p>
      <w:pPr>
        <w:ind w:left="820" w:hanging="326"/>
        <w:spacing w:after="0" w:line="241" w:lineRule="auto"/>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 certain circumstances, the company contracts with providers to accept financial risk for a defined set of Medicare Advantage membership. In transferring this risk, the company prepays these providers a monthly fixed-fee per member to coordinate substantially all of the medical care for their Medicare Advantage members assigned or attributed to their provider panel, including some health benefit administrative functions and claims processing. For these capitated Shared Risk arrangements, the company generally agrees to payment rates that target a benefit expense ratio. The result is a high level of engagement on the part of the provider.</w:t>
      </w:r>
    </w:p>
    <w:p>
      <w:pPr>
        <w:spacing w:after="0" w:line="1" w:lineRule="exact"/>
        <w:rPr>
          <w:rFonts w:ascii="Arial" w:cs="Arial" w:eastAsia="Arial" w:hAnsi="Arial"/>
          <w:sz w:val="14"/>
          <w:szCs w:val="14"/>
          <w:color w:val="auto"/>
        </w:rPr>
      </w:pPr>
    </w:p>
    <w:p>
      <w:pPr>
        <w:ind w:left="820" w:hanging="326"/>
        <w:spacing w:after="0" w:line="241" w:lineRule="auto"/>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 Path to Risk provider is one who has a high level of engagement and participates in one of Humana’s pay-for-performance programs (Model Practice or Medical Home) or has a risk contract in place with a trigger (future date or membership threshold) which has not yet been met. In addition to earning incentives, these providers may also have a shared savings component by which they can share in achieved surpluses when the actual cost of the medical services provided to patients assigned or attributed to their panel is less than the agreed upon medical expense target.</w:t>
      </w:r>
    </w:p>
    <w:p>
      <w:pPr>
        <w:spacing w:after="0" w:line="1" w:lineRule="exact"/>
        <w:rPr>
          <w:rFonts w:ascii="Arial" w:cs="Arial" w:eastAsia="Arial" w:hAnsi="Arial"/>
          <w:sz w:val="14"/>
          <w:szCs w:val="14"/>
          <w:color w:val="auto"/>
        </w:rPr>
      </w:pPr>
    </w:p>
    <w:p>
      <w:pPr>
        <w:ind w:left="820" w:hanging="326"/>
        <w:spacing w:after="0"/>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primarily reflect services revenues under the TRICARE East Region contract which generally are contracted on a per-member basis.</w:t>
      </w:r>
    </w:p>
    <w:p>
      <w:pPr>
        <w:spacing w:after="0" w:line="1" w:lineRule="exact"/>
        <w:rPr>
          <w:rFonts w:ascii="Arial" w:cs="Arial" w:eastAsia="Arial" w:hAnsi="Arial"/>
          <w:sz w:val="14"/>
          <w:szCs w:val="14"/>
          <w:color w:val="auto"/>
        </w:rPr>
      </w:pPr>
    </w:p>
    <w:p>
      <w:pPr>
        <w:ind w:left="820" w:hanging="326"/>
        <w:spacing w:after="0"/>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Computed based on average membership for the period (i.e., monthly ending membership during the period divided by the number of months in the period).</w:t>
      </w:r>
    </w:p>
    <w:p>
      <w:pPr>
        <w:spacing w:after="0" w:line="1" w:lineRule="exact"/>
        <w:rPr>
          <w:rFonts w:ascii="Arial" w:cs="Arial" w:eastAsia="Arial" w:hAnsi="Arial"/>
          <w:sz w:val="14"/>
          <w:szCs w:val="14"/>
          <w:color w:val="auto"/>
        </w:rPr>
      </w:pPr>
    </w:p>
    <w:p>
      <w:pPr>
        <w:ind w:left="820" w:right="80" w:hanging="326"/>
        <w:spacing w:after="0" w:line="281" w:lineRule="auto"/>
        <w:tabs>
          <w:tab w:leader="none" w:pos="8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1" w:lineRule="exact"/>
        <w:rPr>
          <w:rFonts w:ascii="Arial" w:cs="Arial" w:eastAsia="Arial" w:hAnsi="Arial"/>
          <w:sz w:val="12"/>
          <w:szCs w:val="12"/>
          <w:color w:val="auto"/>
        </w:rPr>
      </w:pPr>
    </w:p>
    <w:p>
      <w:pPr>
        <w:ind w:left="820" w:right="80" w:hanging="326"/>
        <w:spacing w:after="0" w:line="281" w:lineRule="auto"/>
        <w:tabs>
          <w:tab w:leader="none" w:pos="8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Reflects discharges enrolled in Humana’s 30-day care management services, which supports members after they are discharged home from a hospital or other facility. The program is aimed at individuals at high-risk for re-hospitalization. Care managers visit and call members at home to ensure they have and understand correct prescriptions, their doctors are informed about members’ changed status, and that members are either self-managing adequately or are referred to appropriate ongoing services.</w:t>
      </w:r>
    </w:p>
    <w:p>
      <w:pPr>
        <w:spacing w:after="0" w:line="1" w:lineRule="exact"/>
        <w:rPr>
          <w:rFonts w:ascii="Arial" w:cs="Arial" w:eastAsia="Arial" w:hAnsi="Arial"/>
          <w:sz w:val="12"/>
          <w:szCs w:val="12"/>
          <w:color w:val="auto"/>
        </w:rPr>
      </w:pPr>
    </w:p>
    <w:p>
      <w:pPr>
        <w:ind w:left="820" w:hanging="326"/>
        <w:spacing w:after="0"/>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Script volume is presented on an adjusted 30-day equivalent basis. This includes all scripts processed by the Humana pharmacy benefit manager (PBM).</w:t>
      </w:r>
    </w:p>
    <w:p>
      <w:pPr>
        <w:spacing w:after="0" w:line="1" w:lineRule="exact"/>
        <w:rPr>
          <w:rFonts w:ascii="Arial" w:cs="Arial" w:eastAsia="Arial" w:hAnsi="Arial"/>
          <w:sz w:val="14"/>
          <w:szCs w:val="14"/>
          <w:color w:val="auto"/>
        </w:rPr>
      </w:pPr>
    </w:p>
    <w:p>
      <w:pPr>
        <w:ind w:left="820" w:hanging="326"/>
        <w:spacing w:after="0"/>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reinsurance recoverables associated with the company’s state-based Medicaid contract in Kentucky.</w:t>
      </w:r>
    </w:p>
    <w:p>
      <w:pPr>
        <w:spacing w:after="0" w:line="1" w:lineRule="exact"/>
        <w:rPr>
          <w:rFonts w:ascii="Arial" w:cs="Arial" w:eastAsia="Arial" w:hAnsi="Arial"/>
          <w:sz w:val="14"/>
          <w:szCs w:val="14"/>
          <w:color w:val="auto"/>
        </w:rPr>
      </w:pPr>
    </w:p>
    <w:p>
      <w:pPr>
        <w:ind w:left="820" w:right="20" w:hanging="326"/>
        <w:spacing w:after="0" w:line="241" w:lineRule="auto"/>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incurred related to prior years vary from previously estimated liabilities as the claims ultimately are settled. Negative amounts reported for incurred related to prior years result from claims being ultimately settled for amounts less than originally estimated (favorable development). There were no changes in the approach used to determine the company’s estimate of medical claim reserves during the quarter.</w:t>
      </w:r>
    </w:p>
    <w:p>
      <w:pPr>
        <w:spacing w:after="0" w:line="1" w:lineRule="exact"/>
        <w:rPr>
          <w:rFonts w:ascii="Arial" w:cs="Arial" w:eastAsia="Arial" w:hAnsi="Arial"/>
          <w:sz w:val="14"/>
          <w:szCs w:val="14"/>
          <w:color w:val="auto"/>
        </w:rPr>
      </w:pPr>
    </w:p>
    <w:p>
      <w:pPr>
        <w:ind w:left="820" w:right="340" w:hanging="326"/>
        <w:spacing w:after="0" w:line="241" w:lineRule="auto"/>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Future policy benefit expense has a related liability classified as a long-term liability on the balance sheet. Prior year amounts reflect the release of reserves for future policy benefits as individual medical members transitioned to plans compliant with the Affordable Care Act.</w:t>
      </w:r>
    </w:p>
    <w:p>
      <w:pPr>
        <w:ind w:left="820" w:right="100" w:hanging="326"/>
        <w:spacing w:after="0" w:line="241" w:lineRule="auto"/>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 common metric for monitoring benefits payable levels relative to benefits expense is days in claims payable (DCP). The company calculates DCP using the quarterly reported benefits expense and benefits payable balances as presented within the company’s consolidated financial statements.</w:t>
      </w:r>
    </w:p>
    <w:p>
      <w:pPr>
        <w:ind w:left="820" w:right="60" w:hanging="326"/>
        <w:spacing w:after="0" w:line="241" w:lineRule="auto"/>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DCP fluctuates due to a number of factors, the more significant of which are detailed in this rollforward. Growth in certain product lines can also impact DCP for the quarter since a provision for claims would not have been recorded for members that had not yet enrolled earlier in the quarter, yet those members would have a provision and corresponding medical claims reserve recorded upon enrollment later in the quarter.</w:t>
      </w:r>
    </w:p>
    <w:p>
      <w:pPr>
        <w:spacing w:after="0" w:line="1" w:lineRule="exact"/>
        <w:rPr>
          <w:rFonts w:ascii="Arial" w:cs="Arial" w:eastAsia="Arial" w:hAnsi="Arial"/>
          <w:sz w:val="14"/>
          <w:szCs w:val="14"/>
          <w:color w:val="auto"/>
        </w:rPr>
      </w:pPr>
    </w:p>
    <w:p>
      <w:pPr>
        <w:ind w:left="820" w:right="200" w:hanging="326"/>
        <w:spacing w:after="0" w:line="241" w:lineRule="auto"/>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Provider accruals represent portions of capitation payments set aside to pay future settlements for capitated providers. Related settlements generally happen over a 12-month period.</w:t>
      </w:r>
    </w:p>
    <w:p>
      <w:pPr>
        <w:ind w:left="820" w:right="520" w:hanging="326"/>
        <w:spacing w:after="0" w:line="241" w:lineRule="auto"/>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medical and specialty claims incurred but not reported (IBNR) for non-pharmacy fully-insured products and excludes the impact of the Individual Commercial segment.</w:t>
      </w:r>
    </w:p>
    <w:p>
      <w:pPr>
        <w:ind w:left="820" w:hanging="326"/>
        <w:spacing w:after="0"/>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Individual Commercial medical IBNR (on-exchange, off-exchange, and legacy).</w:t>
      </w:r>
    </w:p>
    <w:p>
      <w:pPr>
        <w:spacing w:after="0" w:line="1" w:lineRule="exact"/>
        <w:rPr>
          <w:rFonts w:ascii="Arial" w:cs="Arial" w:eastAsia="Arial" w:hAnsi="Arial"/>
          <w:sz w:val="14"/>
          <w:szCs w:val="14"/>
          <w:color w:val="auto"/>
        </w:rPr>
      </w:pPr>
    </w:p>
    <w:p>
      <w:pPr>
        <w:ind w:left="820" w:right="120" w:hanging="326"/>
        <w:spacing w:after="0" w:line="241" w:lineRule="auto"/>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pharmacy claims expense including payments to the company’s pharmacy benefit manager for prescription drugs filled on behalf of Humana’s members, as well as government subsidized programs from Medicare Part D such as low income cost and reinsurance subsidies, as well as coverage gap discount programs.</w:t>
      </w:r>
    </w:p>
    <w:p>
      <w:pPr>
        <w:ind w:left="820" w:right="60" w:hanging="326"/>
        <w:spacing w:after="0" w:line="241" w:lineRule="auto"/>
        <w:tabs>
          <w:tab w:leader="none" w:pos="8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processed claims that are in the post claim adjudication process, which consists of operating functions such as audit, check batching and check handling. These claims are included in IBNR lags, but have not yet been mailed or released from Humana.</w:t>
      </w:r>
    </w:p>
    <w:p>
      <w:pPr>
        <w:ind w:left="820" w:right="540" w:hanging="326"/>
        <w:spacing w:after="0" w:line="324" w:lineRule="auto"/>
        <w:tabs>
          <w:tab w:leader="none" w:pos="8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non-lagged reserves such as ASO stop loss, life reserves, and accidental death and dismemberment/accident and health. Also includes an explicit provision for uncertainty (also called a provision for adverse deviation) intended to ensure the unpaid claim liabilities are adequate under moderately adverse conditions.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S-20</w:t>
      </w:r>
    </w:p>
    <w:sectPr>
      <w:pgSz w:w="11900" w:h="16838" w:orient="portrait"/>
      <w:cols w:equalWidth="0" w:num="1">
        <w:col w:w="11400"/>
      </w:cols>
      <w:pgMar w:left="240" w:top="59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lvl w:ilvl="1">
      <w:lvlJc w:val="left"/>
      <w:lvlText w:val="•"/>
      <w:numFmt w:val="bullet"/>
      <w:start w:val="1"/>
    </w:lvl>
  </w:abstractNum>
  <w:abstractNum w:abstractNumId="2">
    <w:nsid w:val="737B8DDC"/>
    <w:multiLevelType w:val="hybridMultilevel"/>
    <w:lvl w:ilvl="0">
      <w:lvlJc w:val="left"/>
      <w:lvlText w:val="(%1)"/>
      <w:numFmt w:val="lowerLetter"/>
      <w:start w:val="1"/>
    </w:lvl>
    <w:lvl w:ilvl="1">
      <w:lvlJc w:val="left"/>
      <w:lvlText w:val="•"/>
      <w:numFmt w:val="bullet"/>
      <w:start w:val="1"/>
    </w:lvl>
  </w:abstractNum>
  <w:abstractNum w:abstractNumId="3">
    <w:nsid w:val="6CEAF087"/>
    <w:multiLevelType w:val="hybridMultilevel"/>
    <w:lvl w:ilvl="0">
      <w:lvlJc w:val="left"/>
      <w:lvlText w:val="(%1)"/>
      <w:numFmt w:val="lowerLetter"/>
      <w:start w:val="5"/>
    </w:lvl>
    <w:lvl w:ilvl="1">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lvl w:ilvl="1">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lvl w:ilvl="1">
      <w:lvlJc w:val="left"/>
      <w:lvlText w:val="◦"/>
      <w:numFmt w:val="bullet"/>
      <w:start w:val="1"/>
    </w:lvl>
  </w:abstractNum>
  <w:abstractNum w:abstractNumId="26">
    <w:nsid w:val="1D4ED43B"/>
    <w:multiLevelType w:val="hybridMultilevel"/>
    <w:lvl w:ilvl="0">
      <w:lvlJc w:val="left"/>
      <w:lvlText w:val="◦"/>
      <w:numFmt w:val="bullet"/>
      <w:start w:val="1"/>
    </w:lvl>
    <w:lvl w:ilvl="1">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lvl w:ilvl="1">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lvl w:ilvl="1">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lvl w:ilvl="1">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lvl w:ilvl="1">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lvl w:ilvl="1">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1)"/>
      <w:numFmt w:val="lowerLetter"/>
      <w:start w:val="1"/>
    </w:lvl>
    <w:lvl w:ilvl="1">
      <w:lvlJc w:val="left"/>
      <w:lvlText w:val="•"/>
      <w:numFmt w:val="bullet"/>
      <w:start w:val="1"/>
    </w:lvl>
  </w:abstractNum>
  <w:abstractNum w:abstractNumId="48">
    <w:nsid w:val="4F4EF005"/>
    <w:multiLevelType w:val="hybridMultilevel"/>
    <w:lvl w:ilvl="0">
      <w:lvlJc w:val="left"/>
      <w:lvlText w:val="%1"/>
      <w:numFmt w:val="lowerLetter"/>
      <w:start w:val="1"/>
    </w:lvl>
    <w:lvl w:ilvl="1">
      <w:lvlJc w:val="left"/>
      <w:lvlText w:val="(%2)"/>
      <w:numFmt w:val="lowerLetter"/>
      <w:start w:val="6"/>
    </w:lvl>
    <w:lvl w:ilvl="2">
      <w:lvlJc w:val="left"/>
      <w:lvlText w:val="•"/>
      <w:numFmt w:val="bullet"/>
      <w:start w:val="1"/>
    </w:lvl>
  </w:abstractNum>
  <w:abstractNum w:abstractNumId="49">
    <w:nsid w:val="23F9C13C"/>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4"/>
    </w:lvl>
  </w:abstractNum>
  <w:abstractNum w:abstractNumId="57">
    <w:nsid w:val="354FE9F9"/>
    <w:multiLevelType w:val="hybridMultilevel"/>
    <w:lvl w:ilvl="0">
      <w:lvlJc w:val="left"/>
      <w:lvlText w:val="%1."/>
      <w:numFmt w:val="decimal"/>
      <w:start w:val="7"/>
    </w:lvl>
  </w:abstractNum>
  <w:abstractNum w:abstractNumId="58">
    <w:nsid w:val="15B5AF5C"/>
    <w:multiLevelType w:val="hybridMultilevel"/>
    <w:lvl w:ilvl="0">
      <w:lvlJc w:val="left"/>
      <w:lvlText w:val="%1."/>
      <w:numFmt w:val="decimal"/>
      <w:start w:val="11"/>
    </w:lvl>
  </w:abstractNum>
  <w:abstractNum w:abstractNumId="59">
    <w:nsid w:val="741226B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2019-12-28T08:57:02Z</dcterms:created>
  <dcterms:modified xsi:type="dcterms:W3CDTF">2019-12-28T08:57:02Z</dcterms:modified>
</cp:coreProperties>
</file>