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left="540" w:right="1780"/>
        <w:spacing w:after="0" w:line="259" w:lineRule="auto"/>
        <w:rPr>
          <w:sz w:val="20"/>
          <w:szCs w:val="20"/>
          <w:color w:val="auto"/>
        </w:rPr>
      </w:pPr>
      <w:r>
        <w:rPr>
          <w:rFonts w:ascii="Times New Roman" w:cs="Times New Roman" w:eastAsia="Times New Roman" w:hAnsi="Times New Roman"/>
          <w:sz w:val="22"/>
          <w:szCs w:val="22"/>
          <w:b w:val="1"/>
          <w:bCs w:val="1"/>
          <w:color w:val="auto"/>
        </w:rPr>
        <w:t>FOR ANNUAL REPORTS OF EMPLOYEE STOCK PURCHASE, SAVINGS AND SIMILAR PLANS PURSUANT TO SECTION 15(d) OF THE SECURITIES EXCHANGE ACT OF 1934</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80" w:hanging="432"/>
        <w:spacing w:after="0"/>
        <w:tabs>
          <w:tab w:leader="none" w:pos="480" w:val="left"/>
        </w:tabs>
        <w:numPr>
          <w:ilvl w:val="0"/>
          <w:numId w:val="1"/>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4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5" w:lineRule="exact"/>
        <w:rPr>
          <w:sz w:val="24"/>
          <w:szCs w:val="24"/>
          <w:color w:val="auto"/>
        </w:rPr>
      </w:pPr>
    </w:p>
    <w:p>
      <w:pPr>
        <w:ind w:left="660" w:hanging="612"/>
        <w:spacing w:after="0"/>
        <w:tabs>
          <w:tab w:leader="none" w:pos="66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Commission File Number 1-5975</w:t>
      </w:r>
    </w:p>
    <w:p>
      <w:pPr>
        <w:spacing w:after="0" w:line="171" w:lineRule="exact"/>
        <w:rPr>
          <w:sz w:val="24"/>
          <w:szCs w:val="24"/>
          <w:color w:val="auto"/>
        </w:rPr>
      </w:pPr>
    </w:p>
    <w:p>
      <w:pPr>
        <w:ind w:left="400" w:hanging="35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Title of Plan: Humana Puerto Rico Retirement Savings Plan</w:t>
      </w:r>
    </w:p>
    <w:p>
      <w:pPr>
        <w:spacing w:after="0" w:line="171" w:lineRule="exact"/>
        <w:rPr>
          <w:rFonts w:ascii="Times New Roman" w:cs="Times New Roman" w:eastAsia="Times New Roman" w:hAnsi="Times New Roman"/>
          <w:sz w:val="18"/>
          <w:szCs w:val="18"/>
          <w:b w:val="1"/>
          <w:bCs w:val="1"/>
          <w:color w:val="auto"/>
        </w:rPr>
      </w:pPr>
    </w:p>
    <w:p>
      <w:pPr>
        <w:ind w:left="400" w:hanging="35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 of the Securities held Pursuant to the Plan and the Address of its Principal Executive Office:</w:t>
      </w:r>
    </w:p>
    <w:p>
      <w:pPr>
        <w:spacing w:after="0" w:line="17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101 East Main Street</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Louisville, Kentucky 40202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1613535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8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90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480" w:type="dxa"/>
            <w:vAlign w:val="bottom"/>
            <w:gridSpan w:val="3"/>
          </w:tcPr>
          <w:p>
            <w:pPr>
              <w:jc w:val="center"/>
              <w:ind w:left="290"/>
              <w:spacing w:after="0" w:line="182" w:lineRule="exact"/>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520"/>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9"/>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Net Assets Available for Benefits, December 31, 2025 and 2024</w:t>
            </w:r>
          </w:p>
        </w:tc>
        <w:tc>
          <w:tcPr>
            <w:tcW w:w="4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 for the years ended December 31,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3"/>
        </w:trPr>
        <w:tc>
          <w:tcPr>
            <w:tcW w:w="908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2025 and 2024</w:t>
            </w:r>
          </w:p>
        </w:tc>
        <w:tc>
          <w:tcPr>
            <w:tcW w:w="38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79"/>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4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20"/>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8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 December 31, 2025</w:t>
            </w:r>
          </w:p>
        </w:tc>
        <w:tc>
          <w:tcPr>
            <w:tcW w:w="34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12</w:t>
            </w:r>
          </w:p>
        </w:tc>
        <w:tc>
          <w:tcPr>
            <w:tcW w:w="360" w:type="dxa"/>
            <w:vAlign w:val="bottom"/>
          </w:tcPr>
          <w:p>
            <w:pPr>
              <w:spacing w:after="0"/>
              <w:rPr>
                <w:sz w:val="24"/>
                <w:szCs w:val="24"/>
                <w:color w:val="auto"/>
              </w:rPr>
            </w:pPr>
          </w:p>
        </w:tc>
      </w:tr>
      <w:tr>
        <w:trPr>
          <w:trHeight w:val="479"/>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34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360" w:type="dxa"/>
            <w:vAlign w:val="bottom"/>
          </w:tcPr>
          <w:p>
            <w:pPr>
              <w:spacing w:after="0"/>
              <w:rPr>
                <w:sz w:val="24"/>
                <w:szCs w:val="24"/>
                <w:color w:val="auto"/>
              </w:rPr>
            </w:pPr>
          </w:p>
        </w:tc>
      </w:tr>
      <w:tr>
        <w:trPr>
          <w:trHeight w:val="480"/>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34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14</w:t>
            </w:r>
          </w:p>
        </w:tc>
        <w:tc>
          <w:tcPr>
            <w:tcW w:w="360" w:type="dxa"/>
            <w:vAlign w:val="bottom"/>
          </w:tcPr>
          <w:p>
            <w:pPr>
              <w:spacing w:after="0"/>
              <w:rPr>
                <w:sz w:val="24"/>
                <w:szCs w:val="24"/>
                <w:color w:val="auto"/>
              </w:rPr>
            </w:pPr>
          </w:p>
        </w:tc>
      </w:tr>
    </w:tbl>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Other Schedules required by Section 2520.103-10 of the Department of Labor’s Rules and Regulations for Reporting and Disclosure under the Employee Retirement Income Security Act of 1974 (ERISA)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1438910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5123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51230" cy="608330"/>
                    </a:xfrm>
                    <a:prstGeom prst="rect">
                      <a:avLst/>
                    </a:prstGeom>
                    <a:noFill/>
                  </pic:spPr>
                </pic:pic>
              </a:graphicData>
            </a:graphic>
          </wp:anchor>
        </w:drawing>
      </w:r>
    </w:p>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Administrator and Plan Participants of Humana Puerto Rico Retirement Savings Plan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Humana Puerto Rico Retirement Savings Plan (the “Plan”) as of December 31, 2025 and 2024 and the related statements of changes in net assets available for benefits for the years then ended, including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2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The supplemental Schedule H, line 4i – Schedule of Assets (Held at End of Year) as of December 31, 2025 (“supplemental schedule”)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020" w:type="dxa"/>
            <w:vAlign w:val="bottom"/>
            <w:tcBorders>
              <w:bottom w:val="single" w:sz="8" w:color="CCEEFF"/>
            </w:tcBorders>
          </w:tcPr>
          <w:p>
            <w:pPr>
              <w:spacing w:after="0"/>
              <w:rPr>
                <w:sz w:val="20"/>
                <w:szCs w:val="20"/>
                <w:color w:val="auto"/>
              </w:rPr>
            </w:pPr>
          </w:p>
        </w:tc>
        <w:tc>
          <w:tcPr>
            <w:tcW w:w="46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020" w:type="dxa"/>
            <w:vAlign w:val="bottom"/>
            <w:shd w:val="clear" w:color="auto" w:fill="CCEEFF"/>
          </w:tcPr>
          <w:p>
            <w:pPr>
              <w:spacing w:after="0"/>
              <w:rPr>
                <w:sz w:val="18"/>
                <w:szCs w:val="18"/>
                <w:color w:val="auto"/>
              </w:rPr>
            </w:pPr>
          </w:p>
        </w:tc>
        <w:tc>
          <w:tcPr>
            <w:tcW w:w="4680" w:type="dxa"/>
            <w:vAlign w:val="bottom"/>
            <w:shd w:val="clear" w:color="auto" w:fill="CCEEFF"/>
          </w:tcPr>
          <w:p>
            <w:pPr>
              <w:jc w:val="right"/>
              <w:ind w:right="35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55,087</w:t>
            </w: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90,867,993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80,531,027</w:t>
            </w:r>
          </w:p>
        </w:tc>
      </w:tr>
      <w:tr>
        <w:trPr>
          <w:trHeight w:val="270"/>
        </w:trPr>
        <w:tc>
          <w:tcPr>
            <w:tcW w:w="30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 receivable</w:t>
            </w:r>
          </w:p>
        </w:tc>
        <w:tc>
          <w:tcPr>
            <w:tcW w:w="4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191,608</w:t>
            </w: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 contributions receivable</w:t>
            </w:r>
          </w:p>
        </w:tc>
        <w:tc>
          <w:tcPr>
            <w:tcW w:w="4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6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3,182,649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3,085,061</w:t>
            </w:r>
          </w:p>
        </w:tc>
      </w:tr>
      <w:tr>
        <w:trPr>
          <w:trHeight w:val="223"/>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receivables</w:t>
            </w:r>
          </w:p>
        </w:tc>
        <w:tc>
          <w:tcPr>
            <w:tcW w:w="4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3,372,790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3,277,544</w:t>
            </w:r>
          </w:p>
        </w:tc>
      </w:tr>
      <w:tr>
        <w:trPr>
          <w:trHeight w:val="270"/>
        </w:trPr>
        <w:tc>
          <w:tcPr>
            <w:tcW w:w="302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r>
      <w:tr>
        <w:trPr>
          <w:trHeight w:val="223"/>
        </w:trPr>
        <w:tc>
          <w:tcPr>
            <w:tcW w:w="3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4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94,319,676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83,863,658</w:t>
            </w:r>
          </w:p>
        </w:tc>
      </w:tr>
      <w:tr>
        <w:trPr>
          <w:trHeight w:val="250"/>
        </w:trPr>
        <w:tc>
          <w:tcPr>
            <w:tcW w:w="302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3020" w:type="dxa"/>
            <w:vAlign w:val="bottom"/>
          </w:tcPr>
          <w:p>
            <w:pPr>
              <w:spacing w:after="0"/>
              <w:rPr>
                <w:sz w:val="19"/>
                <w:szCs w:val="19"/>
                <w:color w:val="auto"/>
              </w:rPr>
            </w:pPr>
          </w:p>
        </w:tc>
        <w:tc>
          <w:tcPr>
            <w:tcW w:w="5040" w:type="dxa"/>
            <w:vAlign w:val="bottom"/>
            <w:gridSpan w:val="2"/>
          </w:tcPr>
          <w:p>
            <w:pPr>
              <w:jc w:val="right"/>
              <w:ind w:right="38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0"/>
        </w:trPr>
        <w:tc>
          <w:tcPr>
            <w:tcW w:w="302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50"/>
        </w:trPr>
        <w:tc>
          <w:tcPr>
            <w:tcW w:w="302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3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46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50"/>
        </w:trPr>
        <w:tc>
          <w:tcPr>
            <w:tcW w:w="302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5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94,299,330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83,863,105</w:t>
            </w:r>
          </w:p>
        </w:tc>
      </w:tr>
      <w:tr>
        <w:trPr>
          <w:trHeight w:val="20"/>
        </w:trPr>
        <w:tc>
          <w:tcPr>
            <w:tcW w:w="30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Statements of Changes in Net Assets Available for Benefits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6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 to net assets attributed to:</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12,203,645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5,743,267</w:t>
            </w:r>
          </w:p>
        </w:tc>
      </w:tr>
      <w:tr>
        <w:trPr>
          <w:trHeight w:val="230"/>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339,271</w:t>
            </w:r>
          </w:p>
        </w:tc>
      </w:tr>
      <w:tr>
        <w:trPr>
          <w:trHeight w:val="223"/>
        </w:trPr>
        <w:tc>
          <w:tcPr>
            <w:tcW w:w="76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investment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12,671,531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6,082,538</w:t>
            </w:r>
          </w:p>
        </w:tc>
      </w:tr>
      <w:tr>
        <w:trPr>
          <w:trHeight w:val="216"/>
        </w:trPr>
        <w:tc>
          <w:tcPr>
            <w:tcW w:w="7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Participant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3,563,078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3,745,667</w:t>
            </w: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(net of forfeitures)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3,291,624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3,380,361</w:t>
            </w:r>
          </w:p>
        </w:tc>
      </w:tr>
      <w:tr>
        <w:trPr>
          <w:trHeight w:val="223"/>
        </w:trPr>
        <w:tc>
          <w:tcPr>
            <w:tcW w:w="7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contributions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6,854,702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7,126,028</w:t>
            </w:r>
          </w:p>
        </w:tc>
      </w:tr>
      <w:tr>
        <w:trPr>
          <w:trHeight w:val="203"/>
        </w:trPr>
        <w:tc>
          <w:tcPr>
            <w:tcW w:w="7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202,004</w:t>
            </w:r>
          </w:p>
        </w:tc>
      </w:tr>
      <w:tr>
        <w:trPr>
          <w:trHeight w:val="223"/>
        </w:trPr>
        <w:tc>
          <w:tcPr>
            <w:tcW w:w="7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additions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19,763,480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13,410,570</w:t>
            </w: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net assets attributed to:</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9,137,310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8,912,369</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185,461</w:t>
            </w:r>
          </w:p>
        </w:tc>
      </w:tr>
      <w:tr>
        <w:trPr>
          <w:trHeight w:val="223"/>
        </w:trPr>
        <w:tc>
          <w:tcPr>
            <w:tcW w:w="76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deductions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9,327,255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9,097,830</w:t>
            </w:r>
          </w:p>
        </w:tc>
      </w:tr>
      <w:tr>
        <w:trPr>
          <w:trHeight w:val="250"/>
        </w:trPr>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10,436,225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4,312,740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83,863,105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79,550,365</w:t>
            </w: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 of year</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94,299,330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83,863,105</w:t>
            </w: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298"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w:t>
      </w:r>
    </w:p>
    <w:p>
      <w:pPr>
        <w:spacing w:after="0" w:line="175"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Humana Puerto Rico Retirement Savings Plan (the “Plan”) is provided for general information purposes only. Participants should refer to the Humana Puerto Rico Retirement Savings Plan document or the Plan’s Summary Plan Description, not included herein, for a more complete description of the Plan and its provisions.</w:t>
      </w:r>
    </w:p>
    <w:p>
      <w:pPr>
        <w:spacing w:after="0" w:line="11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21"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is a qualified defined contribution plan established for the benefit of the employees of Humana Inc. and its participating subsidiaries (the “Company” or “Humana”) who work in Puerto Rico (“eligible employees”) and is subject to the Employee Retirement Income Security Act of 1974, as amended (“ERISA”). The Company is the sponsor (“Plan Sponsor”) and a committee appointed by the Company is the administrator (“Plan Administrator”) of the Plan. The Company appointed Schwab Retirement Plan Services as the recordkeeper. Banco Popular de Puerto Rico is the trustee and Charles Schwab Trust Bank is the custodian. The Company has appointed NEPC, LLC to provide investment consulting services to the Plan Administrator.</w:t>
      </w:r>
    </w:p>
    <w:p>
      <w:pPr>
        <w:spacing w:after="0" w:line="133"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Newport Trust Company is the named fiduciary and investment manager of the investment fund under the Plan that holds shares of common stock of the Company (the “Humana Unitized Stock Fund”). The Plan offers access to a discretionary managed account service provided by Morningstar Investment Management LLC, a registered investment adviser and subsidiary of Morningstar, Inc. Morningstar Investment Management LLC is a fiduciary that is designated by the Plan and is made available to participants and beneficiaries to manage all or a portion of their Plan account.</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the Company are generally eligible to participate upon employment. Individual accounts are maintained by the Plan for each eligible employee (“Participant”). Each Participant's account is credited with the Participant's contributions, the Company's contributions, and an allocation of Plan earnings or losses, reduced by Participant withdrawals and an allocation of administrative expenses. Allocations are based on Participants' account balances as discussed further below. The benefit to which a participant is entitled is the benefit that can be provided from the participant's vested account.</w:t>
      </w:r>
    </w:p>
    <w:p>
      <w:pPr>
        <w:spacing w:after="0" w:line="12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Contributions</w:t>
      </w:r>
    </w:p>
    <w:p>
      <w:pPr>
        <w:spacing w:after="0" w:line="107" w:lineRule="exact"/>
        <w:rPr>
          <w:rFonts w:ascii="Times New Roman" w:cs="Times New Roman" w:eastAsia="Times New Roman" w:hAnsi="Times New Roman"/>
          <w:sz w:val="18"/>
          <w:szCs w:val="18"/>
          <w:b w:val="1"/>
          <w:bCs w:val="1"/>
          <w:color w:val="auto"/>
        </w:rPr>
      </w:pPr>
    </w:p>
    <w:p>
      <w:pPr>
        <w:jc w:val="both"/>
        <w:ind w:left="500"/>
        <w:spacing w:after="0" w:line="24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Contributions to the Plan by or on behalf of employees may be restricted in amount and timing so as to meet certain requirements of the Puerto Rico Internal Revenue Code, as amended (“PRIRC”). For the plan years ended December 31, 2025 and 2024, the Plan maintained various accounts including the Pre-tax Savings Account, the Company Matching Account, the After Tax Account, and the Rollover Account, each as described below. A Participant’s Pre-tax contributions, discussed below, when combined with their After-tax contributions, may not exceed 37% of their compensation. Effective January 1, 2026, a Participant’s Pre-tax contributions when combined with their After-tax contributions, may not exceed 77% of their compensation.</w:t>
      </w:r>
    </w:p>
    <w:p>
      <w:pPr>
        <w:spacing w:after="0" w:line="14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Pre-tax Savings Account</w:t>
      </w:r>
    </w:p>
    <w:p>
      <w:pPr>
        <w:spacing w:after="0" w:line="119" w:lineRule="exact"/>
        <w:rPr>
          <w:rFonts w:ascii="Times New Roman" w:cs="Times New Roman" w:eastAsia="Times New Roman" w:hAnsi="Times New Roman"/>
          <w:sz w:val="18"/>
          <w:szCs w:val="18"/>
          <w:b w:val="1"/>
          <w:bCs w:val="1"/>
          <w:color w:val="auto"/>
        </w:rPr>
      </w:pPr>
    </w:p>
    <w:p>
      <w:pPr>
        <w:jc w:val="both"/>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the Company may participate in the Pre-tax Savings Account beginning on the employee’s date of eligibility. A Participant, through payroll deductions, may contribute not less than 1% nor more than 35% of the Participant's eligible compensation, not to exceed the PRIRC limitation in effect for the calendar year, which was $15,000 for each of 2025 and 2024. The Company automatically enrolls eligible employees at a contribution rate of 3% of compensation as of the first day of the payroll period that begins 45 days following their date of hire, unless the employee</w:t>
      </w:r>
    </w:p>
    <w:p>
      <w:pPr>
        <w:spacing w:after="0" w:line="3"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elects not to participate in the Pre-tax Savings Account or elects a different percentage up to 35%. Automatically enrolled Participants who have not made any contribution election will have their contributions automatically increased by 1% annually, effective with the beginning of the second plan year following the year of automatic enrollment, to a maximum of 15% . Participants may change their contribution percentage at any time.</w:t>
      </w:r>
    </w:p>
    <w:p>
      <w:pPr>
        <w:spacing w:after="0" w:line="13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Participants who are age 50 or older and contribute the maximum Puerto Rico limit or maximum Plan limit may elect to contribute an additional amount as a “catch-up” contribution, up to $1,500 in each of 2025 and 2024, through payroll deductions in an amount not less than 1% nor more than 35% of the Participant's annual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Effective January 1, 2026, the maximum pre-tax contribution election increased from 35% to 70% of a Participant's eligible compensation. The separate catch-up contribution election was eliminated, and catch-up contributions are administered automatically through payroll in accordance with Plan provisions and applicable limits.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Company Matching Account</w:t>
      </w:r>
    </w:p>
    <w:p>
      <w:pPr>
        <w:spacing w:after="0" w:line="119"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Company matched 125% of a Participant’s eligible pre-tax and catch-up contributions that combined do not exceed 6% of their eligible compensation after completion of one year of service. Rollover contributions are not matched. The Company may increase, decrease, or cease matching contributions, with approval from the Board of Directors. Matching contributions are funded each pay period and follow the Participants' investment elections. Effective January 1, 2026, the Company reduced the matching contribution from 125% to 100% of a Participant's eligible pre-tax and catch-up contributions combined up to 6% of their eligible compensation after completion of one year of service.</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After Tax Account</w:t>
      </w:r>
    </w:p>
    <w:p>
      <w:pPr>
        <w:spacing w:after="0" w:line="11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Eligible employees of the Company may participate in the Plan’s After Tax Account beginning on the employee’s date of hire. A Participant, through payroll deductions, may contribute not less than 1% nor more than 2% of the Participant's eligible compensation, on an after tax basis. Contributions to the After Tax Account are not eligible for Company matching contributions. Effective January 1, 2026, the maximum after-tax contribution rate increased from 2% to 7% of the Participant's eligible compensation.</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Rollover Account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Plan allows Participants to rollover assets from other qualified retirement plans into this Plan subject to approval by the Plan Administrator.</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121" w:lineRule="exact"/>
        <w:rPr>
          <w:sz w:val="20"/>
          <w:szCs w:val="20"/>
          <w:color w:val="auto"/>
        </w:rPr>
      </w:pPr>
    </w:p>
    <w:p>
      <w:pPr>
        <w:jc w:val="both"/>
        <w:ind w:left="500"/>
        <w:spacing w:after="0" w:line="277" w:lineRule="auto"/>
        <w:rPr>
          <w:sz w:val="20"/>
          <w:szCs w:val="20"/>
          <w:color w:val="auto"/>
        </w:rPr>
      </w:pPr>
      <w:r>
        <w:rPr>
          <w:rFonts w:ascii="Times New Roman" w:cs="Times New Roman" w:eastAsia="Times New Roman" w:hAnsi="Times New Roman"/>
          <w:sz w:val="17"/>
          <w:szCs w:val="17"/>
          <w:color w:val="auto"/>
        </w:rPr>
        <w:t>Participants are responsible for investment decisions in all accounts, including Participant funded and Company funded accounts. Investments can be made among various investment options in 1% increments. In the absence of Participant directed allocations, contributions are invested in a Schwab Indexed Retirement Trust Fund based on a Participant's date of birth and estimated retirement date. In connection with a change in allocation of a Participant's or the Company's future contributions among the investment options or a change in the allocation of existing investments, the purchases and sales due to fund transfers are transacted at the funds’ end of day net asset value on the day the transaction is initiated.</w:t>
      </w:r>
    </w:p>
    <w:p>
      <w:pPr>
        <w:spacing w:after="0" w:line="114"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Participant investment options consist of certain investment funds including mutual funds and money market funds with registered investment companies and common/collective trust/separate accounts, as well as the Schwab Personal Choice Retirement Account (“PCRA”). The PCRA is a self-directed brokerage account allowing Participants to make investments that are not included as one of the Plan’s options. In-kind distributions are allowed from the PCRA. The Humana Unitized Stock Fund invests primarily in the Company's stock with a small portion held in a money market fund to provide liquidity and to accommodate daily transactions.</w:t>
      </w:r>
    </w:p>
    <w:p>
      <w:pPr>
        <w:spacing w:after="0" w:line="12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Each of the investment funds is divided into units of participation, which are calculated daily by the recordkeeper. The daily value of each unit is determined by dividing the total fair market value of all assets in each fund by the total number of units in that fund. Investment income, including certain administrative fees and net appreciation (depreciation) of the fair value of investments, is allocated to each Participant’s account based on the change in unit value for each fund in which the Participant has an account balance.</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Participant contributions are fully vested and non-forfeitable. Generally, once a Participant has completed two years of service, the Company Matching Account contributions vest immediately and become non-forfeitable. In August 2025, the Retirement Plan Committee approved vesting provisions for certain participants whose employment terminated between August 1, 2025 and May 31, 2026. These participants became fully vested in 100% of the value of the matching contributions allocated to their matching contribution accounts, including their proportional share of net gains and losses on those contributions, regardless of years of vesting service. This full vesting is effective as of each participant’s separation from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121"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benefit to which a Participant is entitled is the benefit that can be provided from the Participant's vested account. Unvested Company Matching Account contributions are forfeited after a five year break in service, or as a result of withdrawal of the vested account following termination of employment. Forfeited Company Matching Account contributions are available to reduce the amount of subsequent employer contributions. If a former Participant is re-employed prior to five consecutive one-year breaks in service and repays the amount of his/her distribution, then any forfeited employer contributions are restored to his/her account.</w:t>
      </w:r>
    </w:p>
    <w:p>
      <w:pPr>
        <w:spacing w:after="0" w:line="12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forfeited nonvested accounts used to reduce employer contributions totaled $109,735 and $157,591, respectively. At December 31, 2025 and 2024, there were $19,884 and $213 forfeited nonvested accounts available for reducing future employer contributions, respectively.</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Benefit Payments and Withdrawals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Withdrawals at Termination</w:t>
      </w:r>
    </w:p>
    <w:p>
      <w:pPr>
        <w:spacing w:after="0" w:line="11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Upon termination of employment, including retirement, death, or disability, the Plan may disburse funds. Terminated Participants may elect to either leave his/her money in the Plan, if their vested account balance is $1,000 or greater, or take a total distribution of their vested account balance. If a terminated Participant elects to leave their money in the Plan, the Participant may request a subsequent withdrawal at any time for a total or partial distribution of their vested account balance. Participant’s distribution options include lump sum and installment payments.</w:t>
      </w:r>
    </w:p>
    <w:p>
      <w:pPr>
        <w:spacing w:after="0" w:line="126"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In addition, the Plan permits Participants to roll over contributions to another Puerto Rico qualified plan. A Participant must make a written request to the Plan for a direct rollover distribution. Rollovers must comply with certain requirements before the Plan will authorize the rollover distribution.</w:t>
      </w:r>
    </w:p>
    <w:p>
      <w:pPr>
        <w:spacing w:after="0" w:line="108"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Participants requesting a lump sum distribution may do so in the form of cash or Humana common stock to the degree that their account is invested in the Humana Unitized Stock Fund, as defined by the Plan. For terminated Participants with a vested account balance less than $1,000, a lump-sum cash distribution will be made if a rollover has not been elected. Participants can request a lump sum distribution in the form of any other property held under the Plan, including under a Self-Directed Brokerage Account if elected by the Participant.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In Service Withdrawals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59 ½ Withdrawals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Participants who are 59 ½ or older may make withdrawals from eligible accounts, as defined by the Plan.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Rollover Withdrawals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Generally, a Participant may make a withdrawal from rollover contributions at any time, as defined by the Plan.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Hardship Withdrawals</w:t>
      </w:r>
    </w:p>
    <w:p>
      <w:pPr>
        <w:spacing w:after="0" w:line="119"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In the event funds are needed because of extreme financial hardship, as defined by law, the Participant may be allowed to make a withdrawal of their vested account balance from eligible accounts, as defined by the Plan.</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After Tax Account Withdrawals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Generally, a Participant may make a withdrawal from the After Tax account at any time, as defined by the Plan.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Notes Receivable from Participants</w:t>
      </w:r>
    </w:p>
    <w:p>
      <w:pPr>
        <w:spacing w:after="0" w:line="133"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Participants may borrow from eligible accounts, as defined in the Plan. Generally, the aggregate amount of the loans to a Participant shall not exceed the lesser of $50,000 or 50% of the vested portion of eligible accounts. The minimum amount a Participant may borrow is $1,000. Loan transactions are treated as a transfer to (from) the various investment funds from (to) the Participant Notes Receivable. Loan terms range from one to four years or up to ten years for the purchase of a primary residence. The loans are collateralized by the balance in the Participant's account and bear interest at a rate in accordance with the Department of Labor's Rules and Regulations for Reporting and Disclosure under ERISA, as determined by the Plan Administrator. Principal and interest are repaid ratably through payroll deductions or directly to the recordkeeper. Loans are deducted proportionately from all accounts and all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investments. Interest income is recorded on the accrual basis. Related fees are recorded as administrative expenses and are expensed when they are incurred. No allowance for credit losses has been recorded as of December 31, 2025 or 2024. If a participant ceases to make loan repayments and the plan administrator deems the participant loan to be in default, the participant loan balance is reduced and a benefit payment is recorded. At December 31, 2025, participant loan interest rates in effect ranged from 4.25% to 9.50% with various maturity dates through 2034. At December 31, 2024, participant loan interest rates in effect ranged from 4.25% to 9.50% with various maturity dates through 2035.</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the Plan is terminated, Participants would become 100% vested in their accounts.</w:t>
      </w:r>
    </w:p>
    <w:p>
      <w:pPr>
        <w:spacing w:after="0" w:line="10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under the accrual basis of accounting in accordance with accounting principles generally accepted in the United States of America.</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categorized into a fair value hierarchy based on whether the inputs to valuation techniques are observable or unobservable. Observable inputs reflect market data obtained from independent sources, while unobservable inputs reflect the Company’s own assumptions about the assumptions market participants would use. The fair value hierarchy includes three levels of inputs that may be used to measure fair value as described below.</w:t>
      </w:r>
    </w:p>
    <w:p>
      <w:pPr>
        <w:spacing w:after="0" w:line="126" w:lineRule="exact"/>
        <w:rPr>
          <w:sz w:val="20"/>
          <w:szCs w:val="20"/>
          <w:color w:val="auto"/>
        </w:rPr>
      </w:pPr>
    </w:p>
    <w:p>
      <w:pPr>
        <w:jc w:val="both"/>
        <w:ind w:left="1140"/>
        <w:spacing w:after="0" w:line="282" w:lineRule="auto"/>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 Level 1 assets and liabilities include mutual funds that are traded in an active exchange market.</w:t>
      </w:r>
    </w:p>
    <w:p>
      <w:pPr>
        <w:spacing w:after="0" w:line="108"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p>
      <w:pPr>
        <w:spacing w:after="0" w:line="122" w:lineRule="exact"/>
        <w:rPr>
          <w:sz w:val="20"/>
          <w:szCs w:val="20"/>
          <w:color w:val="auto"/>
        </w:rPr>
      </w:pPr>
    </w:p>
    <w:p>
      <w:pPr>
        <w:jc w:val="both"/>
        <w:ind w:left="1140"/>
        <w:spacing w:after="0" w:line="261"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are significant to the fair value of the assets or liabilities. Level 3 includes assets and liabilities whose value is determined using pricing models, discounted cash flow methodologies, or similar techniques reflecting the Company’s own assumptions about the assumptions market participants would use as well as those requiring significant management judgment.</w:t>
      </w:r>
    </w:p>
    <w:p>
      <w:pPr>
        <w:spacing w:after="0" w:line="126"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The Plan's investments are recorded at fair value. The carrying value of the cash and cash equivalents approximates fair value as maturities are less than three months. Investments in mutual funds and money market funds of registered investment companies are valued based on the quoted net asset value of shares held by the Plan at year end. Investments in common stock are valued based on closing price of shares held by the Plan. Investments in common/collective trusts are valued based on the net asset value of units held by the Plan at year end, as a practical expedient. There are no restrictions on Participant redemptions and there are no unfunded commitments for investments in common/collective trusts. If the Plan was to initiate a full redemption of certain common/collective trusts, the trustees of the common/collective trusts could impose restrictions to the extent it is determined a full redemption could disrupt the liquidity or management of the fund.</w:t>
      </w:r>
    </w:p>
    <w:p>
      <w:pPr>
        <w:spacing w:after="0" w:line="13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 date basis. Interest income is recorded on the accrual basis. Dividends are recorded on the ex-dividend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Net realized gains or losses on the sale of investments together with unrealized appreciation or depreciation on investments are presented as net appreciation (depreciation) in fair value of investments in the accompanying Statements of Changes in Net Assets Available for Benefits.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Participant loans are measured at their unpaid principal balance plus any accrued but unpaid interest and classified as notes receivable from participants in the Statements of Net Assets Available for Benefits.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Benefit payments to Participants are recorded when paid.</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Certain expenses of maintaining the Plan are paid by the Plan and allocated to the Participant's accounts, unless otherwise paid by the Company. Expenses that are paid by the Company are excluded from these financial statements. Fees related to the administration of notes receivable from participants are charged directly to the participant’s account and are included in administrative expenses. Investment related expenses are included in net appreciation of fair value of investments.</w:t>
      </w:r>
    </w:p>
    <w:p>
      <w:pPr>
        <w:spacing w:after="0" w:line="284"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3.</w:t>
        <w:tab/>
        <w:t>INVESTMENTS</w:t>
      </w:r>
    </w:p>
    <w:p>
      <w:pPr>
        <w:spacing w:after="0" w:line="175" w:lineRule="exact"/>
        <w:rPr>
          <w:sz w:val="20"/>
          <w:szCs w:val="20"/>
          <w:color w:val="auto"/>
        </w:rPr>
      </w:pPr>
    </w:p>
    <w:p>
      <w:pPr>
        <w:jc w:val="both"/>
        <w:ind w:left="460"/>
        <w:spacing w:after="0" w:line="261" w:lineRule="auto"/>
        <w:rPr>
          <w:sz w:val="20"/>
          <w:szCs w:val="20"/>
          <w:color w:val="auto"/>
        </w:rPr>
      </w:pPr>
      <w:r>
        <w:rPr>
          <w:rFonts w:ascii="Times New Roman" w:cs="Times New Roman" w:eastAsia="Times New Roman" w:hAnsi="Times New Roman"/>
          <w:sz w:val="18"/>
          <w:szCs w:val="18"/>
          <w:color w:val="auto"/>
        </w:rPr>
        <w:t>The below tables summarize the fair value of the Plan’s investments at December 31, 2025 and 2024, respectively, for investments measured at fair value on a recurring basis. Interest-bearing cash and cash equivalents at December 31, 2025 and 2024 was $78,893 and $55,087, respectively, and was measured using quoted prices in active markets for identical assets (Level 1). During the years ended December 31, 2025 and 2024, no assets were measured using significant unobservable inputs (Level 3).</w:t>
      </w:r>
    </w:p>
    <w:p>
      <w:pPr>
        <w:spacing w:after="0" w:line="95"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4"/>
                <w:szCs w:val="14"/>
                <w:color w:val="auto"/>
              </w:rPr>
            </w:pPr>
          </w:p>
        </w:tc>
        <w:tc>
          <w:tcPr>
            <w:tcW w:w="14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5"/>
                <w:szCs w:val="15"/>
                <w:color w:val="auto"/>
              </w:rPr>
            </w:pPr>
          </w:p>
        </w:tc>
        <w:tc>
          <w:tcPr>
            <w:tcW w:w="15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Identical Assets</w:t>
            </w:r>
          </w:p>
        </w:tc>
        <w:tc>
          <w:tcPr>
            <w:tcW w:w="15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1"/>
                <w:szCs w:val="21"/>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5,213,212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5,213,212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Humana Unitized Stock Fund/Humana Common Stock</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3,920,597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3,920,597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Choice Retirement Account</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47,346</w:t>
            </w: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9,181,155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9,133,809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47,346</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Common/Collective Trust Funds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81,589,506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Humana Unitized Stock Fund/Money Market Fund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90,867,993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9,133,809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for Identical</w:t>
            </w:r>
          </w:p>
        </w:tc>
        <w:tc>
          <w:tcPr>
            <w:tcW w:w="20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Observable</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Pr>
          <w:p>
            <w:pPr>
              <w:spacing w:after="0"/>
              <w:rPr>
                <w:sz w:val="16"/>
                <w:szCs w:val="16"/>
                <w:color w:val="auto"/>
              </w:rPr>
            </w:pPr>
          </w:p>
        </w:tc>
        <w:tc>
          <w:tcPr>
            <w:tcW w:w="12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5,090,023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5,090,023</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Humana Unitized Stock Fund/Humana Common Stock</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4,014,649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4,014,649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Choice Retirement Account</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9,139,871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9,104,672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0" w:type="dxa"/>
            <w:vAlign w:val="bottom"/>
          </w:tcPr>
          <w:p>
            <w:pPr>
              <w:spacing w:after="0"/>
              <w:rPr>
                <w:sz w:val="1"/>
                <w:szCs w:val="1"/>
                <w:color w:val="auto"/>
              </w:rPr>
            </w:pPr>
          </w:p>
        </w:tc>
      </w:tr>
      <w:tr>
        <w:trPr>
          <w:trHeight w:val="223"/>
        </w:trPr>
        <w:tc>
          <w:tcPr>
            <w:tcW w:w="4900" w:type="dxa"/>
            <w:vAlign w:val="bottom"/>
          </w:tcPr>
          <w:p>
            <w:pPr>
              <w:ind w:left="60"/>
              <w:spacing w:after="0" w:line="223" w:lineRule="exact"/>
              <w:rPr>
                <w:sz w:val="20"/>
                <w:szCs w:val="20"/>
                <w:color w:val="auto"/>
              </w:rPr>
            </w:pPr>
            <w:r>
              <w:rPr>
                <w:rFonts w:ascii="Times New Roman" w:cs="Times New Roman" w:eastAsia="Times New Roman" w:hAnsi="Times New Roman"/>
                <w:sz w:val="18"/>
                <w:szCs w:val="18"/>
                <w:color w:val="auto"/>
              </w:rPr>
              <w:t xml:space="preserve">Common/Collective Trust Funds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71,225,777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Humana Unitized Stock Fund/Money Market Fund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80,531,027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9,104,672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1300" w:hanging="806"/>
        <w:spacing w:after="0" w:line="271" w:lineRule="auto"/>
        <w:tabs>
          <w:tab w:leader="none" w:pos="826" w:val="left"/>
        </w:tabs>
        <w:numPr>
          <w:ilvl w:val="1"/>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in the Statements of Net Assets Available for Benefits.</w:t>
      </w:r>
    </w:p>
    <w:p>
      <w:pPr>
        <w:spacing w:after="0" w:line="183"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175" w:lineRule="exact"/>
        <w:rPr>
          <w:sz w:val="20"/>
          <w:szCs w:val="20"/>
          <w:color w:val="auto"/>
        </w:rPr>
      </w:pPr>
    </w:p>
    <w:p>
      <w:pPr>
        <w:jc w:val="both"/>
        <w:ind w:left="460"/>
        <w:spacing w:after="0" w:line="261" w:lineRule="auto"/>
        <w:rPr>
          <w:sz w:val="20"/>
          <w:szCs w:val="20"/>
          <w:color w:val="auto"/>
        </w:rPr>
      </w:pPr>
      <w:r>
        <w:rPr>
          <w:rFonts w:ascii="Times New Roman" w:cs="Times New Roman" w:eastAsia="Times New Roman" w:hAnsi="Times New Roman"/>
          <w:sz w:val="18"/>
          <w:szCs w:val="18"/>
          <w:color w:val="auto"/>
        </w:rPr>
        <w:t>The Plan was restated on January 1, 2020 and amended on December 16, 2020 to be compliant with Section 1081.01 of the Puerto Rico Internal Revenue Code of 2011 (“Puerto Rico IRC”). A favorable tax status determination letter dated June 15, 2021 was obtained from the Treasury Department of the Commonwealth of Puerto Rico. The determination letter covers both the restatement and the amendment. The Plan Administrator believes that the Plan is designed and is currently operating in compliance with the applicable requirements of the Puerto Rico IRC.</w:t>
      </w:r>
    </w:p>
    <w:p>
      <w:pPr>
        <w:spacing w:after="0" w:line="126"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color w:val="auto"/>
        </w:rPr>
        <w:t>The Plan Administrator is required to evaluate tax positions taken by the Plan and recognize a tax liability (or asset) if the Plan has taken an uncertain position that more likely than not would not be sustained upon examination by the Treasury Department of the Commonwealth of Puerto Rico.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the years prior to 2021.</w:t>
      </w:r>
    </w:p>
    <w:p>
      <w:pPr>
        <w:spacing w:after="0" w:line="1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RELATED PARTY AND PARTY-IN-INTEREST TRANSACTIONS</w:t>
      </w:r>
    </w:p>
    <w:p>
      <w:pPr>
        <w:spacing w:after="0" w:line="17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Certain Plan investments, including the PCRA, are cash and cash equivalents and shares of mutual funds and common/collective trust funds managed by an affiliate of the custodian. Therefore, transactions in these investments qualify as party-in-interest transactions, which are exempt from prohibited transaction rules. The Plan also invests in the common stock of the Plan Sponsor as well as loans to Plan Participants, both of which qualify as related parties to the Plan and also are exempt from prohibited transaction rules.</w:t>
      </w:r>
    </w:p>
    <w:p>
      <w:pPr>
        <w:spacing w:after="0" w:line="12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5,661 units of the Humana Unitized Stock Fund were purchased for $580,863 and 8,223 units of the Humana Unitized Stock Fund were sold for $858,290. For the year ended December 31, 2024, 5,424 units of the Humana Unitized Stock Fund were purchased for $626,552 and 11,720 units of the Humana Unitized Stock Fund were sold for $1,451,596. At December 31, 2025 and 2024, the fair value of the Humana Unitized Stock Fund was $4,017,929 and $4,180,028, respectively, which represented 4.4% and 5.2%, respectively, of the fair value of all investments held by the Plan.</w:t>
      </w:r>
    </w:p>
    <w:p>
      <w:pPr>
        <w:spacing w:after="0" w:line="12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Company has authorized Newport Trust Company with sole responsibility for deciding whether to restrict investment in the Humana Unitized Stock Fund, or to sell or otherwise dispose of all or any portion of the stock held in the Humana Unitized Stock Fund in certain limited circumstances. In the event Newport Trust Company determined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sell or dispose of stock in the Humana Unitized Stock Fund, Newport Trust Company would designate an alternative investment fund under the Plan for the temporary investment of any proceeds from the sale or other disposition of the Company’s common stock.</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RISKS AND UNCERTAINTIES</w:t>
      </w:r>
    </w:p>
    <w:p>
      <w:pPr>
        <w:spacing w:after="0" w:line="17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as discussed in Note 3. Investment securities are exposed to various risks including, but not limited to, interest rate, market,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2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Plan’s exposure to concentrations of credit risk is limited by diversification of investments across all Participant directed fund elections. In addition, the investments within each Participant directed fund election are further diversified into various financial instruments, with the exception of the Humana Unitized Stock Fund which principally invests in Humana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Humana Puerto Rico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#004 EIN #61-0647538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H, Line 4i – Schedule of Assets (Held at End of Year),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0" w:type="dxa"/>
            <w:vAlign w:val="bottom"/>
          </w:tcPr>
          <w:p>
            <w:pPr>
              <w:spacing w:after="0"/>
              <w:rPr>
                <w:sz w:val="17"/>
                <w:szCs w:val="17"/>
                <w:color w:val="auto"/>
              </w:rPr>
            </w:pPr>
          </w:p>
        </w:tc>
        <w:tc>
          <w:tcPr>
            <w:tcW w:w="14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(e)</w:t>
            </w:r>
          </w:p>
        </w:tc>
      </w:tr>
      <w:tr>
        <w:trPr>
          <w:trHeight w:val="238"/>
        </w:trPr>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Identity of Issuer, Borrower, Lessor or Similar Party</w:t>
            </w:r>
          </w:p>
        </w:tc>
        <w:tc>
          <w:tcPr>
            <w:tcW w:w="2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Description of investment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Current Value</w:t>
            </w:r>
          </w:p>
        </w:tc>
      </w:tr>
      <w:tr>
        <w:trPr>
          <w:trHeight w:val="223"/>
        </w:trPr>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Registered Investment Companies (Mutual Funds):</w:t>
            </w:r>
          </w:p>
        </w:tc>
        <w:tc>
          <w:tcPr>
            <w:tcW w:w="2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29"/>
        </w:trPr>
        <w:tc>
          <w:tcPr>
            <w:tcW w:w="56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Schwab Retirement Government Money Fund</w:t>
            </w:r>
          </w:p>
        </w:tc>
        <w:tc>
          <w:tcPr>
            <w:tcW w:w="2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Mutual fund</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4,340,294</w:t>
            </w:r>
          </w:p>
        </w:tc>
      </w:tr>
      <w:tr>
        <w:trPr>
          <w:trHeight w:val="230"/>
        </w:trPr>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Delaware Small Cap Value Fund I</w:t>
            </w:r>
          </w:p>
        </w:tc>
        <w:tc>
          <w:tcPr>
            <w:tcW w:w="29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Mutual fund</w:t>
            </w:r>
          </w:p>
        </w:tc>
        <w:tc>
          <w:tcPr>
            <w:tcW w:w="9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872,918</w:t>
            </w:r>
          </w:p>
        </w:tc>
      </w:tr>
      <w:tr>
        <w:trPr>
          <w:trHeight w:val="223"/>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Mutual Funds</w:t>
            </w:r>
          </w:p>
        </w:tc>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5,213,212</w:t>
            </w:r>
          </w:p>
        </w:tc>
      </w:tr>
    </w:tbl>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Common/Collective Trusts:</w:t>
            </w:r>
          </w:p>
        </w:tc>
        <w:tc>
          <w:tcPr>
            <w:tcW w:w="3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PIMCO Total Return CTF Class N</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4,837,187</w:t>
            </w:r>
          </w:p>
        </w:tc>
      </w:tr>
      <w:tr>
        <w:trPr>
          <w:trHeight w:val="229"/>
        </w:trPr>
        <w:tc>
          <w:tcPr>
            <w:tcW w:w="5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State Street US Bond IDX NL M</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1,824,461</w:t>
            </w:r>
          </w:p>
        </w:tc>
      </w:tr>
      <w:tr>
        <w:trPr>
          <w:trHeight w:val="230"/>
        </w:trPr>
        <w:tc>
          <w:tcPr>
            <w:tcW w:w="5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MFS International Equity Class 5B</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3,891,187</w:t>
            </w:r>
          </w:p>
        </w:tc>
      </w:tr>
      <w:tr>
        <w:trPr>
          <w:trHeight w:val="229"/>
        </w:trPr>
        <w:tc>
          <w:tcPr>
            <w:tcW w:w="5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Schwab Institutional Large Cap Value Trust Fund Class I</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5,933,239</w:t>
            </w:r>
          </w:p>
        </w:tc>
      </w:tr>
      <w:tr>
        <w:trPr>
          <w:trHeight w:val="230"/>
        </w:trPr>
        <w:tc>
          <w:tcPr>
            <w:tcW w:w="5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JPMCB Large Cap Growth Fund CF-E</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7,086,977</w:t>
            </w:r>
          </w:p>
        </w:tc>
      </w:tr>
      <w:tr>
        <w:trPr>
          <w:trHeight w:val="229"/>
        </w:trPr>
        <w:tc>
          <w:tcPr>
            <w:tcW w:w="5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2010 Unit Class IV</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178,964</w:t>
            </w:r>
          </w:p>
        </w:tc>
      </w:tr>
      <w:tr>
        <w:trPr>
          <w:trHeight w:val="229"/>
        </w:trPr>
        <w:tc>
          <w:tcPr>
            <w:tcW w:w="5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2015 Unit Class IV</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12,263</w:t>
            </w:r>
          </w:p>
        </w:tc>
      </w:tr>
      <w:tr>
        <w:trPr>
          <w:trHeight w:val="230"/>
        </w:trPr>
        <w:tc>
          <w:tcPr>
            <w:tcW w:w="5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2020 Unit Class IV</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1,942,452</w:t>
            </w:r>
          </w:p>
        </w:tc>
      </w:tr>
      <w:tr>
        <w:trPr>
          <w:trHeight w:val="229"/>
        </w:trPr>
        <w:tc>
          <w:tcPr>
            <w:tcW w:w="5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2025 Unit Class IV</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229,716</w:t>
            </w:r>
          </w:p>
        </w:tc>
      </w:tr>
      <w:tr>
        <w:trPr>
          <w:trHeight w:val="229"/>
        </w:trPr>
        <w:tc>
          <w:tcPr>
            <w:tcW w:w="5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2030 Unit Class IV</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5,149,990</w:t>
            </w:r>
          </w:p>
        </w:tc>
      </w:tr>
      <w:tr>
        <w:trPr>
          <w:trHeight w:val="230"/>
        </w:trPr>
        <w:tc>
          <w:tcPr>
            <w:tcW w:w="5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2035 Unit Class IV</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421,859</w:t>
            </w:r>
          </w:p>
        </w:tc>
      </w:tr>
      <w:tr>
        <w:trPr>
          <w:trHeight w:val="229"/>
        </w:trPr>
        <w:tc>
          <w:tcPr>
            <w:tcW w:w="5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2040 Unit Class IV</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9,742,091</w:t>
            </w:r>
          </w:p>
        </w:tc>
      </w:tr>
      <w:tr>
        <w:trPr>
          <w:trHeight w:val="230"/>
        </w:trPr>
        <w:tc>
          <w:tcPr>
            <w:tcW w:w="5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2045 Unit Class IV</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1,103,291</w:t>
            </w:r>
          </w:p>
        </w:tc>
      </w:tr>
      <w:tr>
        <w:trPr>
          <w:trHeight w:val="230"/>
        </w:trPr>
        <w:tc>
          <w:tcPr>
            <w:tcW w:w="5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2050 Unit Class IV</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9,971,949</w:t>
            </w:r>
          </w:p>
        </w:tc>
      </w:tr>
      <w:tr>
        <w:trPr>
          <w:trHeight w:val="230"/>
        </w:trPr>
        <w:tc>
          <w:tcPr>
            <w:tcW w:w="5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2055 Unit Class IV</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3,054,087</w:t>
            </w:r>
          </w:p>
        </w:tc>
      </w:tr>
      <w:tr>
        <w:trPr>
          <w:trHeight w:val="230"/>
        </w:trPr>
        <w:tc>
          <w:tcPr>
            <w:tcW w:w="5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2060 Unit Class IV</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2,725,539</w:t>
            </w:r>
          </w:p>
        </w:tc>
      </w:tr>
      <w:tr>
        <w:trPr>
          <w:trHeight w:val="229"/>
        </w:trPr>
        <w:tc>
          <w:tcPr>
            <w:tcW w:w="5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Schwab Index Retirement Trust Fund 2065 Unit Class IV</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196,999</w:t>
            </w:r>
          </w:p>
        </w:tc>
      </w:tr>
      <w:tr>
        <w:trPr>
          <w:trHeight w:val="230"/>
        </w:trPr>
        <w:tc>
          <w:tcPr>
            <w:tcW w:w="5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SS GBL All Cap EQ US IDX NL K</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5,058,509</w:t>
            </w:r>
          </w:p>
        </w:tc>
      </w:tr>
      <w:tr>
        <w:trPr>
          <w:trHeight w:val="230"/>
        </w:trPr>
        <w:tc>
          <w:tcPr>
            <w:tcW w:w="5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State Street Russell All Cap C</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8,632,847</w:t>
            </w:r>
          </w:p>
        </w:tc>
      </w:tr>
      <w:tr>
        <w:trPr>
          <w:trHeight w:val="230"/>
        </w:trPr>
        <w:tc>
          <w:tcPr>
            <w:tcW w:w="5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State Street Russell Small Cap K</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3,261,501</w:t>
            </w:r>
          </w:p>
        </w:tc>
      </w:tr>
      <w:tr>
        <w:trPr>
          <w:trHeight w:val="229"/>
        </w:trPr>
        <w:tc>
          <w:tcPr>
            <w:tcW w:w="5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State Street S&amp;P 500 INDX NL K</w:t>
            </w:r>
          </w:p>
        </w:tc>
        <w:tc>
          <w:tcPr>
            <w:tcW w:w="3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3,911,541</w:t>
            </w:r>
          </w:p>
        </w:tc>
      </w:tr>
      <w:tr>
        <w:trPr>
          <w:trHeight w:val="230"/>
        </w:trPr>
        <w:tc>
          <w:tcPr>
            <w:tcW w:w="5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Loomis Sayles Small Cap Growth D</w:t>
            </w:r>
          </w:p>
        </w:tc>
        <w:tc>
          <w:tcPr>
            <w:tcW w:w="3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Common/Collective Trust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2,422,857</w:t>
            </w:r>
          </w:p>
        </w:tc>
      </w:tr>
      <w:tr>
        <w:trPr>
          <w:trHeight w:val="223"/>
        </w:trPr>
        <w:tc>
          <w:tcPr>
            <w:tcW w:w="546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auto"/>
              </w:rPr>
              <w:t>Total Common/Collective Trusts</w:t>
            </w:r>
          </w:p>
        </w:tc>
        <w:tc>
          <w:tcPr>
            <w:tcW w:w="30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81,589,506</w:t>
            </w:r>
          </w:p>
        </w:tc>
      </w:tr>
      <w:tr>
        <w:trPr>
          <w:trHeight w:val="196"/>
        </w:trPr>
        <w:tc>
          <w:tcPr>
            <w:tcW w:w="546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0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2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Humana Unitized Stock Fund:</w:t>
            </w:r>
          </w:p>
        </w:tc>
        <w:tc>
          <w:tcPr>
            <w:tcW w:w="2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60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Humana Common Stock</w:t>
            </w: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Common Stock</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3,920,597</w:t>
            </w:r>
          </w:p>
        </w:tc>
      </w:tr>
      <w:tr>
        <w:trPr>
          <w:trHeight w:val="230"/>
        </w:trPr>
        <w:tc>
          <w:tcPr>
            <w:tcW w:w="6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State Street Government Short Term Investment Fund</w:t>
            </w:r>
          </w:p>
        </w:tc>
        <w:tc>
          <w:tcPr>
            <w:tcW w:w="2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Money Market Fund</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97,332</w:t>
            </w:r>
          </w:p>
        </w:tc>
      </w:tr>
      <w:tr>
        <w:trPr>
          <w:trHeight w:val="223"/>
        </w:trPr>
        <w:tc>
          <w:tcPr>
            <w:tcW w:w="608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auto"/>
              </w:rPr>
              <w:t>Total Humana Unitized Stock Fund</w:t>
            </w:r>
          </w:p>
        </w:tc>
        <w:tc>
          <w:tcPr>
            <w:tcW w:w="23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4,017,929</w:t>
            </w:r>
          </w:p>
        </w:tc>
      </w:tr>
      <w:tr>
        <w:trPr>
          <w:trHeight w:val="223"/>
        </w:trPr>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Personal Choice Retirement Account - Self-directed Brokerage Account</w:t>
            </w:r>
          </w:p>
        </w:tc>
        <w:tc>
          <w:tcPr>
            <w:tcW w:w="2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Brokerage accounts</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47,346</w:t>
            </w:r>
          </w:p>
        </w:tc>
      </w:tr>
      <w:tr>
        <w:trPr>
          <w:trHeight w:val="230"/>
        </w:trPr>
        <w:tc>
          <w:tcPr>
            <w:tcW w:w="6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Banco Popular Puerto Rico Time Deposit</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Interest-bearing cash</w:t>
            </w:r>
          </w:p>
        </w:tc>
        <w:tc>
          <w:tcPr>
            <w:tcW w:w="1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78,893</w:t>
            </w:r>
          </w:p>
        </w:tc>
      </w:tr>
      <w:tr>
        <w:trPr>
          <w:trHeight w:val="184"/>
        </w:trPr>
        <w:tc>
          <w:tcPr>
            <w:tcW w:w="6080" w:type="dxa"/>
            <w:vAlign w:val="bottom"/>
            <w:shd w:val="clear" w:color="auto" w:fill="CCEEFF"/>
          </w:tcPr>
          <w:p>
            <w:pPr>
              <w:ind w:left="280"/>
              <w:spacing w:after="0" w:line="184" w:lineRule="exact"/>
              <w:rPr>
                <w:sz w:val="20"/>
                <w:szCs w:val="20"/>
                <w:color w:val="auto"/>
              </w:rPr>
            </w:pPr>
            <w:r>
              <w:rPr>
                <w:rFonts w:ascii="Times New Roman" w:cs="Times New Roman" w:eastAsia="Times New Roman" w:hAnsi="Times New Roman"/>
                <w:sz w:val="18"/>
                <w:szCs w:val="18"/>
                <w:color w:val="auto"/>
              </w:rPr>
              <w:t>*  Notes Receivable from Participants, Interest Rate: 4.25% - 9.50%, with</w:t>
            </w:r>
          </w:p>
        </w:tc>
        <w:tc>
          <w:tcPr>
            <w:tcW w:w="2360" w:type="dxa"/>
            <w:vAlign w:val="bottom"/>
            <w:shd w:val="clear" w:color="auto" w:fill="CCEEFF"/>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9"/>
              </w:rPr>
              <w:t>Participant loans</w:t>
            </w:r>
          </w:p>
        </w:tc>
        <w:tc>
          <w:tcPr>
            <w:tcW w:w="1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34"/>
        </w:trPr>
        <w:tc>
          <w:tcPr>
            <w:tcW w:w="6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Maturity Dates: 2026-2034</w:t>
            </w:r>
          </w:p>
        </w:tc>
        <w:tc>
          <w:tcPr>
            <w:tcW w:w="2360" w:type="dxa"/>
            <w:vAlign w:val="bottom"/>
            <w:shd w:val="clear" w:color="auto" w:fill="CCEEFF"/>
          </w:tcPr>
          <w:p>
            <w:pPr>
              <w:spacing w:after="0"/>
              <w:rPr>
                <w:sz w:val="20"/>
                <w:szCs w:val="20"/>
                <w:color w:val="auto"/>
              </w:rPr>
            </w:pP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3,182,649</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91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94,129,535</w:t>
            </w:r>
          </w:p>
        </w:tc>
        <w:tc>
          <w:tcPr>
            <w:tcW w:w="0" w:type="dxa"/>
            <w:vAlign w:val="bottom"/>
          </w:tcPr>
          <w:p>
            <w:pPr>
              <w:spacing w:after="0"/>
              <w:rPr>
                <w:sz w:val="1"/>
                <w:szCs w:val="1"/>
                <w:color w:val="auto"/>
              </w:rPr>
            </w:pPr>
          </w:p>
        </w:tc>
      </w:tr>
      <w:tr>
        <w:trPr>
          <w:trHeight w:val="20"/>
        </w:trPr>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1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Party-in-interest to the Plan</w:t>
            </w: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40" w:type="dxa"/>
            <w:vAlign w:val="bottom"/>
            <w:vMerge w:val="continue"/>
          </w:tcPr>
          <w:p>
            <w:pPr>
              <w:spacing w:after="0"/>
              <w:rPr>
                <w:sz w:val="16"/>
                <w:szCs w:val="16"/>
                <w:color w:val="auto"/>
              </w:rPr>
            </w:pPr>
          </w:p>
        </w:tc>
        <w:tc>
          <w:tcPr>
            <w:tcW w:w="9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Historical cost is not required as all investments are participant-directed</w:t>
            </w: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plan administrator for the Humana Puerto Rico Retirement Savings Plan has duly caused this annual report to be signed on its behalf by the undersigned 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HUMANA PUERTO RICO RETIREMENT SAVINGS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JESSICA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34632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Jessica Klein</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Member, Humana Retirement Plans Committee</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FF"/>
        </w:rPr>
        <w:t>Exhibit 23</w:t>
      </w:r>
      <w:r>
        <w:rPr>
          <w:sz w:val="20"/>
          <w:szCs w:val="20"/>
          <w:color w:val="auto"/>
        </w:rPr>
        <w:tab/>
      </w:r>
      <w:r>
        <w:rPr>
          <w:rFonts w:ascii="Times New Roman" w:cs="Times New Roman" w:eastAsia="Times New Roman" w:hAnsi="Times New Roman"/>
          <w:sz w:val="17"/>
          <w:szCs w:val="17"/>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139"/>
          </w:cols>
          <w:pgMar w:left="320" w:top="1413"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33-49305, No. 333-162747, No. 333-264543, and No. 333-295106) of Humana Inc. of our report dated June 24, 2026 relating to the financial statements and supplemental schedule of Humana Puerto Rico Retirement Savings Plan, which appears in this Form 11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1"/>
    </w:lvl>
    <w:lvl w:ilvl="1">
      <w:lvlJc w:val="left"/>
      <w:lvlText w:val="(%2)"/>
      <w:numFmt w:val="decimal"/>
      <w:start w:val="1"/>
    </w:lvl>
  </w:abstractNum>
  <w:abstractNum w:abstractNumId="6">
    <w:nsid w:val="41B71EFB"/>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2026-06-24T12:47:02Z</dcterms:created>
  <dcterms:modified xsi:type="dcterms:W3CDTF">2026-06-24T12:47:02Z</dcterms:modified>
</cp:coreProperties>
</file>