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22, 2021 (March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Humana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296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001-05975</w:t>
            </w:r>
          </w:p>
        </w:tc>
        <w:tc>
          <w:tcPr>
            <w:tcW w:w="2480" w:type="dxa"/>
            <w:vAlign w:val="bottom"/>
          </w:tcPr>
          <w:p>
            <w:pPr>
              <w:jc w:val="center"/>
              <w:ind w:left="1282"/>
              <w:spacing w:after="0"/>
              <w:rPr>
                <w:sz w:val="20"/>
                <w:szCs w:val="20"/>
                <w:color w:val="auto"/>
              </w:rPr>
            </w:pPr>
            <w:r>
              <w:rPr>
                <w:rFonts w:ascii="Times New Roman" w:cs="Times New Roman" w:eastAsia="Times New Roman" w:hAnsi="Times New Roman"/>
                <w:sz w:val="18"/>
                <w:szCs w:val="18"/>
                <w:b w:val="1"/>
                <w:bCs w:val="1"/>
                <w:color w:val="auto"/>
              </w:rPr>
              <w:t>61-0647538</w:t>
            </w:r>
          </w:p>
        </w:tc>
      </w:tr>
      <w:tr>
        <w:trPr>
          <w:trHeight w:val="162"/>
        </w:trPr>
        <w:tc>
          <w:tcPr>
            <w:tcW w:w="2960" w:type="dxa"/>
            <w:vAlign w:val="bottom"/>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60" w:type="dxa"/>
            <w:vAlign w:val="bottom"/>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6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500 W. Main Street, Louisville, Kentucky 40202</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(502) 580-1000</w:t>
      </w:r>
    </w:p>
    <w:p>
      <w:pPr>
        <w:spacing w:after="0" w:line="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91" w:lineRule="exact"/>
        <w:rPr>
          <w:sz w:val="24"/>
          <w:szCs w:val="24"/>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8" w:lineRule="exact"/>
        <w:rPr>
          <w:sz w:val="24"/>
          <w:szCs w:val="24"/>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20" w:hanging="45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17" w:lineRule="exact"/>
        <w:rPr>
          <w:rFonts w:ascii="MS PGothic" w:cs="MS PGothic" w:eastAsia="MS PGothic" w:hAnsi="MS PGothic"/>
          <w:sz w:val="18"/>
          <w:szCs w:val="18"/>
          <w:color w:val="auto"/>
        </w:rPr>
      </w:pPr>
    </w:p>
    <w:p>
      <w:pPr>
        <w:ind w:left="40" w:right="2300" w:firstLine="427"/>
        <w:spacing w:after="0" w:line="335" w:lineRule="auto"/>
        <w:tabs>
          <w:tab w:leader="none" w:pos="9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163"/>
        </w:trPr>
        <w:tc>
          <w:tcPr>
            <w:tcW w:w="4200" w:type="dxa"/>
            <w:vAlign w:val="bottom"/>
            <w:tcBorders>
              <w:top w:val="single" w:sz="8" w:color="auto"/>
              <w:left w:val="single" w:sz="8" w:color="auto"/>
              <w:right w:val="single" w:sz="8" w:color="auto"/>
            </w:tcBorders>
            <w:gridSpan w:val="3"/>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640" w:type="dxa"/>
            <w:vAlign w:val="bottom"/>
            <w:tcBorders>
              <w:top w:val="single" w:sz="8" w:color="auto"/>
            </w:tcBorders>
          </w:tcPr>
          <w:p>
            <w:pPr>
              <w:spacing w:after="0"/>
              <w:rPr>
                <w:sz w:val="14"/>
                <w:szCs w:val="14"/>
                <w:color w:val="auto"/>
              </w:rPr>
            </w:pPr>
          </w:p>
        </w:tc>
        <w:tc>
          <w:tcPr>
            <w:tcW w:w="2100" w:type="dxa"/>
            <w:vAlign w:val="bottom"/>
            <w:tcBorders>
              <w:top w:val="single" w:sz="8" w:color="auto"/>
              <w:right w:val="single" w:sz="8" w:color="auto"/>
            </w:tcBorders>
            <w:gridSpan w:val="2"/>
          </w:tcPr>
          <w:p>
            <w:pPr>
              <w:jc w:val="center"/>
              <w:ind w:right="660"/>
              <w:spacing w:after="0" w:line="163"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 w:type="dxa"/>
            <w:vAlign w:val="bottom"/>
            <w:tcBorders>
              <w:top w:val="single" w:sz="8" w:color="auto"/>
            </w:tcBorders>
          </w:tcPr>
          <w:p>
            <w:pPr>
              <w:spacing w:after="0"/>
              <w:rPr>
                <w:sz w:val="14"/>
                <w:szCs w:val="14"/>
                <w:color w:val="auto"/>
              </w:rPr>
            </w:pPr>
          </w:p>
        </w:tc>
        <w:tc>
          <w:tcPr>
            <w:tcW w:w="3800" w:type="dxa"/>
            <w:vAlign w:val="bottom"/>
            <w:tcBorders>
              <w:top w:val="single" w:sz="8" w:color="auto"/>
              <w:right w:val="single" w:sz="8" w:color="auto"/>
            </w:tcBorders>
            <w:gridSpan w:val="2"/>
          </w:tcPr>
          <w:p>
            <w:pPr>
              <w:jc w:val="center"/>
              <w:ind w:right="440"/>
              <w:spacing w:after="0" w:line="163" w:lineRule="exact"/>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1420" w:type="dxa"/>
            <w:vAlign w:val="bottom"/>
            <w:tcBorders>
              <w:left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1420" w:type="dxa"/>
            <w:vAlign w:val="bottom"/>
            <w:tcBorders>
              <w:left w:val="single" w:sz="8" w:color="auto"/>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gridSpan w:val="2"/>
          </w:tcPr>
          <w:p>
            <w:pPr>
              <w:jc w:val="center"/>
              <w:ind w:right="1420"/>
              <w:spacing w:after="0" w:line="197" w:lineRule="exact"/>
              <w:rPr>
                <w:sz w:val="20"/>
                <w:szCs w:val="20"/>
                <w:color w:val="auto"/>
              </w:rPr>
            </w:pPr>
            <w:r>
              <w:rPr>
                <w:rFonts w:ascii="Times New Roman" w:cs="Times New Roman" w:eastAsia="Times New Roman" w:hAnsi="Times New Roman"/>
                <w:sz w:val="20"/>
                <w:szCs w:val="20"/>
                <w:color w:val="auto"/>
                <w:w w:val="99"/>
              </w:rPr>
              <w:t>Common Stock</w:t>
            </w:r>
          </w:p>
        </w:tc>
        <w:tc>
          <w:tcPr>
            <w:tcW w:w="64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gridSpan w:val="2"/>
          </w:tcPr>
          <w:p>
            <w:pPr>
              <w:jc w:val="center"/>
              <w:ind w:right="680"/>
              <w:spacing w:after="0" w:line="197" w:lineRule="exact"/>
              <w:rPr>
                <w:sz w:val="20"/>
                <w:szCs w:val="20"/>
                <w:color w:val="auto"/>
              </w:rPr>
            </w:pPr>
            <w:r>
              <w:rPr>
                <w:rFonts w:ascii="Times New Roman" w:cs="Times New Roman" w:eastAsia="Times New Roman" w:hAnsi="Times New Roman"/>
                <w:sz w:val="20"/>
                <w:szCs w:val="20"/>
                <w:color w:val="auto"/>
                <w:w w:val="98"/>
              </w:rPr>
              <w:t>HUM</w:t>
            </w:r>
          </w:p>
        </w:tc>
        <w:tc>
          <w:tcPr>
            <w:tcW w:w="400" w:type="dxa"/>
            <w:vAlign w:val="bottom"/>
            <w:tcBorders>
              <w:bottom w:val="single" w:sz="8" w:color="auto"/>
            </w:tcBorders>
          </w:tcPr>
          <w:p>
            <w:pPr>
              <w:spacing w:after="0"/>
              <w:rPr>
                <w:sz w:val="17"/>
                <w:szCs w:val="17"/>
                <w:color w:val="auto"/>
              </w:rPr>
            </w:pPr>
          </w:p>
        </w:tc>
        <w:tc>
          <w:tcPr>
            <w:tcW w:w="3800" w:type="dxa"/>
            <w:vAlign w:val="bottom"/>
            <w:tcBorders>
              <w:bottom w:val="single" w:sz="8" w:color="auto"/>
              <w:right w:val="single" w:sz="8" w:color="auto"/>
            </w:tcBorders>
            <w:gridSpan w:val="2"/>
          </w:tcPr>
          <w:p>
            <w:pPr>
              <w:jc w:val="center"/>
              <w:ind w:right="440"/>
              <w:spacing w:after="0" w:line="197" w:lineRule="exact"/>
              <w:rPr>
                <w:sz w:val="20"/>
                <w:szCs w:val="20"/>
                <w:color w:val="auto"/>
              </w:rPr>
            </w:pPr>
            <w:r>
              <w:rPr>
                <w:rFonts w:ascii="Times New Roman" w:cs="Times New Roman" w:eastAsia="Times New Roman" w:hAnsi="Times New Roman"/>
                <w:sz w:val="20"/>
                <w:szCs w:val="20"/>
                <w:color w:val="auto"/>
                <w:w w:val="97"/>
              </w:rPr>
              <w:t>New York Stock Exchange</w:t>
            </w:r>
          </w:p>
        </w:tc>
      </w:tr>
    </w:tbl>
    <w:p>
      <w:pPr>
        <w:spacing w:after="0" w:line="90"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44" w:lineRule="exact"/>
        <w:rPr>
          <w:sz w:val="24"/>
          <w:szCs w:val="24"/>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16" w:right="399" w:bottom="1440" w:gutter="0" w:footer="0" w:header="0"/>
        </w:sectPr>
      </w:pPr>
    </w:p>
    <w:bookmarkStart w:id="1" w:name="page2"/>
    <w:bookmarkEnd w:id="1"/>
    <w:p>
      <w:pPr>
        <w:ind w:left="7" w:right="220"/>
        <w:spacing w:after="0" w:line="301"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237" w:lineRule="exact"/>
        <w:rPr>
          <w:sz w:val="20"/>
          <w:szCs w:val="20"/>
          <w:color w:val="auto"/>
        </w:rPr>
      </w:pPr>
    </w:p>
    <w:p>
      <w:pPr>
        <w:jc w:val="both"/>
        <w:ind w:left="7" w:right="180" w:hanging="7"/>
        <w:spacing w:after="0" w:line="384" w:lineRule="auto"/>
        <w:tabs>
          <w:tab w:leader="none" w:pos="4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March 22, 2021, Humana Inc. (the “Company”) announced that Brian A. Kane, Chief Financial Officer, will be transitioning from his current role as of June 1, 2021, after which he has agreed to serve as an advisor to the Company through December 31, 2021.</w:t>
      </w:r>
    </w:p>
    <w:p>
      <w:pPr>
        <w:spacing w:after="0" w:line="232" w:lineRule="exact"/>
        <w:rPr>
          <w:sz w:val="20"/>
          <w:szCs w:val="20"/>
          <w:color w:val="auto"/>
        </w:rPr>
      </w:pPr>
    </w:p>
    <w:p>
      <w:pPr>
        <w:ind w:left="7"/>
        <w:spacing w:after="0" w:line="328" w:lineRule="auto"/>
        <w:rPr>
          <w:sz w:val="20"/>
          <w:szCs w:val="20"/>
          <w:color w:val="auto"/>
        </w:rPr>
      </w:pPr>
      <w:r>
        <w:rPr>
          <w:rFonts w:ascii="Times New Roman" w:cs="Times New Roman" w:eastAsia="Times New Roman" w:hAnsi="Times New Roman"/>
          <w:sz w:val="20"/>
          <w:szCs w:val="20"/>
          <w:color w:val="auto"/>
        </w:rPr>
        <w:t>In connection with the transition, Mr. Kane entered into an agreement with the Company, dated as of March 22, 2021 (the “Transition Agreement”), which provides that during the transition period he will provide advisory services with respect to the Company’s finance and reporting functions and will continue to receive his current base salary, annual incentive plan opportunity and benefits through December 31, 2021, and that his outstanding equity awards will be treated in accordance with applicable provisions under the Company’s stock incentive plans. At the end of the transition period, Mr. Kane will receive, subject to his execution of a general release of claims and compliance with applicable restrictive covenants, the benefits pursuant to the Company’s Executive Severance Policy and stock incentive plans that he would receive in connection with a position elimination.</w:t>
      </w:r>
    </w:p>
    <w:p>
      <w:pPr>
        <w:spacing w:after="0" w:line="284" w:lineRule="exact"/>
        <w:rPr>
          <w:sz w:val="20"/>
          <w:szCs w:val="20"/>
          <w:color w:val="auto"/>
        </w:rPr>
      </w:pPr>
    </w:p>
    <w:p>
      <w:pPr>
        <w:jc w:val="both"/>
        <w:ind w:left="7" w:right="120"/>
        <w:spacing w:after="0" w:line="338" w:lineRule="auto"/>
        <w:rPr>
          <w:sz w:val="20"/>
          <w:szCs w:val="20"/>
          <w:color w:val="auto"/>
        </w:rPr>
      </w:pPr>
      <w:r>
        <w:rPr>
          <w:rFonts w:ascii="Times New Roman" w:cs="Times New Roman" w:eastAsia="Times New Roman" w:hAnsi="Times New Roman"/>
          <w:sz w:val="20"/>
          <w:szCs w:val="20"/>
          <w:color w:val="auto"/>
        </w:rPr>
        <w:t>The foregoing summary of the Transition Agreement does not purport to be complete and is qualified in its entirety by reference to the full text of the Transition Agreement, a copy of which is expected to be filed as an exhibit to the Company’s Quarterly Report on Form 10-Q for the period ending March 31, 2021.</w:t>
      </w:r>
    </w:p>
    <w:p>
      <w:pPr>
        <w:spacing w:after="0" w:line="270" w:lineRule="exact"/>
        <w:rPr>
          <w:sz w:val="20"/>
          <w:szCs w:val="20"/>
          <w:color w:val="auto"/>
        </w:rPr>
      </w:pPr>
    </w:p>
    <w:p>
      <w:pPr>
        <w:jc w:val="both"/>
        <w:ind w:left="7" w:right="120" w:hanging="7"/>
        <w:spacing w:after="0" w:line="338" w:lineRule="auto"/>
        <w:tabs>
          <w:tab w:leader="none" w:pos="37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March 22, 2021, the Company also announced that it intends to immediately establish an office of the Chief Financial Officer, including Susan Diamond, current head of the Company’s Home business, who is expected to be appointed the Interim Chief Financial Officer as of June 1, 2021. There will be no changes in compensation at this time relating to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7"/>
          </w:cols>
          <w:pgMar w:left="733" w:top="126" w:right="35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9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212"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b w:val="1"/>
          <w:bCs w:val="1"/>
          <w:color w:val="auto"/>
        </w:rPr>
        <w:t>BY:</w:t>
        <w:tab/>
        <w:t>/s/ Cynthia H. Zipperle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11430</wp:posOffset>
            </wp:positionV>
            <wp:extent cx="3248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Cynthia H. Zipperle</w:t>
      </w:r>
    </w:p>
    <w:p>
      <w:pPr>
        <w:ind w:left="6120"/>
        <w:spacing w:after="0" w:line="234" w:lineRule="auto"/>
        <w:rPr>
          <w:sz w:val="20"/>
          <w:szCs w:val="20"/>
          <w:color w:val="auto"/>
        </w:rPr>
      </w:pPr>
      <w:r>
        <w:rPr>
          <w:rFonts w:ascii="Times New Roman" w:cs="Times New Roman" w:eastAsia="Times New Roman" w:hAnsi="Times New Roman"/>
          <w:sz w:val="18"/>
          <w:szCs w:val="18"/>
          <w:b w:val="1"/>
          <w:bCs w:val="1"/>
          <w:color w:val="auto"/>
        </w:rPr>
        <w:t>Senior Vice President, Chief Accounting Officer and Controller</w:t>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3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March 22, 2021</w:t>
      </w:r>
    </w:p>
    <w:sectPr>
      <w:pgSz w:w="11900" w:h="16838" w:orient="portrait"/>
      <w:cols w:equalWidth="0" w:num="1">
        <w:col w:w="11040"/>
      </w:cols>
      <w:pgMar w:left="320" w:top="11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2021-03-22T07:31:42Z</dcterms:created>
  <dcterms:modified xsi:type="dcterms:W3CDTF">2021-03-22T07:31:42Z</dcterms:modified>
</cp:coreProperties>
</file>