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23, 2019 (September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Humana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1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001-05975</w:t>
            </w:r>
          </w:p>
        </w:tc>
        <w:tc>
          <w:tcPr>
            <w:tcW w:w="380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b w:val="1"/>
                <w:bCs w:val="1"/>
                <w:color w:val="auto"/>
                <w:w w:val="98"/>
              </w:rPr>
              <w:t>61-0647538</w:t>
            </w:r>
          </w:p>
        </w:tc>
      </w:tr>
      <w:tr>
        <w:trPr>
          <w:trHeight w:val="131"/>
        </w:trPr>
        <w:tc>
          <w:tcPr>
            <w:tcW w:w="4100" w:type="dxa"/>
            <w:vAlign w:val="bottom"/>
          </w:tcPr>
          <w:p>
            <w:pPr>
              <w:jc w:val="center"/>
              <w:ind w:right="102"/>
              <w:spacing w:after="0" w:line="13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520" w:type="dxa"/>
            <w:vAlign w:val="bottom"/>
          </w:tcPr>
          <w:p>
            <w:pPr>
              <w:ind w:left="1320"/>
              <w:spacing w:after="0" w:line="13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800" w:type="dxa"/>
            <w:vAlign w:val="bottom"/>
          </w:tcPr>
          <w:p>
            <w:pPr>
              <w:jc w:val="center"/>
              <w:ind w:left="22"/>
              <w:spacing w:after="0" w:line="13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5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80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6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500 W. Main Street, Louisville, Kentucky 40202</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(502) 580-1000</w:t>
      </w:r>
    </w:p>
    <w:p>
      <w:pPr>
        <w:spacing w:after="0" w:line="6"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3"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91"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8" w:lineRule="exact"/>
        <w:rPr>
          <w:sz w:val="24"/>
          <w:szCs w:val="24"/>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17" w:lineRule="exact"/>
        <w:rPr>
          <w:rFonts w:ascii="MS PGothic" w:cs="MS PGothic" w:eastAsia="MS PGothic" w:hAnsi="MS PGothic"/>
          <w:sz w:val="18"/>
          <w:szCs w:val="18"/>
          <w:color w:val="auto"/>
        </w:rPr>
      </w:pPr>
    </w:p>
    <w:p>
      <w:pPr>
        <w:ind w:left="40" w:right="2520" w:firstLine="427"/>
        <w:spacing w:after="0" w:line="343" w:lineRule="auto"/>
        <w:tabs>
          <w:tab w:leader="none" w:pos="9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70" w:type="dxa"/>
        <w:tblCellMar>
          <w:top w:w="0" w:type="dxa"/>
          <w:left w:w="0" w:type="dxa"/>
          <w:bottom w:w="0" w:type="dxa"/>
          <w:right w:w="0" w:type="dxa"/>
        </w:tblCellMar>
      </w:tblPr>
      <w:tr>
        <w:trPr>
          <w:trHeight w:val="190"/>
        </w:trPr>
        <w:tc>
          <w:tcPr>
            <w:tcW w:w="4260" w:type="dxa"/>
            <w:vAlign w:val="bottom"/>
            <w:tcBorders>
              <w:top w:val="single" w:sz="8" w:color="auto"/>
              <w:left w:val="single" w:sz="8" w:color="auto"/>
              <w:bottom w:val="single" w:sz="8" w:color="auto"/>
              <w:right w:val="single" w:sz="8" w:color="auto"/>
            </w:tcBorders>
          </w:tcPr>
          <w:p>
            <w:pPr>
              <w:ind w:left="1480"/>
              <w:spacing w:after="0" w:line="190" w:lineRule="exact"/>
              <w:rPr>
                <w:sz w:val="20"/>
                <w:szCs w:val="20"/>
                <w:color w:val="auto"/>
              </w:rPr>
            </w:pPr>
            <w:r>
              <w:rPr>
                <w:rFonts w:ascii="Times New Roman" w:cs="Times New Roman" w:eastAsia="Times New Roman" w:hAnsi="Times New Roman"/>
                <w:sz w:val="18"/>
                <w:szCs w:val="18"/>
                <w:color w:val="auto"/>
              </w:rPr>
              <w:t>Title of each class</w:t>
            </w:r>
          </w:p>
        </w:tc>
        <w:tc>
          <w:tcPr>
            <w:tcW w:w="2780" w:type="dxa"/>
            <w:vAlign w:val="bottom"/>
            <w:tcBorders>
              <w:top w:val="single" w:sz="8" w:color="auto"/>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top w:val="single" w:sz="8" w:color="auto"/>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260" w:type="dxa"/>
            <w:vAlign w:val="bottom"/>
            <w:tcBorders>
              <w:left w:val="single" w:sz="8" w:color="auto"/>
              <w:bottom w:val="single" w:sz="8" w:color="auto"/>
              <w:right w:val="single" w:sz="8" w:color="auto"/>
            </w:tcBorders>
          </w:tcPr>
          <w:p>
            <w:pPr>
              <w:ind w:left="1520"/>
              <w:spacing w:after="0" w:line="209" w:lineRule="exact"/>
              <w:rPr>
                <w:sz w:val="20"/>
                <w:szCs w:val="20"/>
                <w:color w:val="auto"/>
              </w:rPr>
            </w:pPr>
            <w:r>
              <w:rPr>
                <w:rFonts w:ascii="Times New Roman" w:cs="Times New Roman" w:eastAsia="Times New Roman" w:hAnsi="Times New Roman"/>
                <w:sz w:val="20"/>
                <w:szCs w:val="20"/>
                <w:color w:val="auto"/>
              </w:rPr>
              <w:t>Common Stock</w:t>
            </w:r>
          </w:p>
        </w:tc>
        <w:tc>
          <w:tcPr>
            <w:tcW w:w="2780" w:type="dxa"/>
            <w:vAlign w:val="bottom"/>
            <w:tcBorders>
              <w:bottom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HUM</w:t>
            </w:r>
          </w:p>
        </w:tc>
        <w:tc>
          <w:tcPr>
            <w:tcW w:w="4280" w:type="dxa"/>
            <w:vAlign w:val="bottom"/>
            <w:tcBorders>
              <w:bottom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NYSE</w:t>
            </w:r>
          </w:p>
        </w:tc>
      </w:tr>
    </w:tbl>
    <w:p>
      <w:pPr>
        <w:spacing w:after="0" w:line="9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44" w:lineRule="exact"/>
        <w:rPr>
          <w:sz w:val="24"/>
          <w:szCs w:val="24"/>
          <w:color w:val="auto"/>
        </w:rPr>
      </w:pPr>
    </w:p>
    <w:p>
      <w:pPr>
        <w:ind w:right="14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16" w:right="23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5.02</w:t>
      </w:r>
      <w:r>
        <w:rPr>
          <w:sz w:val="20"/>
          <w:szCs w:val="20"/>
          <w:color w:val="auto"/>
        </w:rPr>
        <w:tab/>
      </w:r>
      <w:r>
        <w:rPr>
          <w:rFonts w:ascii="Times New Roman" w:cs="Times New Roman" w:eastAsia="Times New Roman" w:hAnsi="Times New Roman"/>
          <w:sz w:val="19"/>
          <w:szCs w:val="19"/>
          <w:b w:val="1"/>
          <w:bCs w:val="1"/>
          <w:color w:val="auto"/>
        </w:rPr>
        <w:t>Departure of Directors or Certain Officers; Election of Directors; Appointment of</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b w:val="1"/>
          <w:bCs w:val="1"/>
          <w:color w:val="auto"/>
        </w:rPr>
        <w:t>Certain Officers; Compensatory Arrangements of Certain Officers.</w:t>
      </w:r>
    </w:p>
    <w:p>
      <w:pPr>
        <w:spacing w:after="0" w:line="180" w:lineRule="exact"/>
        <w:rPr>
          <w:sz w:val="20"/>
          <w:szCs w:val="20"/>
          <w:color w:val="auto"/>
        </w:rPr>
      </w:pPr>
    </w:p>
    <w:p>
      <w:pPr>
        <w:ind w:right="540" w:firstLine="8"/>
        <w:spacing w:after="0" w:line="325" w:lineRule="auto"/>
        <w:tabs>
          <w:tab w:leader="none" w:pos="87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September 20, 2019, the Board of Directors (the “Board”) of Humana Inc. (the “Company”) expanded its number of authorized directors from ten to eleven and elected Karen W. Katz as a director of the Company.</w:t>
      </w:r>
    </w:p>
    <w:p>
      <w:pPr>
        <w:spacing w:after="0" w:line="9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20"/>
          <w:szCs w:val="20"/>
          <w:color w:val="auto"/>
        </w:rPr>
        <w:t>The Board of Directors has determined that (i) Ms. Katz is independent within the meaning of the New York Stock Exchange’s director independence standards; (ii) there was no arrangement or understanding between Ms. Katz and any other persons pursuant to which Ms. Katz was selected as a director; and (iii) there are no material transactions involving Ms. Katz and the Company.</w:t>
      </w:r>
    </w:p>
    <w:p>
      <w:pPr>
        <w:spacing w:after="0" w:line="17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0"/>
          <w:szCs w:val="20"/>
          <w:color w:val="auto"/>
        </w:rPr>
        <w:t>Ms. Katz will be compensated in accordance with the Company’s standard compensation policies and practices for the Board, the components of which were disclosed by the Company in its proxy statement filed with the U.S. Securities and Exchange Commission on March 6, 2019. In connection with her election to the Board, Ms. Katz also will be granted restricted stock units (RSUs) in accordance with the Company’s director compensation program. Ms. Katz has not yet been appointed to any committees of the Board.</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20"/>
          <w:szCs w:val="20"/>
          <w:color w:val="auto"/>
        </w:rPr>
        <w:t>On September 23, 2019, the Company issued a press release announcing the election of Ms. Katz, a copy of which is attached hereto as Exhibit 99.1, and is incorporated by reference herein.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9.01</w:t>
            </w:r>
          </w:p>
        </w:tc>
        <w:tc>
          <w:tcPr>
            <w:tcW w:w="9760" w:type="dxa"/>
            <w:vAlign w:val="bottom"/>
            <w:gridSpan w:val="2"/>
          </w:tcPr>
          <w:p>
            <w:pPr>
              <w:ind w:left="440"/>
              <w:spacing w:after="0"/>
              <w:rPr>
                <w:sz w:val="20"/>
                <w:szCs w:val="20"/>
                <w:color w:val="auto"/>
              </w:rPr>
            </w:pPr>
            <w:r>
              <w:rPr>
                <w:rFonts w:ascii="Times New Roman" w:cs="Times New Roman" w:eastAsia="Times New Roman" w:hAnsi="Times New Roman"/>
                <w:sz w:val="20"/>
                <w:szCs w:val="20"/>
                <w:b w:val="1"/>
                <w:bCs w:val="1"/>
                <w:color w:val="auto"/>
              </w:rPr>
              <w:t>Financial Statements and Exhibits.</w:t>
            </w:r>
          </w:p>
        </w:tc>
      </w:tr>
      <w:tr>
        <w:trPr>
          <w:trHeight w:val="500"/>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108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413"/>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183"/>
        </w:trPr>
        <w:tc>
          <w:tcPr>
            <w:tcW w:w="1660" w:type="dxa"/>
            <w:vAlign w:val="bottom"/>
          </w:tcPr>
          <w:p>
            <w:pPr>
              <w:spacing w:after="0" w:line="183" w:lineRule="exact"/>
              <w:rPr>
                <w:sz w:val="20"/>
                <w:szCs w:val="20"/>
                <w:color w:val="auto"/>
              </w:rPr>
            </w:pPr>
            <w:r>
              <w:rPr>
                <w:rFonts w:ascii="Times New Roman" w:cs="Times New Roman" w:eastAsia="Times New Roman" w:hAnsi="Times New Roman"/>
                <w:sz w:val="20"/>
                <w:szCs w:val="20"/>
                <w:color w:val="auto"/>
              </w:rPr>
              <w:t>99.1</w:t>
            </w:r>
          </w:p>
        </w:tc>
        <w:tc>
          <w:tcPr>
            <w:tcW w:w="9760" w:type="dxa"/>
            <w:vAlign w:val="bottom"/>
            <w:gridSpan w:val="2"/>
          </w:tcPr>
          <w:p>
            <w:pPr>
              <w:spacing w:after="0" w:line="183" w:lineRule="exact"/>
              <w:rPr>
                <w:rFonts w:ascii="Times New Roman" w:cs="Times New Roman" w:eastAsia="Times New Roman" w:hAnsi="Times New Roman"/>
                <w:sz w:val="20"/>
                <w:szCs w:val="20"/>
                <w:color w:val="0000EE"/>
              </w:rPr>
            </w:pPr>
            <w:hyperlink w:anchor="page4">
              <w:r>
                <w:rPr>
                  <w:rFonts w:ascii="Times New Roman" w:cs="Times New Roman" w:eastAsia="Times New Roman" w:hAnsi="Times New Roman"/>
                  <w:sz w:val="20"/>
                  <w:szCs w:val="20"/>
                  <w:color w:val="0000EE"/>
                </w:rPr>
                <w:t>Press Release</w:t>
              </w:r>
            </w:hyperlink>
          </w:p>
        </w:tc>
      </w:tr>
      <w:tr>
        <w:trPr>
          <w:trHeight w:val="252"/>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0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rPr>
              <w:t>Cover Page</w:t>
            </w:r>
          </w:p>
        </w:tc>
        <w:tc>
          <w:tcPr>
            <w:tcW w:w="8680" w:type="dxa"/>
            <w:vAlign w:val="bottom"/>
          </w:tcPr>
          <w:p>
            <w:pPr>
              <w:spacing w:after="0"/>
              <w:rPr>
                <w:sz w:val="20"/>
                <w:szCs w:val="20"/>
                <w:color w:val="auto"/>
              </w:rPr>
            </w:pPr>
            <w:r>
              <w:rPr>
                <w:rFonts w:ascii="Times New Roman" w:cs="Times New Roman" w:eastAsia="Times New Roman" w:hAnsi="Times New Roman"/>
                <w:sz w:val="20"/>
                <w:szCs w:val="20"/>
                <w:color w:val="auto"/>
              </w:rPr>
              <w:t>Interactive Data File (embedded within the Inline XBRL document)</w:t>
            </w:r>
          </w:p>
        </w:tc>
      </w:tr>
      <w:tr>
        <w:trPr>
          <w:trHeight w:val="370"/>
        </w:trPr>
        <w:tc>
          <w:tcPr>
            <w:tcW w:w="16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0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212"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b w:val="1"/>
          <w:bCs w:val="1"/>
          <w:u w:val="single" w:color="auto"/>
          <w:color w:val="auto"/>
        </w:rPr>
        <w:t>/s/ Cynthia H. Zipperle</w:t>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b w:val="1"/>
          <w:bCs w:val="1"/>
          <w:color w:val="auto"/>
        </w:rPr>
        <w:t>Cynthia H. Zipperle</w:t>
      </w:r>
    </w:p>
    <w:p>
      <w:pPr>
        <w:ind w:left="6220"/>
        <w:spacing w:after="0"/>
        <w:rPr>
          <w:sz w:val="20"/>
          <w:szCs w:val="20"/>
          <w:color w:val="auto"/>
        </w:rPr>
      </w:pPr>
      <w:r>
        <w:rPr>
          <w:rFonts w:ascii="Times New Roman" w:cs="Times New Roman" w:eastAsia="Times New Roman" w:hAnsi="Times New Roman"/>
          <w:sz w:val="17"/>
          <w:szCs w:val="17"/>
          <w:b w:val="1"/>
          <w:bCs w:val="1"/>
          <w:color w:val="auto"/>
        </w:rPr>
        <w:t>Senior Vice President, Chief Accounting Officer and Controller</w:t>
      </w:r>
    </w:p>
    <w:p>
      <w:pPr>
        <w:spacing w:after="0" w:line="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19"/>
          <w:szCs w:val="19"/>
          <w:color w:val="auto"/>
        </w:rPr>
        <w:t>September 23, 2019</w:t>
      </w:r>
    </w:p>
    <w:p>
      <w:pPr>
        <w:sectPr>
          <w:pgSz w:w="11900" w:h="16838" w:orient="portrait"/>
          <w:cols w:equalWidth="0" w:num="1">
            <w:col w:w="11080"/>
          </w:cols>
          <w:pgMar w:left="240" w:top="114" w:right="579" w:bottom="1440" w:gutter="0" w:footer="0" w:header="0"/>
        </w:sectPr>
      </w:pPr>
    </w:p>
    <w:bookmarkStart w:id="3" w:name="page4"/>
    <w:bookmarkEnd w:id="3"/>
    <w:p>
      <w:pPr>
        <w:ind w:left="180"/>
        <w:spacing w:after="0"/>
        <w:rPr>
          <w:sz w:val="20"/>
          <w:szCs w:val="20"/>
          <w:color w:val="auto"/>
        </w:rPr>
      </w:pPr>
      <w:r>
        <w:rPr>
          <w:rFonts w:ascii="Times New Roman" w:cs="Times New Roman" w:eastAsia="Times New Roman" w:hAnsi="Times New Roman"/>
          <w:sz w:val="18"/>
          <w:szCs w:val="18"/>
          <w:b w:val="1"/>
          <w:bCs w:val="1"/>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-116840</wp:posOffset>
            </wp:positionV>
            <wp:extent cx="2058035"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8035" cy="617220"/>
                    </a:xfrm>
                    <a:prstGeom prst="rect">
                      <a:avLst/>
                    </a:prstGeom>
                    <a:noFill/>
                  </pic:spPr>
                </pic:pic>
              </a:graphicData>
            </a:graphic>
          </wp:anchor>
        </w:drawing>
      </w:r>
    </w:p>
    <w:p>
      <w:pPr>
        <w:spacing w:after="0" w:line="2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Amy Smith</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Investor Relations</w:t>
      </w:r>
    </w:p>
    <w:p>
      <w:pPr>
        <w:ind w:left="180"/>
        <w:spacing w:after="0" w:line="234" w:lineRule="auto"/>
        <w:rPr>
          <w:sz w:val="20"/>
          <w:szCs w:val="20"/>
          <w:color w:val="auto"/>
        </w:rPr>
      </w:pPr>
      <w:r>
        <w:rPr>
          <w:rFonts w:ascii="Times New Roman" w:cs="Times New Roman" w:eastAsia="Times New Roman" w:hAnsi="Times New Roman"/>
          <w:sz w:val="18"/>
          <w:szCs w:val="18"/>
          <w:color w:val="auto"/>
        </w:rPr>
        <w:t>Humana Inc.</w:t>
      </w:r>
    </w:p>
    <w:p>
      <w:pPr>
        <w:ind w:left="180"/>
        <w:spacing w:after="0" w:line="235" w:lineRule="auto"/>
        <w:rPr>
          <w:sz w:val="20"/>
          <w:szCs w:val="20"/>
          <w:color w:val="auto"/>
        </w:rPr>
      </w:pPr>
      <w:r>
        <w:rPr>
          <w:rFonts w:ascii="Times New Roman" w:cs="Times New Roman" w:eastAsia="Times New Roman" w:hAnsi="Times New Roman"/>
          <w:sz w:val="18"/>
          <w:szCs w:val="18"/>
          <w:color w:val="auto"/>
        </w:rPr>
        <w:t>502-580-2811</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0563C1"/>
        </w:rPr>
        <w:t>amysmith@humana.com</w:t>
      </w:r>
    </w:p>
    <w:p>
      <w:pPr>
        <w:spacing w:after="0" w:line="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or</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Alex Kepnes</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Communications</w:t>
      </w:r>
    </w:p>
    <w:p>
      <w:pPr>
        <w:ind w:left="180"/>
        <w:spacing w:after="0" w:line="234" w:lineRule="auto"/>
        <w:rPr>
          <w:sz w:val="20"/>
          <w:szCs w:val="20"/>
          <w:color w:val="auto"/>
        </w:rPr>
      </w:pPr>
      <w:r>
        <w:rPr>
          <w:rFonts w:ascii="Times New Roman" w:cs="Times New Roman" w:eastAsia="Times New Roman" w:hAnsi="Times New Roman"/>
          <w:sz w:val="18"/>
          <w:szCs w:val="18"/>
          <w:color w:val="auto"/>
        </w:rPr>
        <w:t>Humana Inc.</w:t>
      </w:r>
    </w:p>
    <w:p>
      <w:pPr>
        <w:ind w:left="180"/>
        <w:spacing w:after="0" w:line="235" w:lineRule="auto"/>
        <w:rPr>
          <w:sz w:val="20"/>
          <w:szCs w:val="20"/>
          <w:color w:val="auto"/>
        </w:rPr>
      </w:pPr>
      <w:r>
        <w:rPr>
          <w:rFonts w:ascii="Times New Roman" w:cs="Times New Roman" w:eastAsia="Times New Roman" w:hAnsi="Times New Roman"/>
          <w:sz w:val="18"/>
          <w:szCs w:val="18"/>
          <w:color w:val="auto"/>
        </w:rPr>
        <w:t>502-580-2990</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0563C1"/>
        </w:rPr>
        <w:t>akepnes@humana.com</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Humana Elects Karen W. Katz to Board of Directors</w:t>
      </w:r>
    </w:p>
    <w:p>
      <w:pPr>
        <w:spacing w:after="0" w:line="32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LOUISVILLE, Ky. </w:t>
      </w:r>
      <w:r>
        <w:rPr>
          <w:rFonts w:ascii="Times New Roman" w:cs="Times New Roman" w:eastAsia="Times New Roman" w:hAnsi="Times New Roman"/>
          <w:sz w:val="20"/>
          <w:szCs w:val="20"/>
          <w:color w:val="auto"/>
        </w:rPr>
        <w:t>– Sept. 23, 2019 – Humana Inc. (NYSE: HUM) announced today that Karen W. Katz has been elected as a member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board of directors.</w:t>
      </w:r>
    </w:p>
    <w:p>
      <w:pPr>
        <w:spacing w:after="0" w:line="183"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20"/>
          <w:szCs w:val="20"/>
          <w:color w:val="auto"/>
        </w:rPr>
        <w:t>Katz was President and CEO of Neiman Marcus Group from 2010 to February 2018. Neiman Marcus Group is an international multibrand omni-channel retailer whose portfolio of brands includes Neiman Marcus, Bergdorf Goodman and MyTheresa. Having joined Neiman Marcus in 1985, Katz served in key executive and leadership roles in the company’s specialty retail stores and eCommerce organizations as Executive Vice President – Stores; a member of the Office of the Chairman of Neiman Marcus Group; President, Neiman Marcus Online; and President and CEO, Neiman Marcus Stores. Katz currently serves on the Board of Directors of Under Armour, Inc., Neiman Marcus Group Ltd. LLC., and Casper Sleep, Inc.</w:t>
      </w:r>
    </w:p>
    <w:p>
      <w:pPr>
        <w:spacing w:after="0" w:line="133"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0"/>
          <w:szCs w:val="20"/>
          <w:color w:val="auto"/>
        </w:rPr>
        <w:t>“Karen is an accomplished executive with deep experience and a demonstrated commitment to understanding and meeting the needs of customers – by maintaining a personalized experience enabled by digital transformation,” said Humana Chairman of the Board Kurt J. Hilzinger. “She brings a holistic approach to customer service, including acumen for employing technology to advance service delivery, combined with demonstrated success in growing business through forward-thinking leadership. As Humana works to connect with the millions of people we serve in ways that continue to help them achieve better health outcomes, Karen will provide valuable perspective and expertise to Humana’s Board.”</w:t>
      </w:r>
    </w:p>
    <w:p>
      <w:pPr>
        <w:spacing w:after="0" w:line="17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Under Katz’s leadership, Neiman Marcus Stores embarked on a transformational strategy centered around the customer experience, the store of the future, and technology – with a focus on digital e-commerce and marketing. Katz’s strategic vision encompassed evolving the service model both in-store and online, while continuing to grow the company’s ecommerce business – enabling the company to maintain and enhance its commitment to merchandising excellence and customer service.</w:t>
      </w:r>
    </w:p>
    <w:p>
      <w:pPr>
        <w:spacing w:after="0" w:line="17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20"/>
          <w:szCs w:val="20"/>
          <w:color w:val="auto"/>
        </w:rPr>
        <w:t>Katz was educated at the University of Texas and received a master of business administration from the University of Houston. Her election brings the number of Humana directors to 11.</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Humana</w:t>
      </w:r>
    </w:p>
    <w:p>
      <w:pPr>
        <w:spacing w:after="0" w:line="229"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8"/>
          <w:szCs w:val="18"/>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36" w:lineRule="exact"/>
        <w:rPr>
          <w:sz w:val="20"/>
          <w:szCs w:val="20"/>
          <w:color w:val="auto"/>
        </w:rPr>
      </w:pPr>
    </w:p>
    <w:p>
      <w:pPr>
        <w:jc w:val="both"/>
        <w:ind w:right="300"/>
        <w:spacing w:after="0" w:line="313" w:lineRule="auto"/>
        <w:rPr>
          <w:sz w:val="20"/>
          <w:szCs w:val="20"/>
          <w:color w:val="auto"/>
        </w:rPr>
      </w:pPr>
      <w:r>
        <w:rPr>
          <w:rFonts w:ascii="Times New Roman" w:cs="Times New Roman" w:eastAsia="Times New Roman" w:hAnsi="Times New Roman"/>
          <w:sz w:val="18"/>
          <w:szCs w:val="18"/>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2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More information regarding Humana is available to investors via the Investor Relations page of the company’s web site at www.humana.com, including copies of:</w:t>
      </w:r>
    </w:p>
    <w:p>
      <w:pPr>
        <w:spacing w:after="0" w:line="14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to stockholders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Commission filings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recent investor conference presentations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earnings news releases and conference calls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of events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information</w:t>
      </w:r>
    </w:p>
    <w:p>
      <w:pPr>
        <w:sectPr>
          <w:pgSz w:w="11900" w:h="16838" w:orient="portrait"/>
          <w:cols w:equalWidth="0" w:num="1">
            <w:col w:w="11420"/>
          </w:cols>
          <w:pgMar w:left="240" w:top="549" w:right="239" w:bottom="1051"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sectPr>
      <w:pgSz w:w="11900" w:h="16838" w:orient="portrait"/>
      <w:cols w:equalWidth="0" w:num="1">
        <w:col w:w="11420"/>
      </w:cols>
      <w:pgMar w:left="240" w:top="549" w:right="239" w:bottom="10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2019-12-28T06:03:43Z</dcterms:created>
  <dcterms:modified xsi:type="dcterms:W3CDTF">2019-12-28T06:03:43Z</dcterms:modified>
</cp:coreProperties>
</file>