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393700</wp:posOffset>
            </wp:positionH>
            <wp:positionV relativeFrom="page">
              <wp:posOffset>825500</wp:posOffset>
            </wp:positionV>
            <wp:extent cx="6770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0370" cy="8255"/>
                    </a:xfrm>
                    <a:prstGeom prst="rect">
                      <a:avLst/>
                    </a:prstGeom>
                    <a:noFill/>
                  </pic:spPr>
                </pic:pic>
              </a:graphicData>
            </a:graphic>
          </wp:anchor>
        </w:drawing>
        <w:drawing>
          <wp:anchor simplePos="0" relativeHeight="251657728" behindDoc="1" locked="0" layoutInCell="0" allowOverlap="1">
            <wp:simplePos x="0" y="0"/>
            <wp:positionH relativeFrom="page">
              <wp:posOffset>393700</wp:posOffset>
            </wp:positionH>
            <wp:positionV relativeFrom="page">
              <wp:posOffset>793115</wp:posOffset>
            </wp:positionV>
            <wp:extent cx="6770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037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45085</wp:posOffset>
            </wp:positionV>
            <wp:extent cx="3315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200660</wp:posOffset>
            </wp:positionV>
            <wp:extent cx="3315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3, 2020 (November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1844040</wp:posOffset>
            </wp:positionH>
            <wp:positionV relativeFrom="paragraph">
              <wp:posOffset>27940</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Humana Inc.</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1852295</wp:posOffset>
            </wp:positionH>
            <wp:positionV relativeFrom="paragraph">
              <wp:posOffset>50800</wp:posOffset>
            </wp:positionV>
            <wp:extent cx="343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8525" cy="8255"/>
                    </a:xfrm>
                    <a:prstGeom prst="rect">
                      <a:avLst/>
                    </a:prstGeom>
                    <a:noFill/>
                  </pic:spPr>
                </pic:pic>
              </a:graphicData>
            </a:graphic>
          </wp:anchor>
        </w:drawing>
      </w:r>
    </w:p>
    <w:p>
      <w:pPr>
        <w:spacing w:after="0" w:line="196" w:lineRule="exact"/>
        <w:rPr>
          <w:sz w:val="24"/>
          <w:szCs w:val="24"/>
          <w:color w:val="auto"/>
        </w:rPr>
      </w:pPr>
    </w:p>
    <w:tbl>
      <w:tblPr>
        <w:tblLayout w:type="fixed"/>
        <w:tblInd w:w="1000" w:type="dxa"/>
        <w:tblCellMar>
          <w:top w:w="0" w:type="dxa"/>
          <w:left w:w="0" w:type="dxa"/>
          <w:bottom w:w="0" w:type="dxa"/>
          <w:right w:w="0" w:type="dxa"/>
        </w:tblCellMar>
      </w:tblPr>
      <w:tr>
        <w:trPr>
          <w:trHeight w:val="215"/>
        </w:trPr>
        <w:tc>
          <w:tcPr>
            <w:tcW w:w="27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Delaware</w:t>
            </w:r>
          </w:p>
        </w:tc>
        <w:tc>
          <w:tcPr>
            <w:tcW w:w="4000" w:type="dxa"/>
            <w:vAlign w:val="bottom"/>
          </w:tcPr>
          <w:p>
            <w:pPr>
              <w:jc w:val="center"/>
              <w:ind w:right="84"/>
              <w:spacing w:after="0"/>
              <w:rPr>
                <w:sz w:val="20"/>
                <w:szCs w:val="20"/>
                <w:color w:val="auto"/>
              </w:rPr>
            </w:pPr>
            <w:r>
              <w:rPr>
                <w:rFonts w:ascii="Arial" w:cs="Arial" w:eastAsia="Arial" w:hAnsi="Arial"/>
                <w:sz w:val="17"/>
                <w:szCs w:val="17"/>
                <w:b w:val="1"/>
                <w:bCs w:val="1"/>
                <w:color w:val="auto"/>
                <w:w w:val="90"/>
              </w:rPr>
              <w:t>1-5975</w:t>
            </w:r>
          </w:p>
        </w:tc>
        <w:tc>
          <w:tcPr>
            <w:tcW w:w="22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61-0647538</w:t>
            </w:r>
          </w:p>
        </w:tc>
      </w:tr>
      <w:tr>
        <w:trPr>
          <w:trHeight w:val="178"/>
        </w:trPr>
        <w:tc>
          <w:tcPr>
            <w:tcW w:w="2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(State or other jurisdiction of incorporation)</w:t>
            </w:r>
          </w:p>
        </w:tc>
        <w:tc>
          <w:tcPr>
            <w:tcW w:w="400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(Commission File Number)</w:t>
            </w:r>
          </w:p>
        </w:tc>
        <w:tc>
          <w:tcPr>
            <w:tcW w:w="2240" w:type="dxa"/>
            <w:vAlign w:val="bottom"/>
            <w:gridSpan w:val="2"/>
          </w:tcPr>
          <w:p>
            <w:pPr>
              <w:jc w:val="center"/>
              <w:ind w:left="163"/>
              <w:spacing w:after="0"/>
              <w:rPr>
                <w:sz w:val="20"/>
                <w:szCs w:val="20"/>
                <w:color w:val="auto"/>
              </w:rPr>
            </w:pPr>
            <w:r>
              <w:rPr>
                <w:rFonts w:ascii="Arial" w:cs="Arial" w:eastAsia="Arial" w:hAnsi="Arial"/>
                <w:sz w:val="14"/>
                <w:szCs w:val="14"/>
                <w:b w:val="1"/>
                <w:bCs w:val="1"/>
                <w:color w:val="auto"/>
                <w:w w:val="91"/>
              </w:rPr>
              <w:t>(IRS Employer Identification No.)</w:t>
            </w:r>
          </w:p>
        </w:tc>
      </w:tr>
      <w:tr>
        <w:trPr>
          <w:trHeight w:val="299"/>
        </w:trPr>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0" w:type="dxa"/>
            <w:vAlign w:val="bottom"/>
          </w:tcPr>
          <w:p>
            <w:pPr>
              <w:jc w:val="center"/>
              <w:ind w:right="84"/>
              <w:spacing w:after="0"/>
              <w:rPr>
                <w:sz w:val="20"/>
                <w:szCs w:val="20"/>
                <w:color w:val="auto"/>
              </w:rPr>
            </w:pPr>
            <w:r>
              <w:rPr>
                <w:rFonts w:ascii="Arial" w:cs="Arial" w:eastAsia="Arial" w:hAnsi="Arial"/>
                <w:sz w:val="17"/>
                <w:szCs w:val="17"/>
                <w:b w:val="1"/>
                <w:bCs w:val="1"/>
                <w:color w:val="auto"/>
                <w:w w:val="93"/>
              </w:rPr>
              <w:t>500 West Main Street Louisville, KY 40202</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8"/>
        </w:trPr>
        <w:tc>
          <w:tcPr>
            <w:tcW w:w="1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0" w:type="dxa"/>
            <w:vAlign w:val="bottom"/>
          </w:tcPr>
          <w:p>
            <w:pPr>
              <w:jc w:val="center"/>
              <w:ind w:right="84"/>
              <w:spacing w:after="0"/>
              <w:rPr>
                <w:sz w:val="20"/>
                <w:szCs w:val="20"/>
                <w:color w:val="auto"/>
              </w:rPr>
            </w:pPr>
            <w:r>
              <w:rPr>
                <w:rFonts w:ascii="Arial" w:cs="Arial" w:eastAsia="Arial" w:hAnsi="Arial"/>
                <w:sz w:val="14"/>
                <w:szCs w:val="14"/>
                <w:b w:val="1"/>
                <w:bCs w:val="1"/>
                <w:color w:val="auto"/>
                <w:w w:val="86"/>
              </w:rPr>
              <w:t>(Address of principal executive offices, including zip code)</w:t>
            </w:r>
          </w:p>
        </w:tc>
        <w:tc>
          <w:tcPr>
            <w:tcW w:w="6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415"/>
        </w:trPr>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0" w:type="dxa"/>
            <w:vAlign w:val="bottom"/>
          </w:tcPr>
          <w:p>
            <w:pPr>
              <w:jc w:val="center"/>
              <w:ind w:right="64"/>
              <w:spacing w:after="0"/>
              <w:rPr>
                <w:sz w:val="20"/>
                <w:szCs w:val="20"/>
                <w:color w:val="auto"/>
              </w:rPr>
            </w:pPr>
            <w:r>
              <w:rPr>
                <w:rFonts w:ascii="Arial" w:cs="Arial" w:eastAsia="Arial" w:hAnsi="Arial"/>
                <w:sz w:val="17"/>
                <w:szCs w:val="17"/>
                <w:b w:val="1"/>
                <w:bCs w:val="1"/>
                <w:color w:val="auto"/>
                <w:w w:val="92"/>
              </w:rPr>
              <w:t>502-580-1000</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8"/>
        </w:trPr>
        <w:tc>
          <w:tcPr>
            <w:tcW w:w="1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0" w:type="dxa"/>
            <w:vAlign w:val="bottom"/>
          </w:tcPr>
          <w:p>
            <w:pPr>
              <w:jc w:val="center"/>
              <w:ind w:right="6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6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61"/>
        </w:trPr>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0" w:type="dxa"/>
            <w:vAlign w:val="bottom"/>
          </w:tcPr>
          <w:p>
            <w:pPr>
              <w:jc w:val="center"/>
              <w:ind w:right="84"/>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
        </w:trPr>
        <w:tc>
          <w:tcPr>
            <w:tcW w:w="19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r>
    </w:tbl>
    <w:p>
      <w:pPr>
        <w:spacing w:after="0" w:line="91" w:lineRule="exact"/>
        <w:rPr>
          <w:sz w:val="24"/>
          <w:szCs w:val="24"/>
          <w:color w:val="auto"/>
        </w:rPr>
      </w:pPr>
    </w:p>
    <w:p>
      <w:pPr>
        <w:ind w:right="46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General Instruction A.2. below):</w:t>
      </w:r>
    </w:p>
    <w:p>
      <w:pPr>
        <w:spacing w:after="0" w:line="29" w:lineRule="exact"/>
        <w:rPr>
          <w:sz w:val="24"/>
          <w:szCs w:val="24"/>
          <w:color w:val="auto"/>
        </w:rPr>
      </w:pPr>
    </w:p>
    <w:p>
      <w:pPr>
        <w:ind w:left="440" w:hanging="420"/>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52" w:lineRule="exact"/>
        <w:rPr>
          <w:rFonts w:ascii="MS PGothic" w:cs="MS PGothic" w:eastAsia="MS PGothic" w:hAnsi="MS PGothic"/>
          <w:sz w:val="17"/>
          <w:szCs w:val="17"/>
          <w:color w:val="auto"/>
        </w:rPr>
      </w:pPr>
    </w:p>
    <w:p>
      <w:pPr>
        <w:ind w:left="440" w:hanging="420"/>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52" w:lineRule="exact"/>
        <w:rPr>
          <w:rFonts w:ascii="MS PGothic" w:cs="MS PGothic" w:eastAsia="MS PGothic" w:hAnsi="MS PGothic"/>
          <w:sz w:val="17"/>
          <w:szCs w:val="17"/>
          <w:color w:val="auto"/>
        </w:rPr>
      </w:pPr>
    </w:p>
    <w:p>
      <w:pPr>
        <w:ind w:left="440" w:hanging="420"/>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2" w:lineRule="exact"/>
        <w:rPr>
          <w:rFonts w:ascii="MS PGothic" w:cs="MS PGothic" w:eastAsia="MS PGothic" w:hAnsi="MS PGothic"/>
          <w:sz w:val="17"/>
          <w:szCs w:val="17"/>
          <w:color w:val="auto"/>
        </w:rPr>
      </w:pPr>
    </w:p>
    <w:p>
      <w:pPr>
        <w:ind w:right="3120" w:firstLine="20"/>
        <w:spacing w:after="0" w:line="340" w:lineRule="auto"/>
        <w:tabs>
          <w:tab w:leader="none" w:pos="442"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35"/>
        </w:trPr>
        <w:tc>
          <w:tcPr>
            <w:tcW w:w="4240" w:type="dxa"/>
            <w:vAlign w:val="bottom"/>
            <w:tcBorders>
              <w:top w:val="single" w:sz="8" w:color="auto"/>
              <w:left w:val="single" w:sz="8" w:color="auto"/>
              <w:right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86"/>
              </w:rPr>
              <w:t>Title of each class</w:t>
            </w:r>
          </w:p>
        </w:tc>
        <w:tc>
          <w:tcPr>
            <w:tcW w:w="820" w:type="dxa"/>
            <w:vAlign w:val="bottom"/>
            <w:tcBorders>
              <w:top w:val="single" w:sz="8" w:color="auto"/>
            </w:tcBorders>
          </w:tcPr>
          <w:p>
            <w:pPr>
              <w:spacing w:after="0"/>
              <w:rPr>
                <w:sz w:val="11"/>
                <w:szCs w:val="11"/>
                <w:color w:val="auto"/>
              </w:rPr>
            </w:pPr>
          </w:p>
        </w:tc>
        <w:tc>
          <w:tcPr>
            <w:tcW w:w="1940" w:type="dxa"/>
            <w:vAlign w:val="bottom"/>
            <w:tcBorders>
              <w:top w:val="single" w:sz="8" w:color="auto"/>
              <w:right w:val="single" w:sz="8" w:color="auto"/>
            </w:tcBorders>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89"/>
              </w:rPr>
              <w:t>Trading Symbol(s)</w:t>
            </w:r>
          </w:p>
        </w:tc>
        <w:tc>
          <w:tcPr>
            <w:tcW w:w="4240" w:type="dxa"/>
            <w:vAlign w:val="bottom"/>
            <w:tcBorders>
              <w:top w:val="single" w:sz="8" w:color="auto"/>
              <w:right w:val="single" w:sz="8" w:color="auto"/>
            </w:tcBorders>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
        </w:trPr>
        <w:tc>
          <w:tcPr>
            <w:tcW w:w="160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424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9"/>
                <w:szCs w:val="19"/>
                <w:color w:val="auto"/>
                <w:w w:val="90"/>
              </w:rPr>
              <w:t>Common Stock</w:t>
            </w:r>
          </w:p>
        </w:tc>
        <w:tc>
          <w:tcPr>
            <w:tcW w:w="8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9"/>
                <w:szCs w:val="19"/>
                <w:color w:val="auto"/>
              </w:rPr>
              <w:t>HUM</w:t>
            </w:r>
          </w:p>
        </w:tc>
        <w:tc>
          <w:tcPr>
            <w:tcW w:w="82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gridSpan w:val="2"/>
          </w:tcPr>
          <w:p>
            <w:pPr>
              <w:jc w:val="center"/>
              <w:ind w:right="860"/>
              <w:spacing w:after="0"/>
              <w:rPr>
                <w:sz w:val="20"/>
                <w:szCs w:val="20"/>
                <w:color w:val="auto"/>
              </w:rPr>
            </w:pPr>
            <w:r>
              <w:rPr>
                <w:rFonts w:ascii="Arial" w:cs="Arial" w:eastAsia="Arial" w:hAnsi="Arial"/>
                <w:sz w:val="19"/>
                <w:szCs w:val="19"/>
                <w:color w:val="auto"/>
                <w:w w:val="90"/>
              </w:rPr>
              <w:t>New York Stock Exchange</w:t>
            </w:r>
          </w:p>
        </w:tc>
      </w:tr>
    </w:tbl>
    <w:p>
      <w:pPr>
        <w:spacing w:after="0" w:line="91" w:lineRule="exact"/>
        <w:rPr>
          <w:sz w:val="24"/>
          <w:szCs w:val="24"/>
          <w:color w:val="auto"/>
        </w:rPr>
      </w:pPr>
    </w:p>
    <w:p>
      <w:pPr>
        <w:ind w:right="660"/>
        <w:spacing w:after="0" w:line="265"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602615</wp:posOffset>
            </wp:positionV>
            <wp:extent cx="71386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23" w:lineRule="exact"/>
        <w:rPr>
          <w:sz w:val="20"/>
          <w:szCs w:val="20"/>
          <w:color w:val="auto"/>
        </w:rPr>
      </w:pPr>
    </w:p>
    <w:p>
      <w:pPr>
        <w:ind w:right="40" w:firstLine="425"/>
        <w:spacing w:after="0" w:line="266" w:lineRule="auto"/>
        <w:rPr>
          <w:sz w:val="20"/>
          <w:szCs w:val="20"/>
          <w:color w:val="auto"/>
        </w:rPr>
      </w:pPr>
      <w:r>
        <w:rPr>
          <w:rFonts w:ascii="Arial" w:cs="Arial" w:eastAsia="Arial" w:hAnsi="Arial"/>
          <w:sz w:val="17"/>
          <w:szCs w:val="17"/>
          <w:color w:val="auto"/>
        </w:rPr>
        <w:t xml:space="preserve">Humana Inc. (the "Company") issued a press release this morning reporting financial results for the quarter ended September 30, 2020, and posted a detailed earnings release related to the same period to the Investor Relations portion of the Company’s website at </w:t>
      </w:r>
      <w:r>
        <w:rPr>
          <w:rFonts w:ascii="Arial" w:cs="Arial" w:eastAsia="Arial" w:hAnsi="Arial"/>
          <w:sz w:val="17"/>
          <w:szCs w:val="17"/>
          <w:u w:val="single" w:color="auto"/>
          <w:color w:val="auto"/>
        </w:rPr>
        <w:t>www.humana.com</w:t>
      </w:r>
      <w:r>
        <w:rPr>
          <w:rFonts w:ascii="Arial" w:cs="Arial" w:eastAsia="Arial" w:hAnsi="Arial"/>
          <w:sz w:val="17"/>
          <w:szCs w:val="17"/>
          <w:color w:val="auto"/>
        </w:rPr>
        <w:t>. A copy of each release is attached hereto as Exhibit 99.1 and Exhibit 99.2, respectively, and each release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20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6"/>
                <w:szCs w:val="16"/>
                <w:color w:val="auto"/>
              </w:rPr>
            </w:pPr>
          </w:p>
        </w:tc>
      </w:tr>
      <w:tr>
        <w:trPr>
          <w:trHeight w:val="255"/>
        </w:trPr>
        <w:tc>
          <w:tcPr>
            <w:tcW w:w="1000" w:type="dxa"/>
            <w:vAlign w:val="bottom"/>
          </w:tcPr>
          <w:p>
            <w:pPr>
              <w:ind w:left="20"/>
              <w:spacing w:after="0"/>
              <w:rPr>
                <w:sz w:val="20"/>
                <w:szCs w:val="20"/>
                <w:color w:val="auto"/>
              </w:rPr>
            </w:pPr>
            <w:r>
              <w:rPr>
                <w:rFonts w:ascii="Arial" w:cs="Arial" w:eastAsia="Arial" w:hAnsi="Arial"/>
                <w:sz w:val="17"/>
                <w:szCs w:val="17"/>
                <w:color w:val="auto"/>
              </w:rPr>
              <w:t>99.1</w:t>
            </w:r>
          </w:p>
        </w:tc>
        <w:tc>
          <w:tcPr>
            <w:tcW w:w="10240" w:type="dxa"/>
            <w:vAlign w:val="bottom"/>
            <w:gridSpan w:val="2"/>
          </w:tcPr>
          <w:p>
            <w:pPr>
              <w:ind w:left="32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Press Release</w:t>
              </w:r>
            </w:hyperlink>
          </w:p>
        </w:tc>
      </w:tr>
      <w:tr>
        <w:trPr>
          <w:trHeight w:val="271"/>
        </w:trPr>
        <w:tc>
          <w:tcPr>
            <w:tcW w:w="1000" w:type="dxa"/>
            <w:vAlign w:val="bottom"/>
          </w:tcPr>
          <w:p>
            <w:pPr>
              <w:ind w:left="20"/>
              <w:spacing w:after="0"/>
              <w:rPr>
                <w:sz w:val="20"/>
                <w:szCs w:val="20"/>
                <w:color w:val="auto"/>
              </w:rPr>
            </w:pPr>
            <w:r>
              <w:rPr>
                <w:rFonts w:ascii="Arial" w:cs="Arial" w:eastAsia="Arial" w:hAnsi="Arial"/>
                <w:sz w:val="17"/>
                <w:szCs w:val="17"/>
                <w:color w:val="auto"/>
              </w:rPr>
              <w:t>99.2</w:t>
            </w:r>
          </w:p>
        </w:tc>
        <w:tc>
          <w:tcPr>
            <w:tcW w:w="10240" w:type="dxa"/>
            <w:vAlign w:val="bottom"/>
            <w:gridSpan w:val="2"/>
          </w:tcPr>
          <w:p>
            <w:pPr>
              <w:ind w:left="320"/>
              <w:spacing w:after="0"/>
              <w:rPr>
                <w:rFonts w:ascii="Arial" w:cs="Arial" w:eastAsia="Arial" w:hAnsi="Arial"/>
                <w:sz w:val="17"/>
                <w:szCs w:val="17"/>
                <w:u w:val="single" w:color="auto"/>
                <w:color w:val="0000FF"/>
              </w:rPr>
            </w:pPr>
            <w:hyperlink w:anchor="page16">
              <w:r>
                <w:rPr>
                  <w:rFonts w:ascii="Arial" w:cs="Arial" w:eastAsia="Arial" w:hAnsi="Arial"/>
                  <w:sz w:val="17"/>
                  <w:szCs w:val="17"/>
                  <w:u w:val="single" w:color="auto"/>
                  <w:color w:val="0000FF"/>
                </w:rPr>
                <w:t>Earnings Release and Statistical Pages</w:t>
              </w:r>
            </w:hyperlink>
          </w:p>
        </w:tc>
      </w:tr>
      <w:tr>
        <w:trPr>
          <w:trHeight w:val="322"/>
        </w:trPr>
        <w:tc>
          <w:tcPr>
            <w:tcW w:w="1000" w:type="dxa"/>
            <w:vAlign w:val="bottom"/>
          </w:tcPr>
          <w:p>
            <w:pPr>
              <w:ind w:left="20"/>
              <w:spacing w:after="0"/>
              <w:rPr>
                <w:sz w:val="20"/>
                <w:szCs w:val="20"/>
                <w:color w:val="auto"/>
              </w:rPr>
            </w:pPr>
            <w:r>
              <w:rPr>
                <w:rFonts w:ascii="Arial" w:cs="Arial" w:eastAsia="Arial" w:hAnsi="Arial"/>
                <w:sz w:val="17"/>
                <w:szCs w:val="17"/>
                <w:color w:val="auto"/>
              </w:rPr>
              <w:t>104</w:t>
            </w:r>
          </w:p>
        </w:tc>
        <w:tc>
          <w:tcPr>
            <w:tcW w:w="10240" w:type="dxa"/>
            <w:vAlign w:val="bottom"/>
            <w:gridSpan w:val="2"/>
          </w:tcPr>
          <w:p>
            <w:pPr>
              <w:ind w:left="300"/>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948"/>
        </w:trPr>
        <w:tc>
          <w:tcPr>
            <w:tcW w:w="100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HUMANA INC.</w:t>
      </w:r>
    </w:p>
    <w:p>
      <w:pPr>
        <w:spacing w:after="0" w:line="282" w:lineRule="exact"/>
        <w:rPr>
          <w:sz w:val="20"/>
          <w:szCs w:val="20"/>
          <w:color w:val="auto"/>
        </w:rPr>
      </w:pPr>
    </w:p>
    <w:tbl>
      <w:tblPr>
        <w:tblLayout w:type="fixed"/>
        <w:tblInd w:w="4800" w:type="dxa"/>
        <w:tblCellMar>
          <w:top w:w="0" w:type="dxa"/>
          <w:left w:w="0" w:type="dxa"/>
          <w:bottom w:w="0" w:type="dxa"/>
          <w:right w:w="0" w:type="dxa"/>
        </w:tblCellMar>
      </w:tblPr>
      <w:tr>
        <w:trPr>
          <w:trHeight w:val="224"/>
        </w:trPr>
        <w:tc>
          <w:tcPr>
            <w:tcW w:w="900" w:type="dxa"/>
            <w:vAlign w:val="bottom"/>
          </w:tcPr>
          <w:p>
            <w:pPr>
              <w:spacing w:after="0"/>
              <w:rPr>
                <w:sz w:val="20"/>
                <w:szCs w:val="20"/>
                <w:color w:val="auto"/>
              </w:rPr>
            </w:pPr>
            <w:r>
              <w:rPr>
                <w:rFonts w:ascii="Arial" w:cs="Arial" w:eastAsia="Arial" w:hAnsi="Arial"/>
                <w:sz w:val="17"/>
                <w:szCs w:val="17"/>
                <w:b w:val="1"/>
                <w:bCs w:val="1"/>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 Cynthia H. Zipperle</w:t>
            </w:r>
          </w:p>
        </w:tc>
      </w:tr>
      <w:tr>
        <w:trPr>
          <w:trHeight w:val="207"/>
        </w:trPr>
        <w:tc>
          <w:tcPr>
            <w:tcW w:w="900" w:type="dxa"/>
            <w:vAlign w:val="bottom"/>
          </w:tcPr>
          <w:p>
            <w:pPr>
              <w:spacing w:after="0"/>
              <w:rPr>
                <w:sz w:val="18"/>
                <w:szCs w:val="18"/>
                <w:color w:val="auto"/>
              </w:rPr>
            </w:pPr>
          </w:p>
        </w:tc>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Cynthia H. Zipperle</w:t>
            </w:r>
          </w:p>
        </w:tc>
      </w:tr>
      <w:tr>
        <w:trPr>
          <w:trHeight w:val="219"/>
        </w:trPr>
        <w:tc>
          <w:tcPr>
            <w:tcW w:w="90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Senior Vice President, Chief Accounting Officer and Controller</w:t>
            </w:r>
          </w:p>
        </w:tc>
      </w:tr>
      <w:tr>
        <w:trPr>
          <w:trHeight w:val="223"/>
        </w:trPr>
        <w:tc>
          <w:tcPr>
            <w:tcW w:w="90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(Principal Accounting Officer)</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Dated: November 3, 2020</w:t>
      </w:r>
    </w:p>
    <w:p>
      <w:pPr>
        <w:sectPr>
          <w:pgSz w:w="11900" w:h="16838" w:orient="portrait"/>
          <w:cols w:equalWidth="0" w:num="1">
            <w:col w:w="11240"/>
          </w:cols>
          <w:pgMar w:left="320" w:top="10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9"/>
        </w:trPr>
        <w:tc>
          <w:tcPr>
            <w:tcW w:w="7760" w:type="dxa"/>
            <w:vAlign w:val="bottom"/>
            <w:gridSpan w:val="4"/>
          </w:tcPr>
          <w:p>
            <w:pPr>
              <w:ind w:left="20"/>
              <w:spacing w:after="0"/>
              <w:rPr>
                <w:sz w:val="20"/>
                <w:szCs w:val="20"/>
                <w:color w:val="auto"/>
              </w:rPr>
            </w:pPr>
            <w:r>
              <w:rPr>
                <w:rFonts w:ascii="Arial" w:cs="Arial" w:eastAsia="Arial" w:hAnsi="Arial"/>
                <w:sz w:val="26"/>
                <w:szCs w:val="26"/>
                <w:b w:val="1"/>
                <w:bCs w:val="1"/>
                <w:color w:val="auto"/>
              </w:rPr>
              <w:t xml:space="preserve">n e w s </w:t>
            </w:r>
            <w:r>
              <w:rPr>
                <w:rFonts w:ascii="Arial" w:cs="Arial" w:eastAsia="Arial" w:hAnsi="Arial"/>
                <w:sz w:val="26"/>
                <w:szCs w:val="26"/>
                <w:color w:val="auto"/>
              </w:rPr>
              <w:t>r e l e a s e</w:t>
            </w:r>
          </w:p>
        </w:tc>
        <w:tc>
          <w:tcPr>
            <w:tcW w:w="202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Arial" w:cs="Arial" w:eastAsia="Arial" w:hAnsi="Arial"/>
                <w:sz w:val="19"/>
                <w:szCs w:val="19"/>
                <w:b w:val="1"/>
                <w:bCs w:val="1"/>
                <w:color w:val="auto"/>
                <w:w w:val="96"/>
              </w:rPr>
              <w:t>Exhibit 99.1</w:t>
            </w:r>
          </w:p>
        </w:tc>
      </w:tr>
      <w:tr>
        <w:trPr>
          <w:trHeight w:val="125"/>
        </w:trPr>
        <w:tc>
          <w:tcPr>
            <w:tcW w:w="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460" w:type="dxa"/>
            <w:vAlign w:val="bottom"/>
            <w:gridSpan w:val="2"/>
          </w:tcPr>
          <w:p>
            <w:pPr>
              <w:spacing w:after="0" w:line="126" w:lineRule="exact"/>
              <w:rPr>
                <w:sz w:val="20"/>
                <w:szCs w:val="20"/>
                <w:color w:val="auto"/>
              </w:rPr>
            </w:pPr>
            <w:r>
              <w:rPr>
                <w:rFonts w:ascii="Arial" w:cs="Arial" w:eastAsia="Arial" w:hAnsi="Arial"/>
                <w:sz w:val="14"/>
                <w:szCs w:val="14"/>
                <w:color w:val="auto"/>
              </w:rPr>
              <w:t>Humana Inc.</w:t>
            </w:r>
          </w:p>
        </w:tc>
      </w:tr>
      <w:tr>
        <w:trPr>
          <w:trHeight w:val="180"/>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60" w:type="dxa"/>
            <w:vAlign w:val="bottom"/>
            <w:gridSpan w:val="2"/>
          </w:tcPr>
          <w:p>
            <w:pPr>
              <w:spacing w:after="0" w:line="181" w:lineRule="exact"/>
              <w:rPr>
                <w:sz w:val="20"/>
                <w:szCs w:val="20"/>
                <w:color w:val="auto"/>
              </w:rPr>
            </w:pPr>
            <w:r>
              <w:rPr>
                <w:rFonts w:ascii="Arial" w:cs="Arial" w:eastAsia="Arial" w:hAnsi="Arial"/>
                <w:sz w:val="19"/>
                <w:szCs w:val="19"/>
                <w:color w:val="auto"/>
              </w:rPr>
              <w:t>500 West Main Street</w:t>
            </w:r>
          </w:p>
        </w:tc>
      </w:tr>
      <w:tr>
        <w:trPr>
          <w:trHeight w:val="180"/>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60" w:type="dxa"/>
            <w:vAlign w:val="bottom"/>
            <w:gridSpan w:val="2"/>
          </w:tcPr>
          <w:p>
            <w:pPr>
              <w:spacing w:after="0" w:line="181" w:lineRule="exact"/>
              <w:rPr>
                <w:sz w:val="20"/>
                <w:szCs w:val="20"/>
                <w:color w:val="auto"/>
              </w:rPr>
            </w:pPr>
            <w:r>
              <w:rPr>
                <w:rFonts w:ascii="Arial" w:cs="Arial" w:eastAsia="Arial" w:hAnsi="Arial"/>
                <w:sz w:val="19"/>
                <w:szCs w:val="19"/>
                <w:color w:val="auto"/>
              </w:rPr>
              <w:t>P.O. Box 1438</w:t>
            </w:r>
          </w:p>
        </w:tc>
      </w:tr>
      <w:tr>
        <w:trPr>
          <w:trHeight w:val="180"/>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60" w:type="dxa"/>
            <w:vAlign w:val="bottom"/>
            <w:gridSpan w:val="2"/>
          </w:tcPr>
          <w:p>
            <w:pPr>
              <w:spacing w:after="0" w:line="181" w:lineRule="exact"/>
              <w:rPr>
                <w:sz w:val="20"/>
                <w:szCs w:val="20"/>
                <w:color w:val="auto"/>
              </w:rPr>
            </w:pPr>
            <w:r>
              <w:rPr>
                <w:rFonts w:ascii="Arial" w:cs="Arial" w:eastAsia="Arial" w:hAnsi="Arial"/>
                <w:sz w:val="19"/>
                <w:szCs w:val="19"/>
                <w:color w:val="auto"/>
              </w:rPr>
              <w:t>Louisville, KY 40202</w:t>
            </w:r>
          </w:p>
        </w:tc>
      </w:tr>
      <w:tr>
        <w:trPr>
          <w:trHeight w:val="184"/>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60" w:type="dxa"/>
            <w:vAlign w:val="bottom"/>
            <w:gridSpan w:val="2"/>
          </w:tcPr>
          <w:p>
            <w:pPr>
              <w:spacing w:after="0" w:line="184" w:lineRule="exact"/>
              <w:rPr>
                <w:sz w:val="20"/>
                <w:szCs w:val="20"/>
                <w:color w:val="auto"/>
              </w:rPr>
            </w:pPr>
            <w:r>
              <w:rPr>
                <w:rFonts w:ascii="Arial" w:cs="Arial" w:eastAsia="Arial" w:hAnsi="Arial"/>
                <w:sz w:val="19"/>
                <w:szCs w:val="19"/>
                <w:color w:val="auto"/>
              </w:rPr>
              <w:t>http://www.humana.com</w:t>
            </w:r>
          </w:p>
        </w:tc>
      </w:tr>
      <w:tr>
        <w:trPr>
          <w:trHeight w:val="345"/>
        </w:trPr>
        <w:tc>
          <w:tcPr>
            <w:tcW w:w="7760" w:type="dxa"/>
            <w:vAlign w:val="bottom"/>
            <w:gridSpan w:val="4"/>
          </w:tcPr>
          <w:p>
            <w:pPr>
              <w:spacing w:after="0"/>
              <w:rPr>
                <w:sz w:val="20"/>
                <w:szCs w:val="20"/>
                <w:color w:val="auto"/>
              </w:rPr>
            </w:pPr>
            <w:r>
              <w:rPr>
                <w:rFonts w:ascii="Arial" w:cs="Arial" w:eastAsia="Arial" w:hAnsi="Arial"/>
                <w:sz w:val="19"/>
                <w:szCs w:val="19"/>
                <w:color w:val="auto"/>
              </w:rPr>
              <w:t>FOR MORE INFORMATION CONTACT:</w:t>
            </w:r>
          </w:p>
        </w:tc>
        <w:tc>
          <w:tcPr>
            <w:tcW w:w="202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76"/>
        </w:trPr>
        <w:tc>
          <w:tcPr>
            <w:tcW w:w="7760" w:type="dxa"/>
            <w:vAlign w:val="bottom"/>
            <w:gridSpan w:val="4"/>
          </w:tcPr>
          <w:p>
            <w:pPr>
              <w:ind w:left="20"/>
              <w:spacing w:after="0"/>
              <w:rPr>
                <w:sz w:val="20"/>
                <w:szCs w:val="20"/>
                <w:color w:val="auto"/>
              </w:rPr>
            </w:pPr>
            <w:r>
              <w:rPr>
                <w:rFonts w:ascii="Arial" w:cs="Arial" w:eastAsia="Arial" w:hAnsi="Arial"/>
                <w:sz w:val="19"/>
                <w:szCs w:val="19"/>
                <w:color w:val="auto"/>
              </w:rPr>
              <w:t>Amy Smith</w:t>
            </w:r>
          </w:p>
        </w:tc>
        <w:tc>
          <w:tcPr>
            <w:tcW w:w="20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80"/>
        </w:trPr>
        <w:tc>
          <w:tcPr>
            <w:tcW w:w="7760" w:type="dxa"/>
            <w:vAlign w:val="bottom"/>
            <w:gridSpan w:val="4"/>
          </w:tcPr>
          <w:p>
            <w:pPr>
              <w:ind w:left="20"/>
              <w:spacing w:after="0" w:line="181" w:lineRule="exact"/>
              <w:rPr>
                <w:sz w:val="20"/>
                <w:szCs w:val="20"/>
                <w:color w:val="auto"/>
              </w:rPr>
            </w:pPr>
            <w:r>
              <w:rPr>
                <w:rFonts w:ascii="Arial" w:cs="Arial" w:eastAsia="Arial" w:hAnsi="Arial"/>
                <w:sz w:val="19"/>
                <w:szCs w:val="19"/>
                <w:color w:val="auto"/>
              </w:rPr>
              <w:t>Humana Investor Relations</w:t>
            </w: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2760" w:type="dxa"/>
            <w:vAlign w:val="bottom"/>
            <w:gridSpan w:val="2"/>
          </w:tcPr>
          <w:p>
            <w:pPr>
              <w:ind w:left="20"/>
              <w:spacing w:after="0" w:line="181" w:lineRule="exact"/>
              <w:rPr>
                <w:sz w:val="20"/>
                <w:szCs w:val="20"/>
                <w:color w:val="auto"/>
              </w:rPr>
            </w:pPr>
            <w:r>
              <w:rPr>
                <w:rFonts w:ascii="Arial" w:cs="Arial" w:eastAsia="Arial" w:hAnsi="Arial"/>
                <w:sz w:val="19"/>
                <w:szCs w:val="19"/>
                <w:color w:val="auto"/>
              </w:rPr>
              <w:t>(502) 580-2811</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gridSpan w:val="4"/>
          </w:tcPr>
          <w:p>
            <w:pPr>
              <w:ind w:left="20"/>
              <w:spacing w:after="0" w:line="184" w:lineRule="exact"/>
              <w:rPr>
                <w:sz w:val="20"/>
                <w:szCs w:val="20"/>
                <w:color w:val="auto"/>
              </w:rPr>
            </w:pPr>
            <w:r>
              <w:rPr>
                <w:rFonts w:ascii="Arial" w:cs="Arial" w:eastAsia="Arial" w:hAnsi="Arial"/>
                <w:sz w:val="19"/>
                <w:szCs w:val="19"/>
                <w:color w:val="auto"/>
              </w:rPr>
              <w:t>e-mail: Amysmith@humana.com</w:t>
            </w: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41"/>
        </w:trPr>
        <w:tc>
          <w:tcPr>
            <w:tcW w:w="7760" w:type="dxa"/>
            <w:vAlign w:val="bottom"/>
            <w:gridSpan w:val="4"/>
          </w:tcPr>
          <w:p>
            <w:pPr>
              <w:spacing w:after="0"/>
              <w:rPr>
                <w:sz w:val="20"/>
                <w:szCs w:val="20"/>
                <w:color w:val="auto"/>
              </w:rPr>
            </w:pPr>
            <w:r>
              <w:rPr>
                <w:rFonts w:ascii="Arial" w:cs="Arial" w:eastAsia="Arial" w:hAnsi="Arial"/>
                <w:sz w:val="19"/>
                <w:szCs w:val="19"/>
                <w:color w:val="auto"/>
              </w:rPr>
              <w:t>Kelley Murphy</w:t>
            </w:r>
          </w:p>
        </w:tc>
        <w:tc>
          <w:tcPr>
            <w:tcW w:w="20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9"/>
        </w:trPr>
        <w:tc>
          <w:tcPr>
            <w:tcW w:w="7760" w:type="dxa"/>
            <w:vAlign w:val="bottom"/>
            <w:gridSpan w:val="4"/>
          </w:tcPr>
          <w:p>
            <w:pPr>
              <w:spacing w:after="0"/>
              <w:rPr>
                <w:sz w:val="20"/>
                <w:szCs w:val="20"/>
                <w:color w:val="auto"/>
              </w:rPr>
            </w:pPr>
            <w:r>
              <w:rPr>
                <w:rFonts w:ascii="Arial" w:cs="Arial" w:eastAsia="Arial" w:hAnsi="Arial"/>
                <w:sz w:val="19"/>
                <w:szCs w:val="19"/>
                <w:color w:val="auto"/>
              </w:rPr>
              <w:t>Humana Corporate Communications</w:t>
            </w:r>
          </w:p>
        </w:tc>
        <w:tc>
          <w:tcPr>
            <w:tcW w:w="20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2760" w:type="dxa"/>
            <w:vAlign w:val="bottom"/>
            <w:gridSpan w:val="2"/>
          </w:tcPr>
          <w:p>
            <w:pPr>
              <w:spacing w:after="0"/>
              <w:rPr>
                <w:sz w:val="20"/>
                <w:szCs w:val="20"/>
                <w:color w:val="auto"/>
              </w:rPr>
            </w:pPr>
            <w:r>
              <w:rPr>
                <w:rFonts w:ascii="Arial" w:cs="Arial" w:eastAsia="Arial" w:hAnsi="Arial"/>
                <w:sz w:val="19"/>
                <w:szCs w:val="19"/>
                <w:color w:val="auto"/>
              </w:rPr>
              <w:t>(502) 224-1755</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4"/>
        </w:trPr>
        <w:tc>
          <w:tcPr>
            <w:tcW w:w="7760" w:type="dxa"/>
            <w:vAlign w:val="bottom"/>
            <w:gridSpan w:val="4"/>
          </w:tcPr>
          <w:p>
            <w:pPr>
              <w:spacing w:after="0" w:line="184" w:lineRule="exact"/>
              <w:rPr>
                <w:sz w:val="20"/>
                <w:szCs w:val="20"/>
                <w:color w:val="auto"/>
              </w:rPr>
            </w:pPr>
            <w:r>
              <w:rPr>
                <w:rFonts w:ascii="Arial" w:cs="Arial" w:eastAsia="Arial" w:hAnsi="Arial"/>
                <w:sz w:val="19"/>
                <w:szCs w:val="19"/>
                <w:color w:val="auto"/>
              </w:rPr>
              <w:t>e-mail: Kmurphy26@humana.com</w:t>
            </w: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-1202690</wp:posOffset>
            </wp:positionV>
            <wp:extent cx="1776730" cy="532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6730" cy="53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Humana Reports Third Quarter 2020 Financial Results;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Remains Focused on Facilitating Access to Quality Care during the Pandemic</w:t>
      </w:r>
    </w:p>
    <w:p>
      <w:pPr>
        <w:spacing w:after="0" w:line="250" w:lineRule="exact"/>
        <w:rPr>
          <w:sz w:val="20"/>
          <w:szCs w:val="20"/>
          <w:color w:val="auto"/>
        </w:rPr>
      </w:pPr>
    </w:p>
    <w:p>
      <w:pPr>
        <w:ind w:left="620" w:right="440" w:hanging="307"/>
        <w:spacing w:after="0" w:line="251" w:lineRule="auto"/>
        <w:tabs>
          <w:tab w:leader="none" w:pos="597"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Continues emphasis on actions to alleviate financial burdens and other hardships for its members, providers, employees, and communities during the COVID-19 pandemic</w:t>
      </w:r>
    </w:p>
    <w:p>
      <w:pPr>
        <w:ind w:left="620" w:right="320" w:hanging="307"/>
        <w:spacing w:after="0" w:line="251" w:lineRule="auto"/>
        <w:tabs>
          <w:tab w:leader="none" w:pos="597" w:val="left"/>
        </w:tabs>
        <w:numPr>
          <w:ilvl w:val="0"/>
          <w:numId w:val="2"/>
        </w:numPr>
        <w:rPr>
          <w:rFonts w:ascii="Arial" w:cs="Arial" w:eastAsia="Arial" w:hAnsi="Arial"/>
          <w:sz w:val="15"/>
          <w:szCs w:val="15"/>
          <w:color w:val="auto"/>
        </w:rPr>
      </w:pPr>
      <w:r>
        <w:rPr>
          <w:rFonts w:ascii="Arial" w:cs="Arial" w:eastAsia="Arial" w:hAnsi="Arial"/>
          <w:sz w:val="15"/>
          <w:szCs w:val="15"/>
          <w:color w:val="auto"/>
        </w:rPr>
        <w:t>Achieves 92 percent, or 4.1 million of the company's Medicare Advantage members currently enrolled in 4-Star and above contracts for 2021, including 960,000 members in 4.5 Star contracts and a 5-Star rated contract in Florida</w:t>
      </w:r>
    </w:p>
    <w:p>
      <w:pPr>
        <w:ind w:left="620" w:right="200" w:hanging="307"/>
        <w:spacing w:after="0" w:line="251" w:lineRule="auto"/>
        <w:tabs>
          <w:tab w:leader="none" w:pos="597" w:val="left"/>
        </w:tabs>
        <w:numPr>
          <w:ilvl w:val="0"/>
          <w:numId w:val="2"/>
        </w:numPr>
        <w:rPr>
          <w:rFonts w:ascii="Arial" w:cs="Arial" w:eastAsia="Arial" w:hAnsi="Arial"/>
          <w:sz w:val="15"/>
          <w:szCs w:val="15"/>
          <w:color w:val="auto"/>
        </w:rPr>
      </w:pPr>
      <w:r>
        <w:rPr>
          <w:rFonts w:ascii="Arial" w:cs="Arial" w:eastAsia="Arial" w:hAnsi="Arial"/>
          <w:sz w:val="15"/>
          <w:szCs w:val="15"/>
          <w:color w:val="auto"/>
        </w:rPr>
        <w:t>Reports 3Q20 earnings per diluted common share (EPS) of $10.05 on a GAAP basis, $3.08 on an Adjusted basis; reports YTD 2020 EPS of $27.37 on a GAAP basis, $21.04 on an Adjusted basis</w:t>
      </w:r>
    </w:p>
    <w:p>
      <w:pPr>
        <w:ind w:left="1240" w:right="300" w:hanging="309"/>
        <w:spacing w:after="0" w:line="251" w:lineRule="auto"/>
        <w:tabs>
          <w:tab w:leader="none" w:pos="1230" w:val="left"/>
        </w:tabs>
        <w:numPr>
          <w:ilvl w:val="1"/>
          <w:numId w:val="2"/>
        </w:numPr>
        <w:rPr>
          <w:rFonts w:ascii="Arial" w:cs="Arial" w:eastAsia="Arial" w:hAnsi="Arial"/>
          <w:sz w:val="15"/>
          <w:szCs w:val="15"/>
          <w:color w:val="auto"/>
        </w:rPr>
      </w:pPr>
      <w:r>
        <w:rPr>
          <w:rFonts w:ascii="Arial" w:cs="Arial" w:eastAsia="Arial" w:hAnsi="Arial"/>
          <w:sz w:val="15"/>
          <w:szCs w:val="15"/>
          <w:color w:val="auto"/>
        </w:rPr>
        <w:t>GAAP amounts include the impact of certain one-time non-operational items, including a market gain from publicly traded investments and the receipt of unpaid risk corridor payments previously written off</w:t>
      </w:r>
    </w:p>
    <w:p>
      <w:pPr>
        <w:ind w:left="600" w:hanging="287"/>
        <w:spacing w:after="0"/>
        <w:tabs>
          <w:tab w:leader="none" w:pos="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Updates FY 2020 EPS guidance, now anticipating GAAP EPS to be in a range of $24.70 to $24.95 and Adjusted EPS in a range of $18.50 to $18.75</w:t>
      </w:r>
    </w:p>
    <w:p>
      <w:pPr>
        <w:spacing w:after="0" w:line="8" w:lineRule="exact"/>
        <w:rPr>
          <w:rFonts w:ascii="Arial" w:cs="Arial" w:eastAsia="Arial" w:hAnsi="Arial"/>
          <w:sz w:val="15"/>
          <w:szCs w:val="15"/>
          <w:color w:val="auto"/>
        </w:rPr>
      </w:pPr>
    </w:p>
    <w:p>
      <w:pPr>
        <w:ind w:left="1240" w:right="100" w:hanging="309"/>
        <w:spacing w:after="0" w:line="251" w:lineRule="auto"/>
        <w:tabs>
          <w:tab w:leader="none" w:pos="1230" w:val="left"/>
        </w:tabs>
        <w:numPr>
          <w:ilvl w:val="1"/>
          <w:numId w:val="2"/>
        </w:numPr>
        <w:rPr>
          <w:rFonts w:ascii="Arial" w:cs="Arial" w:eastAsia="Arial" w:hAnsi="Arial"/>
          <w:sz w:val="15"/>
          <w:szCs w:val="15"/>
          <w:color w:val="auto"/>
        </w:rPr>
      </w:pPr>
      <w:r>
        <w:rPr>
          <w:rFonts w:ascii="Arial" w:cs="Arial" w:eastAsia="Arial" w:hAnsi="Arial"/>
          <w:sz w:val="15"/>
          <w:szCs w:val="15"/>
          <w:color w:val="auto"/>
        </w:rPr>
        <w:t>FY 2020 EPS guidance reflects fourth quarter 2020 losses of approximately $2.55 per share on a GAAP basis, approximately $2.40 per share on an Adjusted basis</w:t>
      </w:r>
    </w:p>
    <w:p>
      <w:pPr>
        <w:ind w:left="1240" w:right="580" w:hanging="309"/>
        <w:spacing w:after="0" w:line="251" w:lineRule="auto"/>
        <w:tabs>
          <w:tab w:leader="none" w:pos="1230" w:val="left"/>
        </w:tabs>
        <w:numPr>
          <w:ilvl w:val="1"/>
          <w:numId w:val="2"/>
        </w:numPr>
        <w:rPr>
          <w:rFonts w:ascii="Arial" w:cs="Arial" w:eastAsia="Arial" w:hAnsi="Arial"/>
          <w:sz w:val="15"/>
          <w:szCs w:val="15"/>
          <w:color w:val="auto"/>
        </w:rPr>
      </w:pPr>
      <w:r>
        <w:rPr>
          <w:rFonts w:ascii="Arial" w:cs="Arial" w:eastAsia="Arial" w:hAnsi="Arial"/>
          <w:sz w:val="15"/>
          <w:szCs w:val="15"/>
          <w:color w:val="auto"/>
        </w:rPr>
        <w:t>As previously noted, Humana anticipates fourth quarter losses to reflect the continued support for its constituents, along with the impact of increasing utilization, and COVID-19 testing and treatment costs</w:t>
      </w:r>
    </w:p>
    <w:p>
      <w:pPr>
        <w:ind w:left="620" w:right="80" w:hanging="307"/>
        <w:spacing w:after="0" w:line="269" w:lineRule="auto"/>
        <w:tabs>
          <w:tab w:leader="none" w:pos="597"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Increases full year expected individual Medicare Advantage membership growth to approximately 375,000 members from the previous range of 330,000 to 360,000 members, representing expected year-over-year growth of approximately 10 percent</w:t>
      </w:r>
    </w:p>
    <w:p>
      <w:pPr>
        <w:spacing w:after="0" w:line="164" w:lineRule="exact"/>
        <w:rPr>
          <w:sz w:val="20"/>
          <w:szCs w:val="20"/>
          <w:color w:val="auto"/>
        </w:rPr>
      </w:pPr>
    </w:p>
    <w:p>
      <w:pPr>
        <w:jc w:val="both"/>
        <w:spacing w:after="0" w:line="228" w:lineRule="auto"/>
        <w:rPr>
          <w:sz w:val="20"/>
          <w:szCs w:val="20"/>
          <w:color w:val="auto"/>
        </w:rPr>
      </w:pPr>
      <w:r>
        <w:rPr>
          <w:rFonts w:ascii="Arial" w:cs="Arial" w:eastAsia="Arial" w:hAnsi="Arial"/>
          <w:sz w:val="19"/>
          <w:szCs w:val="19"/>
          <w:b w:val="1"/>
          <w:bCs w:val="1"/>
          <w:color w:val="auto"/>
        </w:rPr>
        <w:t xml:space="preserve">LOUISVILLE, KY (November 3, 2020) </w:t>
      </w:r>
      <w:r>
        <w:rPr>
          <w:rFonts w:ascii="Arial" w:cs="Arial" w:eastAsia="Arial" w:hAnsi="Arial"/>
          <w:sz w:val="19"/>
          <w:szCs w:val="19"/>
          <w:color w:val="auto"/>
        </w:rPr>
        <w:t>– Humana Inc. (NYSE: HUM) has continued to focus on its most vulnerable members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communities throughout the ongoing COVID-19 pandemic by taking actions to simplify access to care, reduce financial barriers, and address social determinants of health, while also alleviating administrative difficulties and monetary burdens for its providers to ensure efficient, consistent care for their patients.</w:t>
      </w:r>
    </w:p>
    <w:p>
      <w:pPr>
        <w:spacing w:after="0" w:line="212"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Humana has leveraged its clinically focused integrated care delivery model to stand up initiatives to support the return to care amid the pandemic, including waiver of all cost sharing for in-network primary care, outpatient behavioral health, and telehealth visits for its Medicare Advantage members, the distribution of in-home preventive screening kits, establishment of a clinical outreach team to proactively engage with the company's most vulnerable members, and a multi-sector advertising campaign designed to encourage members to stay connected with their providers.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Utilization continued to rebound throughout the quarter, reaching approximately 95 percent of historic baseline levels at the close of the third quarter. Utilization resumed at a faster pace for fully-insured group commercial medical members in the Group and Specialty segment, compared to a more gradual return for senior and Medicaid members in the Retail segment.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846" w:right="339" w:bottom="1440" w:gutter="0" w:footer="0" w:header="0"/>
        </w:sectPr>
      </w:pPr>
    </w:p>
    <w:bookmarkStart w:id="4" w:name="page5"/>
    <w:bookmarkEnd w:id="4"/>
    <w:p>
      <w:pPr>
        <w:jc w:val="both"/>
        <w:ind w:right="20"/>
        <w:spacing w:after="0" w:line="243" w:lineRule="auto"/>
        <w:rPr>
          <w:sz w:val="20"/>
          <w:szCs w:val="20"/>
          <w:color w:val="auto"/>
        </w:rPr>
      </w:pPr>
      <w:r>
        <w:rPr>
          <w:rFonts w:ascii="Arial" w:cs="Arial" w:eastAsia="Arial" w:hAnsi="Arial"/>
          <w:sz w:val="19"/>
          <w:szCs w:val="19"/>
          <w:color w:val="auto"/>
        </w:rPr>
        <w:t>Results of operations in the quarter were impacted by increasing utilization, COVID-19 testing and treatment costs, as well as the financial impact of the company's ongoing crisis relief efforts. As utilization levels continue to normalize and the company persists with support to its members, providers, employer groups, and communities, Humana maintains the expectation that its results of operations in the back half of 2020 will entirely offset the significant outperformance experienced in the first half of the year that resulted from historically low utilization levels.</w:t>
      </w:r>
    </w:p>
    <w:p>
      <w:pPr>
        <w:spacing w:after="0" w:line="222"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Humana will continue to monitor the pandemic's impact on the company and remains committed to all of its stakeholders to adjust its response accordingly, proactively leveraging its integrated care delivery model to best serve its members, partnering with federal and state governments to develop comprehensive and actionable response plans, minimizing the impact on its provider partners, and advancing the long-term sustainability of the company and the healthcare system.</w:t>
      </w:r>
    </w:p>
    <w:p>
      <w:pPr>
        <w:spacing w:after="0" w:line="134" w:lineRule="exact"/>
        <w:rPr>
          <w:sz w:val="20"/>
          <w:szCs w:val="20"/>
          <w:color w:val="auto"/>
        </w:rPr>
      </w:pPr>
    </w:p>
    <w:p>
      <w:pPr>
        <w:jc w:val="both"/>
        <w:ind w:right="20"/>
        <w:spacing w:after="0" w:line="229" w:lineRule="auto"/>
        <w:rPr>
          <w:sz w:val="20"/>
          <w:szCs w:val="20"/>
          <w:color w:val="auto"/>
        </w:rPr>
      </w:pPr>
      <w:r>
        <w:rPr>
          <w:rFonts w:ascii="Arial" w:cs="Arial" w:eastAsia="Arial" w:hAnsi="Arial"/>
          <w:sz w:val="19"/>
          <w:szCs w:val="19"/>
          <w:color w:val="auto"/>
        </w:rPr>
        <w:t>“We continue to see more Medicare beneficiaries choosing Medicare Advantage (MA) plans over Medicare-Fee-For-Service due to MA’s ever-increasing value proposition. What’s driving this strong value is the fact that plans must constantly innovate to stay competitive as Medicare beneficiaries have the freedom to choose a plan that’s affordable for them and that suits their lifestyle needs. For example, about 60 percent of our members are in $0 premium plans and enjoy supplemental benefits not included in Medicare-Fee-For-Service, like dental, vision, hearing, access to healthy foods, and gym memberships,” said Bruce D. Broussard, Humana’s President and Chief Executive Officer. “Also, because the MA program rewards for quality through CMS’s Five-Star Quality Rating System, it encourages health plans like Humana to be proactive and to take a holistic approach to managing the care of its members. Based on Humana’s recently announced Stars ratings, we continue to be a leader among our peers, with 4.1 million, or 92 percent, of our MA members currently enrolled in plans rated 4-stars or higher.”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Summary of Quarterly and Year to Date Results</w:t>
      </w:r>
    </w:p>
    <w:p>
      <w:pPr>
        <w:spacing w:after="0" w:line="257" w:lineRule="exact"/>
        <w:rPr>
          <w:sz w:val="20"/>
          <w:szCs w:val="20"/>
          <w:color w:val="auto"/>
        </w:rPr>
      </w:pPr>
    </w:p>
    <w:p>
      <w:pPr>
        <w:ind w:right="180"/>
        <w:spacing w:after="0" w:line="245" w:lineRule="auto"/>
        <w:rPr>
          <w:sz w:val="20"/>
          <w:szCs w:val="20"/>
          <w:color w:val="auto"/>
        </w:rPr>
      </w:pPr>
      <w:r>
        <w:rPr>
          <w:rFonts w:ascii="Arial" w:cs="Arial" w:eastAsia="Arial" w:hAnsi="Arial"/>
          <w:sz w:val="19"/>
          <w:szCs w:val="19"/>
          <w:color w:val="auto"/>
        </w:rPr>
        <w:t>Humana today reported consolidated pretax income and diluted earnings per common share (EPS) for the quarter ended September 30, 2020 (3Q20) versus the quarter ended September 30, 2019 (3Q19) and for the nine months ended September 30, 2020 (YTD 2020) versus the nine months ended September 30, 2019 (YTD 2019) as noted in the tables below.</w:t>
      </w:r>
    </w:p>
    <w:p>
      <w:pPr>
        <w:spacing w:after="0" w:line="220"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Humana’s 3Q20 and YTD 2020 GAAP results of operations were impacted by both the market gain resulting from the initial conversion of the company's prior ownership interest in certain privately held companies (primarily Oak Street Health, Inc.) into publicly-traded common stock upon such companies initial public offering (IPO) during 3Q20 and the subsequent changes in the market value of such securities from their IPO through the end of the quarter, as well as the receipt of unpaid risk corridor payments that were previously written off. The 3Q20 receipt of the risk corridor payments was associated with losses incurred by the company under the Affordable Care Act (ACA) business in 2014 to 2016. The receipt of these risk corridor payments accounted for less than 50 percent of the company’s accumulated pretax losses from its ACA businesses during that time period. The impact of both the fair market value change and the receipt of the unpaid risk corridor payments have been excluded in the company’s 3Q20 and YTD 2020 Adjusted (non-GAAP) consolidated results of operations.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980" w:type="dxa"/>
            <w:vAlign w:val="bottom"/>
            <w:tcBorders>
              <w:top w:val="single" w:sz="8" w:color="auto"/>
              <w:left w:val="single" w:sz="8" w:color="auto"/>
              <w:right w:val="single" w:sz="8" w:color="auto"/>
            </w:tcBorders>
          </w:tcPr>
          <w:p>
            <w:pPr>
              <w:ind w:left="40"/>
              <w:spacing w:after="0" w:line="168" w:lineRule="exact"/>
              <w:rPr>
                <w:sz w:val="20"/>
                <w:szCs w:val="20"/>
                <w:color w:val="auto"/>
              </w:rPr>
            </w:pPr>
            <w:r>
              <w:rPr>
                <w:rFonts w:ascii="Arial" w:cs="Arial" w:eastAsia="Arial" w:hAnsi="Arial"/>
                <w:sz w:val="15"/>
                <w:szCs w:val="15"/>
                <w:b w:val="1"/>
                <w:bCs w:val="1"/>
                <w:color w:val="auto"/>
              </w:rPr>
              <w:t>Consolidated income before income taxes and equity in earnings (pretax</w:t>
            </w:r>
          </w:p>
        </w:tc>
        <w:tc>
          <w:tcPr>
            <w:tcW w:w="1320" w:type="dxa"/>
            <w:vAlign w:val="bottom"/>
            <w:tcBorders>
              <w:top w:val="single" w:sz="8" w:color="auto"/>
              <w:right w:val="single" w:sz="8" w:color="auto"/>
            </w:tcBorders>
            <w:vMerge w:val="restart"/>
            <w:shd w:val="clear" w:color="auto" w:fill="EAEAEA"/>
          </w:tcPr>
          <w:p>
            <w:pPr>
              <w:jc w:val="right"/>
              <w:ind w:right="303"/>
              <w:spacing w:after="0"/>
              <w:rPr>
                <w:sz w:val="20"/>
                <w:szCs w:val="20"/>
                <w:color w:val="auto"/>
              </w:rPr>
            </w:pPr>
            <w:r>
              <w:rPr>
                <w:rFonts w:ascii="Arial" w:cs="Arial" w:eastAsia="Arial" w:hAnsi="Arial"/>
                <w:sz w:val="15"/>
                <w:szCs w:val="15"/>
                <w:b w:val="1"/>
                <w:bCs w:val="1"/>
                <w:color w:val="auto"/>
              </w:rPr>
              <w:t>3Q20 (a)</w:t>
            </w:r>
          </w:p>
        </w:tc>
        <w:tc>
          <w:tcPr>
            <w:tcW w:w="132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vMerge w:val="restart"/>
            <w:shd w:val="clear" w:color="auto" w:fill="EAEAEA"/>
          </w:tcPr>
          <w:p>
            <w:pPr>
              <w:jc w:val="right"/>
              <w:ind w:right="123"/>
              <w:spacing w:after="0"/>
              <w:rPr>
                <w:sz w:val="20"/>
                <w:szCs w:val="20"/>
                <w:color w:val="auto"/>
              </w:rPr>
            </w:pPr>
            <w:r>
              <w:rPr>
                <w:rFonts w:ascii="Arial" w:cs="Arial" w:eastAsia="Arial" w:hAnsi="Arial"/>
                <w:sz w:val="15"/>
                <w:szCs w:val="15"/>
                <w:b w:val="1"/>
                <w:bCs w:val="1"/>
                <w:color w:val="auto"/>
              </w:rPr>
              <w:t>YTD 2020 (c)</w:t>
            </w:r>
          </w:p>
        </w:tc>
        <w:tc>
          <w:tcPr>
            <w:tcW w:w="13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income) </w:t>
            </w:r>
            <w:r>
              <w:rPr>
                <w:rFonts w:ascii="Arial" w:cs="Arial" w:eastAsia="Arial" w:hAnsi="Arial"/>
                <w:sz w:val="15"/>
                <w:szCs w:val="15"/>
                <w:i w:val="1"/>
                <w:iCs w:val="1"/>
                <w:color w:val="auto"/>
              </w:rPr>
              <w:t>In millions</w:t>
            </w:r>
          </w:p>
        </w:tc>
        <w:tc>
          <w:tcPr>
            <w:tcW w:w="132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320" w:type="dxa"/>
            <w:vAlign w:val="bottom"/>
            <w:tcBorders>
              <w:bottom w:val="single" w:sz="8" w:color="auto"/>
              <w:right w:val="single" w:sz="8" w:color="auto"/>
            </w:tcBorders>
          </w:tcPr>
          <w:p>
            <w:pPr>
              <w:jc w:val="right"/>
              <w:ind w:right="303"/>
              <w:spacing w:after="0"/>
              <w:rPr>
                <w:sz w:val="20"/>
                <w:szCs w:val="20"/>
                <w:color w:val="auto"/>
              </w:rPr>
            </w:pPr>
            <w:r>
              <w:rPr>
                <w:rFonts w:ascii="Arial" w:cs="Arial" w:eastAsia="Arial" w:hAnsi="Arial"/>
                <w:sz w:val="15"/>
                <w:szCs w:val="15"/>
                <w:color w:val="auto"/>
              </w:rPr>
              <w:t>3Q19 (b)</w:t>
            </w:r>
          </w:p>
        </w:tc>
        <w:tc>
          <w:tcPr>
            <w:tcW w:w="132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32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Generally Accepted Accounting Principles (GAAP)</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$1,755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$888</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$5,058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$2,863</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23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17</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66</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3"/>
        </w:trPr>
        <w:tc>
          <w:tcPr>
            <w:tcW w:w="598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Put/call valuation adjustments associated with company's non-consolidating minority</w:t>
            </w:r>
          </w:p>
        </w:tc>
        <w:tc>
          <w:tcPr>
            <w:tcW w:w="1320" w:type="dxa"/>
            <w:vAlign w:val="bottom"/>
            <w:tcBorders>
              <w:right w:val="single" w:sz="8" w:color="auto"/>
            </w:tcBorders>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(7)</w:t>
            </w: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vMerge w:val="restart"/>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63</w:t>
            </w: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interest investments</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01"/>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(643)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(643)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(578)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(578)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46</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$550</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$869</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$3,966</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$2,745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103"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8"/>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Diluted earnings per common share (EPS)</w:t>
            </w:r>
          </w:p>
        </w:tc>
        <w:tc>
          <w:tcPr>
            <w:tcW w:w="1320" w:type="dxa"/>
            <w:vAlign w:val="bottom"/>
            <w:tcBorders>
              <w:top w:val="single" w:sz="8" w:color="auto"/>
              <w:bottom w:val="single" w:sz="8" w:color="auto"/>
              <w:right w:val="single" w:sz="8" w:color="auto"/>
            </w:tcBorders>
            <w:shd w:val="clear" w:color="auto" w:fill="EAEAEA"/>
          </w:tcPr>
          <w:p>
            <w:pPr>
              <w:jc w:val="right"/>
              <w:ind w:right="303"/>
              <w:spacing w:after="0"/>
              <w:rPr>
                <w:sz w:val="20"/>
                <w:szCs w:val="20"/>
                <w:color w:val="auto"/>
              </w:rPr>
            </w:pPr>
            <w:r>
              <w:rPr>
                <w:rFonts w:ascii="Arial" w:cs="Arial" w:eastAsia="Arial" w:hAnsi="Arial"/>
                <w:sz w:val="15"/>
                <w:szCs w:val="15"/>
                <w:b w:val="1"/>
                <w:bCs w:val="1"/>
                <w:color w:val="auto"/>
              </w:rPr>
              <w:t>3Q20 (a)</w:t>
            </w:r>
          </w:p>
        </w:tc>
        <w:tc>
          <w:tcPr>
            <w:tcW w:w="1320" w:type="dxa"/>
            <w:vAlign w:val="bottom"/>
            <w:tcBorders>
              <w:top w:val="single" w:sz="8" w:color="auto"/>
              <w:bottom w:val="single" w:sz="8" w:color="auto"/>
              <w:right w:val="single" w:sz="8" w:color="auto"/>
            </w:tcBorders>
          </w:tcPr>
          <w:p>
            <w:pPr>
              <w:jc w:val="right"/>
              <w:ind w:right="303"/>
              <w:spacing w:after="0"/>
              <w:rPr>
                <w:sz w:val="20"/>
                <w:szCs w:val="20"/>
                <w:color w:val="auto"/>
              </w:rPr>
            </w:pPr>
            <w:r>
              <w:rPr>
                <w:rFonts w:ascii="Arial" w:cs="Arial" w:eastAsia="Arial" w:hAnsi="Arial"/>
                <w:sz w:val="15"/>
                <w:szCs w:val="15"/>
                <w:color w:val="auto"/>
              </w:rPr>
              <w:t>3Q19 (b)</w:t>
            </w:r>
          </w:p>
        </w:tc>
        <w:tc>
          <w:tcPr>
            <w:tcW w:w="1320" w:type="dxa"/>
            <w:vAlign w:val="bottom"/>
            <w:tcBorders>
              <w:top w:val="single" w:sz="8" w:color="auto"/>
              <w:bottom w:val="single" w:sz="8" w:color="auto"/>
              <w:right w:val="single" w:sz="8" w:color="auto"/>
            </w:tcBorders>
            <w:shd w:val="clear" w:color="auto" w:fill="EAEAEA"/>
          </w:tcPr>
          <w:p>
            <w:pPr>
              <w:jc w:val="right"/>
              <w:ind w:right="123"/>
              <w:spacing w:after="0"/>
              <w:rPr>
                <w:sz w:val="20"/>
                <w:szCs w:val="20"/>
                <w:color w:val="auto"/>
              </w:rPr>
            </w:pPr>
            <w:r>
              <w:rPr>
                <w:rFonts w:ascii="Arial" w:cs="Arial" w:eastAsia="Arial" w:hAnsi="Arial"/>
                <w:sz w:val="15"/>
                <w:szCs w:val="15"/>
                <w:b w:val="1"/>
                <w:bCs w:val="1"/>
                <w:color w:val="auto"/>
              </w:rPr>
              <w:t>YTD 2020 (c)</w:t>
            </w:r>
          </w:p>
        </w:tc>
        <w:tc>
          <w:tcPr>
            <w:tcW w:w="1320" w:type="dxa"/>
            <w:vAlign w:val="bottom"/>
            <w:tcBorders>
              <w:top w:val="single" w:sz="8" w:color="auto"/>
              <w:bottom w:val="single" w:sz="8" w:color="auto"/>
              <w:right w:val="single" w:sz="8" w:color="auto"/>
            </w:tcBorders>
          </w:tcPr>
          <w:p>
            <w:pPr>
              <w:jc w:val="right"/>
              <w:ind w:right="12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$10.05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$5.14</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$27.37</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0.13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0.10</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0.38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163"/>
        </w:trPr>
        <w:tc>
          <w:tcPr>
            <w:tcW w:w="598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Put/call valuation adjustments associated with company's non-consolidating minority</w:t>
            </w:r>
          </w:p>
        </w:tc>
        <w:tc>
          <w:tcPr>
            <w:tcW w:w="1320" w:type="dxa"/>
            <w:vAlign w:val="bottom"/>
            <w:tcBorders>
              <w:right w:val="single" w:sz="8" w:color="auto"/>
            </w:tcBorders>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(0.03)</w:t>
            </w: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vMerge w:val="restart"/>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0.37</w:t>
            </w: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interest investments</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(0.47)</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1"/>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(3.72)</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(3.73)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(3.35)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(3.35)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0.26</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99"/>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$3.08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$5.03</w:t>
            </w:r>
          </w:p>
        </w:tc>
        <w:tc>
          <w:tcPr>
            <w:tcW w:w="132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$21.04</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$15.56</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right="20"/>
        <w:spacing w:after="0" w:line="233"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89" w:lineRule="exact"/>
        <w:rPr>
          <w:sz w:val="20"/>
          <w:szCs w:val="20"/>
          <w:color w:val="auto"/>
        </w:rPr>
      </w:pPr>
    </w:p>
    <w:p>
      <w:pPr>
        <w:ind w:right="620"/>
        <w:spacing w:after="0" w:line="250" w:lineRule="auto"/>
        <w:rPr>
          <w:sz w:val="20"/>
          <w:szCs w:val="20"/>
          <w:color w:val="auto"/>
        </w:rPr>
      </w:pPr>
      <w:r>
        <w:rPr>
          <w:rFonts w:ascii="Arial" w:cs="Arial" w:eastAsia="Arial" w:hAnsi="Arial"/>
          <w:sz w:val="19"/>
          <w:szCs w:val="19"/>
          <w:color w:val="auto"/>
        </w:rPr>
        <w:t>Please refer to the tables above, as well as the consolidated and segment highlight sections in the detailed earnings release for additional discussion of the factors impacting the year-over-comparisons.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In addition, below is a summary of key consolidated and segment statistics comparing 3Q20 to 3Q19 and YTD 2020 to YTD 2019.</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880" w:right="3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95"/>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Humana Inc. Summary of Quarterly Results</w:t>
            </w:r>
          </w:p>
        </w:tc>
        <w:tc>
          <w:tcPr>
            <w:tcW w:w="1840" w:type="dxa"/>
            <w:vAlign w:val="bottom"/>
            <w:tcBorders>
              <w:top w:val="single" w:sz="8" w:color="auto"/>
              <w:right w:val="single" w:sz="8" w:color="auto"/>
            </w:tcBorders>
            <w:gridSpan w:val="2"/>
            <w:vMerge w:val="restart"/>
            <w:shd w:val="clear" w:color="auto" w:fill="EAEAEA"/>
          </w:tcPr>
          <w:p>
            <w:pPr>
              <w:jc w:val="right"/>
              <w:ind w:right="543"/>
              <w:spacing w:after="0"/>
              <w:rPr>
                <w:sz w:val="20"/>
                <w:szCs w:val="20"/>
                <w:color w:val="auto"/>
              </w:rPr>
            </w:pPr>
            <w:r>
              <w:rPr>
                <w:rFonts w:ascii="Arial" w:cs="Arial" w:eastAsia="Arial" w:hAnsi="Arial"/>
                <w:sz w:val="15"/>
                <w:szCs w:val="15"/>
                <w:b w:val="1"/>
                <w:bCs w:val="1"/>
                <w:color w:val="auto"/>
              </w:rPr>
              <w:t>3Q20 (a)</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gridSpan w:val="2"/>
            <w:vMerge w:val="restart"/>
            <w:shd w:val="clear" w:color="auto" w:fill="EAEAEA"/>
          </w:tcPr>
          <w:p>
            <w:pPr>
              <w:jc w:val="right"/>
              <w:ind w:right="403"/>
              <w:spacing w:after="0"/>
              <w:rPr>
                <w:sz w:val="20"/>
                <w:szCs w:val="20"/>
                <w:color w:val="auto"/>
              </w:rPr>
            </w:pPr>
            <w:r>
              <w:rPr>
                <w:rFonts w:ascii="Arial" w:cs="Arial" w:eastAsia="Arial" w:hAnsi="Arial"/>
                <w:sz w:val="15"/>
                <w:szCs w:val="15"/>
                <w:b w:val="1"/>
                <w:bCs w:val="1"/>
                <w:color w:val="auto"/>
              </w:rPr>
              <w:t>YTD 2020 (c)</w:t>
            </w: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(dollars in millions, except per share amounts)</w:t>
            </w:r>
          </w:p>
        </w:tc>
        <w:tc>
          <w:tcPr>
            <w:tcW w:w="184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ind w:right="563"/>
              <w:spacing w:after="0"/>
              <w:rPr>
                <w:sz w:val="20"/>
                <w:szCs w:val="20"/>
                <w:color w:val="auto"/>
              </w:rPr>
            </w:pPr>
            <w:r>
              <w:rPr>
                <w:rFonts w:ascii="Arial" w:cs="Arial" w:eastAsia="Arial" w:hAnsi="Arial"/>
                <w:sz w:val="15"/>
                <w:szCs w:val="15"/>
                <w:color w:val="auto"/>
              </w:rPr>
              <w:t>3Q19 (b)</w:t>
            </w:r>
          </w:p>
        </w:tc>
        <w:tc>
          <w:tcPr>
            <w:tcW w:w="186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201"/>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Consolidated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$20,075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$16,241</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$58,093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$48,593</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$18,823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$16,241</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$56,841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$48,593</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Pretax income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$1,755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$888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$5,058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$2,863</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Pretax income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$550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$869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$3,966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$2,745</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Diluted EPS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$10.05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$5.14</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$27.37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Diluted EPS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$3.08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$5.03</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$21.04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$15.56</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82.6</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85.0 %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81.4</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Adjusted</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85.3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85.0 %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82.3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13.0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11.7 %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12.2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10.9 %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Adjusted</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13.2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11.4 %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12.3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10.8 %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cash flows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$1,815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$2,442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$5,356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$4,772</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Parent company cash and short term investments</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$2,422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$1,674</w:t>
            </w: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Debt-to-total capitalization</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33.0 %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34.3 %</w:t>
            </w: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Retail segment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$16,741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$14,088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$50,464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$42,259</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85.1</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85.9 %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83.3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86.4 %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11.2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9.3 %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10.0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8.7 %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$639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$3,227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$1,960</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$557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$643</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$3,239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$1,972</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Group and Specialty segment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$1,794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$1,889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$5,494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$5,650</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93.0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86.3 %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79.6</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83.0 %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25.2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21.9 %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24.0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21.9 %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(loss)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($160)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$232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(loss)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($159)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$235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Healthcare Services segment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$7,131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$6,602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$21,157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$19,087</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96.4 %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96.2 %</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95.8 %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96.3 %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$249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$816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163"/>
        </w:trPr>
        <w:tc>
          <w:tcPr>
            <w:tcW w:w="384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Adjusted earnings before interest, taxes, depreciation</w:t>
            </w:r>
          </w:p>
        </w:tc>
        <w:tc>
          <w:tcPr>
            <w:tcW w:w="184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$327</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$1,036</w:t>
            </w:r>
          </w:p>
        </w:tc>
        <w:tc>
          <w:tcPr>
            <w:tcW w:w="1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amortization (Adjusted EBITDA) (e)</w:t>
            </w:r>
          </w:p>
        </w:tc>
        <w:tc>
          <w:tcPr>
            <w:tcW w:w="184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$283</w:t>
            </w:r>
          </w:p>
        </w:tc>
        <w:tc>
          <w:tcPr>
            <w:tcW w:w="186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086" w:right="31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u w:val="single" w:color="auto"/>
          <w:color w:val="auto"/>
        </w:rPr>
        <w:t>2020 Earnings Guidance</w:t>
      </w:r>
    </w:p>
    <w:p>
      <w:pPr>
        <w:spacing w:after="0" w:line="239" w:lineRule="exact"/>
        <w:rPr>
          <w:sz w:val="20"/>
          <w:szCs w:val="20"/>
          <w:color w:val="auto"/>
        </w:rPr>
      </w:pPr>
    </w:p>
    <w:p>
      <w:pPr>
        <w:ind w:right="220"/>
        <w:spacing w:after="0" w:line="243" w:lineRule="auto"/>
        <w:rPr>
          <w:sz w:val="20"/>
          <w:szCs w:val="20"/>
          <w:color w:val="auto"/>
        </w:rPr>
      </w:pPr>
      <w:r>
        <w:rPr>
          <w:rFonts w:ascii="Arial" w:cs="Arial" w:eastAsia="Arial" w:hAnsi="Arial"/>
          <w:sz w:val="19"/>
          <w:szCs w:val="19"/>
          <w:color w:val="auto"/>
        </w:rPr>
        <w:t>Humana today adjusted its GAAP and Adjusted EPS guidance ranges for the year ended December 31, 2020 (FY20). The company now expects its FY20 GAAP EPS to be in the range of $24.70 to $24.95, compared to the previous range of $23.74 to $24.24, while Adjusted EPS is expected to be in a range of $18.50 to $18.75 versus the previous range of $18.25 to $18.75. For comparison, FY 2020 GAAP and Adjusted EPS guidance is detailed below along with GAAP and Adjusted results for the year ended December 31, 2019 (FY 2019).</w:t>
      </w:r>
    </w:p>
    <w:p>
      <w:pPr>
        <w:spacing w:after="0" w:line="19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company is revising its individual Medicare Advantage net membership growth estimate to now anticipate growth of approximately 375,000 members for FY 2020 compared to the previous guidance growth range of 330,000 to 360,000 members. This anticipated increase in 2020 represents year-over-year growth of approximately 10 percent.</w:t>
      </w:r>
    </w:p>
    <w:p>
      <w:pPr>
        <w:spacing w:after="0" w:line="195"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The company is reiterating its expectations for group Medicare Advantage net membership gains for FY 2020, projecting an increase of approximately 90,000 members year over year.</w:t>
      </w:r>
    </w:p>
    <w:p>
      <w:pPr>
        <w:spacing w:after="0" w:line="189" w:lineRule="exact"/>
        <w:rPr>
          <w:sz w:val="20"/>
          <w:szCs w:val="20"/>
          <w:color w:val="auto"/>
        </w:rPr>
      </w:pPr>
    </w:p>
    <w:p>
      <w:pPr>
        <w:ind w:right="200"/>
        <w:spacing w:after="0" w:line="250" w:lineRule="auto"/>
        <w:rPr>
          <w:sz w:val="20"/>
          <w:szCs w:val="20"/>
          <w:color w:val="auto"/>
        </w:rPr>
      </w:pPr>
      <w:r>
        <w:rPr>
          <w:rFonts w:ascii="Arial" w:cs="Arial" w:eastAsia="Arial" w:hAnsi="Arial"/>
          <w:sz w:val="19"/>
          <w:szCs w:val="19"/>
          <w:color w:val="auto"/>
        </w:rPr>
        <w:t>For its stand-alone PDP business, Humana now expects a net membership decline of approximately 500,000 members for FY 2020, compared to the previous estimate of 550,000 members.</w:t>
      </w:r>
    </w:p>
    <w:p>
      <w:pPr>
        <w:spacing w:after="0" w:line="189"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Given the likelihood of significant variability of results by financial statement line item (and related ratios), Humana previously withdrew its additional FY 2020 detailed guidance points that were initially provided as part of the company's fourth quarter 2019 earnings release dated February 5, 2020.</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340" w:type="dxa"/>
            <w:vAlign w:val="bottom"/>
            <w:tcBorders>
              <w:top w:val="single" w:sz="8" w:color="auto"/>
              <w:left w:val="single" w:sz="8" w:color="auto"/>
              <w:right w:val="single" w:sz="8" w:color="auto"/>
            </w:tcBorders>
            <w:vMerge w:val="restart"/>
            <w:shd w:val="clear" w:color="auto" w:fill="EAEAEA"/>
          </w:tcPr>
          <w:p>
            <w:pPr>
              <w:ind w:left="1500"/>
              <w:spacing w:after="0"/>
              <w:rPr>
                <w:sz w:val="20"/>
                <w:szCs w:val="20"/>
                <w:color w:val="auto"/>
              </w:rPr>
            </w:pPr>
            <w:r>
              <w:rPr>
                <w:rFonts w:ascii="Arial" w:cs="Arial" w:eastAsia="Arial" w:hAnsi="Arial"/>
                <w:sz w:val="14"/>
                <w:szCs w:val="14"/>
                <w:b w:val="1"/>
                <w:bCs w:val="1"/>
                <w:color w:val="auto"/>
              </w:rPr>
              <w:t>Diluted earnings per common share</w:t>
            </w:r>
          </w:p>
        </w:tc>
        <w:tc>
          <w:tcPr>
            <w:tcW w:w="1480" w:type="dxa"/>
            <w:vAlign w:val="bottom"/>
            <w:tcBorders>
              <w:top w:val="single" w:sz="8" w:color="auto"/>
              <w:right w:val="single" w:sz="8" w:color="auto"/>
            </w:tcBorders>
            <w:shd w:val="clear" w:color="auto" w:fill="EAEAEA"/>
          </w:tcPr>
          <w:p>
            <w:pPr>
              <w:jc w:val="right"/>
              <w:ind w:right="425"/>
              <w:spacing w:after="0" w:line="155" w:lineRule="exact"/>
              <w:rPr>
                <w:sz w:val="20"/>
                <w:szCs w:val="20"/>
                <w:color w:val="auto"/>
              </w:rPr>
            </w:pPr>
            <w:r>
              <w:rPr>
                <w:rFonts w:ascii="Arial" w:cs="Arial" w:eastAsia="Arial" w:hAnsi="Arial"/>
                <w:sz w:val="14"/>
                <w:szCs w:val="14"/>
                <w:b w:val="1"/>
                <w:bCs w:val="1"/>
                <w:color w:val="auto"/>
              </w:rPr>
              <w:t>FY 2020</w:t>
            </w:r>
          </w:p>
        </w:tc>
        <w:tc>
          <w:tcPr>
            <w:tcW w:w="1480" w:type="dxa"/>
            <w:vAlign w:val="bottom"/>
            <w:tcBorders>
              <w:top w:val="single" w:sz="8" w:color="auto"/>
              <w:right w:val="single" w:sz="8" w:color="auto"/>
            </w:tcBorders>
            <w:vMerge w:val="restart"/>
            <w:shd w:val="clear" w:color="auto" w:fill="EAEAEA"/>
          </w:tcPr>
          <w:p>
            <w:pPr>
              <w:jc w:val="right"/>
              <w:ind w:right="324"/>
              <w:spacing w:after="0"/>
              <w:rPr>
                <w:sz w:val="20"/>
                <w:szCs w:val="20"/>
                <w:color w:val="auto"/>
              </w:rPr>
            </w:pPr>
            <w:r>
              <w:rPr>
                <w:rFonts w:ascii="Arial" w:cs="Arial" w:eastAsia="Arial" w:hAnsi="Arial"/>
                <w:sz w:val="14"/>
                <w:szCs w:val="14"/>
                <w:color w:val="auto"/>
              </w:rPr>
              <w:t>FY 2019 (g)</w:t>
            </w:r>
          </w:p>
        </w:tc>
        <w:tc>
          <w:tcPr>
            <w:tcW w:w="1480" w:type="dxa"/>
            <w:vAlign w:val="bottom"/>
            <w:tcBorders>
              <w:top w:val="single" w:sz="8" w:color="auto"/>
              <w:right w:val="single" w:sz="8" w:color="auto"/>
            </w:tcBorders>
            <w:shd w:val="clear" w:color="auto" w:fill="EAEAEA"/>
          </w:tcPr>
          <w:p>
            <w:pPr>
              <w:jc w:val="center"/>
              <w:spacing w:after="0" w:line="155" w:lineRule="exact"/>
              <w:rPr>
                <w:sz w:val="20"/>
                <w:szCs w:val="20"/>
                <w:color w:val="auto"/>
              </w:rPr>
            </w:pPr>
            <w:r>
              <w:rPr>
                <w:rFonts w:ascii="Arial" w:cs="Arial" w:eastAsia="Arial" w:hAnsi="Arial"/>
                <w:sz w:val="14"/>
                <w:szCs w:val="14"/>
                <w:b w:val="1"/>
                <w:bCs w:val="1"/>
                <w:color w:val="auto"/>
              </w:rPr>
              <w:t>4Q 2020</w:t>
            </w:r>
          </w:p>
        </w:tc>
        <w:tc>
          <w:tcPr>
            <w:tcW w:w="1480" w:type="dxa"/>
            <w:vAlign w:val="bottom"/>
            <w:tcBorders>
              <w:top w:val="single" w:sz="8" w:color="auto"/>
              <w:right w:val="single" w:sz="8" w:color="auto"/>
            </w:tcBorders>
            <w:vMerge w:val="restart"/>
            <w:shd w:val="clear" w:color="auto" w:fill="EAEAEA"/>
          </w:tcPr>
          <w:p>
            <w:pPr>
              <w:jc w:val="right"/>
              <w:ind w:right="324"/>
              <w:spacing w:after="0"/>
              <w:rPr>
                <w:sz w:val="20"/>
                <w:szCs w:val="20"/>
                <w:color w:val="auto"/>
              </w:rPr>
            </w:pPr>
            <w:r>
              <w:rPr>
                <w:rFonts w:ascii="Arial" w:cs="Arial" w:eastAsia="Arial" w:hAnsi="Arial"/>
                <w:sz w:val="14"/>
                <w:szCs w:val="14"/>
                <w:color w:val="auto"/>
              </w:rPr>
              <w:t>4Q 2019 (i)</w:t>
            </w: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bottom w:val="single" w:sz="8" w:color="auto"/>
              <w:right w:val="single" w:sz="8" w:color="auto"/>
            </w:tcBorders>
            <w:vMerge w:val="continue"/>
            <w:shd w:val="clear" w:color="auto" w:fill="EAEAEA"/>
          </w:tcPr>
          <w:p>
            <w:pPr>
              <w:spacing w:after="0"/>
              <w:rPr>
                <w:sz w:val="14"/>
                <w:szCs w:val="14"/>
                <w:color w:val="auto"/>
              </w:rPr>
            </w:pPr>
          </w:p>
        </w:tc>
        <w:tc>
          <w:tcPr>
            <w:tcW w:w="1480" w:type="dxa"/>
            <w:vAlign w:val="bottom"/>
            <w:tcBorders>
              <w:bottom w:val="single" w:sz="8" w:color="auto"/>
              <w:right w:val="single" w:sz="8" w:color="auto"/>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auto"/>
              </w:rPr>
              <w:t>Guidance (f)</w:t>
            </w:r>
          </w:p>
        </w:tc>
        <w:tc>
          <w:tcPr>
            <w:tcW w:w="1480" w:type="dxa"/>
            <w:vAlign w:val="bottom"/>
            <w:tcBorders>
              <w:bottom w:val="single" w:sz="8" w:color="auto"/>
              <w:right w:val="single" w:sz="8" w:color="auto"/>
            </w:tcBorders>
            <w:vMerge w:val="continue"/>
            <w:shd w:val="clear" w:color="auto" w:fill="EAEAEA"/>
          </w:tcPr>
          <w:p>
            <w:pPr>
              <w:spacing w:after="0"/>
              <w:rPr>
                <w:sz w:val="14"/>
                <w:szCs w:val="14"/>
                <w:color w:val="auto"/>
              </w:rPr>
            </w:pPr>
          </w:p>
        </w:tc>
        <w:tc>
          <w:tcPr>
            <w:tcW w:w="1480" w:type="dxa"/>
            <w:vAlign w:val="bottom"/>
            <w:tcBorders>
              <w:bottom w:val="single" w:sz="8" w:color="auto"/>
              <w:right w:val="single" w:sz="8" w:color="auto"/>
            </w:tcBorders>
            <w:shd w:val="clear" w:color="auto" w:fill="EAEAEA"/>
          </w:tcPr>
          <w:p>
            <w:pPr>
              <w:jc w:val="center"/>
              <w:spacing w:after="0"/>
              <w:rPr>
                <w:sz w:val="20"/>
                <w:szCs w:val="20"/>
                <w:color w:val="auto"/>
              </w:rPr>
            </w:pPr>
            <w:r>
              <w:rPr>
                <w:rFonts w:ascii="Arial" w:cs="Arial" w:eastAsia="Arial" w:hAnsi="Arial"/>
                <w:sz w:val="14"/>
                <w:szCs w:val="14"/>
                <w:b w:val="1"/>
                <w:bCs w:val="1"/>
                <w:color w:val="auto"/>
                <w:w w:val="98"/>
              </w:rPr>
              <w:t>Guidance (h)</w:t>
            </w:r>
          </w:p>
        </w:tc>
        <w:tc>
          <w:tcPr>
            <w:tcW w:w="1480" w:type="dxa"/>
            <w:vAlign w:val="bottom"/>
            <w:tcBorders>
              <w:bottom w:val="single" w:sz="8" w:color="auto"/>
              <w:right w:val="single" w:sz="8" w:color="auto"/>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$24.70 to $24.95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$20.10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($2.55)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9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Amortization of identifiable intangibles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~0.51</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0.40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~0.15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163"/>
        </w:trPr>
        <w:tc>
          <w:tcPr>
            <w:tcW w:w="534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Put/call valuation adjustments associated with company's non-consolidating</w:t>
            </w:r>
          </w:p>
        </w:tc>
        <w:tc>
          <w:tcPr>
            <w:tcW w:w="148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5"/>
                <w:szCs w:val="15"/>
                <w:b w:val="1"/>
                <w:bCs w:val="1"/>
                <w:color w:val="auto"/>
              </w:rPr>
              <w:t>0.37</w:t>
            </w:r>
          </w:p>
        </w:tc>
        <w:tc>
          <w:tcPr>
            <w:tcW w:w="14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vMerge w:val="restart"/>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minority interest investments</w:t>
            </w: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1"/>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Change in fair market value of publicly-traded equity securities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(3.73)</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(3.35)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Charges associated with workforce optimization</w:t>
            </w:r>
          </w:p>
        </w:tc>
        <w:tc>
          <w:tcPr>
            <w:tcW w:w="14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0.26</w:t>
            </w:r>
          </w:p>
        </w:tc>
        <w:tc>
          <w:tcPr>
            <w:tcW w:w="14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49"/>
        </w:trPr>
        <w:tc>
          <w:tcPr>
            <w:tcW w:w="53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5"/>
                <w:szCs w:val="15"/>
                <w:b w:val="1"/>
                <w:bCs w:val="1"/>
                <w:color w:val="auto"/>
              </w:rPr>
              <w:t>Adjusted (non-GAAP) – FY 2020 and 4Q 2020 projected; FY 2019 and</w:t>
            </w: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$18.50 to $18.75</w:t>
            </w:r>
          </w:p>
        </w:tc>
        <w:tc>
          <w:tcPr>
            <w:tcW w:w="14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($2.40)</w:t>
            </w: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4Q 2019 reported</w:t>
            </w:r>
          </w:p>
        </w:tc>
        <w:tc>
          <w:tcPr>
            <w:tcW w:w="1480" w:type="dxa"/>
            <w:vAlign w:val="bottom"/>
            <w:tcBorders>
              <w:bottom w:val="single" w:sz="8" w:color="auto"/>
              <w:right w:val="single" w:sz="8" w:color="auto"/>
            </w:tcBorders>
            <w:vMerge w:val="continue"/>
          </w:tcPr>
          <w:p>
            <w:pPr>
              <w:spacing w:after="0"/>
              <w:rPr>
                <w:sz w:val="17"/>
                <w:szCs w:val="17"/>
                <w:color w:val="auto"/>
              </w:rPr>
            </w:pP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$17.87</w:t>
            </w:r>
          </w:p>
        </w:tc>
        <w:tc>
          <w:tcPr>
            <w:tcW w:w="1480" w:type="dxa"/>
            <w:vAlign w:val="bottom"/>
            <w:tcBorders>
              <w:bottom w:val="single" w:sz="8" w:color="auto"/>
              <w:right w:val="single" w:sz="8" w:color="auto"/>
            </w:tcBorders>
            <w:vMerge w:val="continue"/>
          </w:tcPr>
          <w:p>
            <w:pPr>
              <w:spacing w:after="0"/>
              <w:rPr>
                <w:sz w:val="17"/>
                <w:szCs w:val="17"/>
                <w:color w:val="auto"/>
              </w:rPr>
            </w:pP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2022 Preliminary Rate Notice</w:t>
      </w:r>
    </w:p>
    <w:p>
      <w:pPr>
        <w:spacing w:after="0" w:line="265" w:lineRule="exact"/>
        <w:rPr>
          <w:sz w:val="20"/>
          <w:szCs w:val="20"/>
          <w:color w:val="auto"/>
        </w:rPr>
      </w:pPr>
    </w:p>
    <w:p>
      <w:pPr>
        <w:jc w:val="both"/>
        <w:ind w:right="20"/>
        <w:spacing w:after="0" w:line="231" w:lineRule="auto"/>
        <w:rPr>
          <w:sz w:val="20"/>
          <w:szCs w:val="20"/>
          <w:color w:val="auto"/>
        </w:rPr>
      </w:pPr>
      <w:r>
        <w:rPr>
          <w:rFonts w:ascii="Arial" w:cs="Arial" w:eastAsia="Arial" w:hAnsi="Arial"/>
          <w:sz w:val="19"/>
          <w:szCs w:val="19"/>
          <w:color w:val="auto"/>
        </w:rPr>
        <w:t>On Friday, October 30, 2020, after the stock market closed, the Centers for Medicare and Medicaid Services (CMS) issued its preliminary 2022 Medicare Advantage and Part D payment rates and proposed policy changes (collectively, the Advance Notice). CMS has invited public comment on the Advance Notice before publishing final rates on or before April 5, 2021 (the Final Notice), and indicated that the Final Notice may be published early in light of the challenges posed by the uncertainty associated with the COVID-19 pandemic.</w:t>
      </w:r>
    </w:p>
    <w:p>
      <w:pPr>
        <w:spacing w:after="0" w:line="212" w:lineRule="exact"/>
        <w:rPr>
          <w:sz w:val="20"/>
          <w:szCs w:val="20"/>
          <w:color w:val="auto"/>
        </w:rPr>
      </w:pPr>
    </w:p>
    <w:p>
      <w:pPr>
        <w:jc w:val="both"/>
        <w:ind w:right="20"/>
        <w:spacing w:after="0" w:line="212" w:lineRule="exact"/>
        <w:rPr>
          <w:sz w:val="20"/>
          <w:szCs w:val="20"/>
          <w:color w:val="auto"/>
        </w:rPr>
      </w:pPr>
      <w:r>
        <w:rPr>
          <w:rFonts w:ascii="Arial" w:cs="Arial" w:eastAsia="Arial" w:hAnsi="Arial"/>
          <w:sz w:val="19"/>
          <w:szCs w:val="19"/>
          <w:color w:val="auto"/>
        </w:rPr>
        <w:t>In the Advance Notice, CMS estimates Medicare Advantage plans across the sector will, on average, experience a 2.82 percent increase in benchmark funding based on proposals included therein. As indicated by CMS, its estimate excludes the impact of fee</w:t>
      </w:r>
      <w:r>
        <w:rPr>
          <w:rFonts w:ascii="MS PGothic" w:cs="MS PGothic" w:eastAsia="MS PGothic" w:hAnsi="MS PGothic"/>
          <w:sz w:val="19"/>
          <w:szCs w:val="19"/>
          <w:color w:val="auto"/>
        </w:rPr>
        <w:t>‐</w:t>
      </w:r>
      <w:r>
        <w:rPr>
          <w:rFonts w:ascii="Arial" w:cs="Arial" w:eastAsia="Arial" w:hAnsi="Arial"/>
          <w:sz w:val="19"/>
          <w:szCs w:val="19"/>
          <w:color w:val="auto"/>
        </w:rPr>
        <w:t>for</w:t>
      </w:r>
      <w:r>
        <w:rPr>
          <w:rFonts w:ascii="MS PGothic" w:cs="MS PGothic" w:eastAsia="MS PGothic" w:hAnsi="MS PGothic"/>
          <w:sz w:val="19"/>
          <w:szCs w:val="19"/>
          <w:color w:val="auto"/>
        </w:rPr>
        <w:t>‐</w:t>
      </w:r>
      <w:r>
        <w:rPr>
          <w:rFonts w:ascii="Arial" w:cs="Arial" w:eastAsia="Arial" w:hAnsi="Arial"/>
          <w:sz w:val="19"/>
          <w:szCs w:val="19"/>
          <w:color w:val="auto"/>
        </w:rPr>
        <w:t xml:space="preserve"> service county rebasing/re</w:t>
      </w:r>
      <w:r>
        <w:rPr>
          <w:rFonts w:ascii="MS PGothic" w:cs="MS PGothic" w:eastAsia="MS PGothic" w:hAnsi="MS PGothic"/>
          <w:sz w:val="19"/>
          <w:szCs w:val="19"/>
          <w:color w:val="auto"/>
        </w:rPr>
        <w:t>‐</w:t>
      </w:r>
      <w:r>
        <w:rPr>
          <w:rFonts w:ascii="Arial" w:cs="Arial" w:eastAsia="Arial" w:hAnsi="Arial"/>
          <w:sz w:val="19"/>
          <w:szCs w:val="19"/>
          <w:color w:val="auto"/>
        </w:rPr>
        <w:t>pricing since the related impact is dependent upon finalization of certain data, which will be available with the publication of the Final Notice.</w:t>
      </w:r>
    </w:p>
    <w:p>
      <w:pPr>
        <w:spacing w:after="0" w:line="212" w:lineRule="exact"/>
        <w:rPr>
          <w:sz w:val="20"/>
          <w:szCs w:val="20"/>
          <w:color w:val="auto"/>
        </w:rPr>
      </w:pPr>
    </w:p>
    <w:p>
      <w:pPr>
        <w:jc w:val="both"/>
        <w:ind w:right="20"/>
        <w:spacing w:after="0" w:line="232" w:lineRule="auto"/>
        <w:rPr>
          <w:sz w:val="20"/>
          <w:szCs w:val="20"/>
          <w:color w:val="auto"/>
        </w:rPr>
      </w:pPr>
      <w:r>
        <w:rPr>
          <w:rFonts w:ascii="Arial" w:cs="Arial" w:eastAsia="Arial" w:hAnsi="Arial"/>
          <w:sz w:val="19"/>
          <w:szCs w:val="19"/>
          <w:color w:val="auto"/>
        </w:rPr>
        <w:t>Based on the company’s preliminary analysis using the same factors CMS included in its estimate, the components of which are detailed on CMS’ website, Humana anticipates the proposals in the Advance Notice would result in a change generally in line with CMS’ estimate, with the exception of Humana's Medicare Star Ratings for bonus year 2022, as more fully described below, that led the company’s peers.</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245" w:right="31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The company will be drawing upon its program expertise to provide CMS formal commentary on the impact of the Advance Notice and the related impact upon Medicare beneficiaries’ quality of care and service to its members through the Medicare Advantage program.</w:t>
      </w: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Star Quality Ratings</w:t>
      </w:r>
    </w:p>
    <w:p>
      <w:pPr>
        <w:spacing w:after="0" w:line="26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As previously disclosed, in October 2020, the Centers for Medicare and Medicaid Services (CMS) published its updated Medicare Star Ratings for bonus year 2022. Humana has 4.1 million members, or approximately 92 percent of its Medicare Advantage membership as of September 2020, enrolled in 15 contracts that received a 4-star rating or above. In addition, Humana received a 5 out of 5-star rating for its CarePlus Health Plans, Inc. contract in Florida, which currently covers approximately 164,300 members, for the third consecutive year and received a 4.5-star rating for three Medicare Advantage contracts offered in 7 states, which cover approximately 796,000 members. Additionally, over 99 percent of retirees in Humana's group Medicare Advantage plans remain in 4-star or above contracts for bonus year 2022. Humana's Star Ratings continue to reflect the company's focus on quality in both member experience and clinical outcomes.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Detailed Press Release</w:t>
      </w:r>
    </w:p>
    <w:p>
      <w:pPr>
        <w:spacing w:after="0" w:line="239"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Humana’s full earnings press release including the statistical pages has been posted to the company’s Investor Relations site and may be accessed at https://humana.gcs-web.com/ or via a current report on Form 8-K filed by the company with the Securities and Exchange Commission this morning (available at www.sec.gov or on the company’s website).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Conference Call</w:t>
      </w:r>
    </w:p>
    <w:p>
      <w:pPr>
        <w:spacing w:after="0" w:line="239"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color w:val="auto"/>
        </w:rPr>
        <w:t>Humana will host a conference call at 9:00 a.m. Eastern time today to discuss its financial results for the quarter and the company’s expectations for future earnings.</w:t>
      </w:r>
    </w:p>
    <w:p>
      <w:pPr>
        <w:spacing w:after="0" w:line="189"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All parties interested in the company’s 3Q20 earnings conference call are invited to dial 888-625-7430. No password is required. The audio-only webcast of the 3Q20 earnings call may be accessed via Humana’s Investor Relations page at humana.com. The company suggests participants for both the conference call and those listening via the web dial in or sign on at least 15 minutes in advance of the call.</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November 3, 2020 until 10:59 p.m. Eastern time on January 3, 2021 and can be accessed by dialing 855-859-2056 and providing the conference ID #3879636.</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296" w:right="3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u w:val="single" w:color="auto"/>
          <w:color w:val="auto"/>
        </w:rPr>
        <w:t>Footnotes</w:t>
      </w:r>
    </w:p>
    <w:p>
      <w:pPr>
        <w:spacing w:after="0" w:line="239" w:lineRule="exact"/>
        <w:rPr>
          <w:sz w:val="20"/>
          <w:szCs w:val="20"/>
          <w:color w:val="auto"/>
        </w:rPr>
      </w:pPr>
    </w:p>
    <w:p>
      <w:pPr>
        <w:ind w:left="280" w:hanging="277"/>
        <w:spacing w:after="0"/>
        <w:tabs>
          <w:tab w:leader="none" w:pos="28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3Q20 Adjusted results exclude the following:</w:t>
      </w:r>
    </w:p>
    <w:p>
      <w:pPr>
        <w:spacing w:after="0" w:line="206" w:lineRule="exact"/>
        <w:rPr>
          <w:rFonts w:ascii="Arial" w:cs="Arial" w:eastAsia="Arial" w:hAnsi="Arial"/>
          <w:sz w:val="19"/>
          <w:szCs w:val="19"/>
          <w:color w:val="auto"/>
        </w:rPr>
      </w:pPr>
    </w:p>
    <w:p>
      <w:pPr>
        <w:ind w:left="940" w:right="280" w:hanging="241"/>
        <w:spacing w:after="0"/>
        <w:tabs>
          <w:tab w:leader="none" w:pos="903" w:val="left"/>
        </w:tabs>
        <w:numPr>
          <w:ilvl w:val="2"/>
          <w:numId w:val="3"/>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$23 million pretax, or $0.13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jc w:val="both"/>
        <w:ind w:left="940" w:right="220" w:hanging="241"/>
        <w:spacing w:after="0"/>
        <w:tabs>
          <w:tab w:leader="none" w:pos="903" w:val="left"/>
        </w:tabs>
        <w:numPr>
          <w:ilvl w:val="2"/>
          <w:numId w:val="3"/>
        </w:numPr>
        <w:rPr>
          <w:rFonts w:ascii="Arial" w:cs="Arial" w:eastAsia="Arial" w:hAnsi="Arial"/>
          <w:sz w:val="19"/>
          <w:szCs w:val="19"/>
          <w:color w:val="auto"/>
        </w:rPr>
      </w:pPr>
      <w:r>
        <w:rPr>
          <w:rFonts w:ascii="Arial" w:cs="Arial" w:eastAsia="Arial" w:hAnsi="Arial"/>
          <w:sz w:val="19"/>
          <w:szCs w:val="19"/>
          <w:color w:val="auto"/>
        </w:rPr>
        <w:t>Put/call valuation adjustments of approximately $7 million, or $0.03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940" w:right="80" w:hanging="318"/>
        <w:spacing w:after="0"/>
        <w:tabs>
          <w:tab w:leader="none" w:pos="903" w:val="left"/>
        </w:tabs>
        <w:numPr>
          <w:ilvl w:val="1"/>
          <w:numId w:val="3"/>
        </w:numPr>
        <w:rPr>
          <w:rFonts w:ascii="Arial" w:cs="Arial" w:eastAsia="Arial" w:hAnsi="Arial"/>
          <w:sz w:val="19"/>
          <w:szCs w:val="19"/>
          <w:color w:val="auto"/>
        </w:rPr>
      </w:pPr>
      <w:r>
        <w:rPr>
          <w:rFonts w:ascii="Arial" w:cs="Arial" w:eastAsia="Arial" w:hAnsi="Arial"/>
          <w:sz w:val="19"/>
          <w:szCs w:val="19"/>
          <w:color w:val="auto"/>
        </w:rPr>
        <w:t>Change in fair market value of publicly-traded equity securities of $643 million, or $3.72 per diluted common share. GAAP measures affected in this release include consolidated pretax, EPS, and consolidated revenues.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w:t>
      </w:r>
    </w:p>
    <w:p>
      <w:pPr>
        <w:spacing w:after="0" w:line="4" w:lineRule="exact"/>
        <w:rPr>
          <w:rFonts w:ascii="Arial" w:cs="Arial" w:eastAsia="Arial" w:hAnsi="Arial"/>
          <w:sz w:val="19"/>
          <w:szCs w:val="19"/>
          <w:color w:val="auto"/>
        </w:rPr>
      </w:pPr>
    </w:p>
    <w:p>
      <w:pPr>
        <w:ind w:left="940" w:right="20" w:hanging="318"/>
        <w:spacing w:after="0" w:line="243" w:lineRule="auto"/>
        <w:tabs>
          <w:tab w:leader="none" w:pos="903" w:val="left"/>
        </w:tabs>
        <w:numPr>
          <w:ilvl w:val="1"/>
          <w:numId w:val="3"/>
        </w:numPr>
        <w:rPr>
          <w:rFonts w:ascii="Arial" w:cs="Arial" w:eastAsia="Arial" w:hAnsi="Arial"/>
          <w:sz w:val="19"/>
          <w:szCs w:val="19"/>
          <w:color w:val="auto"/>
        </w:rPr>
      </w:pPr>
      <w:r>
        <w:rPr>
          <w:rFonts w:ascii="Arial" w:cs="Arial" w:eastAsia="Arial" w:hAnsi="Arial"/>
          <w:sz w:val="19"/>
          <w:szCs w:val="19"/>
          <w:color w:val="auto"/>
        </w:rPr>
        <w:t>Net adjustment of $578 million, or $3.35 per diluted common share, related to the receipt of unpaid risk corridor payments associated with the losses incurred by the company under the ACA business in 2014 to 2016 (previously written off). GAAP measures affected in this release include consolidated pretax, EPS, consolidated revenues, consolidated benefits expense ratio, and consolidated operating cost ratio.</w:t>
      </w:r>
    </w:p>
    <w:p>
      <w:pPr>
        <w:spacing w:after="0" w:line="223" w:lineRule="exact"/>
        <w:rPr>
          <w:rFonts w:ascii="Arial" w:cs="Arial" w:eastAsia="Arial" w:hAnsi="Arial"/>
          <w:sz w:val="19"/>
          <w:szCs w:val="19"/>
          <w:color w:val="auto"/>
        </w:rPr>
      </w:pPr>
    </w:p>
    <w:p>
      <w:pPr>
        <w:ind w:left="280" w:hanging="277"/>
        <w:spacing w:after="0"/>
        <w:tabs>
          <w:tab w:leader="none" w:pos="28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3Q19 Adjusted results exclude the following:</w:t>
      </w:r>
    </w:p>
    <w:p>
      <w:pPr>
        <w:ind w:left="1000" w:right="200" w:hanging="301"/>
        <w:spacing w:after="0"/>
        <w:tabs>
          <w:tab w:leader="none" w:pos="963" w:val="left"/>
        </w:tabs>
        <w:numPr>
          <w:ilvl w:val="2"/>
          <w:numId w:val="3"/>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$17 million pretax, or $0.10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ind w:left="1000" w:right="40" w:hanging="301"/>
        <w:spacing w:after="0"/>
        <w:tabs>
          <w:tab w:leader="none" w:pos="963" w:val="left"/>
        </w:tabs>
        <w:numPr>
          <w:ilvl w:val="2"/>
          <w:numId w:val="3"/>
        </w:numPr>
        <w:rPr>
          <w:rFonts w:ascii="Arial" w:cs="Arial" w:eastAsia="Arial" w:hAnsi="Arial"/>
          <w:sz w:val="19"/>
          <w:szCs w:val="19"/>
          <w:color w:val="auto"/>
        </w:rPr>
      </w:pPr>
      <w:r>
        <w:rPr>
          <w:rFonts w:ascii="Arial" w:cs="Arial" w:eastAsia="Arial" w:hAnsi="Arial"/>
          <w:sz w:val="19"/>
          <w:szCs w:val="19"/>
          <w:color w:val="auto"/>
        </w:rPr>
        <w:t>Put/call valuation adjustments of approximately $82 million, or $0.47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1000" w:right="40" w:hanging="301"/>
        <w:spacing w:after="0" w:line="277" w:lineRule="auto"/>
        <w:tabs>
          <w:tab w:leader="none" w:pos="963" w:val="left"/>
        </w:tabs>
        <w:numPr>
          <w:ilvl w:val="2"/>
          <w:numId w:val="3"/>
        </w:numPr>
        <w:rPr>
          <w:rFonts w:ascii="Arial" w:cs="Arial" w:eastAsia="Arial" w:hAnsi="Arial"/>
          <w:sz w:val="18"/>
          <w:szCs w:val="18"/>
          <w:color w:val="auto"/>
        </w:rPr>
      </w:pPr>
      <w:r>
        <w:rPr>
          <w:rFonts w:ascii="Arial" w:cs="Arial" w:eastAsia="Arial" w:hAnsi="Arial"/>
          <w:sz w:val="18"/>
          <w:szCs w:val="18"/>
          <w:color w:val="auto"/>
        </w:rPr>
        <w:t>Expense associated with involuntary workforce reduction of approximately $46 million pretax, or $0.26 per diluted common share; GAAP measures affected in this release include consolidated pretax, EPS, and consolidated operating cost ratio.</w:t>
      </w:r>
    </w:p>
    <w:p>
      <w:pPr>
        <w:spacing w:after="0" w:line="192" w:lineRule="exact"/>
        <w:rPr>
          <w:rFonts w:ascii="Arial" w:cs="Arial" w:eastAsia="Arial" w:hAnsi="Arial"/>
          <w:sz w:val="18"/>
          <w:szCs w:val="18"/>
          <w:color w:val="auto"/>
        </w:rPr>
      </w:pPr>
    </w:p>
    <w:p>
      <w:pPr>
        <w:ind w:left="280" w:hanging="277"/>
        <w:spacing w:after="0"/>
        <w:tabs>
          <w:tab w:leader="none" w:pos="28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YTD 2020 Adjusted results exclude the following:</w:t>
      </w:r>
    </w:p>
    <w:p>
      <w:pPr>
        <w:ind w:left="1000" w:right="200" w:hanging="301"/>
        <w:spacing w:after="0"/>
        <w:tabs>
          <w:tab w:leader="none" w:pos="963" w:val="left"/>
        </w:tabs>
        <w:numPr>
          <w:ilvl w:val="2"/>
          <w:numId w:val="3"/>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$66 million pretax, or $0.38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ind w:left="1000" w:right="40" w:hanging="301"/>
        <w:spacing w:after="0"/>
        <w:tabs>
          <w:tab w:leader="none" w:pos="963" w:val="left"/>
        </w:tabs>
        <w:numPr>
          <w:ilvl w:val="2"/>
          <w:numId w:val="3"/>
        </w:numPr>
        <w:rPr>
          <w:rFonts w:ascii="Arial" w:cs="Arial" w:eastAsia="Arial" w:hAnsi="Arial"/>
          <w:sz w:val="19"/>
          <w:szCs w:val="19"/>
          <w:color w:val="auto"/>
        </w:rPr>
      </w:pPr>
      <w:r>
        <w:rPr>
          <w:rFonts w:ascii="Arial" w:cs="Arial" w:eastAsia="Arial" w:hAnsi="Arial"/>
          <w:sz w:val="19"/>
          <w:szCs w:val="19"/>
          <w:color w:val="auto"/>
        </w:rPr>
        <w:t>Put/call valuation adjustments of approximately $63 million, or $0.37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1000" w:hanging="301"/>
        <w:spacing w:after="0" w:line="242" w:lineRule="auto"/>
        <w:tabs>
          <w:tab w:leader="none" w:pos="963" w:val="left"/>
        </w:tabs>
        <w:numPr>
          <w:ilvl w:val="2"/>
          <w:numId w:val="3"/>
        </w:numPr>
        <w:rPr>
          <w:rFonts w:ascii="Arial" w:cs="Arial" w:eastAsia="Arial" w:hAnsi="Arial"/>
          <w:sz w:val="19"/>
          <w:szCs w:val="19"/>
          <w:color w:val="auto"/>
        </w:rPr>
      </w:pPr>
      <w:r>
        <w:rPr>
          <w:rFonts w:ascii="Arial" w:cs="Arial" w:eastAsia="Arial" w:hAnsi="Arial"/>
          <w:sz w:val="19"/>
          <w:szCs w:val="19"/>
          <w:color w:val="auto"/>
        </w:rPr>
        <w:t>Change in fair market value of publicly-traded equity securities of $643 million, or $3.73 per diluted common share. GAAP measures affected in this release include consolidated pretax, EPS, and consolidated revenues.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52" w:right="339" w:bottom="1440" w:gutter="0" w:footer="0" w:header="0"/>
        </w:sectPr>
      </w:pPr>
    </w:p>
    <w:bookmarkStart w:id="10" w:name="page11"/>
    <w:bookmarkEnd w:id="10"/>
    <w:p>
      <w:pPr>
        <w:ind w:left="997" w:right="80" w:hanging="301"/>
        <w:spacing w:after="0" w:line="243" w:lineRule="auto"/>
        <w:tabs>
          <w:tab w:leader="none" w:pos="960" w:val="left"/>
        </w:tabs>
        <w:numPr>
          <w:ilvl w:val="2"/>
          <w:numId w:val="4"/>
        </w:numPr>
        <w:rPr>
          <w:rFonts w:ascii="Arial" w:cs="Arial" w:eastAsia="Arial" w:hAnsi="Arial"/>
          <w:sz w:val="19"/>
          <w:szCs w:val="19"/>
          <w:color w:val="auto"/>
        </w:rPr>
      </w:pPr>
      <w:r>
        <w:rPr>
          <w:rFonts w:ascii="Arial" w:cs="Arial" w:eastAsia="Arial" w:hAnsi="Arial"/>
          <w:sz w:val="19"/>
          <w:szCs w:val="19"/>
          <w:color w:val="auto"/>
        </w:rPr>
        <w:t>Net adjustment of $578 million, or $3.35 per diluted common share, related to the receipt of unpaid risk corridor payments associated with the losses incurred by the company under the ACA business in 2014 to 2016 (previously written off). GAAP measures affected in this release include consolidated pretax, EPS, consolidated revenues, consolidated benefits expense ratio, and consolidated operating cost ratio.</w:t>
      </w:r>
    </w:p>
    <w:p>
      <w:pPr>
        <w:spacing w:after="0" w:line="223" w:lineRule="exact"/>
        <w:rPr>
          <w:rFonts w:ascii="Arial" w:cs="Arial" w:eastAsia="Arial" w:hAnsi="Arial"/>
          <w:sz w:val="19"/>
          <w:szCs w:val="19"/>
          <w:color w:val="auto"/>
        </w:rPr>
      </w:pPr>
    </w:p>
    <w:p>
      <w:pPr>
        <w:ind w:left="277" w:hanging="277"/>
        <w:spacing w:after="0"/>
        <w:tabs>
          <w:tab w:leader="none" w:pos="277"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YTD 2019 Adjusted results exclude the following:</w:t>
      </w:r>
    </w:p>
    <w:p>
      <w:pPr>
        <w:ind w:left="997" w:right="160" w:hanging="301"/>
        <w:spacing w:after="0"/>
        <w:tabs>
          <w:tab w:leader="none" w:pos="960" w:val="left"/>
        </w:tabs>
        <w:numPr>
          <w:ilvl w:val="2"/>
          <w:numId w:val="4"/>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$53 million pretax, or $0.29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ind w:left="997" w:right="140" w:hanging="301"/>
        <w:spacing w:after="0"/>
        <w:tabs>
          <w:tab w:leader="none" w:pos="960" w:val="left"/>
        </w:tabs>
        <w:numPr>
          <w:ilvl w:val="2"/>
          <w:numId w:val="4"/>
        </w:numPr>
        <w:rPr>
          <w:rFonts w:ascii="Arial" w:cs="Arial" w:eastAsia="Arial" w:hAnsi="Arial"/>
          <w:sz w:val="19"/>
          <w:szCs w:val="19"/>
          <w:color w:val="auto"/>
        </w:rPr>
      </w:pPr>
      <w:r>
        <w:rPr>
          <w:rFonts w:ascii="Arial" w:cs="Arial" w:eastAsia="Arial" w:hAnsi="Arial"/>
          <w:sz w:val="19"/>
          <w:szCs w:val="19"/>
          <w:color w:val="auto"/>
        </w:rPr>
        <w:t>Put/call valuation adjustments of approximately $217 million, or $1.23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997" w:hanging="301"/>
        <w:spacing w:after="0" w:line="277" w:lineRule="auto"/>
        <w:tabs>
          <w:tab w:leader="none" w:pos="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Expense associated with involuntary workforce reduction of approximately $46 million pretax, or $0.26 per diluted common share; GAAP measures affected in this release include consolidated pretax, EPS, and consolidated operating cost ratio.</w:t>
      </w:r>
    </w:p>
    <w:p>
      <w:pPr>
        <w:spacing w:after="0" w:line="192" w:lineRule="exact"/>
        <w:rPr>
          <w:rFonts w:ascii="Arial" w:cs="Arial" w:eastAsia="Arial" w:hAnsi="Arial"/>
          <w:sz w:val="18"/>
          <w:szCs w:val="18"/>
          <w:color w:val="auto"/>
        </w:rPr>
      </w:pPr>
    </w:p>
    <w:p>
      <w:pPr>
        <w:ind w:left="157" w:right="100" w:hanging="157"/>
        <w:spacing w:after="0" w:line="243" w:lineRule="auto"/>
        <w:tabs>
          <w:tab w:leader="none" w:pos="28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221" w:lineRule="exact"/>
        <w:rPr>
          <w:rFonts w:ascii="Arial" w:cs="Arial" w:eastAsia="Arial" w:hAnsi="Arial"/>
          <w:sz w:val="19"/>
          <w:szCs w:val="19"/>
          <w:color w:val="auto"/>
        </w:rPr>
      </w:pPr>
    </w:p>
    <w:p>
      <w:pPr>
        <w:ind w:left="237" w:hanging="237"/>
        <w:spacing w:after="0"/>
        <w:tabs>
          <w:tab w:leader="none" w:pos="237"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FY 2020 Adjusted EPS projections exclude the following:</w:t>
      </w:r>
    </w:p>
    <w:p>
      <w:pPr>
        <w:ind w:left="577" w:hanging="267"/>
        <w:spacing w:after="0"/>
        <w:tabs>
          <w:tab w:leader="none" w:pos="577" w:val="left"/>
        </w:tabs>
        <w:numPr>
          <w:ilvl w:val="1"/>
          <w:numId w:val="4"/>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~0.51 per diluted common share.</w:t>
      </w:r>
    </w:p>
    <w:p>
      <w:pPr>
        <w:ind w:left="617" w:right="180" w:hanging="307"/>
        <w:spacing w:after="0" w:line="254" w:lineRule="auto"/>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Put/call valuation adjustments of $0.37 per diluted common share related to Humana's non-consolidating minority interest investments. FY20 GAAP EPS guidance excludes the impact of future value changes of put/call options related to Humana’s non-consolidating minority interest investments. The future value change of these put/call options cannot be estimated.</w:t>
      </w:r>
    </w:p>
    <w:p>
      <w:pPr>
        <w:ind w:left="617" w:right="60" w:hanging="307"/>
        <w:spacing w:after="0"/>
        <w:tabs>
          <w:tab w:leader="none" w:pos="580" w:val="left"/>
        </w:tabs>
        <w:numPr>
          <w:ilvl w:val="1"/>
          <w:numId w:val="4"/>
        </w:numPr>
        <w:rPr>
          <w:rFonts w:ascii="Arial" w:cs="Arial" w:eastAsia="Arial" w:hAnsi="Arial"/>
          <w:sz w:val="19"/>
          <w:szCs w:val="19"/>
          <w:color w:val="auto"/>
        </w:rPr>
      </w:pPr>
      <w:r>
        <w:rPr>
          <w:rFonts w:ascii="Arial" w:cs="Arial" w:eastAsia="Arial" w:hAnsi="Arial"/>
          <w:sz w:val="19"/>
          <w:szCs w:val="19"/>
          <w:color w:val="auto"/>
        </w:rPr>
        <w:t>Change in fair market value of publicly-traded equity securities of $3.73 per diluted common share. The future value of these investments, their impact on GAAP EPS, and the related non-GAAP adjustment will fluctuate on the public trading value of the stock. The guidance set forth herein assumes no further change in the fair value of these investments.</w:t>
      </w:r>
    </w:p>
    <w:p>
      <w:pPr>
        <w:spacing w:after="0" w:line="2" w:lineRule="exact"/>
        <w:rPr>
          <w:rFonts w:ascii="Arial" w:cs="Arial" w:eastAsia="Arial" w:hAnsi="Arial"/>
          <w:sz w:val="19"/>
          <w:szCs w:val="19"/>
          <w:color w:val="auto"/>
        </w:rPr>
      </w:pPr>
    </w:p>
    <w:p>
      <w:pPr>
        <w:ind w:left="617" w:right="200" w:hanging="307"/>
        <w:spacing w:after="0" w:line="250" w:lineRule="auto"/>
        <w:tabs>
          <w:tab w:leader="none" w:pos="580" w:val="left"/>
        </w:tabs>
        <w:numPr>
          <w:ilvl w:val="1"/>
          <w:numId w:val="4"/>
        </w:numPr>
        <w:rPr>
          <w:rFonts w:ascii="Arial" w:cs="Arial" w:eastAsia="Arial" w:hAnsi="Arial"/>
          <w:sz w:val="19"/>
          <w:szCs w:val="19"/>
          <w:color w:val="auto"/>
        </w:rPr>
      </w:pPr>
      <w:r>
        <w:rPr>
          <w:rFonts w:ascii="Arial" w:cs="Arial" w:eastAsia="Arial" w:hAnsi="Arial"/>
          <w:sz w:val="19"/>
          <w:szCs w:val="19"/>
          <w:color w:val="auto"/>
        </w:rPr>
        <w:t>Net adjustment of $3.35 per diluted common share related to the receipt of unpaid risk corridor payments associated with the losses incurred by the company under the ACA business in 2014 to 2016 (previously written off).</w:t>
      </w:r>
    </w:p>
    <w:p>
      <w:pPr>
        <w:spacing w:after="0" w:line="215" w:lineRule="exact"/>
        <w:rPr>
          <w:rFonts w:ascii="Arial" w:cs="Arial" w:eastAsia="Arial" w:hAnsi="Arial"/>
          <w:sz w:val="19"/>
          <w:szCs w:val="19"/>
          <w:color w:val="auto"/>
        </w:rPr>
      </w:pPr>
    </w:p>
    <w:p>
      <w:pPr>
        <w:ind w:left="277" w:hanging="277"/>
        <w:spacing w:after="0"/>
        <w:tabs>
          <w:tab w:leader="none" w:pos="277"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FY 2019 Adjusted results exclude the following:</w:t>
      </w:r>
    </w:p>
    <w:p>
      <w:pPr>
        <w:ind w:left="577" w:hanging="267"/>
        <w:spacing w:after="0"/>
        <w:tabs>
          <w:tab w:leader="none" w:pos="577" w:val="left"/>
        </w:tabs>
        <w:numPr>
          <w:ilvl w:val="1"/>
          <w:numId w:val="4"/>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$70 million pretax, or $0.40 per diluted common share.</w:t>
      </w:r>
    </w:p>
    <w:p>
      <w:pPr>
        <w:ind w:left="617" w:right="280" w:hanging="307"/>
        <w:spacing w:after="0"/>
        <w:tabs>
          <w:tab w:leader="none" w:pos="580" w:val="left"/>
        </w:tabs>
        <w:numPr>
          <w:ilvl w:val="1"/>
          <w:numId w:val="4"/>
        </w:numPr>
        <w:rPr>
          <w:rFonts w:ascii="Arial" w:cs="Arial" w:eastAsia="Arial" w:hAnsi="Arial"/>
          <w:sz w:val="19"/>
          <w:szCs w:val="19"/>
          <w:color w:val="auto"/>
        </w:rPr>
      </w:pPr>
      <w:r>
        <w:rPr>
          <w:rFonts w:ascii="Arial" w:cs="Arial" w:eastAsia="Arial" w:hAnsi="Arial"/>
          <w:sz w:val="19"/>
          <w:szCs w:val="19"/>
          <w:color w:val="auto"/>
        </w:rPr>
        <w:t>Put/call valuation adjustments of approximately $506 million, or $2.89 per diluted common share, associated with Humana’s non-consolidating minority interest investments.</w:t>
      </w:r>
    </w:p>
    <w:p>
      <w:pPr>
        <w:spacing w:after="0" w:line="1" w:lineRule="exact"/>
        <w:rPr>
          <w:rFonts w:ascii="Arial" w:cs="Arial" w:eastAsia="Arial" w:hAnsi="Arial"/>
          <w:sz w:val="19"/>
          <w:szCs w:val="19"/>
          <w:color w:val="auto"/>
        </w:rPr>
      </w:pPr>
    </w:p>
    <w:p>
      <w:pPr>
        <w:ind w:left="617" w:right="380" w:hanging="307"/>
        <w:spacing w:after="0" w:line="250" w:lineRule="auto"/>
        <w:tabs>
          <w:tab w:leader="none" w:pos="580" w:val="left"/>
        </w:tabs>
        <w:numPr>
          <w:ilvl w:val="1"/>
          <w:numId w:val="4"/>
        </w:numPr>
        <w:rPr>
          <w:rFonts w:ascii="Arial" w:cs="Arial" w:eastAsia="Arial" w:hAnsi="Arial"/>
          <w:sz w:val="19"/>
          <w:szCs w:val="19"/>
          <w:color w:val="auto"/>
        </w:rPr>
      </w:pPr>
      <w:r>
        <w:rPr>
          <w:rFonts w:ascii="Arial" w:cs="Arial" w:eastAsia="Arial" w:hAnsi="Arial"/>
          <w:sz w:val="19"/>
          <w:szCs w:val="19"/>
          <w:color w:val="auto"/>
        </w:rPr>
        <w:t>Expense associated with involuntary workforce reduction of approximately $47 million pretax, or $0.26 per diluted common share.</w:t>
      </w:r>
    </w:p>
    <w:p>
      <w:pPr>
        <w:spacing w:after="0" w:line="215" w:lineRule="exact"/>
        <w:rPr>
          <w:rFonts w:ascii="Arial" w:cs="Arial" w:eastAsia="Arial" w:hAnsi="Arial"/>
          <w:sz w:val="19"/>
          <w:szCs w:val="19"/>
          <w:color w:val="auto"/>
        </w:rPr>
      </w:pPr>
    </w:p>
    <w:p>
      <w:pPr>
        <w:ind w:left="277" w:hanging="277"/>
        <w:spacing w:after="0"/>
        <w:tabs>
          <w:tab w:leader="none" w:pos="277" w:val="left"/>
        </w:tabs>
        <w:numPr>
          <w:ilvl w:val="0"/>
          <w:numId w:val="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4Q 2020 Adjusted EPS projections exclude the following:</w:t>
      </w:r>
    </w:p>
    <w:p>
      <w:pPr>
        <w:ind w:left="577" w:hanging="267"/>
        <w:spacing w:after="0"/>
        <w:tabs>
          <w:tab w:leader="none" w:pos="577" w:val="left"/>
        </w:tabs>
        <w:numPr>
          <w:ilvl w:val="1"/>
          <w:numId w:val="4"/>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~0.15 per diluted common share.</w:t>
      </w:r>
    </w:p>
    <w:p>
      <w:pPr>
        <w:ind w:left="617" w:right="620" w:hanging="307"/>
        <w:spacing w:after="0" w:line="277" w:lineRule="auto"/>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4Q 2020 GAAP EPS guidance excludes the impact of future value changes of put/call options related to Humana’s non-consolidating minority interest investments. The future value change of these put/call options cannot be estimated.</w:t>
      </w:r>
    </w:p>
    <w:p>
      <w:pPr>
        <w:spacing w:after="0" w:line="200" w:lineRule="exact"/>
        <w:rPr>
          <w:sz w:val="20"/>
          <w:szCs w:val="20"/>
          <w:color w:val="auto"/>
        </w:rPr>
      </w:pPr>
    </w:p>
    <w:p>
      <w:pPr>
        <w:spacing w:after="0" w:line="263" w:lineRule="exact"/>
        <w:rPr>
          <w:sz w:val="20"/>
          <w:szCs w:val="20"/>
          <w:color w:val="auto"/>
        </w:rPr>
      </w:pPr>
    </w:p>
    <w:p>
      <w:pPr>
        <w:jc w:val="center"/>
        <w:ind w:right="-36"/>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197"/>
          </w:cols>
          <w:pgMar w:left="323" w:top="871" w:right="379" w:bottom="1440" w:gutter="0" w:footer="0" w:header="0"/>
        </w:sectPr>
      </w:pPr>
    </w:p>
    <w:bookmarkStart w:id="11" w:name="page12"/>
    <w:bookmarkEnd w:id="11"/>
    <w:p>
      <w:pPr>
        <w:ind w:left="620" w:right="180" w:hanging="307"/>
        <w:spacing w:after="0" w:line="245" w:lineRule="auto"/>
        <w:tabs>
          <w:tab w:leader="none" w:pos="583"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future value of publicly-traded equity securities, their impact on GAAP EPS, and the related non-GAAP adjustment will fluctuate on the public trading value of the stock. The guidance set forth herein assumes no further change in the fair value of these investments.</w:t>
      </w:r>
    </w:p>
    <w:p>
      <w:pPr>
        <w:spacing w:after="0" w:line="220" w:lineRule="exact"/>
        <w:rPr>
          <w:rFonts w:ascii="Arial" w:cs="Arial" w:eastAsia="Arial" w:hAnsi="Arial"/>
          <w:sz w:val="19"/>
          <w:szCs w:val="19"/>
          <w:color w:val="auto"/>
        </w:rPr>
      </w:pPr>
    </w:p>
    <w:p>
      <w:pPr>
        <w:ind w:left="220" w:hanging="217"/>
        <w:spacing w:after="0"/>
        <w:tabs>
          <w:tab w:leader="none" w:pos="220" w:val="left"/>
        </w:tabs>
        <w:numPr>
          <w:ilvl w:val="0"/>
          <w:numId w:val="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4Q 2019 Adjusted results exclude the following:</w:t>
      </w:r>
    </w:p>
    <w:p>
      <w:pPr>
        <w:ind w:left="620" w:right="500" w:hanging="307"/>
        <w:spacing w:after="0"/>
        <w:tabs>
          <w:tab w:leader="none" w:pos="583" w:val="left"/>
        </w:tabs>
        <w:numPr>
          <w:ilvl w:val="1"/>
          <w:numId w:val="5"/>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$17 million pretax income, or $0.10 per diluted common share.</w:t>
      </w:r>
    </w:p>
    <w:p>
      <w:pPr>
        <w:spacing w:after="0" w:line="1" w:lineRule="exact"/>
        <w:rPr>
          <w:rFonts w:ascii="Arial" w:cs="Arial" w:eastAsia="Arial" w:hAnsi="Arial"/>
          <w:sz w:val="19"/>
          <w:szCs w:val="19"/>
          <w:color w:val="auto"/>
        </w:rPr>
      </w:pPr>
    </w:p>
    <w:p>
      <w:pPr>
        <w:ind w:left="440" w:hanging="127"/>
        <w:spacing w:after="0"/>
        <w:tabs>
          <w:tab w:leader="none" w:pos="440" w:val="left"/>
        </w:tabs>
        <w:numPr>
          <w:ilvl w:val="1"/>
          <w:numId w:val="5"/>
        </w:numPr>
        <w:rPr>
          <w:rFonts w:ascii="Arial" w:cs="Arial" w:eastAsia="Arial" w:hAnsi="Arial"/>
          <w:sz w:val="19"/>
          <w:szCs w:val="19"/>
          <w:color w:val="auto"/>
        </w:rPr>
      </w:pPr>
      <w:r>
        <w:rPr>
          <w:rFonts w:ascii="Arial" w:cs="Arial" w:eastAsia="Arial" w:hAnsi="Arial"/>
          <w:sz w:val="19"/>
          <w:szCs w:val="19"/>
          <w:color w:val="auto"/>
        </w:rPr>
        <w:t>Put/call valuation adjustments of approximately $289 million, or $1.67 per diluted common share,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associated with Humana’s non-consolidating minority interest investments.</w:t>
      </w:r>
    </w:p>
    <w:p>
      <w:pPr>
        <w:spacing w:after="0" w:line="1" w:lineRule="exact"/>
        <w:rPr>
          <w:sz w:val="20"/>
          <w:szCs w:val="20"/>
          <w:color w:val="auto"/>
        </w:rPr>
      </w:pPr>
    </w:p>
    <w:p>
      <w:pPr>
        <w:ind w:left="620" w:right="2080" w:hanging="307"/>
        <w:spacing w:after="0" w:line="250" w:lineRule="auto"/>
        <w:tabs>
          <w:tab w:leader="none" w:pos="429" w:val="left"/>
        </w:tabs>
        <w:numPr>
          <w:ilvl w:val="0"/>
          <w:numId w:val="6"/>
        </w:numPr>
        <w:rPr>
          <w:rFonts w:ascii="Arial" w:cs="Arial" w:eastAsia="Arial" w:hAnsi="Arial"/>
          <w:sz w:val="19"/>
          <w:szCs w:val="19"/>
          <w:color w:val="auto"/>
        </w:rPr>
      </w:pPr>
      <w:r>
        <w:rPr>
          <w:rFonts w:ascii="Arial" w:cs="Arial" w:eastAsia="Arial" w:hAnsi="Arial"/>
          <w:sz w:val="19"/>
          <w:szCs w:val="19"/>
          <w:color w:val="auto"/>
        </w:rPr>
        <w:t>Expense associated with involuntary workforce reduction of approximately $1 million pretax, or $0.01 per diluted common share.</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Cautionary Statement</w:t>
      </w:r>
    </w:p>
    <w:p>
      <w:pPr>
        <w:spacing w:after="0" w:line="25" w:lineRule="exact"/>
        <w:rPr>
          <w:sz w:val="20"/>
          <w:szCs w:val="20"/>
          <w:color w:val="auto"/>
        </w:rPr>
      </w:pPr>
    </w:p>
    <w:p>
      <w:pPr>
        <w:ind w:left="320"/>
        <w:spacing w:after="0" w:line="243" w:lineRule="auto"/>
        <w:rPr>
          <w:sz w:val="20"/>
          <w:szCs w:val="20"/>
          <w:color w:val="auto"/>
        </w:rPr>
      </w:pPr>
      <w:r>
        <w:rPr>
          <w:rFonts w:ascii="Arial" w:cs="Arial" w:eastAsia="Arial" w:hAnsi="Arial"/>
          <w:sz w:val="19"/>
          <w:szCs w:val="19"/>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22" w:lineRule="exact"/>
        <w:rPr>
          <w:sz w:val="20"/>
          <w:szCs w:val="20"/>
          <w:color w:val="auto"/>
        </w:rPr>
      </w:pPr>
    </w:p>
    <w:p>
      <w:pPr>
        <w:ind w:left="320" w:right="460"/>
        <w:spacing w:after="0" w:line="245" w:lineRule="auto"/>
        <w:rPr>
          <w:sz w:val="20"/>
          <w:szCs w:val="20"/>
          <w:color w:val="auto"/>
        </w:rPr>
      </w:pPr>
      <w:r>
        <w:rPr>
          <w:rFonts w:ascii="Arial" w:cs="Arial" w:eastAsia="Arial" w:hAnsi="Arial"/>
          <w:sz w:val="19"/>
          <w:szCs w:val="19"/>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20" w:lineRule="exact"/>
        <w:rPr>
          <w:sz w:val="20"/>
          <w:szCs w:val="20"/>
          <w:color w:val="auto"/>
        </w:rPr>
      </w:pPr>
    </w:p>
    <w:p>
      <w:pPr>
        <w:ind w:left="620" w:right="20" w:hanging="307"/>
        <w:spacing w:after="0"/>
        <w:tabs>
          <w:tab w:leader="none" w:pos="583"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8" w:lineRule="exact"/>
        <w:rPr>
          <w:rFonts w:ascii="Arial" w:cs="Arial" w:eastAsia="Arial" w:hAnsi="Arial"/>
          <w:sz w:val="19"/>
          <w:szCs w:val="19"/>
          <w:color w:val="auto"/>
        </w:rPr>
      </w:pPr>
    </w:p>
    <w:p>
      <w:pPr>
        <w:ind w:left="620" w:right="120" w:hanging="307"/>
        <w:spacing w:after="0"/>
        <w:tabs>
          <w:tab w:leader="none" w:pos="583"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2" w:lineRule="exact"/>
        <w:rPr>
          <w:rFonts w:ascii="Arial" w:cs="Arial" w:eastAsia="Arial" w:hAnsi="Arial"/>
          <w:sz w:val="19"/>
          <w:szCs w:val="19"/>
          <w:color w:val="auto"/>
        </w:rPr>
      </w:pPr>
    </w:p>
    <w:p>
      <w:pPr>
        <w:ind w:left="620" w:right="60" w:hanging="307"/>
        <w:spacing w:after="0"/>
        <w:tabs>
          <w:tab w:leader="none" w:pos="583"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2" w:lineRule="exact"/>
        <w:rPr>
          <w:rFonts w:ascii="Arial" w:cs="Arial" w:eastAsia="Arial" w:hAnsi="Arial"/>
          <w:sz w:val="19"/>
          <w:szCs w:val="19"/>
          <w:color w:val="auto"/>
        </w:rPr>
      </w:pPr>
    </w:p>
    <w:p>
      <w:pPr>
        <w:ind w:left="620" w:right="140" w:hanging="307"/>
        <w:spacing w:after="0" w:line="243" w:lineRule="auto"/>
        <w:tabs>
          <w:tab w:leader="none" w:pos="583" w:val="left"/>
        </w:tabs>
        <w:numPr>
          <w:ilvl w:val="0"/>
          <w:numId w:val="7"/>
        </w:numPr>
        <w:rPr>
          <w:rFonts w:ascii="Arial" w:cs="Arial" w:eastAsia="Arial" w:hAnsi="Arial"/>
          <w:sz w:val="19"/>
          <w:szCs w:val="19"/>
          <w:color w:val="auto"/>
        </w:rPr>
      </w:pPr>
      <w:r>
        <w:rPr>
          <w:rFonts w:ascii="Arial" w:cs="Arial" w:eastAsia="Arial" w:hAnsi="Arial"/>
          <w:sz w:val="19"/>
          <w:szCs w:val="19"/>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871" w:right="339" w:bottom="1440" w:gutter="0" w:footer="0" w:header="0"/>
        </w:sectPr>
      </w:pPr>
    </w:p>
    <w:bookmarkStart w:id="12" w:name="page13"/>
    <w:bookmarkEnd w:id="12"/>
    <w:p>
      <w:pPr>
        <w:ind w:left="307" w:right="220"/>
        <w:spacing w:after="0"/>
        <w:rPr>
          <w:sz w:val="20"/>
          <w:szCs w:val="20"/>
          <w:color w:val="auto"/>
        </w:rPr>
      </w:pPr>
      <w:r>
        <w:rPr>
          <w:rFonts w:ascii="Arial" w:cs="Arial" w:eastAsia="Arial" w:hAnsi="Arial"/>
          <w:sz w:val="19"/>
          <w:szCs w:val="19"/>
          <w:color w:val="auto"/>
        </w:rPr>
        <w:t>changes in its business practices. Increased litigation and negative publicity could also increase the company’s cost of doing business.</w:t>
      </w:r>
    </w:p>
    <w:p>
      <w:pPr>
        <w:spacing w:after="0" w:line="1" w:lineRule="exact"/>
        <w:rPr>
          <w:sz w:val="20"/>
          <w:szCs w:val="20"/>
          <w:color w:val="auto"/>
        </w:rPr>
      </w:pPr>
    </w:p>
    <w:p>
      <w:pPr>
        <w:ind w:left="307"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6" w:lineRule="exact"/>
        <w:rPr>
          <w:rFonts w:ascii="Arial" w:cs="Arial" w:eastAsia="Arial" w:hAnsi="Arial"/>
          <w:sz w:val="19"/>
          <w:szCs w:val="19"/>
          <w:color w:val="auto"/>
        </w:rPr>
      </w:pPr>
    </w:p>
    <w:p>
      <w:pPr>
        <w:ind w:left="307" w:right="100"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5" w:lineRule="exact"/>
        <w:rPr>
          <w:rFonts w:ascii="Arial" w:cs="Arial" w:eastAsia="Arial" w:hAnsi="Arial"/>
          <w:sz w:val="19"/>
          <w:szCs w:val="19"/>
          <w:color w:val="auto"/>
        </w:rPr>
      </w:pPr>
    </w:p>
    <w:p>
      <w:pPr>
        <w:ind w:left="307" w:right="540"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Humana’s failure to manage acquisitions, divestitures and other significant transactions successfully may have a material adverse effect on the company’s results of operations, financial position, and cash flows.</w:t>
      </w:r>
    </w:p>
    <w:p>
      <w:pPr>
        <w:spacing w:after="0" w:line="1" w:lineRule="exact"/>
        <w:rPr>
          <w:rFonts w:ascii="Arial" w:cs="Arial" w:eastAsia="Arial" w:hAnsi="Arial"/>
          <w:sz w:val="19"/>
          <w:szCs w:val="19"/>
          <w:color w:val="auto"/>
        </w:rPr>
      </w:pPr>
    </w:p>
    <w:p>
      <w:pPr>
        <w:ind w:left="307" w:right="420"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If Humana fails to develop and maintain satisfactory relationships with the providers of care to its members, the company’s business may be adversely affected.</w:t>
      </w:r>
    </w:p>
    <w:p>
      <w:pPr>
        <w:spacing w:after="0" w:line="1" w:lineRule="exact"/>
        <w:rPr>
          <w:rFonts w:ascii="Arial" w:cs="Arial" w:eastAsia="Arial" w:hAnsi="Arial"/>
          <w:sz w:val="19"/>
          <w:szCs w:val="19"/>
          <w:color w:val="auto"/>
        </w:rPr>
      </w:pPr>
    </w:p>
    <w:p>
      <w:pPr>
        <w:ind w:left="307"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Humana’s pharmacy business is highly competitive and subjects it to regulations in addition to those the company faces with its core health benefits businesses.</w:t>
      </w:r>
    </w:p>
    <w:p>
      <w:pPr>
        <w:spacing w:after="0" w:line="1" w:lineRule="exact"/>
        <w:rPr>
          <w:rFonts w:ascii="Arial" w:cs="Arial" w:eastAsia="Arial" w:hAnsi="Arial"/>
          <w:sz w:val="19"/>
          <w:szCs w:val="19"/>
          <w:color w:val="auto"/>
        </w:rPr>
      </w:pPr>
    </w:p>
    <w:p>
      <w:pPr>
        <w:ind w:left="267" w:hanging="267"/>
        <w:spacing w:after="0"/>
        <w:tabs>
          <w:tab w:leader="none" w:pos="267" w:val="left"/>
        </w:tabs>
        <w:numPr>
          <w:ilvl w:val="0"/>
          <w:numId w:val="8"/>
        </w:numPr>
        <w:rPr>
          <w:rFonts w:ascii="Arial" w:cs="Arial" w:eastAsia="Arial" w:hAnsi="Arial"/>
          <w:sz w:val="19"/>
          <w:szCs w:val="19"/>
          <w:color w:val="auto"/>
        </w:rPr>
      </w:pPr>
      <w:r>
        <w:rPr>
          <w:rFonts w:ascii="Arial" w:cs="Arial" w:eastAsia="Arial" w:hAnsi="Arial"/>
          <w:sz w:val="19"/>
          <w:szCs w:val="19"/>
          <w:color w:val="auto"/>
        </w:rPr>
        <w:t>Changes in the prescription drug industry pricing benchmarks may adversely affect Humana’s financial performance.</w:t>
      </w:r>
    </w:p>
    <w:p>
      <w:pPr>
        <w:ind w:left="307" w:right="60"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If Humana does not continue to earn and retain purchase discounts and volume rebates from pharmaceutical manufacturers at current levels, Humana’s gross margins may decline.</w:t>
      </w:r>
    </w:p>
    <w:p>
      <w:pPr>
        <w:spacing w:after="0" w:line="1" w:lineRule="exact"/>
        <w:rPr>
          <w:rFonts w:ascii="Arial" w:cs="Arial" w:eastAsia="Arial" w:hAnsi="Arial"/>
          <w:sz w:val="19"/>
          <w:szCs w:val="19"/>
          <w:color w:val="auto"/>
        </w:rPr>
      </w:pPr>
    </w:p>
    <w:p>
      <w:pPr>
        <w:ind w:left="267" w:hanging="267"/>
        <w:spacing w:after="0"/>
        <w:tabs>
          <w:tab w:leader="none" w:pos="267" w:val="left"/>
        </w:tabs>
        <w:numPr>
          <w:ilvl w:val="0"/>
          <w:numId w:val="8"/>
        </w:numPr>
        <w:rPr>
          <w:rFonts w:ascii="Arial" w:cs="Arial" w:eastAsia="Arial" w:hAnsi="Arial"/>
          <w:sz w:val="19"/>
          <w:szCs w:val="19"/>
          <w:color w:val="auto"/>
        </w:rPr>
      </w:pPr>
      <w:r>
        <w:rPr>
          <w:rFonts w:ascii="Arial" w:cs="Arial" w:eastAsia="Arial" w:hAnsi="Arial"/>
          <w:sz w:val="19"/>
          <w:szCs w:val="19"/>
          <w:color w:val="auto"/>
        </w:rPr>
        <w:t>Humana’s ability to obtain funds from certain of its licensed subsidiaries is restricted by state insurance regulations.</w:t>
      </w:r>
    </w:p>
    <w:p>
      <w:pPr>
        <w:ind w:left="307" w:right="20" w:hanging="307"/>
        <w:spacing w:after="0"/>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Downgrades in Humana’s debt ratings, should they occur, may adversely affect its business, results of operations, and financial condition.</w:t>
      </w:r>
    </w:p>
    <w:p>
      <w:pPr>
        <w:spacing w:after="0" w:line="1" w:lineRule="exact"/>
        <w:rPr>
          <w:rFonts w:ascii="Arial" w:cs="Arial" w:eastAsia="Arial" w:hAnsi="Arial"/>
          <w:sz w:val="19"/>
          <w:szCs w:val="19"/>
          <w:color w:val="auto"/>
        </w:rPr>
      </w:pPr>
    </w:p>
    <w:p>
      <w:pPr>
        <w:ind w:left="267" w:hanging="267"/>
        <w:spacing w:after="0"/>
        <w:tabs>
          <w:tab w:leader="none" w:pos="267"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securities and credit markets may experience volatility and disruption, which may adversely affect Humana’s business.</w:t>
      </w:r>
    </w:p>
    <w:p>
      <w:pPr>
        <w:ind w:left="307" w:right="60" w:hanging="307"/>
        <w:spacing w:after="0" w:line="245" w:lineRule="auto"/>
        <w:tabs>
          <w:tab w:leader="none" w:pos="27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spread of, and response to, the novel coronavirus, or COVID-19, underscores certain risks Humana faces, including those discussed above, and the rapid development and fluidity of this situation precludes any prediction as to the ultimate adverse impact to Humana of COVID-19.</w:t>
      </w:r>
    </w:p>
    <w:p>
      <w:pPr>
        <w:spacing w:after="0" w:line="220" w:lineRule="exact"/>
        <w:rPr>
          <w:sz w:val="20"/>
          <w:szCs w:val="20"/>
          <w:color w:val="auto"/>
        </w:rPr>
      </w:pPr>
    </w:p>
    <w:p>
      <w:pPr>
        <w:ind w:left="307" w:right="280"/>
        <w:spacing w:after="0" w:line="250" w:lineRule="auto"/>
        <w:rPr>
          <w:sz w:val="20"/>
          <w:szCs w:val="20"/>
          <w:color w:val="auto"/>
        </w:rPr>
      </w:pPr>
      <w:r>
        <w:rPr>
          <w:rFonts w:ascii="Arial" w:cs="Arial" w:eastAsia="Arial" w:hAnsi="Arial"/>
          <w:sz w:val="19"/>
          <w:szCs w:val="19"/>
          <w:color w:val="auto"/>
        </w:rPr>
        <w:t>In December 2019, a novel strain of coronavirus (COVID-19) emerged which was declared a pandemic by the World Health Organization on March 11, 2020, and has now spread globally including throughout the United States.</w:t>
      </w:r>
    </w:p>
    <w:p>
      <w:pPr>
        <w:spacing w:after="0" w:line="215" w:lineRule="exact"/>
        <w:rPr>
          <w:sz w:val="20"/>
          <w:szCs w:val="20"/>
          <w:color w:val="auto"/>
        </w:rPr>
      </w:pPr>
    </w:p>
    <w:p>
      <w:pPr>
        <w:ind w:left="307" w:right="220"/>
        <w:spacing w:after="0" w:line="242" w:lineRule="auto"/>
        <w:rPr>
          <w:sz w:val="20"/>
          <w:szCs w:val="20"/>
          <w:color w:val="auto"/>
        </w:rPr>
      </w:pPr>
      <w:r>
        <w:rPr>
          <w:rFonts w:ascii="Arial" w:cs="Arial" w:eastAsia="Arial" w:hAnsi="Arial"/>
          <w:sz w:val="19"/>
          <w:szCs w:val="19"/>
          <w:color w:val="auto"/>
        </w:rPr>
        <w:t>Governmental and non-governmental organizations may not effectively combat the spread and severity of COVID-19, increasing the potential for harm for Humana’s members. If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Over time, Humana may also experience increased costs or decreased revenues if, as a result of the</w:t>
      </w:r>
    </w:p>
    <w:p>
      <w:pPr>
        <w:spacing w:after="0" w:line="200" w:lineRule="exact"/>
        <w:rPr>
          <w:sz w:val="20"/>
          <w:szCs w:val="20"/>
          <w:color w:val="auto"/>
        </w:rPr>
      </w:pPr>
    </w:p>
    <w:p>
      <w:pPr>
        <w:spacing w:after="0" w:line="295" w:lineRule="exact"/>
        <w:rPr>
          <w:sz w:val="20"/>
          <w:szCs w:val="20"/>
          <w:color w:val="auto"/>
        </w:rPr>
      </w:pPr>
    </w:p>
    <w:p>
      <w:pPr>
        <w:jc w:val="center"/>
        <w:ind w:right="273"/>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907"/>
          </w:cols>
          <w:pgMar w:left="633" w:top="871" w:right="359" w:bottom="1440" w:gutter="0" w:footer="0" w:header="0"/>
        </w:sectPr>
      </w:pPr>
    </w:p>
    <w:bookmarkStart w:id="13" w:name="page14"/>
    <w:bookmarkEnd w:id="13"/>
    <w:p>
      <w:pPr>
        <w:ind w:left="620" w:right="80"/>
        <w:spacing w:after="0" w:line="256" w:lineRule="auto"/>
        <w:rPr>
          <w:sz w:val="20"/>
          <w:szCs w:val="20"/>
          <w:color w:val="auto"/>
        </w:rPr>
      </w:pPr>
      <w:r>
        <w:rPr>
          <w:rFonts w:ascii="Arial" w:cs="Arial" w:eastAsia="Arial" w:hAnsi="Arial"/>
          <w:sz w:val="18"/>
          <w:szCs w:val="18"/>
          <w:color w:val="auto"/>
        </w:rPr>
        <w:t>company’s members being unable to see their providers due to actions taken to mitigate the spread of COVID-19, Humana is unable to implement clinical initiatives to manage health care costs and chronic conditions of its members, and appropriately document their risk profiles. In addition, Humana is offering its members expanded benefit coverage, such as waiving out of pocket costs for COVID-19 diagnostic testing and treatment, certain additional coverages have been mandated by governmental action, and Humana is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of regulatory requirements associated with those services and the costs and challenges associated with ensuring timely compliance with such requirements, to provide further relief for the health care provider community, or in connection with the relaxation of stay-at-home and physical distancing orders and other restrictions on movement and economic activity, including the potential for widespread testing and therapeutic treatments and a vaccine, once available, as a component of lifting these measures, could adversely impact the company’s profitability.</w:t>
      </w:r>
    </w:p>
    <w:p>
      <w:pPr>
        <w:spacing w:after="0" w:line="213" w:lineRule="exact"/>
        <w:rPr>
          <w:sz w:val="20"/>
          <w:szCs w:val="20"/>
          <w:color w:val="auto"/>
        </w:rPr>
      </w:pPr>
    </w:p>
    <w:p>
      <w:pPr>
        <w:ind w:left="620"/>
        <w:spacing w:after="0" w:line="241" w:lineRule="auto"/>
        <w:rPr>
          <w:sz w:val="20"/>
          <w:szCs w:val="20"/>
          <w:color w:val="auto"/>
        </w:rPr>
      </w:pPr>
      <w:r>
        <w:rPr>
          <w:rFonts w:ascii="Arial" w:cs="Arial" w:eastAsia="Arial" w:hAnsi="Arial"/>
          <w:sz w:val="19"/>
          <w:szCs w:val="19"/>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229" w:lineRule="exact"/>
        <w:rPr>
          <w:sz w:val="20"/>
          <w:szCs w:val="20"/>
          <w:color w:val="auto"/>
        </w:rPr>
      </w:pPr>
    </w:p>
    <w:p>
      <w:pPr>
        <w:ind w:left="620" w:right="20"/>
        <w:spacing w:after="0" w:line="242" w:lineRule="auto"/>
        <w:rPr>
          <w:sz w:val="20"/>
          <w:szCs w:val="20"/>
          <w:color w:val="auto"/>
        </w:rPr>
      </w:pPr>
      <w:r>
        <w:rPr>
          <w:rFonts w:ascii="Arial" w:cs="Arial" w:eastAsia="Arial" w:hAnsi="Arial"/>
          <w:sz w:val="19"/>
          <w:szCs w:val="19"/>
          <w:color w:val="auto"/>
        </w:rPr>
        <w:t>The rapid development and fluidity of this situation precludes any prediction as to the ultimate adverse impact to Humana of COVID-19. Humana is continuing to monitor the spread of COVID-19, changes to the company’s benefit coverages, the ongoing costs and business impacts of dealing with COVID-19, including the potential costs and impacts associated with lifting or reimposing restrictions on movement and economic activity and related risks. The magnitude and duration of the pandemic and its impact on Humana’s business, results of operations, financial position, and cash flows is uncertain as this continues to evolve globally, but such impacts could be material to the company’s business, results of operations, financial position and cash flows.</w:t>
      </w:r>
    </w:p>
    <w:p>
      <w:pPr>
        <w:spacing w:after="0" w:line="224"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224" w:lineRule="exact"/>
        <w:rPr>
          <w:sz w:val="20"/>
          <w:szCs w:val="20"/>
          <w:color w:val="auto"/>
        </w:rPr>
      </w:pPr>
    </w:p>
    <w:p>
      <w:pPr>
        <w:ind w:right="320"/>
        <w:spacing w:after="0" w:line="250" w:lineRule="auto"/>
        <w:rPr>
          <w:sz w:val="20"/>
          <w:szCs w:val="20"/>
          <w:color w:val="auto"/>
        </w:rPr>
      </w:pPr>
      <w:r>
        <w:rPr>
          <w:rFonts w:ascii="Arial" w:cs="Arial" w:eastAsia="Arial" w:hAnsi="Arial"/>
          <w:sz w:val="19"/>
          <w:szCs w:val="19"/>
          <w:color w:val="auto"/>
        </w:rPr>
        <w:t>Humana advises investors to read the following documents as filed by the company with the SEC for further discussion both of the risks it faces and its historical performance:</w:t>
      </w:r>
    </w:p>
    <w:p>
      <w:pPr>
        <w:spacing w:after="0" w:line="215" w:lineRule="exact"/>
        <w:rPr>
          <w:sz w:val="20"/>
          <w:szCs w:val="20"/>
          <w:color w:val="auto"/>
        </w:rPr>
      </w:pPr>
    </w:p>
    <w:p>
      <w:pPr>
        <w:ind w:left="580" w:hanging="267"/>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Form 10-K for the year ended December 31, 2019;</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00"/>
          </w:cols>
          <w:pgMar w:left="320" w:top="871" w:right="379" w:bottom="1440" w:gutter="0" w:footer="0" w:header="0"/>
        </w:sectPr>
      </w:pPr>
    </w:p>
    <w:bookmarkStart w:id="14" w:name="page15"/>
    <w:bookmarkEnd w:id="14"/>
    <w:p>
      <w:pPr>
        <w:ind w:left="580" w:hanging="267"/>
        <w:spacing w:after="0"/>
        <w:tabs>
          <w:tab w:leader="none" w:pos="5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Form 10-Q for the quarter ended March 31, 2020; June 30, 2020; and</w:t>
      </w:r>
    </w:p>
    <w:p>
      <w:pPr>
        <w:spacing w:after="0" w:line="232" w:lineRule="exact"/>
        <w:rPr>
          <w:rFonts w:ascii="Arial" w:cs="Arial" w:eastAsia="Arial" w:hAnsi="Arial"/>
          <w:sz w:val="19"/>
          <w:szCs w:val="19"/>
          <w:color w:val="auto"/>
        </w:rPr>
      </w:pPr>
    </w:p>
    <w:p>
      <w:pPr>
        <w:ind w:left="580" w:hanging="267"/>
        <w:spacing w:after="0"/>
        <w:tabs>
          <w:tab w:leader="none" w:pos="5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Form 8-Ks filed during 2020.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About Humana</w:t>
      </w:r>
    </w:p>
    <w:p>
      <w:pPr>
        <w:spacing w:after="0" w:line="239"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98" w:lineRule="exact"/>
        <w:rPr>
          <w:sz w:val="20"/>
          <w:szCs w:val="20"/>
          <w:color w:val="auto"/>
        </w:rPr>
      </w:pPr>
    </w:p>
    <w:p>
      <w:pPr>
        <w:ind w:right="1080"/>
        <w:spacing w:after="0" w:line="250" w:lineRule="auto"/>
        <w:rPr>
          <w:sz w:val="20"/>
          <w:szCs w:val="20"/>
          <w:color w:val="auto"/>
        </w:rPr>
      </w:pPr>
      <w:r>
        <w:rPr>
          <w:rFonts w:ascii="Arial" w:cs="Arial" w:eastAsia="Arial" w:hAnsi="Arial"/>
          <w:sz w:val="19"/>
          <w:szCs w:val="19"/>
          <w:color w:val="auto"/>
        </w:rPr>
        <w:t>More information regarding Humana is available to investors via the Investor Relations page of the company’s website at humana.com, including copies of:</w:t>
      </w:r>
    </w:p>
    <w:p>
      <w:pPr>
        <w:spacing w:after="0" w:line="215" w:lineRule="exact"/>
        <w:rPr>
          <w:sz w:val="20"/>
          <w:szCs w:val="20"/>
          <w:color w:val="auto"/>
        </w:rPr>
      </w:pPr>
    </w:p>
    <w:p>
      <w:pPr>
        <w:ind w:left="580" w:hanging="267"/>
        <w:spacing w:after="0"/>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Annual reports to stockholders</w:t>
      </w:r>
    </w:p>
    <w:p>
      <w:pPr>
        <w:ind w:left="580" w:hanging="267"/>
        <w:spacing w:after="0"/>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Securities and Exchange Commission filings</w:t>
      </w:r>
    </w:p>
    <w:p>
      <w:pPr>
        <w:ind w:left="580" w:hanging="267"/>
        <w:spacing w:after="0"/>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Most recent investor conference presentations</w:t>
      </w:r>
    </w:p>
    <w:p>
      <w:pPr>
        <w:ind w:left="580" w:hanging="267"/>
        <w:spacing w:after="0"/>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Quarterly earnings news releases and conference calls</w:t>
      </w:r>
    </w:p>
    <w:p>
      <w:pPr>
        <w:ind w:left="580" w:hanging="267"/>
        <w:spacing w:after="0"/>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Calendar of events</w:t>
      </w:r>
    </w:p>
    <w:p>
      <w:pPr>
        <w:ind w:left="580" w:hanging="267"/>
        <w:spacing w:after="0"/>
        <w:tabs>
          <w:tab w:leader="none" w:pos="5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160"/>
          </w:cols>
          <w:pgMar w:left="320" w:top="1077" w:right="419" w:bottom="1440" w:gutter="0" w:footer="0" w:header="0"/>
        </w:sectPr>
      </w:pPr>
    </w:p>
    <w:bookmarkStart w:id="15" w:name="page16"/>
    <w:bookmarkEnd w:id="15"/>
    <w:p>
      <w:pPr>
        <w:ind w:left="20"/>
        <w:spacing w:after="0"/>
        <w:rPr>
          <w:sz w:val="20"/>
          <w:szCs w:val="20"/>
          <w:color w:val="auto"/>
        </w:rPr>
      </w:pPr>
      <w:r>
        <w:rPr>
          <w:rFonts w:ascii="Arial" w:cs="Arial" w:eastAsia="Arial" w:hAnsi="Arial"/>
          <w:sz w:val="26"/>
          <w:szCs w:val="26"/>
          <w:b w:val="1"/>
          <w:bCs w:val="1"/>
          <w:color w:val="auto"/>
        </w:rPr>
        <w:t xml:space="preserve">n e w s </w:t>
      </w:r>
      <w:r>
        <w:rPr>
          <w:rFonts w:ascii="Arial" w:cs="Arial" w:eastAsia="Arial" w:hAnsi="Arial"/>
          <w:sz w:val="26"/>
          <w:szCs w:val="26"/>
          <w:color w:val="auto"/>
        </w:rPr>
        <w:t>r e l e a s 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980"/>
        <w:spacing w:after="0"/>
        <w:rPr>
          <w:sz w:val="20"/>
          <w:szCs w:val="20"/>
          <w:color w:val="auto"/>
        </w:rPr>
      </w:pPr>
      <w:r>
        <w:rPr>
          <w:rFonts w:ascii="Arial" w:cs="Arial" w:eastAsia="Arial" w:hAnsi="Arial"/>
          <w:sz w:val="19"/>
          <w:szCs w:val="19"/>
          <w:b w:val="1"/>
          <w:bCs w:val="1"/>
          <w:color w:val="auto"/>
        </w:rPr>
        <w:t>Exhibit 99.2</w:t>
      </w:r>
    </w:p>
    <w:p>
      <w:pPr>
        <w:spacing w:after="0" w:line="103" w:lineRule="exact"/>
        <w:rPr>
          <w:sz w:val="20"/>
          <w:szCs w:val="20"/>
          <w:color w:val="auto"/>
        </w:rPr>
      </w:pPr>
    </w:p>
    <w:p>
      <w:pPr>
        <w:ind w:left="9100"/>
        <w:spacing w:after="0"/>
        <w:rPr>
          <w:sz w:val="20"/>
          <w:szCs w:val="20"/>
          <w:color w:val="auto"/>
        </w:rPr>
      </w:pPr>
      <w:r>
        <w:rPr>
          <w:rFonts w:ascii="Arial" w:cs="Arial" w:eastAsia="Arial" w:hAnsi="Arial"/>
          <w:sz w:val="19"/>
          <w:szCs w:val="19"/>
          <w:color w:val="auto"/>
        </w:rPr>
        <w:t>Humana Inc.</w:t>
      </w:r>
    </w:p>
    <w:p>
      <w:pPr>
        <w:ind w:left="9100"/>
        <w:spacing w:after="0" w:line="198" w:lineRule="auto"/>
        <w:rPr>
          <w:sz w:val="20"/>
          <w:szCs w:val="20"/>
          <w:color w:val="auto"/>
        </w:rPr>
      </w:pPr>
      <w:r>
        <w:rPr>
          <w:rFonts w:ascii="Arial" w:cs="Arial" w:eastAsia="Arial" w:hAnsi="Arial"/>
          <w:sz w:val="19"/>
          <w:szCs w:val="19"/>
          <w:color w:val="auto"/>
        </w:rPr>
        <w:t>500 West Main Street</w:t>
      </w:r>
    </w:p>
    <w:p>
      <w:pPr>
        <w:ind w:left="9100"/>
        <w:spacing w:after="0" w:line="198" w:lineRule="auto"/>
        <w:rPr>
          <w:sz w:val="20"/>
          <w:szCs w:val="20"/>
          <w:color w:val="auto"/>
        </w:rPr>
      </w:pPr>
      <w:r>
        <w:rPr>
          <w:rFonts w:ascii="Arial" w:cs="Arial" w:eastAsia="Arial" w:hAnsi="Arial"/>
          <w:sz w:val="19"/>
          <w:szCs w:val="19"/>
          <w:color w:val="auto"/>
        </w:rPr>
        <w:t>P.O. Box 1438</w:t>
      </w:r>
    </w:p>
    <w:p>
      <w:pPr>
        <w:ind w:left="9100"/>
        <w:spacing w:after="0" w:line="198" w:lineRule="auto"/>
        <w:rPr>
          <w:sz w:val="20"/>
          <w:szCs w:val="20"/>
          <w:color w:val="auto"/>
        </w:rPr>
      </w:pPr>
      <w:r>
        <w:rPr>
          <w:rFonts w:ascii="Arial" w:cs="Arial" w:eastAsia="Arial" w:hAnsi="Arial"/>
          <w:sz w:val="19"/>
          <w:szCs w:val="19"/>
          <w:color w:val="auto"/>
        </w:rPr>
        <w:t>Louisville, KY 40202</w:t>
      </w:r>
    </w:p>
    <w:p>
      <w:pPr>
        <w:spacing w:after="0" w:line="1" w:lineRule="exact"/>
        <w:rPr>
          <w:sz w:val="20"/>
          <w:szCs w:val="20"/>
          <w:color w:val="auto"/>
        </w:rPr>
      </w:pPr>
    </w:p>
    <w:p>
      <w:pPr>
        <w:ind w:left="9100"/>
        <w:spacing w:after="0"/>
        <w:rPr>
          <w:sz w:val="20"/>
          <w:szCs w:val="20"/>
          <w:color w:val="auto"/>
        </w:rPr>
      </w:pPr>
      <w:r>
        <w:rPr>
          <w:rFonts w:ascii="Arial" w:cs="Arial" w:eastAsia="Arial" w:hAnsi="Arial"/>
          <w:sz w:val="19"/>
          <w:szCs w:val="19"/>
          <w:u w:val="single" w:color="auto"/>
          <w:color w:val="auto"/>
        </w:rPr>
        <w:t>http://www.humana.com</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19050</wp:posOffset>
            </wp:positionV>
            <wp:extent cx="1776730" cy="532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6730" cy="53213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Amy Smith</w:t>
      </w:r>
    </w:p>
    <w:p>
      <w:pPr>
        <w:ind w:left="20"/>
        <w:spacing w:after="0" w:line="198" w:lineRule="auto"/>
        <w:rPr>
          <w:sz w:val="20"/>
          <w:szCs w:val="20"/>
          <w:color w:val="auto"/>
        </w:rPr>
      </w:pPr>
      <w:r>
        <w:rPr>
          <w:rFonts w:ascii="Arial" w:cs="Arial" w:eastAsia="Arial" w:hAnsi="Arial"/>
          <w:sz w:val="19"/>
          <w:szCs w:val="19"/>
          <w:color w:val="auto"/>
        </w:rPr>
        <w:t>Humana Investor Relations</w:t>
      </w:r>
    </w:p>
    <w:p>
      <w:pPr>
        <w:ind w:left="20"/>
        <w:spacing w:after="0" w:line="198" w:lineRule="auto"/>
        <w:rPr>
          <w:sz w:val="20"/>
          <w:szCs w:val="20"/>
          <w:color w:val="auto"/>
        </w:rPr>
      </w:pPr>
      <w:r>
        <w:rPr>
          <w:rFonts w:ascii="Arial" w:cs="Arial" w:eastAsia="Arial" w:hAnsi="Arial"/>
          <w:sz w:val="19"/>
          <w:szCs w:val="19"/>
          <w:color w:val="auto"/>
        </w:rPr>
        <w:t>(502) 580-2811</w:t>
      </w:r>
    </w:p>
    <w:p>
      <w:pPr>
        <w:ind w:left="2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Amysmith@humana.com</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Kelley Murphy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Humana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(502) 224-1755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Kmurphy26@humana.com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Humana Reports Third Quarter 2020 Financial Results;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Remains Focused on Facilitating Access to Quality Care during the Pandemic</w:t>
      </w:r>
    </w:p>
    <w:p>
      <w:pPr>
        <w:spacing w:after="0" w:line="200" w:lineRule="exact"/>
        <w:rPr>
          <w:sz w:val="20"/>
          <w:szCs w:val="20"/>
          <w:color w:val="auto"/>
        </w:rPr>
      </w:pPr>
    </w:p>
    <w:p>
      <w:pPr>
        <w:spacing w:after="0" w:line="204" w:lineRule="exact"/>
        <w:rPr>
          <w:sz w:val="20"/>
          <w:szCs w:val="20"/>
          <w:color w:val="auto"/>
        </w:rPr>
      </w:pPr>
    </w:p>
    <w:p>
      <w:pPr>
        <w:ind w:left="620" w:right="440" w:hanging="307"/>
        <w:spacing w:after="0" w:line="251" w:lineRule="auto"/>
        <w:tabs>
          <w:tab w:leader="none" w:pos="5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Continues emphasis on actions to alleviate financial burdens and other hardships for its members, providers, employees, and communities during the COVID-19 pandemic</w:t>
      </w:r>
    </w:p>
    <w:p>
      <w:pPr>
        <w:ind w:left="620" w:right="320" w:hanging="307"/>
        <w:spacing w:after="0" w:line="251" w:lineRule="auto"/>
        <w:tabs>
          <w:tab w:leader="none" w:pos="5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Achieves 92 percent, or 4.1 million of the company's Medicare Advantage members currently enrolled in 4-Star and above contracts for 2021, including 960,000 members in 4.5 Star contracts and a 5-Star rated contract in Florida</w:t>
      </w:r>
    </w:p>
    <w:p>
      <w:pPr>
        <w:ind w:left="620" w:right="200" w:hanging="307"/>
        <w:spacing w:after="0" w:line="251" w:lineRule="auto"/>
        <w:tabs>
          <w:tab w:leader="none" w:pos="5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Reports 3Q20 earnings per diluted common share (EPS) of $10.05 on a GAAP basis, $3.08 on an Adjusted basis; reports YTD 2020 EPS of $27.37 on a GAAP basis, $21.04 on an Adjusted basis</w:t>
      </w:r>
    </w:p>
    <w:p>
      <w:pPr>
        <w:ind w:left="1160" w:right="340" w:hanging="306"/>
        <w:spacing w:after="0" w:line="251" w:lineRule="auto"/>
        <w:tabs>
          <w:tab w:leader="none" w:pos="1193" w:val="left"/>
        </w:tabs>
        <w:numPr>
          <w:ilvl w:val="1"/>
          <w:numId w:val="12"/>
        </w:numPr>
        <w:rPr>
          <w:rFonts w:ascii="Arial" w:cs="Arial" w:eastAsia="Arial" w:hAnsi="Arial"/>
          <w:sz w:val="15"/>
          <w:szCs w:val="15"/>
          <w:color w:val="auto"/>
        </w:rPr>
      </w:pPr>
      <w:r>
        <w:rPr>
          <w:rFonts w:ascii="Arial" w:cs="Arial" w:eastAsia="Arial" w:hAnsi="Arial"/>
          <w:sz w:val="15"/>
          <w:szCs w:val="15"/>
          <w:color w:val="auto"/>
        </w:rPr>
        <w:t>GAAP amounts include the impact of certain one-time non-operational items, including a market gain from publicly traded investments and the receipt of unpaid risk corridor payments previously written off</w:t>
      </w:r>
    </w:p>
    <w:p>
      <w:pPr>
        <w:ind w:left="600" w:hanging="287"/>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Updates FY 2020 EPS guidance, now anticipating GAAP EPS to be in a range of $24.70 to $24.95 and Adjusted EPS in a range of $18.50 to $18.75</w:t>
      </w:r>
    </w:p>
    <w:p>
      <w:pPr>
        <w:spacing w:after="0" w:line="8" w:lineRule="exact"/>
        <w:rPr>
          <w:rFonts w:ascii="Arial" w:cs="Arial" w:eastAsia="Arial" w:hAnsi="Arial"/>
          <w:sz w:val="15"/>
          <w:szCs w:val="15"/>
          <w:color w:val="auto"/>
        </w:rPr>
      </w:pPr>
    </w:p>
    <w:p>
      <w:pPr>
        <w:ind w:left="1240" w:right="100" w:hanging="309"/>
        <w:spacing w:after="0" w:line="251" w:lineRule="auto"/>
        <w:tabs>
          <w:tab w:leader="none" w:pos="1230" w:val="left"/>
        </w:tabs>
        <w:numPr>
          <w:ilvl w:val="2"/>
          <w:numId w:val="12"/>
        </w:numPr>
        <w:rPr>
          <w:rFonts w:ascii="Arial" w:cs="Arial" w:eastAsia="Arial" w:hAnsi="Arial"/>
          <w:sz w:val="15"/>
          <w:szCs w:val="15"/>
          <w:color w:val="auto"/>
        </w:rPr>
      </w:pPr>
      <w:r>
        <w:rPr>
          <w:rFonts w:ascii="Arial" w:cs="Arial" w:eastAsia="Arial" w:hAnsi="Arial"/>
          <w:sz w:val="15"/>
          <w:szCs w:val="15"/>
          <w:color w:val="auto"/>
        </w:rPr>
        <w:t>FY 2020 EPS guidance reflects fourth quarter 2020 losses of approximately $2.55 per share on a GAAP basis, approximately $2.40 per share on an Adjusted basis</w:t>
      </w:r>
    </w:p>
    <w:p>
      <w:pPr>
        <w:ind w:left="1240" w:right="580" w:hanging="309"/>
        <w:spacing w:after="0" w:line="251" w:lineRule="auto"/>
        <w:tabs>
          <w:tab w:leader="none" w:pos="1230" w:val="left"/>
        </w:tabs>
        <w:numPr>
          <w:ilvl w:val="2"/>
          <w:numId w:val="12"/>
        </w:numPr>
        <w:rPr>
          <w:rFonts w:ascii="Arial" w:cs="Arial" w:eastAsia="Arial" w:hAnsi="Arial"/>
          <w:sz w:val="15"/>
          <w:szCs w:val="15"/>
          <w:color w:val="auto"/>
        </w:rPr>
      </w:pPr>
      <w:r>
        <w:rPr>
          <w:rFonts w:ascii="Arial" w:cs="Arial" w:eastAsia="Arial" w:hAnsi="Arial"/>
          <w:sz w:val="15"/>
          <w:szCs w:val="15"/>
          <w:color w:val="auto"/>
        </w:rPr>
        <w:t>As previously noted, Humana anticipates fourth quarter losses to reflect the continued support for its constituents, along with the impact of increasing utilization, and COVID-19 testing and treatment costs</w:t>
      </w:r>
    </w:p>
    <w:p>
      <w:pPr>
        <w:ind w:left="620" w:right="80" w:hanging="307"/>
        <w:spacing w:after="0" w:line="269" w:lineRule="auto"/>
        <w:tabs>
          <w:tab w:leader="none" w:pos="5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Increases full year expected individual Medicare Advantage membership growth to approximately 375,000 members from the previous range of 330,000 to 360,000 members, representing expected year-over-year growth of approximately 10 percent</w:t>
      </w:r>
    </w:p>
    <w:p>
      <w:pPr>
        <w:spacing w:after="0" w:line="396" w:lineRule="exact"/>
        <w:rPr>
          <w:sz w:val="20"/>
          <w:szCs w:val="20"/>
          <w:color w:val="auto"/>
        </w:rPr>
      </w:pPr>
    </w:p>
    <w:p>
      <w:pPr>
        <w:jc w:val="both"/>
        <w:spacing w:after="0" w:line="228" w:lineRule="auto"/>
        <w:rPr>
          <w:sz w:val="20"/>
          <w:szCs w:val="20"/>
          <w:color w:val="auto"/>
        </w:rPr>
      </w:pPr>
      <w:r>
        <w:rPr>
          <w:rFonts w:ascii="Arial" w:cs="Arial" w:eastAsia="Arial" w:hAnsi="Arial"/>
          <w:sz w:val="19"/>
          <w:szCs w:val="19"/>
          <w:b w:val="1"/>
          <w:bCs w:val="1"/>
          <w:color w:val="auto"/>
        </w:rPr>
        <w:t xml:space="preserve">LOUISVILLE, KY (November 3, 2020) </w:t>
      </w:r>
      <w:r>
        <w:rPr>
          <w:rFonts w:ascii="Arial" w:cs="Arial" w:eastAsia="Arial" w:hAnsi="Arial"/>
          <w:sz w:val="19"/>
          <w:szCs w:val="19"/>
          <w:color w:val="auto"/>
        </w:rPr>
        <w:t>– Humana Inc. (NYSE: HUM) has continued to focus on its most vulnerable members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communities throughout the ongoing COVID-19 pandemic by taking actions to simplify access to care, reduce financial barriers, and address social determinants of health, while also alleviating administrative difficulties and monetary burdens for its providers to ensure efficient, consistent care for their patients.</w:t>
      </w:r>
    </w:p>
    <w:p>
      <w:pPr>
        <w:spacing w:after="0" w:line="212"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Humana has leveraged its clinically focused integrated care delivery model to stand up initiatives to support the return to care amid the pandemic, including waiver of all cost sharing for in-network primary care, outpatient behavioral health, and telehealth visits for its Medicare Advantage members, the distribution of in-home preventive screening kits, establishment of a clinical outreach team to proactively engage with the company's most vulnerable members, and a multi-sector advertising campaign designed to encourage members to stay connected with their providers.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73" w:right="339" w:bottom="1440" w:gutter="0" w:footer="0" w:header="0"/>
        </w:sectPr>
      </w:pPr>
    </w:p>
    <w:bookmarkStart w:id="16" w:name="page17"/>
    <w:bookmarkEnd w:id="16"/>
    <w:p>
      <w:pPr>
        <w:jc w:val="both"/>
        <w:spacing w:after="0" w:line="245" w:lineRule="auto"/>
        <w:rPr>
          <w:sz w:val="20"/>
          <w:szCs w:val="20"/>
          <w:color w:val="auto"/>
        </w:rPr>
      </w:pPr>
      <w:r>
        <w:rPr>
          <w:rFonts w:ascii="Arial" w:cs="Arial" w:eastAsia="Arial" w:hAnsi="Arial"/>
          <w:sz w:val="19"/>
          <w:szCs w:val="19"/>
          <w:color w:val="auto"/>
        </w:rPr>
        <w:t>Utilization continued to rebound throughout the quarter, reaching approximately 95 percent of historic baseline levels at the close of the third quarter. Utilization resumed at a faster pace for fully-insured group commercial medical members in the Group and Specialty segment, compared to a more gradual return for senior and Medicaid members in the Retail segment.</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Results of operations in the quarter were impacted by increasing utilization, COVID-19 testing and treatment costs, as well as the financial impact of the company's ongoing crisis relief efforts. As utilization levels continue to normalize and the company persists with support to its members, providers, employer groups, and communities, Humana maintains the expectation that its results of operations in the back half of 2020 will entirely offset the significant outperformance experienced in the first half of the year that resulted from historically low utilization levels.</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Humana will continue to monitor the pandemic's impact on the company and remains committed to all of its stakeholders to adjust its response accordingly, proactively leveraging its integrated care delivery model to best serve its members, partnering with federal and state governments to develop comprehensive and actionable response plans, minimizing the impact on its provider partners, and advancing the long-term sustainability of the company and the healthcare system.</w:t>
      </w:r>
    </w:p>
    <w:p>
      <w:pPr>
        <w:spacing w:after="0" w:line="134"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“We continue to see more Medicare beneficiaries choosing Medicare Advantage (MA) plans over Medicare-Fee-For-Service due to MA’s ever-increasing value proposition. What’s driving this strong value is the fact that plans must constantly innovate to stay competitive as Medicare beneficiaries have the freedom to choose a plan that’s affordable for them and that suits their lifestyle needs. For example, about 60 percent of our members are in $0 premium plans and enjoy supplemental benefits not included in Medicare-Fee-For-Service, like dental, vision, hearing, access to healthy foods, and gym memberships,” said Bruce D. Broussard, Humana’s President and Chief Executive Officer. “Also, because the MA program rewards for quality through CMS’s Five-Star Quality Rating System, it encourages health plans like Humana to be proactive and to take a holistic approach to managing the care of its members. Based on Humana’s recently announced Stars ratings, we continue to be a leader among our peers, with 4.1 million, or 92 percent, of our MA members currently enrolled in plans rated 4-stars or higher.”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Summary of Quarterly and Year to Date Results</w:t>
      </w:r>
    </w:p>
    <w:p>
      <w:pPr>
        <w:spacing w:after="0" w:line="25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Humana today reported consolidated pretax income and diluted earnings per common share (EPS) for the quarter ended September 30, 2020 (3Q20) versus the quarter ended September 30, 2019 (3Q19) and for the nine months ended September 30, 2020 (YTD 2020) versus the nine months ended September 30, 2019 (YTD 2019) as noted in the tables below.</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Humana’s 3Q20 and YTD 2020 GAAP results of operations were impacted by both the market gain resulting from the initial conversion of the company's prior ownership interest in certain privately held companies (primarily Oak Street Health, Inc.) into publicly-traded common stock upon such companies initial public offering (IPO) during 3Q20 and the subsequent changes in the market value of such securities from their IPO through the end of the quarter, as well as the receipt of unpaid risk corridor payments that were previously written off. The 3Q20 receipt of the risk corridor payments was associated with losses incurred by the company under the Affordable Care Act (ACA) business in 2014 to 2016. The receipt of these risk corridor payments accounted for less than 50 percent of the company’s accumulated pretax losses from its ACA businesses during that time period. The impact of both the fair market value change and the receipt of the unpaid risk corridor payments have been excluded in the company’s 3Q20 and YTD 2020 Adjusted (non-GAAP)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64" w:right="339" w:bottom="1440" w:gutter="0" w:footer="0" w:header="0"/>
        </w:sectPr>
      </w:pPr>
    </w:p>
    <w:bookmarkStart w:id="17" w:name="page18"/>
    <w:bookmarkEnd w:id="17"/>
    <w:tbl>
      <w:tblPr>
        <w:tblLayout w:type="fixed"/>
        <w:tblInd w:w="30" w:type="dxa"/>
        <w:tblCellMar>
          <w:top w:w="0" w:type="dxa"/>
          <w:left w:w="0" w:type="dxa"/>
          <w:bottom w:w="0" w:type="dxa"/>
          <w:right w:w="0" w:type="dxa"/>
        </w:tblCellMar>
      </w:tblPr>
      <w:tr>
        <w:trPr>
          <w:trHeight w:val="168"/>
        </w:trPr>
        <w:tc>
          <w:tcPr>
            <w:tcW w:w="5940" w:type="dxa"/>
            <w:vAlign w:val="bottom"/>
            <w:tcBorders>
              <w:top w:val="single" w:sz="8" w:color="auto"/>
              <w:left w:val="single" w:sz="8" w:color="auto"/>
              <w:right w:val="single" w:sz="8" w:color="auto"/>
            </w:tcBorders>
          </w:tcPr>
          <w:p>
            <w:pPr>
              <w:ind w:left="20"/>
              <w:spacing w:after="0" w:line="168" w:lineRule="exact"/>
              <w:rPr>
                <w:sz w:val="20"/>
                <w:szCs w:val="20"/>
                <w:color w:val="auto"/>
              </w:rPr>
            </w:pPr>
            <w:r>
              <w:rPr>
                <w:rFonts w:ascii="Arial" w:cs="Arial" w:eastAsia="Arial" w:hAnsi="Arial"/>
                <w:sz w:val="15"/>
                <w:szCs w:val="15"/>
                <w:b w:val="1"/>
                <w:bCs w:val="1"/>
                <w:color w:val="auto"/>
              </w:rPr>
              <w:t>Consolidated income before income taxes and equity in earnings (pretax</w:t>
            </w:r>
          </w:p>
        </w:tc>
        <w:tc>
          <w:tcPr>
            <w:tcW w:w="1320" w:type="dxa"/>
            <w:vAlign w:val="bottom"/>
            <w:tcBorders>
              <w:top w:val="single" w:sz="8" w:color="auto"/>
              <w:right w:val="single" w:sz="8" w:color="auto"/>
            </w:tcBorders>
            <w:vMerge w:val="restart"/>
            <w:shd w:val="clear" w:color="auto" w:fill="EAEAEA"/>
          </w:tcPr>
          <w:p>
            <w:pPr>
              <w:jc w:val="right"/>
              <w:ind w:right="283"/>
              <w:spacing w:after="0"/>
              <w:rPr>
                <w:sz w:val="20"/>
                <w:szCs w:val="20"/>
                <w:color w:val="auto"/>
              </w:rPr>
            </w:pPr>
            <w:r>
              <w:rPr>
                <w:rFonts w:ascii="Arial" w:cs="Arial" w:eastAsia="Arial" w:hAnsi="Arial"/>
                <w:sz w:val="15"/>
                <w:szCs w:val="15"/>
                <w:b w:val="1"/>
                <w:bCs w:val="1"/>
                <w:color w:val="auto"/>
              </w:rPr>
              <w:t>3Q20 (a)</w:t>
            </w:r>
          </w:p>
        </w:tc>
        <w:tc>
          <w:tcPr>
            <w:tcW w:w="132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vMerge w:val="restart"/>
            <w:shd w:val="clear" w:color="auto" w:fill="EAEAEA"/>
          </w:tcPr>
          <w:p>
            <w:pPr>
              <w:jc w:val="right"/>
              <w:ind w:right="123"/>
              <w:spacing w:after="0"/>
              <w:rPr>
                <w:sz w:val="20"/>
                <w:szCs w:val="20"/>
                <w:color w:val="auto"/>
              </w:rPr>
            </w:pPr>
            <w:r>
              <w:rPr>
                <w:rFonts w:ascii="Arial" w:cs="Arial" w:eastAsia="Arial" w:hAnsi="Arial"/>
                <w:sz w:val="15"/>
                <w:szCs w:val="15"/>
                <w:b w:val="1"/>
                <w:bCs w:val="1"/>
                <w:color w:val="auto"/>
              </w:rPr>
              <w:t>YTD 2020 (c)</w:t>
            </w:r>
          </w:p>
        </w:tc>
        <w:tc>
          <w:tcPr>
            <w:tcW w:w="1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 xml:space="preserve">income) </w:t>
            </w:r>
            <w:r>
              <w:rPr>
                <w:rFonts w:ascii="Arial" w:cs="Arial" w:eastAsia="Arial" w:hAnsi="Arial"/>
                <w:sz w:val="15"/>
                <w:szCs w:val="15"/>
                <w:i w:val="1"/>
                <w:iCs w:val="1"/>
                <w:color w:val="auto"/>
              </w:rPr>
              <w:t>In millions</w:t>
            </w:r>
          </w:p>
        </w:tc>
        <w:tc>
          <w:tcPr>
            <w:tcW w:w="132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320" w:type="dxa"/>
            <w:vAlign w:val="bottom"/>
            <w:tcBorders>
              <w:bottom w:val="single" w:sz="8" w:color="auto"/>
              <w:right w:val="single" w:sz="8" w:color="auto"/>
            </w:tcBorders>
          </w:tcPr>
          <w:p>
            <w:pPr>
              <w:jc w:val="right"/>
              <w:ind w:right="283"/>
              <w:spacing w:after="0"/>
              <w:rPr>
                <w:sz w:val="20"/>
                <w:szCs w:val="20"/>
                <w:color w:val="auto"/>
              </w:rPr>
            </w:pPr>
            <w:r>
              <w:rPr>
                <w:rFonts w:ascii="Arial" w:cs="Arial" w:eastAsia="Arial" w:hAnsi="Arial"/>
                <w:sz w:val="15"/>
                <w:szCs w:val="15"/>
                <w:color w:val="auto"/>
              </w:rPr>
              <w:t>3Q19 (b)</w:t>
            </w:r>
          </w:p>
        </w:tc>
        <w:tc>
          <w:tcPr>
            <w:tcW w:w="132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340" w:type="dxa"/>
            <w:vAlign w:val="bottom"/>
            <w:tcBorders>
              <w:bottom w:val="single" w:sz="8" w:color="auto"/>
              <w:right w:val="single" w:sz="8" w:color="auto"/>
            </w:tcBorders>
          </w:tcPr>
          <w:p>
            <w:pPr>
              <w:jc w:val="right"/>
              <w:ind w:right="14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Generally Accepted Accounting Principles (GAAP)</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$1,755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$888</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$5,058</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$2,863</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23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17</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66</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3"/>
        </w:trPr>
        <w:tc>
          <w:tcPr>
            <w:tcW w:w="594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Put/call valuation adjustments associated with company's non-consolidating minority</w:t>
            </w:r>
          </w:p>
        </w:tc>
        <w:tc>
          <w:tcPr>
            <w:tcW w:w="1320" w:type="dxa"/>
            <w:vAlign w:val="bottom"/>
            <w:tcBorders>
              <w:right w:val="single" w:sz="8" w:color="auto"/>
            </w:tcBorders>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(7)</w:t>
            </w: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vMerge w:val="restart"/>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63</w:t>
            </w: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interest investments</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01"/>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(643)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(643)</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(578)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(578)</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46</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$550</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$869</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$3,966</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$2,745</w:t>
            </w:r>
          </w:p>
        </w:tc>
        <w:tc>
          <w:tcPr>
            <w:tcW w:w="0" w:type="dxa"/>
            <w:vAlign w:val="bottom"/>
          </w:tcPr>
          <w:p>
            <w:pPr>
              <w:spacing w:after="0"/>
              <w:rPr>
                <w:sz w:val="1"/>
                <w:szCs w:val="1"/>
                <w:color w:val="auto"/>
              </w:rPr>
            </w:pPr>
          </w:p>
        </w:tc>
      </w:tr>
      <w:tr>
        <w:trPr>
          <w:trHeight w:val="574"/>
        </w:trPr>
        <w:tc>
          <w:tcPr>
            <w:tcW w:w="5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Diluted earnings per common share (EPS)</w:t>
            </w:r>
          </w:p>
        </w:tc>
        <w:tc>
          <w:tcPr>
            <w:tcW w:w="1320" w:type="dxa"/>
            <w:vAlign w:val="bottom"/>
            <w:tcBorders>
              <w:bottom w:val="single" w:sz="8" w:color="auto"/>
              <w:right w:val="single" w:sz="8" w:color="auto"/>
            </w:tcBorders>
            <w:shd w:val="clear" w:color="auto" w:fill="EAEAEA"/>
          </w:tcPr>
          <w:p>
            <w:pPr>
              <w:jc w:val="right"/>
              <w:ind w:right="283"/>
              <w:spacing w:after="0"/>
              <w:rPr>
                <w:sz w:val="20"/>
                <w:szCs w:val="20"/>
                <w:color w:val="auto"/>
              </w:rPr>
            </w:pPr>
            <w:r>
              <w:rPr>
                <w:rFonts w:ascii="Arial" w:cs="Arial" w:eastAsia="Arial" w:hAnsi="Arial"/>
                <w:sz w:val="15"/>
                <w:szCs w:val="15"/>
                <w:b w:val="1"/>
                <w:bCs w:val="1"/>
                <w:color w:val="auto"/>
              </w:rPr>
              <w:t>3Q20 (a)</w:t>
            </w:r>
          </w:p>
        </w:tc>
        <w:tc>
          <w:tcPr>
            <w:tcW w:w="1320" w:type="dxa"/>
            <w:vAlign w:val="bottom"/>
            <w:tcBorders>
              <w:bottom w:val="single" w:sz="8" w:color="auto"/>
              <w:right w:val="single" w:sz="8" w:color="auto"/>
            </w:tcBorders>
          </w:tcPr>
          <w:p>
            <w:pPr>
              <w:jc w:val="right"/>
              <w:ind w:right="283"/>
              <w:spacing w:after="0"/>
              <w:rPr>
                <w:sz w:val="20"/>
                <w:szCs w:val="20"/>
                <w:color w:val="auto"/>
              </w:rPr>
            </w:pPr>
            <w:r>
              <w:rPr>
                <w:rFonts w:ascii="Arial" w:cs="Arial" w:eastAsia="Arial" w:hAnsi="Arial"/>
                <w:sz w:val="15"/>
                <w:szCs w:val="15"/>
                <w:color w:val="auto"/>
              </w:rPr>
              <w:t>3Q19 (b)</w:t>
            </w:r>
          </w:p>
        </w:tc>
        <w:tc>
          <w:tcPr>
            <w:tcW w:w="1320" w:type="dxa"/>
            <w:vAlign w:val="bottom"/>
            <w:tcBorders>
              <w:bottom w:val="single" w:sz="8" w:color="auto"/>
              <w:right w:val="single" w:sz="8" w:color="auto"/>
            </w:tcBorders>
            <w:shd w:val="clear" w:color="auto" w:fill="EAEAEA"/>
          </w:tcPr>
          <w:p>
            <w:pPr>
              <w:jc w:val="right"/>
              <w:ind w:right="123"/>
              <w:spacing w:after="0"/>
              <w:rPr>
                <w:sz w:val="20"/>
                <w:szCs w:val="20"/>
                <w:color w:val="auto"/>
              </w:rPr>
            </w:pPr>
            <w:r>
              <w:rPr>
                <w:rFonts w:ascii="Arial" w:cs="Arial" w:eastAsia="Arial" w:hAnsi="Arial"/>
                <w:sz w:val="15"/>
                <w:szCs w:val="15"/>
                <w:b w:val="1"/>
                <w:bCs w:val="1"/>
                <w:color w:val="auto"/>
              </w:rPr>
              <w:t>YTD 2020 (c)</w:t>
            </w:r>
          </w:p>
        </w:tc>
        <w:tc>
          <w:tcPr>
            <w:tcW w:w="1340" w:type="dxa"/>
            <w:vAlign w:val="bottom"/>
            <w:tcBorders>
              <w:bottom w:val="single" w:sz="8" w:color="auto"/>
              <w:right w:val="single" w:sz="8" w:color="auto"/>
            </w:tcBorders>
          </w:tcPr>
          <w:p>
            <w:pPr>
              <w:jc w:val="right"/>
              <w:ind w:right="14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GAAP</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$10.05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$5.14</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$27.37</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0.13</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0.10</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0.38</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163"/>
        </w:trPr>
        <w:tc>
          <w:tcPr>
            <w:tcW w:w="594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5"/>
                <w:szCs w:val="15"/>
                <w:color w:val="auto"/>
              </w:rPr>
              <w:t>Put/call valuation adjustments associated with company's non-consolidating minority</w:t>
            </w:r>
          </w:p>
        </w:tc>
        <w:tc>
          <w:tcPr>
            <w:tcW w:w="1320" w:type="dxa"/>
            <w:vAlign w:val="bottom"/>
            <w:tcBorders>
              <w:right w:val="single" w:sz="8" w:color="auto"/>
            </w:tcBorders>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(0.03)</w:t>
            </w: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vMerge w:val="restart"/>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0.37</w:t>
            </w: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interest investments</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(0.47)</w:t>
            </w:r>
          </w:p>
        </w:tc>
        <w:tc>
          <w:tcPr>
            <w:tcW w:w="132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1"/>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(3.72)</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(3.73)</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(3.35)</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(3.35)</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0.26</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99"/>
        </w:trPr>
        <w:tc>
          <w:tcPr>
            <w:tcW w:w="5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$3.08</w:t>
            </w:r>
          </w:p>
        </w:tc>
        <w:tc>
          <w:tcPr>
            <w:tcW w:w="13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$5.03</w:t>
            </w:r>
          </w:p>
        </w:tc>
        <w:tc>
          <w:tcPr>
            <w:tcW w:w="132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$21.04</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$15.56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Please refer to the tables above, as well as the consolidated and segment highlight sections that follow for additional discussion of the factors impacting the year-over-year comparisons.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74" w:right="339" w:bottom="1440" w:gutter="0" w:footer="0" w:header="0"/>
        </w:sectPr>
      </w:pPr>
    </w:p>
    <w:bookmarkStart w:id="18" w:name="page19"/>
    <w:bookmarkEnd w:id="18"/>
    <w:p>
      <w:pPr>
        <w:spacing w:after="0"/>
        <w:rPr>
          <w:sz w:val="20"/>
          <w:szCs w:val="20"/>
          <w:color w:val="auto"/>
        </w:rPr>
      </w:pPr>
      <w:r>
        <w:rPr>
          <w:rFonts w:ascii="Arial" w:cs="Arial" w:eastAsia="Arial" w:hAnsi="Arial"/>
          <w:sz w:val="19"/>
          <w:szCs w:val="19"/>
          <w:color w:val="auto"/>
        </w:rPr>
        <w:t>In addition, below is a summary of key consolidated and segment statistics comparing 3Q20 to 3Q19 and YTD 2020 to YTD 2019.</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Humana Inc. Summary of Quarterly Results</w:t>
            </w:r>
          </w:p>
        </w:tc>
        <w:tc>
          <w:tcPr>
            <w:tcW w:w="1840" w:type="dxa"/>
            <w:vAlign w:val="bottom"/>
            <w:tcBorders>
              <w:top w:val="single" w:sz="8" w:color="auto"/>
              <w:right w:val="single" w:sz="8" w:color="auto"/>
            </w:tcBorders>
            <w:gridSpan w:val="2"/>
            <w:vMerge w:val="restart"/>
            <w:shd w:val="clear" w:color="auto" w:fill="EAEAEA"/>
          </w:tcPr>
          <w:p>
            <w:pPr>
              <w:jc w:val="right"/>
              <w:ind w:right="543"/>
              <w:spacing w:after="0"/>
              <w:rPr>
                <w:sz w:val="20"/>
                <w:szCs w:val="20"/>
                <w:color w:val="auto"/>
              </w:rPr>
            </w:pPr>
            <w:r>
              <w:rPr>
                <w:rFonts w:ascii="Arial" w:cs="Arial" w:eastAsia="Arial" w:hAnsi="Arial"/>
                <w:sz w:val="15"/>
                <w:szCs w:val="15"/>
                <w:b w:val="1"/>
                <w:bCs w:val="1"/>
                <w:color w:val="auto"/>
              </w:rPr>
              <w:t>3Q20 (a)</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gridSpan w:val="2"/>
            <w:vMerge w:val="restart"/>
            <w:shd w:val="clear" w:color="auto" w:fill="EAEAEA"/>
          </w:tcPr>
          <w:p>
            <w:pPr>
              <w:jc w:val="right"/>
              <w:ind w:right="403"/>
              <w:spacing w:after="0"/>
              <w:rPr>
                <w:sz w:val="20"/>
                <w:szCs w:val="20"/>
                <w:color w:val="auto"/>
              </w:rPr>
            </w:pPr>
            <w:r>
              <w:rPr>
                <w:rFonts w:ascii="Arial" w:cs="Arial" w:eastAsia="Arial" w:hAnsi="Arial"/>
                <w:sz w:val="15"/>
                <w:szCs w:val="15"/>
                <w:b w:val="1"/>
                <w:bCs w:val="1"/>
                <w:color w:val="auto"/>
              </w:rPr>
              <w:t>YTD 2020 (c)</w:t>
            </w: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(dollars in millions, except per share amounts)</w:t>
            </w:r>
          </w:p>
        </w:tc>
        <w:tc>
          <w:tcPr>
            <w:tcW w:w="184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ind w:right="563"/>
              <w:spacing w:after="0"/>
              <w:rPr>
                <w:sz w:val="20"/>
                <w:szCs w:val="20"/>
                <w:color w:val="auto"/>
              </w:rPr>
            </w:pPr>
            <w:r>
              <w:rPr>
                <w:rFonts w:ascii="Arial" w:cs="Arial" w:eastAsia="Arial" w:hAnsi="Arial"/>
                <w:sz w:val="15"/>
                <w:szCs w:val="15"/>
                <w:color w:val="auto"/>
              </w:rPr>
              <w:t>3Q19 (b)</w:t>
            </w:r>
          </w:p>
        </w:tc>
        <w:tc>
          <w:tcPr>
            <w:tcW w:w="186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201"/>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Consolidated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$20,075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$16,241</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$58,093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$48,593</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$18,823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$16,241</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$56,841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$48,593</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Pretax income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$1,755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$888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$5,058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$2,863</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Pretax income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$550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$869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$3,966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$2,745</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Diluted EPS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$10.05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$5.14</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$27.37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Diluted EPS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$3.08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$5.03</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$21.04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$15.56</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82.6</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85.0 %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81.4</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Adjusted</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85.3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85.0 %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82.3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13.0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11.7 %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12.2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10.9 %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Adjusted</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13.2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11.4 %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12.3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10.8 %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cash flows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$1,815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$2,442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$5,356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$4,772</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Parent company cash and short term investments</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$2,422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$1,674</w:t>
            </w: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Debt-to-total capitalization</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33.0 %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34.3 %</w:t>
            </w: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Retail segment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$16,741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$14,088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$50,464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$42,259</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85.1</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85.9 %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83.3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86.4 %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11.2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9.3 %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10.0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8.7 %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$639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$3,227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$1,960</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$557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$643</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$3,239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$1,972</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Group and Specialty segment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$1,794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$1,889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$5,494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$5,650</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Benefits expense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93.0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86.3 %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79.6</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83.0 %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25.2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21.9 %</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24.0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21.9 %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(loss)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($160)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$232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(loss)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($159)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$235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5"/>
                <w:szCs w:val="15"/>
                <w:b w:val="1"/>
                <w:bCs w:val="1"/>
                <w:color w:val="auto"/>
              </w:rPr>
              <w:t>Healthcare Services segment results:</w:t>
            </w:r>
          </w:p>
        </w:tc>
        <w:tc>
          <w:tcPr>
            <w:tcW w:w="166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1680" w:type="dxa"/>
            <w:vAlign w:val="bottom"/>
            <w:tcBorders>
              <w:bottom w:val="single" w:sz="8" w:color="auto"/>
            </w:tcBorders>
            <w:shd w:val="clear" w:color="auto" w:fill="EAEAEA"/>
          </w:tcPr>
          <w:p>
            <w:pPr>
              <w:spacing w:after="0"/>
              <w:rPr>
                <w:sz w:val="17"/>
                <w:szCs w:val="17"/>
                <w:color w:val="auto"/>
              </w:rPr>
            </w:pP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860" w:type="dxa"/>
            <w:vAlign w:val="bottom"/>
            <w:tcBorders>
              <w:bottom w:val="single" w:sz="8" w:color="auto"/>
              <w:right w:val="single" w:sz="8" w:color="auto"/>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$7,131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$6,602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$21,157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$19,087</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Operating cost ratio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96.4 %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96.2 %</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95.8 %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96.3 %</w:t>
            </w:r>
          </w:p>
        </w:tc>
        <w:tc>
          <w:tcPr>
            <w:tcW w:w="0" w:type="dxa"/>
            <w:vAlign w:val="bottom"/>
          </w:tcPr>
          <w:p>
            <w:pPr>
              <w:spacing w:after="0"/>
              <w:rPr>
                <w:sz w:val="1"/>
                <w:szCs w:val="1"/>
                <w:color w:val="auto"/>
              </w:rPr>
            </w:pPr>
          </w:p>
        </w:tc>
      </w:tr>
      <w:tr>
        <w:trPr>
          <w:trHeight w:val="19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$249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5"/>
                <w:szCs w:val="15"/>
                <w:b w:val="1"/>
                <w:bCs w:val="1"/>
                <w:color w:val="auto"/>
              </w:rPr>
              <w:t>$816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163"/>
        </w:trPr>
        <w:tc>
          <w:tcPr>
            <w:tcW w:w="384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Adjusted earnings before interest, taxes, depreciation</w:t>
            </w:r>
          </w:p>
        </w:tc>
        <w:tc>
          <w:tcPr>
            <w:tcW w:w="184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$327</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5"/>
                <w:szCs w:val="15"/>
                <w:b w:val="1"/>
                <w:bCs w:val="1"/>
                <w:color w:val="auto"/>
              </w:rPr>
              <w:t>$1,036</w:t>
            </w:r>
          </w:p>
        </w:tc>
        <w:tc>
          <w:tcPr>
            <w:tcW w:w="1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and amortization (Adjusted EBITDA) (e)</w:t>
            </w:r>
          </w:p>
        </w:tc>
        <w:tc>
          <w:tcPr>
            <w:tcW w:w="184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$283</w:t>
            </w:r>
          </w:p>
        </w:tc>
        <w:tc>
          <w:tcPr>
            <w:tcW w:w="1860" w:type="dxa"/>
            <w:vAlign w:val="bottom"/>
            <w:tcBorders>
              <w:bottom w:val="single" w:sz="8" w:color="auto"/>
              <w:right w:val="single" w:sz="8" w:color="auto"/>
            </w:tcBorders>
            <w:gridSpan w:val="2"/>
            <w:vMerge w:val="continue"/>
            <w:shd w:val="clear" w:color="auto" w:fill="EAEAEA"/>
          </w:tcPr>
          <w:p>
            <w:pPr>
              <w:spacing w:after="0"/>
              <w:rPr>
                <w:sz w:val="16"/>
                <w:szCs w:val="16"/>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2020 Earnings Guidance</w:t>
      </w:r>
    </w:p>
    <w:p>
      <w:pPr>
        <w:spacing w:after="0" w:line="265"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Humana today adjusted its GAAP and Adjusted EPS guidance ranges for the year ended December 31, 2020 (FY20). The company now expects its FY20 GAAP EPS to be in the range of $24.70 to $24.95, compared to the previous range of $23.74 to $24.24, while Adjusted EPS is expected to be in a range of $18.50 to $18.75 versus the previous range of $18.25 to $ 18.75. For comparison, FY 2020 GAAP and Adjusted EPS guidance is detailed below along with GAAP and Adjusted results for the year ended December 31, 2019 (FY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271" w:right="319" w:bottom="1440" w:gutter="0" w:footer="0" w:header="0"/>
        </w:sectPr>
      </w:pPr>
    </w:p>
    <w:bookmarkStart w:id="19" w:name="page20"/>
    <w:bookmarkEnd w:id="19"/>
    <w:p>
      <w:pPr>
        <w:jc w:val="both"/>
        <w:ind w:right="20"/>
        <w:spacing w:after="0" w:line="245" w:lineRule="auto"/>
        <w:rPr>
          <w:sz w:val="20"/>
          <w:szCs w:val="20"/>
          <w:color w:val="auto"/>
        </w:rPr>
      </w:pPr>
      <w:r>
        <w:rPr>
          <w:rFonts w:ascii="Arial" w:cs="Arial" w:eastAsia="Arial" w:hAnsi="Arial"/>
          <w:sz w:val="19"/>
          <w:szCs w:val="19"/>
          <w:color w:val="auto"/>
        </w:rPr>
        <w:t>The company is revising its individual Medicare Advantage net membership growth estimate to now anticipate growth of approximately 375,000 members for FY 2020 compared to the previous guidance growth range of 330,000 to 360,000 members. This anticipated increase in 2020 represents year-over-year growth of approximately 10 percent.</w:t>
      </w:r>
    </w:p>
    <w:p>
      <w:pPr>
        <w:spacing w:after="0" w:line="220" w:lineRule="exact"/>
        <w:rPr>
          <w:sz w:val="20"/>
          <w:szCs w:val="20"/>
          <w:color w:val="auto"/>
        </w:rPr>
      </w:pPr>
    </w:p>
    <w:p>
      <w:pPr>
        <w:jc w:val="both"/>
        <w:ind w:right="20"/>
        <w:spacing w:after="0" w:line="250" w:lineRule="auto"/>
        <w:rPr>
          <w:sz w:val="20"/>
          <w:szCs w:val="20"/>
          <w:color w:val="auto"/>
        </w:rPr>
      </w:pPr>
      <w:r>
        <w:rPr>
          <w:rFonts w:ascii="Arial" w:cs="Arial" w:eastAsia="Arial" w:hAnsi="Arial"/>
          <w:sz w:val="19"/>
          <w:szCs w:val="19"/>
          <w:color w:val="auto"/>
        </w:rPr>
        <w:t>The company is reiterating its expectations for group Medicare Advantage net membership gains for FY 2020, projecting an increase of approximately 90,000 members year over year.</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19"/>
          <w:szCs w:val="19"/>
          <w:color w:val="auto"/>
        </w:rPr>
        <w:t>For its stand-alone PDP business, Humana now expects a net membership decline of approximately 500,000 members for FY 2020, compared to the previous estimate of 550,000 members.</w:t>
      </w:r>
    </w:p>
    <w:p>
      <w:pPr>
        <w:spacing w:after="0" w:line="215"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Given the likelihood of significant variability of results by financial statement line item (and related ratios), Humana previously withdrew its additional FY 2020 detailed guidance points that were initially provided as part of the company's fourth quarter 2019 earnings release dated February 5, 2020.</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340" w:type="dxa"/>
            <w:vAlign w:val="bottom"/>
            <w:tcBorders>
              <w:top w:val="single" w:sz="8" w:color="auto"/>
              <w:left w:val="single" w:sz="8" w:color="auto"/>
              <w:right w:val="single" w:sz="8" w:color="auto"/>
            </w:tcBorders>
            <w:vMerge w:val="restart"/>
            <w:shd w:val="clear" w:color="auto" w:fill="EAEAEA"/>
          </w:tcPr>
          <w:p>
            <w:pPr>
              <w:ind w:left="1220"/>
              <w:spacing w:after="0"/>
              <w:rPr>
                <w:sz w:val="20"/>
                <w:szCs w:val="20"/>
                <w:color w:val="auto"/>
              </w:rPr>
            </w:pPr>
            <w:r>
              <w:rPr>
                <w:rFonts w:ascii="Arial" w:cs="Arial" w:eastAsia="Arial" w:hAnsi="Arial"/>
                <w:sz w:val="14"/>
                <w:szCs w:val="14"/>
                <w:b w:val="1"/>
                <w:bCs w:val="1"/>
                <w:color w:val="auto"/>
              </w:rPr>
              <w:t>Diluted earnings (losses) per common share</w:t>
            </w:r>
          </w:p>
        </w:tc>
        <w:tc>
          <w:tcPr>
            <w:tcW w:w="1480" w:type="dxa"/>
            <w:vAlign w:val="bottom"/>
            <w:tcBorders>
              <w:top w:val="single" w:sz="8" w:color="auto"/>
              <w:right w:val="single" w:sz="8" w:color="auto"/>
            </w:tcBorders>
            <w:shd w:val="clear" w:color="auto" w:fill="EAEAEA"/>
          </w:tcPr>
          <w:p>
            <w:pPr>
              <w:jc w:val="right"/>
              <w:ind w:right="425"/>
              <w:spacing w:after="0" w:line="155" w:lineRule="exact"/>
              <w:rPr>
                <w:sz w:val="20"/>
                <w:szCs w:val="20"/>
                <w:color w:val="auto"/>
              </w:rPr>
            </w:pPr>
            <w:r>
              <w:rPr>
                <w:rFonts w:ascii="Arial" w:cs="Arial" w:eastAsia="Arial" w:hAnsi="Arial"/>
                <w:sz w:val="14"/>
                <w:szCs w:val="14"/>
                <w:b w:val="1"/>
                <w:bCs w:val="1"/>
                <w:color w:val="auto"/>
              </w:rPr>
              <w:t>FY 2020</w:t>
            </w:r>
          </w:p>
        </w:tc>
        <w:tc>
          <w:tcPr>
            <w:tcW w:w="1480" w:type="dxa"/>
            <w:vAlign w:val="bottom"/>
            <w:tcBorders>
              <w:top w:val="single" w:sz="8" w:color="auto"/>
              <w:right w:val="single" w:sz="8" w:color="auto"/>
            </w:tcBorders>
            <w:vMerge w:val="restart"/>
            <w:shd w:val="clear" w:color="auto" w:fill="EAEAEA"/>
          </w:tcPr>
          <w:p>
            <w:pPr>
              <w:jc w:val="right"/>
              <w:ind w:right="324"/>
              <w:spacing w:after="0"/>
              <w:rPr>
                <w:sz w:val="20"/>
                <w:szCs w:val="20"/>
                <w:color w:val="auto"/>
              </w:rPr>
            </w:pPr>
            <w:r>
              <w:rPr>
                <w:rFonts w:ascii="Arial" w:cs="Arial" w:eastAsia="Arial" w:hAnsi="Arial"/>
                <w:sz w:val="14"/>
                <w:szCs w:val="14"/>
                <w:color w:val="auto"/>
              </w:rPr>
              <w:t>FY 2019 (g)</w:t>
            </w:r>
          </w:p>
        </w:tc>
        <w:tc>
          <w:tcPr>
            <w:tcW w:w="1480" w:type="dxa"/>
            <w:vAlign w:val="bottom"/>
            <w:tcBorders>
              <w:top w:val="single" w:sz="8" w:color="auto"/>
              <w:right w:val="single" w:sz="8" w:color="auto"/>
            </w:tcBorders>
            <w:shd w:val="clear" w:color="auto" w:fill="EAEAEA"/>
          </w:tcPr>
          <w:p>
            <w:pPr>
              <w:jc w:val="center"/>
              <w:spacing w:after="0" w:line="155" w:lineRule="exact"/>
              <w:rPr>
                <w:sz w:val="20"/>
                <w:szCs w:val="20"/>
                <w:color w:val="auto"/>
              </w:rPr>
            </w:pPr>
            <w:r>
              <w:rPr>
                <w:rFonts w:ascii="Arial" w:cs="Arial" w:eastAsia="Arial" w:hAnsi="Arial"/>
                <w:sz w:val="14"/>
                <w:szCs w:val="14"/>
                <w:b w:val="1"/>
                <w:bCs w:val="1"/>
                <w:color w:val="auto"/>
              </w:rPr>
              <w:t>4Q 2020</w:t>
            </w:r>
          </w:p>
        </w:tc>
        <w:tc>
          <w:tcPr>
            <w:tcW w:w="1480" w:type="dxa"/>
            <w:vAlign w:val="bottom"/>
            <w:tcBorders>
              <w:top w:val="single" w:sz="8" w:color="auto"/>
              <w:right w:val="single" w:sz="8" w:color="auto"/>
            </w:tcBorders>
            <w:vMerge w:val="restart"/>
            <w:shd w:val="clear" w:color="auto" w:fill="EAEAEA"/>
          </w:tcPr>
          <w:p>
            <w:pPr>
              <w:jc w:val="right"/>
              <w:ind w:right="324"/>
              <w:spacing w:after="0"/>
              <w:rPr>
                <w:sz w:val="20"/>
                <w:szCs w:val="20"/>
                <w:color w:val="auto"/>
              </w:rPr>
            </w:pPr>
            <w:r>
              <w:rPr>
                <w:rFonts w:ascii="Arial" w:cs="Arial" w:eastAsia="Arial" w:hAnsi="Arial"/>
                <w:sz w:val="14"/>
                <w:szCs w:val="14"/>
                <w:color w:val="auto"/>
              </w:rPr>
              <w:t>4Q 2019 (i)</w:t>
            </w: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bottom w:val="single" w:sz="8" w:color="auto"/>
              <w:right w:val="single" w:sz="8" w:color="auto"/>
            </w:tcBorders>
            <w:vMerge w:val="continue"/>
            <w:shd w:val="clear" w:color="auto" w:fill="EAEAEA"/>
          </w:tcPr>
          <w:p>
            <w:pPr>
              <w:spacing w:after="0"/>
              <w:rPr>
                <w:sz w:val="14"/>
                <w:szCs w:val="14"/>
                <w:color w:val="auto"/>
              </w:rPr>
            </w:pPr>
          </w:p>
        </w:tc>
        <w:tc>
          <w:tcPr>
            <w:tcW w:w="1480" w:type="dxa"/>
            <w:vAlign w:val="bottom"/>
            <w:tcBorders>
              <w:bottom w:val="single" w:sz="8" w:color="auto"/>
              <w:right w:val="single" w:sz="8" w:color="auto"/>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auto"/>
              </w:rPr>
              <w:t>Guidance (f)</w:t>
            </w:r>
          </w:p>
        </w:tc>
        <w:tc>
          <w:tcPr>
            <w:tcW w:w="1480" w:type="dxa"/>
            <w:vAlign w:val="bottom"/>
            <w:tcBorders>
              <w:bottom w:val="single" w:sz="8" w:color="auto"/>
              <w:right w:val="single" w:sz="8" w:color="auto"/>
            </w:tcBorders>
            <w:vMerge w:val="continue"/>
            <w:shd w:val="clear" w:color="auto" w:fill="EAEAEA"/>
          </w:tcPr>
          <w:p>
            <w:pPr>
              <w:spacing w:after="0"/>
              <w:rPr>
                <w:sz w:val="14"/>
                <w:szCs w:val="14"/>
                <w:color w:val="auto"/>
              </w:rPr>
            </w:pPr>
          </w:p>
        </w:tc>
        <w:tc>
          <w:tcPr>
            <w:tcW w:w="1480" w:type="dxa"/>
            <w:vAlign w:val="bottom"/>
            <w:tcBorders>
              <w:bottom w:val="single" w:sz="8" w:color="auto"/>
              <w:right w:val="single" w:sz="8" w:color="auto"/>
            </w:tcBorders>
            <w:shd w:val="clear" w:color="auto" w:fill="EAEAEA"/>
          </w:tcPr>
          <w:p>
            <w:pPr>
              <w:jc w:val="center"/>
              <w:spacing w:after="0"/>
              <w:rPr>
                <w:sz w:val="20"/>
                <w:szCs w:val="20"/>
                <w:color w:val="auto"/>
              </w:rPr>
            </w:pPr>
            <w:r>
              <w:rPr>
                <w:rFonts w:ascii="Arial" w:cs="Arial" w:eastAsia="Arial" w:hAnsi="Arial"/>
                <w:sz w:val="14"/>
                <w:szCs w:val="14"/>
                <w:b w:val="1"/>
                <w:bCs w:val="1"/>
                <w:color w:val="auto"/>
                <w:w w:val="98"/>
              </w:rPr>
              <w:t>Guidance (h)</w:t>
            </w:r>
          </w:p>
        </w:tc>
        <w:tc>
          <w:tcPr>
            <w:tcW w:w="1480" w:type="dxa"/>
            <w:vAlign w:val="bottom"/>
            <w:tcBorders>
              <w:bottom w:val="single" w:sz="8" w:color="auto"/>
              <w:right w:val="single" w:sz="8" w:color="auto"/>
            </w:tcBorders>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$24.70 to $24.95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$20.10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($2.55)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9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Amortization of identifiable intangibles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~0.51</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0.40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~0.15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163"/>
        </w:trPr>
        <w:tc>
          <w:tcPr>
            <w:tcW w:w="534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5"/>
                <w:szCs w:val="15"/>
                <w:color w:val="auto"/>
              </w:rPr>
              <w:t>Put/call valuation adjustments associated with company's non-consolidating</w:t>
            </w:r>
          </w:p>
        </w:tc>
        <w:tc>
          <w:tcPr>
            <w:tcW w:w="148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5"/>
                <w:szCs w:val="15"/>
                <w:b w:val="1"/>
                <w:bCs w:val="1"/>
                <w:color w:val="auto"/>
              </w:rPr>
              <w:t>0.37</w:t>
            </w:r>
          </w:p>
        </w:tc>
        <w:tc>
          <w:tcPr>
            <w:tcW w:w="14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vMerge w:val="restart"/>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minority interest investments</w:t>
            </w: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1"/>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Change in fair market value of publicly-traded equity securities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(3.73)</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(3.35)</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Charges associated with workforce optimization</w:t>
            </w:r>
          </w:p>
        </w:tc>
        <w:tc>
          <w:tcPr>
            <w:tcW w:w="14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0.26</w:t>
            </w:r>
          </w:p>
        </w:tc>
        <w:tc>
          <w:tcPr>
            <w:tcW w:w="14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49"/>
        </w:trPr>
        <w:tc>
          <w:tcPr>
            <w:tcW w:w="53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5"/>
                <w:szCs w:val="15"/>
                <w:b w:val="1"/>
                <w:bCs w:val="1"/>
                <w:color w:val="auto"/>
              </w:rPr>
              <w:t>Adjusted (non-GAAP) – FY 2020 and 4Q 2020 projected; FY 2019 and</w:t>
            </w: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$18.50 to $18.75</w:t>
            </w:r>
          </w:p>
        </w:tc>
        <w:tc>
          <w:tcPr>
            <w:tcW w:w="14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($2.40)</w:t>
            </w: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4Q 2019 reported</w:t>
            </w:r>
          </w:p>
        </w:tc>
        <w:tc>
          <w:tcPr>
            <w:tcW w:w="1480" w:type="dxa"/>
            <w:vAlign w:val="bottom"/>
            <w:tcBorders>
              <w:bottom w:val="single" w:sz="8" w:color="auto"/>
              <w:right w:val="single" w:sz="8" w:color="auto"/>
            </w:tcBorders>
            <w:vMerge w:val="continue"/>
          </w:tcPr>
          <w:p>
            <w:pPr>
              <w:spacing w:after="0"/>
              <w:rPr>
                <w:sz w:val="17"/>
                <w:szCs w:val="17"/>
                <w:color w:val="auto"/>
              </w:rPr>
            </w:pP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$17.87</w:t>
            </w:r>
          </w:p>
        </w:tc>
        <w:tc>
          <w:tcPr>
            <w:tcW w:w="1480" w:type="dxa"/>
            <w:vAlign w:val="bottom"/>
            <w:tcBorders>
              <w:bottom w:val="single" w:sz="8" w:color="auto"/>
              <w:right w:val="single" w:sz="8" w:color="auto"/>
            </w:tcBorders>
            <w:vMerge w:val="continue"/>
          </w:tcPr>
          <w:p>
            <w:pPr>
              <w:spacing w:after="0"/>
              <w:rPr>
                <w:sz w:val="17"/>
                <w:szCs w:val="17"/>
                <w:color w:val="auto"/>
              </w:rPr>
            </w:pPr>
          </w:p>
        </w:tc>
        <w:tc>
          <w:tcPr>
            <w:tcW w:w="14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2022 Preliminary Rate Notice</w:t>
      </w:r>
    </w:p>
    <w:p>
      <w:pPr>
        <w:spacing w:after="0" w:line="265" w:lineRule="exact"/>
        <w:rPr>
          <w:sz w:val="20"/>
          <w:szCs w:val="20"/>
          <w:color w:val="auto"/>
        </w:rPr>
      </w:pPr>
    </w:p>
    <w:p>
      <w:pPr>
        <w:jc w:val="both"/>
        <w:ind w:right="20"/>
        <w:spacing w:after="0" w:line="231" w:lineRule="auto"/>
        <w:rPr>
          <w:sz w:val="20"/>
          <w:szCs w:val="20"/>
          <w:color w:val="auto"/>
        </w:rPr>
      </w:pPr>
      <w:r>
        <w:rPr>
          <w:rFonts w:ascii="Arial" w:cs="Arial" w:eastAsia="Arial" w:hAnsi="Arial"/>
          <w:sz w:val="19"/>
          <w:szCs w:val="19"/>
          <w:color w:val="auto"/>
        </w:rPr>
        <w:t>On Friday, October 30, 2020, after the stock market closed, the Centers for Medicare and Medicaid Services (CMS) issued its preliminary 2022 Medicare Advantage and Part D payment rates and proposed policy changes (collectively, the Advance Notice). CMS has invited public comment on the Advance Notice before publishing final rates on or before April 5, 2021 (the Final Notice), and indicated that the Final Notice may be published early in light of the challenges posed by the uncertainty associated with the COVID-19 pandemic.</w:t>
      </w:r>
    </w:p>
    <w:p>
      <w:pPr>
        <w:spacing w:after="0" w:line="212" w:lineRule="exact"/>
        <w:rPr>
          <w:sz w:val="20"/>
          <w:szCs w:val="20"/>
          <w:color w:val="auto"/>
        </w:rPr>
      </w:pPr>
    </w:p>
    <w:p>
      <w:pPr>
        <w:jc w:val="both"/>
        <w:ind w:right="20"/>
        <w:spacing w:after="0" w:line="212" w:lineRule="exact"/>
        <w:rPr>
          <w:sz w:val="20"/>
          <w:szCs w:val="20"/>
          <w:color w:val="auto"/>
        </w:rPr>
      </w:pPr>
      <w:r>
        <w:rPr>
          <w:rFonts w:ascii="Arial" w:cs="Arial" w:eastAsia="Arial" w:hAnsi="Arial"/>
          <w:sz w:val="19"/>
          <w:szCs w:val="19"/>
          <w:color w:val="auto"/>
        </w:rPr>
        <w:t>In the Advance Notice, CMS estimates Medicare Advantage plans across the sector will, on average, experience a 2.82 percent increase in benchmark funding based on proposals included therein. As indicated by CMS, its estimate excludes the impact of fee</w:t>
      </w:r>
      <w:r>
        <w:rPr>
          <w:rFonts w:ascii="MS PGothic" w:cs="MS PGothic" w:eastAsia="MS PGothic" w:hAnsi="MS PGothic"/>
          <w:sz w:val="19"/>
          <w:szCs w:val="19"/>
          <w:color w:val="auto"/>
        </w:rPr>
        <w:t>‐</w:t>
      </w:r>
      <w:r>
        <w:rPr>
          <w:rFonts w:ascii="Arial" w:cs="Arial" w:eastAsia="Arial" w:hAnsi="Arial"/>
          <w:sz w:val="19"/>
          <w:szCs w:val="19"/>
          <w:color w:val="auto"/>
        </w:rPr>
        <w:t>for</w:t>
      </w:r>
      <w:r>
        <w:rPr>
          <w:rFonts w:ascii="MS PGothic" w:cs="MS PGothic" w:eastAsia="MS PGothic" w:hAnsi="MS PGothic"/>
          <w:sz w:val="19"/>
          <w:szCs w:val="19"/>
          <w:color w:val="auto"/>
        </w:rPr>
        <w:t>‐</w:t>
      </w:r>
      <w:r>
        <w:rPr>
          <w:rFonts w:ascii="Arial" w:cs="Arial" w:eastAsia="Arial" w:hAnsi="Arial"/>
          <w:sz w:val="19"/>
          <w:szCs w:val="19"/>
          <w:color w:val="auto"/>
        </w:rPr>
        <w:t xml:space="preserve"> service county rebasing/re</w:t>
      </w:r>
      <w:r>
        <w:rPr>
          <w:rFonts w:ascii="MS PGothic" w:cs="MS PGothic" w:eastAsia="MS PGothic" w:hAnsi="MS PGothic"/>
          <w:sz w:val="19"/>
          <w:szCs w:val="19"/>
          <w:color w:val="auto"/>
        </w:rPr>
        <w:t>‐</w:t>
      </w:r>
      <w:r>
        <w:rPr>
          <w:rFonts w:ascii="Arial" w:cs="Arial" w:eastAsia="Arial" w:hAnsi="Arial"/>
          <w:sz w:val="19"/>
          <w:szCs w:val="19"/>
          <w:color w:val="auto"/>
        </w:rPr>
        <w:t>pricing since the related impact is dependent upon finalization of certain data, which will be available with the publication of the Final Notice.</w:t>
      </w:r>
    </w:p>
    <w:p>
      <w:pPr>
        <w:spacing w:after="0" w:line="212" w:lineRule="exact"/>
        <w:rPr>
          <w:sz w:val="20"/>
          <w:szCs w:val="20"/>
          <w:color w:val="auto"/>
        </w:rPr>
      </w:pPr>
    </w:p>
    <w:p>
      <w:pPr>
        <w:jc w:val="both"/>
        <w:ind w:right="20"/>
        <w:spacing w:after="0" w:line="232" w:lineRule="auto"/>
        <w:rPr>
          <w:sz w:val="20"/>
          <w:szCs w:val="20"/>
          <w:color w:val="auto"/>
        </w:rPr>
      </w:pPr>
      <w:r>
        <w:rPr>
          <w:rFonts w:ascii="Arial" w:cs="Arial" w:eastAsia="Arial" w:hAnsi="Arial"/>
          <w:sz w:val="19"/>
          <w:szCs w:val="19"/>
          <w:color w:val="auto"/>
        </w:rPr>
        <w:t>Based on the company’s preliminary analysis using the same factors CMS included in its estimate, the components of which are detailed on CMS’ website, Humana anticipates the proposals in the Advance Notice would result in a change generally in line with CMS’ estimate, with the exception of Humana's Medicare Star Ratings for bonus year 2022, as more fully described below, that led the company’s peers.</w:t>
      </w:r>
    </w:p>
    <w:p>
      <w:pPr>
        <w:spacing w:after="0" w:line="2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will be drawing upon its program expertise to provide CMS formal commentary on the impact of the Advance Notice and the related impact upon Medicare beneficiaries’ quality of care and service to its members through the Medicare Advantage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064" w:right="319" w:bottom="1440" w:gutter="0" w:footer="0" w:header="0"/>
        </w:sectPr>
      </w:pPr>
    </w:p>
    <w:bookmarkStart w:id="20" w:name="page21"/>
    <w:bookmarkEnd w:id="20"/>
    <w:p>
      <w:pPr>
        <w:spacing w:after="0"/>
        <w:rPr>
          <w:sz w:val="20"/>
          <w:szCs w:val="20"/>
          <w:color w:val="auto"/>
        </w:rPr>
      </w:pPr>
      <w:r>
        <w:rPr>
          <w:rFonts w:ascii="Arial" w:cs="Arial" w:eastAsia="Arial" w:hAnsi="Arial"/>
          <w:sz w:val="24"/>
          <w:szCs w:val="24"/>
          <w:b w:val="1"/>
          <w:bCs w:val="1"/>
          <w:u w:val="single" w:color="auto"/>
          <w:color w:val="auto"/>
        </w:rPr>
        <w:t>Star Quality Ratings</w:t>
      </w:r>
    </w:p>
    <w:p>
      <w:pPr>
        <w:spacing w:after="0" w:line="26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As previously disclosed, in October 2020, the Centers for Medicare and Medicaid Services (CMS) published its updated Medicare Star Ratings for bonus year 2022. Humana has 4.1 million members, or approximately 92 percent of its Medicare Advantage membership as of September 2020, enrolled in 15 contracts that received a 4-star rating or above. In addition, Humana received a 5 out of 5-star rating for its CarePlus Health Plans, Inc. contract in Florida, which currently covers approximately 164,300 members, for the third consecutive year and received a 4.5-star rating for three Medicare Advantage contracts offered in 7 states, which cover approximately 796,000 members. Additionally, over 99 percent of retirees in Humana's group Medicare Advantage plans remain in 4-star or above contracts for bonus year 2022. Humana's Star Ratings continue to reflect the company's focus on quality in both member experience and clinical outcomes.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Humana Consolidated Highlights</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Consolidated revenues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Consolidated revenues</w:t>
            </w:r>
          </w:p>
        </w:tc>
        <w:tc>
          <w:tcPr>
            <w:tcW w:w="200" w:type="dxa"/>
            <w:vAlign w:val="bottom"/>
            <w:tcBorders>
              <w:top w:val="single" w:sz="8" w:color="auto"/>
              <w:bottom w:val="single" w:sz="8" w:color="auto"/>
            </w:tcBorders>
            <w:shd w:val="clear" w:color="auto" w:fill="EAEAEA"/>
          </w:tcPr>
          <w:p>
            <w:pPr>
              <w:spacing w:after="0"/>
              <w:rPr>
                <w:sz w:val="18"/>
                <w:szCs w:val="18"/>
                <w:color w:val="auto"/>
              </w:rPr>
            </w:pPr>
          </w:p>
        </w:tc>
        <w:tc>
          <w:tcPr>
            <w:tcW w:w="1080" w:type="dxa"/>
            <w:vAlign w:val="bottom"/>
            <w:tcBorders>
              <w:top w:val="single" w:sz="8" w:color="auto"/>
              <w:bottom w:val="single" w:sz="8" w:color="auto"/>
              <w:right w:val="single" w:sz="8" w:color="auto"/>
            </w:tcBorders>
            <w:shd w:val="clear" w:color="auto" w:fill="EAEAEA"/>
          </w:tcPr>
          <w:p>
            <w:pPr>
              <w:jc w:val="right"/>
              <w:ind w:right="283"/>
              <w:spacing w:after="0"/>
              <w:rPr>
                <w:sz w:val="20"/>
                <w:szCs w:val="20"/>
                <w:color w:val="auto"/>
              </w:rPr>
            </w:pPr>
            <w:r>
              <w:rPr>
                <w:rFonts w:ascii="Arial" w:cs="Arial" w:eastAsia="Arial" w:hAnsi="Arial"/>
                <w:sz w:val="15"/>
                <w:szCs w:val="15"/>
                <w:b w:val="1"/>
                <w:bCs w:val="1"/>
                <w:color w:val="auto"/>
              </w:rPr>
              <w:t>3Q20 (a)</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right w:val="single" w:sz="8" w:color="auto"/>
            </w:tcBorders>
          </w:tcPr>
          <w:p>
            <w:pPr>
              <w:jc w:val="right"/>
              <w:ind w:right="483"/>
              <w:spacing w:after="0"/>
              <w:rPr>
                <w:sz w:val="20"/>
                <w:szCs w:val="20"/>
                <w:color w:val="auto"/>
              </w:rPr>
            </w:pPr>
            <w:r>
              <w:rPr>
                <w:rFonts w:ascii="Arial" w:cs="Arial" w:eastAsia="Arial" w:hAnsi="Arial"/>
                <w:sz w:val="15"/>
                <w:szCs w:val="15"/>
                <w:color w:val="auto"/>
              </w:rPr>
              <w:t>3Q19</w:t>
            </w:r>
          </w:p>
        </w:tc>
        <w:tc>
          <w:tcPr>
            <w:tcW w:w="140" w:type="dxa"/>
            <w:vAlign w:val="bottom"/>
            <w:tcBorders>
              <w:top w:val="single" w:sz="8" w:color="auto"/>
              <w:bottom w:val="single" w:sz="8" w:color="auto"/>
            </w:tcBorders>
            <w:shd w:val="clear" w:color="auto" w:fill="EAEAEA"/>
          </w:tcPr>
          <w:p>
            <w:pPr>
              <w:spacing w:after="0"/>
              <w:rPr>
                <w:sz w:val="18"/>
                <w:szCs w:val="18"/>
                <w:color w:val="auto"/>
              </w:rPr>
            </w:pPr>
          </w:p>
        </w:tc>
        <w:tc>
          <w:tcPr>
            <w:tcW w:w="1180" w:type="dxa"/>
            <w:vAlign w:val="bottom"/>
            <w:tcBorders>
              <w:top w:val="single" w:sz="8" w:color="auto"/>
              <w:bottom w:val="single" w:sz="8" w:color="auto"/>
              <w:right w:val="single" w:sz="8" w:color="auto"/>
            </w:tcBorders>
            <w:shd w:val="clear" w:color="auto" w:fill="EAEAEA"/>
          </w:tcPr>
          <w:p>
            <w:pPr>
              <w:jc w:val="right"/>
              <w:ind w:right="123"/>
              <w:spacing w:after="0"/>
              <w:rPr>
                <w:sz w:val="20"/>
                <w:szCs w:val="20"/>
                <w:color w:val="auto"/>
              </w:rPr>
            </w:pPr>
            <w:r>
              <w:rPr>
                <w:rFonts w:ascii="Arial" w:cs="Arial" w:eastAsia="Arial" w:hAnsi="Arial"/>
                <w:sz w:val="15"/>
                <w:szCs w:val="15"/>
                <w:b w:val="1"/>
                <w:bCs w:val="1"/>
                <w:color w:val="auto"/>
              </w:rPr>
              <w:t>YTD 2020 (c)</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right w:val="single" w:sz="8" w:color="auto"/>
            </w:tcBorders>
          </w:tcPr>
          <w:p>
            <w:pPr>
              <w:jc w:val="right"/>
              <w:ind w:right="263"/>
              <w:spacing w:after="0"/>
              <w:rPr>
                <w:sz w:val="20"/>
                <w:szCs w:val="20"/>
                <w:color w:val="auto"/>
              </w:rPr>
            </w:pPr>
            <w:r>
              <w:rPr>
                <w:rFonts w:ascii="Arial" w:cs="Arial" w:eastAsia="Arial" w:hAnsi="Arial"/>
                <w:sz w:val="15"/>
                <w:szCs w:val="15"/>
                <w:color w:val="auto"/>
              </w:rPr>
              <w:t>YTD 2019</w:t>
            </w:r>
          </w:p>
        </w:tc>
      </w:tr>
      <w:tr>
        <w:trPr>
          <w:trHeight w:val="199"/>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200" w:type="dxa"/>
            <w:vAlign w:val="bottom"/>
            <w:tcBorders>
              <w:bottom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20,075</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16,241</w:t>
            </w: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58,093</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48,593</w:t>
            </w:r>
          </w:p>
        </w:tc>
      </w:tr>
      <w:tr>
        <w:trPr>
          <w:trHeight w:val="199"/>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Change in fair market value of publicly-traded equity securities</w:t>
            </w:r>
          </w:p>
        </w:tc>
        <w:tc>
          <w:tcPr>
            <w:tcW w:w="200" w:type="dxa"/>
            <w:vAlign w:val="bottom"/>
            <w:tcBorders>
              <w:bottom w:val="single" w:sz="8" w:color="auto"/>
            </w:tcBorders>
            <w:shd w:val="clear" w:color="auto" w:fill="EAEAEA"/>
          </w:tcPr>
          <w:p>
            <w:pPr>
              <w:spacing w:after="0"/>
              <w:rPr>
                <w:sz w:val="17"/>
                <w:szCs w:val="17"/>
                <w:color w:val="auto"/>
              </w:rPr>
            </w:pP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(643)</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AEAEA"/>
          </w:tcPr>
          <w:p>
            <w:pPr>
              <w:spacing w:after="0"/>
              <w:rPr>
                <w:sz w:val="17"/>
                <w:szCs w:val="17"/>
                <w:color w:val="auto"/>
              </w:rPr>
            </w:pPr>
          </w:p>
        </w:tc>
        <w:tc>
          <w:tcPr>
            <w:tcW w:w="1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(643)</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199"/>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w:t>
            </w:r>
          </w:p>
        </w:tc>
        <w:tc>
          <w:tcPr>
            <w:tcW w:w="200" w:type="dxa"/>
            <w:vAlign w:val="bottom"/>
            <w:tcBorders>
              <w:bottom w:val="single" w:sz="8" w:color="auto"/>
            </w:tcBorders>
            <w:shd w:val="clear" w:color="auto" w:fill="EAEAEA"/>
          </w:tcPr>
          <w:p>
            <w:pPr>
              <w:spacing w:after="0"/>
              <w:rPr>
                <w:sz w:val="17"/>
                <w:szCs w:val="17"/>
                <w:color w:val="auto"/>
              </w:rPr>
            </w:pP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(609)</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AEAEA"/>
          </w:tcPr>
          <w:p>
            <w:pPr>
              <w:spacing w:after="0"/>
              <w:rPr>
                <w:sz w:val="17"/>
                <w:szCs w:val="17"/>
                <w:color w:val="auto"/>
              </w:rPr>
            </w:pPr>
          </w:p>
        </w:tc>
        <w:tc>
          <w:tcPr>
            <w:tcW w:w="1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(609)</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199"/>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Adjusted (non-GAAP)</w:t>
            </w:r>
          </w:p>
        </w:tc>
        <w:tc>
          <w:tcPr>
            <w:tcW w:w="200" w:type="dxa"/>
            <w:vAlign w:val="bottom"/>
            <w:tcBorders>
              <w:bottom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right w:val="single" w:sz="8" w:color="auto"/>
            </w:tcBorders>
            <w:shd w:val="clear" w:color="auto" w:fill="EAEAEA"/>
          </w:tcPr>
          <w:p>
            <w:pPr>
              <w:jc w:val="right"/>
              <w:ind w:right="23"/>
              <w:spacing w:after="0"/>
              <w:rPr>
                <w:sz w:val="20"/>
                <w:szCs w:val="20"/>
                <w:color w:val="auto"/>
              </w:rPr>
            </w:pPr>
            <w:r>
              <w:rPr>
                <w:rFonts w:ascii="Arial" w:cs="Arial" w:eastAsia="Arial" w:hAnsi="Arial"/>
                <w:sz w:val="15"/>
                <w:szCs w:val="15"/>
                <w:b w:val="1"/>
                <w:bCs w:val="1"/>
                <w:color w:val="auto"/>
              </w:rPr>
              <w:t>18,823</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16,241</w:t>
            </w: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56,841</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48,593</w:t>
            </w:r>
          </w:p>
        </w:tc>
      </w:tr>
    </w:tbl>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GAAP consolidated revenues for 3Q20 were $20.08 billion, an increase of $3.83 billion, or 24 percent, from $16.24 billion in 3Q19. Total premiums and services revenues of $19.36 billion in 3Q20 increased $3.26 billion, or 20 percent, from $16.11 billion in 3Q19. The favorable year-over-year comparisons were primarily driven by higher premium revenues stemming from Medicare Advantage and state-based contracts membership growth, higher per member Medicare Advantage premiums, higher investment income primarily resulting from market gains associated with publicly-traded equity securities held by the company, and the receipt of payments associated with the commercial risk corridor receivables previously written-off. These increases were partially offset by the impact of declining year-over-year stand-alone PDP and fully-insured commercial medical membership.</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GAAP consolidated revenues for YTD 2020 increased $9.50 billion, or 20 percent, to $58.09 billion from $48.59 billion in YTD 2019. Total YTD 2020 premiums and services revenues rose to $57.15 billion, increasing $8.91 billion, or 18 percent, from $48.24 billion in the prior-year period. The YTD 2020 increases were primarily driven by the same factors impacting the quarterly GAAP comparison.</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Adjusted consolidated revenues for both 3Q20 and YTD 2020 were impacted by the same factors affecting the GAAP comparisons while excluding the impact of the factors detailed in the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Consolidated benefits expense</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460" w:type="dxa"/>
            <w:vAlign w:val="bottom"/>
            <w:tcBorders>
              <w:top w:val="single" w:sz="8" w:color="auto"/>
              <w:left w:val="single" w:sz="8" w:color="auto"/>
              <w:right w:val="single" w:sz="8" w:color="auto"/>
            </w:tcBorders>
          </w:tcPr>
          <w:p>
            <w:pPr>
              <w:ind w:left="40"/>
              <w:spacing w:after="0" w:line="168" w:lineRule="exact"/>
              <w:rPr>
                <w:sz w:val="20"/>
                <w:szCs w:val="20"/>
                <w:color w:val="auto"/>
              </w:rPr>
            </w:pPr>
            <w:r>
              <w:rPr>
                <w:rFonts w:ascii="Arial" w:cs="Arial" w:eastAsia="Arial" w:hAnsi="Arial"/>
                <w:sz w:val="15"/>
                <w:szCs w:val="15"/>
                <w:b w:val="1"/>
                <w:bCs w:val="1"/>
                <w:color w:val="auto"/>
              </w:rPr>
              <w:t>Consolidated benefit ratio</w:t>
            </w:r>
          </w:p>
        </w:tc>
        <w:tc>
          <w:tcPr>
            <w:tcW w:w="1340" w:type="dxa"/>
            <w:vAlign w:val="bottom"/>
            <w:tcBorders>
              <w:top w:val="single" w:sz="8" w:color="auto"/>
              <w:right w:val="single" w:sz="8" w:color="auto"/>
            </w:tcBorders>
            <w:gridSpan w:val="2"/>
            <w:vMerge w:val="restart"/>
            <w:shd w:val="clear" w:color="auto" w:fill="EAEAEA"/>
          </w:tcPr>
          <w:p>
            <w:pPr>
              <w:jc w:val="right"/>
              <w:ind w:right="303"/>
              <w:spacing w:after="0"/>
              <w:rPr>
                <w:sz w:val="20"/>
                <w:szCs w:val="20"/>
                <w:color w:val="auto"/>
              </w:rPr>
            </w:pPr>
            <w:r>
              <w:rPr>
                <w:rFonts w:ascii="Arial" w:cs="Arial" w:eastAsia="Arial" w:hAnsi="Arial"/>
                <w:sz w:val="15"/>
                <w:szCs w:val="15"/>
                <w:b w:val="1"/>
                <w:bCs w:val="1"/>
                <w:color w:val="auto"/>
              </w:rPr>
              <w:t>3Q20 (a)</w:t>
            </w:r>
          </w:p>
        </w:tc>
        <w:tc>
          <w:tcPr>
            <w:tcW w:w="1540" w:type="dxa"/>
            <w:vAlign w:val="bottom"/>
            <w:tcBorders>
              <w:top w:val="single" w:sz="8" w:color="auto"/>
              <w:right w:val="single" w:sz="8" w:color="auto"/>
            </w:tcBorders>
          </w:tcPr>
          <w:p>
            <w:pPr>
              <w:spacing w:after="0"/>
              <w:rPr>
                <w:sz w:val="14"/>
                <w:szCs w:val="14"/>
                <w:color w:val="auto"/>
              </w:rPr>
            </w:pPr>
          </w:p>
        </w:tc>
        <w:tc>
          <w:tcPr>
            <w:tcW w:w="1400" w:type="dxa"/>
            <w:vAlign w:val="bottom"/>
            <w:tcBorders>
              <w:top w:val="single" w:sz="8" w:color="auto"/>
              <w:right w:val="single" w:sz="8" w:color="auto"/>
            </w:tcBorders>
            <w:gridSpan w:val="2"/>
            <w:vMerge w:val="restart"/>
            <w:shd w:val="clear" w:color="auto" w:fill="EAEAEA"/>
          </w:tcPr>
          <w:p>
            <w:pPr>
              <w:jc w:val="right"/>
              <w:ind w:right="163"/>
              <w:spacing w:after="0"/>
              <w:rPr>
                <w:sz w:val="20"/>
                <w:szCs w:val="20"/>
                <w:color w:val="auto"/>
              </w:rPr>
            </w:pPr>
            <w:r>
              <w:rPr>
                <w:rFonts w:ascii="Arial" w:cs="Arial" w:eastAsia="Arial" w:hAnsi="Arial"/>
                <w:sz w:val="15"/>
                <w:szCs w:val="15"/>
                <w:b w:val="1"/>
                <w:bCs w:val="1"/>
                <w:color w:val="auto"/>
              </w:rPr>
              <w:t>YTD 2020 (c)</w:t>
            </w:r>
          </w:p>
        </w:tc>
        <w:tc>
          <w:tcPr>
            <w:tcW w:w="14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i w:val="1"/>
                <w:iCs w:val="1"/>
                <w:color w:val="auto"/>
              </w:rPr>
              <w:t>(benefits expense as a percent of premiums)</w:t>
            </w:r>
          </w:p>
        </w:tc>
        <w:tc>
          <w:tcPr>
            <w:tcW w:w="134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540" w:type="dxa"/>
            <w:vAlign w:val="bottom"/>
            <w:tcBorders>
              <w:bottom w:val="single" w:sz="8" w:color="auto"/>
              <w:right w:val="single" w:sz="8" w:color="auto"/>
            </w:tcBorders>
          </w:tcPr>
          <w:p>
            <w:pPr>
              <w:jc w:val="right"/>
              <w:ind w:right="523"/>
              <w:spacing w:after="0"/>
              <w:rPr>
                <w:sz w:val="20"/>
                <w:szCs w:val="20"/>
                <w:color w:val="auto"/>
              </w:rPr>
            </w:pPr>
            <w:r>
              <w:rPr>
                <w:rFonts w:ascii="Arial" w:cs="Arial" w:eastAsia="Arial" w:hAnsi="Arial"/>
                <w:sz w:val="15"/>
                <w:szCs w:val="15"/>
                <w:color w:val="auto"/>
              </w:rPr>
              <w:t>3Q19</w:t>
            </w:r>
          </w:p>
        </w:tc>
        <w:tc>
          <w:tcPr>
            <w:tcW w:w="140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440" w:type="dxa"/>
            <w:vAlign w:val="bottom"/>
            <w:tcBorders>
              <w:bottom w:val="single" w:sz="8" w:color="auto"/>
              <w:right w:val="single" w:sz="8" w:color="auto"/>
            </w:tcBorders>
          </w:tcPr>
          <w:p>
            <w:pPr>
              <w:jc w:val="right"/>
              <w:ind w:right="303"/>
              <w:spacing w:after="0"/>
              <w:rPr>
                <w:sz w:val="20"/>
                <w:szCs w:val="20"/>
                <w:color w:val="auto"/>
              </w:rPr>
            </w:pPr>
            <w:r>
              <w:rPr>
                <w:rFonts w:ascii="Arial" w:cs="Arial" w:eastAsia="Arial" w:hAnsi="Arial"/>
                <w:sz w:val="15"/>
                <w:szCs w:val="15"/>
                <w:color w:val="auto"/>
              </w:rPr>
              <w:t>YTD 2019</w:t>
            </w:r>
          </w:p>
        </w:tc>
        <w:tc>
          <w:tcPr>
            <w:tcW w:w="0" w:type="dxa"/>
            <w:vAlign w:val="bottom"/>
          </w:tcPr>
          <w:p>
            <w:pPr>
              <w:spacing w:after="0"/>
              <w:rPr>
                <w:sz w:val="1"/>
                <w:szCs w:val="1"/>
                <w:color w:val="auto"/>
              </w:rPr>
            </w:pPr>
          </w:p>
        </w:tc>
      </w:tr>
      <w:tr>
        <w:trPr>
          <w:trHeight w:val="200"/>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82.6</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85.0 %</w:t>
            </w: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81.4</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r>
        <w:trPr>
          <w:trHeight w:val="199"/>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2.7</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0.9</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9"/>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Adjusted (non-GAAP)</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85.3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85.0 %</w:t>
            </w: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82.3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39" w:right="339" w:bottom="1440" w:gutter="0" w:footer="0" w:header="0"/>
        </w:sectPr>
      </w:pPr>
    </w:p>
    <w:bookmarkStart w:id="21" w:name="page22"/>
    <w:bookmarkEnd w:id="21"/>
    <w:p>
      <w:pPr>
        <w:jc w:val="both"/>
        <w:spacing w:after="0"/>
        <w:rPr>
          <w:sz w:val="20"/>
          <w:szCs w:val="20"/>
          <w:color w:val="auto"/>
        </w:rPr>
      </w:pPr>
      <w:r>
        <w:rPr>
          <w:rFonts w:ascii="Arial" w:cs="Arial" w:eastAsia="Arial" w:hAnsi="Arial"/>
          <w:sz w:val="19"/>
          <w:szCs w:val="19"/>
          <w:color w:val="auto"/>
        </w:rPr>
        <w:t>The 3Q20 and YTD 2020 GAAP consolidated benefit ratios of 82.6 percent and 81.4 percent, respectively, compared to the 3Q19 and YTD 2019 GAAP consolidated benefit ratios of 85.0 percent and 85.2 percent, respectively. The year-over-year decline in the quarterly and YTD comparisons reflect the impact of the following factors:</w:t>
      </w:r>
    </w:p>
    <w:p>
      <w:pPr>
        <w:spacing w:after="0" w:line="2" w:lineRule="exact"/>
        <w:rPr>
          <w:sz w:val="20"/>
          <w:szCs w:val="20"/>
          <w:color w:val="auto"/>
        </w:rPr>
      </w:pPr>
    </w:p>
    <w:p>
      <w:pPr>
        <w:ind w:left="580" w:hanging="267"/>
        <w:spacing w:after="0"/>
        <w:tabs>
          <w:tab w:leader="none" w:pos="5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receipt of commercial risk corridor receivables previously written off,</w:t>
      </w:r>
    </w:p>
    <w:p>
      <w:pPr>
        <w:jc w:val="both"/>
        <w:ind w:left="620" w:hanging="307"/>
        <w:spacing w:after="0"/>
        <w:tabs>
          <w:tab w:leader="none" w:pos="583" w:val="left"/>
        </w:tabs>
        <w:numPr>
          <w:ilvl w:val="0"/>
          <w:numId w:val="13"/>
        </w:numPr>
        <w:rPr>
          <w:rFonts w:ascii="Arial" w:cs="Arial" w:eastAsia="Arial" w:hAnsi="Arial"/>
          <w:sz w:val="19"/>
          <w:szCs w:val="19"/>
          <w:color w:val="auto"/>
        </w:rPr>
      </w:pPr>
      <w:r>
        <w:rPr>
          <w:rFonts w:ascii="Arial" w:cs="Arial" w:eastAsia="Arial" w:hAnsi="Arial"/>
          <w:sz w:val="19"/>
          <w:szCs w:val="19"/>
          <w:color w:val="auto"/>
        </w:rPr>
        <w:t>temporary deferral of non-essential care amid the COVID-19 pandemic; as previously discussed, utilization continued to rebound from historic lows in the second quarter of 2020, ending 3Q20 at approximately 95 percent of historic baseline levels, and</w:t>
      </w:r>
    </w:p>
    <w:p>
      <w:pPr>
        <w:spacing w:after="0" w:line="2" w:lineRule="exact"/>
        <w:rPr>
          <w:rFonts w:ascii="Arial" w:cs="Arial" w:eastAsia="Arial" w:hAnsi="Arial"/>
          <w:sz w:val="19"/>
          <w:szCs w:val="19"/>
          <w:color w:val="auto"/>
        </w:rPr>
      </w:pPr>
    </w:p>
    <w:p>
      <w:pPr>
        <w:ind w:left="620" w:hanging="307"/>
        <w:spacing w:after="0" w:line="250" w:lineRule="auto"/>
        <w:tabs>
          <w:tab w:leader="none" w:pos="583"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reinstatement of the non-deductible health insurance industry fee (HIF) in 2020 that was contemplated in the pricing and benefit design of the company's products.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These factors were partially offset by COVID-19 testing and treatment costs along with the company's ongoing pandemic relief efforts. These relief efforts include the waiver of all cost sharing for in-network primary care, outpatient behavioral health, and telehealth visits for its Medicare Advantage members, continued delivery of meals to senior members in need, the distribution of in-home preventive screening kits to members, establishment of a clinical outreach team to proactively engage with the company's most vulnerable members, and various provider and employer group support initiatives.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Adjusted consolidated benefit ratio for both 3Q20 and YTD 2020 were impacted by the same factors affecting the GAAP comparisons while excluding the receipt of commercial risk corridors receivables in 3Q20 that were previously written off.</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Prior Period Medical Claims Reserve Development (Prior Period Development)</w:t>
      </w:r>
    </w:p>
    <w:p>
      <w:pPr>
        <w:spacing w:after="0" w:line="240" w:lineRule="exact"/>
        <w:rPr>
          <w:sz w:val="20"/>
          <w:szCs w:val="20"/>
          <w:color w:val="auto"/>
        </w:rPr>
      </w:pPr>
    </w:p>
    <w:tbl>
      <w:tblPr>
        <w:tblLayout w:type="fixed"/>
        <w:tblInd w:w="450" w:type="dxa"/>
        <w:tblCellMar>
          <w:top w:w="0" w:type="dxa"/>
          <w:left w:w="0" w:type="dxa"/>
          <w:bottom w:w="0" w:type="dxa"/>
          <w:right w:w="0" w:type="dxa"/>
        </w:tblCellMar>
      </w:tblPr>
      <w:tr>
        <w:trPr>
          <w:trHeight w:val="168"/>
        </w:trPr>
        <w:tc>
          <w:tcPr>
            <w:tcW w:w="5420" w:type="dxa"/>
            <w:vAlign w:val="bottom"/>
            <w:tcBorders>
              <w:top w:val="single" w:sz="8" w:color="auto"/>
              <w:left w:val="single" w:sz="8" w:color="auto"/>
              <w:right w:val="single" w:sz="8" w:color="auto"/>
            </w:tcBorders>
          </w:tcPr>
          <w:p>
            <w:pPr>
              <w:ind w:left="40"/>
              <w:spacing w:after="0" w:line="168" w:lineRule="exact"/>
              <w:rPr>
                <w:sz w:val="20"/>
                <w:szCs w:val="20"/>
                <w:color w:val="auto"/>
              </w:rPr>
            </w:pPr>
            <w:r>
              <w:rPr>
                <w:rFonts w:ascii="Arial" w:cs="Arial" w:eastAsia="Arial" w:hAnsi="Arial"/>
                <w:sz w:val="15"/>
                <w:szCs w:val="15"/>
                <w:b w:val="1"/>
                <w:bCs w:val="1"/>
                <w:color w:val="auto"/>
              </w:rPr>
              <w:t>Consolidated Prior Period Development (in millions)</w:t>
            </w:r>
          </w:p>
        </w:tc>
        <w:tc>
          <w:tcPr>
            <w:tcW w:w="122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rPr>
              <w:t>First</w:t>
            </w:r>
          </w:p>
        </w:tc>
        <w:tc>
          <w:tcPr>
            <w:tcW w:w="1200" w:type="dxa"/>
            <w:vAlign w:val="bottom"/>
            <w:tcBorders>
              <w:top w:val="single" w:sz="8" w:color="auto"/>
              <w:right w:val="single" w:sz="8" w:color="auto"/>
            </w:tcBorders>
          </w:tcPr>
          <w:p>
            <w:pPr>
              <w:ind w:left="300"/>
              <w:spacing w:after="0" w:line="168" w:lineRule="exact"/>
              <w:rPr>
                <w:sz w:val="20"/>
                <w:szCs w:val="20"/>
                <w:color w:val="auto"/>
              </w:rPr>
            </w:pPr>
            <w:r>
              <w:rPr>
                <w:rFonts w:ascii="Arial" w:cs="Arial" w:eastAsia="Arial" w:hAnsi="Arial"/>
                <w:sz w:val="15"/>
                <w:szCs w:val="15"/>
                <w:b w:val="1"/>
                <w:bCs w:val="1"/>
                <w:color w:val="auto"/>
              </w:rPr>
              <w:t>Second</w:t>
            </w:r>
          </w:p>
        </w:tc>
        <w:tc>
          <w:tcPr>
            <w:tcW w:w="124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rPr>
              <w:t>Third</w:t>
            </w:r>
          </w:p>
        </w:tc>
        <w:tc>
          <w:tcPr>
            <w:tcW w:w="130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5"/>
                <w:szCs w:val="15"/>
                <w:b w:val="1"/>
                <w:bCs w:val="1"/>
                <w:color w:val="auto"/>
              </w:rPr>
              <w:t>YTD</w:t>
            </w:r>
          </w:p>
        </w:tc>
        <w:tc>
          <w:tcPr>
            <w:tcW w:w="0" w:type="dxa"/>
            <w:vAlign w:val="bottom"/>
          </w:tcPr>
          <w:p>
            <w:pPr>
              <w:spacing w:after="0"/>
              <w:rPr>
                <w:sz w:val="1"/>
                <w:szCs w:val="1"/>
                <w:color w:val="auto"/>
              </w:rPr>
            </w:pPr>
          </w:p>
        </w:tc>
      </w:tr>
      <w:tr>
        <w:trPr>
          <w:trHeight w:val="205"/>
        </w:trPr>
        <w:tc>
          <w:tcPr>
            <w:tcW w:w="5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Favorable (unfavorable)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Quarter</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5"/>
                <w:szCs w:val="15"/>
                <w:b w:val="1"/>
                <w:bCs w:val="1"/>
                <w:color w:val="auto"/>
              </w:rPr>
              <w:t>Quarter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Quarter</w:t>
            </w:r>
          </w:p>
        </w:tc>
        <w:tc>
          <w:tcPr>
            <w:tcW w:w="13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Prior Period Development from prior years recognized in 2020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$284</w:t>
            </w:r>
          </w:p>
        </w:tc>
        <w:tc>
          <w:tcPr>
            <w:tcW w:w="120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$(49)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$43</w:t>
            </w:r>
          </w:p>
        </w:tc>
        <w:tc>
          <w:tcPr>
            <w:tcW w:w="13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5"/>
                <w:szCs w:val="15"/>
                <w:b w:val="1"/>
                <w:bCs w:val="1"/>
                <w:color w:val="auto"/>
              </w:rPr>
              <w:t>$278</w:t>
            </w:r>
          </w:p>
        </w:tc>
        <w:tc>
          <w:tcPr>
            <w:tcW w:w="0" w:type="dxa"/>
            <w:vAlign w:val="bottom"/>
          </w:tcPr>
          <w:p>
            <w:pPr>
              <w:spacing w:after="0"/>
              <w:rPr>
                <w:sz w:val="1"/>
                <w:szCs w:val="1"/>
                <w:color w:val="auto"/>
              </w:rPr>
            </w:pPr>
          </w:p>
        </w:tc>
      </w:tr>
      <w:tr>
        <w:trPr>
          <w:trHeight w:val="198"/>
        </w:trPr>
        <w:tc>
          <w:tcPr>
            <w:tcW w:w="5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Prior Period Development from prior years recognized in 2019</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$267</w:t>
            </w:r>
          </w:p>
        </w:tc>
        <w:tc>
          <w:tcPr>
            <w:tcW w:w="1200" w:type="dxa"/>
            <w:vAlign w:val="bottom"/>
            <w:tcBorders>
              <w:bottom w:val="single" w:sz="8" w:color="auto"/>
              <w:right w:val="single" w:sz="8" w:color="auto"/>
            </w:tcBorders>
          </w:tcPr>
          <w:p>
            <w:pPr>
              <w:jc w:val="right"/>
              <w:ind w:right="443"/>
              <w:spacing w:after="0"/>
              <w:rPr>
                <w:sz w:val="20"/>
                <w:szCs w:val="20"/>
                <w:color w:val="auto"/>
              </w:rPr>
            </w:pPr>
            <w:r>
              <w:rPr>
                <w:rFonts w:ascii="Arial" w:cs="Arial" w:eastAsia="Arial" w:hAnsi="Arial"/>
                <w:sz w:val="15"/>
                <w:szCs w:val="15"/>
                <w:color w:val="auto"/>
              </w:rPr>
              <w:t>$8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$56</w:t>
            </w:r>
          </w:p>
        </w:tc>
        <w:tc>
          <w:tcPr>
            <w:tcW w:w="13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Favorable Prior Period Development decreased the consolidated benefit ratio by 20 basis points in 3Q20 and decreased the 3Q19 ratio by 40 basis points. Favorable Prior Period Development decreased the YTD 2020 consolidated benefit ratio by 50 basis points and decreased the YTD 2019 consolidated benefit ratio by 70 basis points.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Consolidated operating expenses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460" w:type="dxa"/>
            <w:vAlign w:val="bottom"/>
            <w:tcBorders>
              <w:top w:val="single" w:sz="8" w:color="auto"/>
              <w:left w:val="single" w:sz="8" w:color="auto"/>
              <w:right w:val="single" w:sz="8" w:color="auto"/>
            </w:tcBorders>
          </w:tcPr>
          <w:p>
            <w:pPr>
              <w:ind w:left="40"/>
              <w:spacing w:after="0" w:line="168" w:lineRule="exact"/>
              <w:rPr>
                <w:sz w:val="20"/>
                <w:szCs w:val="20"/>
                <w:color w:val="auto"/>
              </w:rPr>
            </w:pPr>
            <w:r>
              <w:rPr>
                <w:rFonts w:ascii="Arial" w:cs="Arial" w:eastAsia="Arial" w:hAnsi="Arial"/>
                <w:sz w:val="15"/>
                <w:szCs w:val="15"/>
                <w:b w:val="1"/>
                <w:bCs w:val="1"/>
                <w:color w:val="auto"/>
              </w:rPr>
              <w:t>Consolidated operating cost ratio</w:t>
            </w:r>
          </w:p>
        </w:tc>
        <w:tc>
          <w:tcPr>
            <w:tcW w:w="1320" w:type="dxa"/>
            <w:vAlign w:val="bottom"/>
            <w:tcBorders>
              <w:top w:val="single" w:sz="8" w:color="auto"/>
              <w:right w:val="single" w:sz="8" w:color="auto"/>
            </w:tcBorders>
            <w:gridSpan w:val="2"/>
            <w:vMerge w:val="restart"/>
            <w:shd w:val="clear" w:color="auto" w:fill="EAEAEA"/>
          </w:tcPr>
          <w:p>
            <w:pPr>
              <w:jc w:val="right"/>
              <w:ind w:right="303"/>
              <w:spacing w:after="0"/>
              <w:rPr>
                <w:sz w:val="20"/>
                <w:szCs w:val="20"/>
                <w:color w:val="auto"/>
              </w:rPr>
            </w:pPr>
            <w:r>
              <w:rPr>
                <w:rFonts w:ascii="Arial" w:cs="Arial" w:eastAsia="Arial" w:hAnsi="Arial"/>
                <w:sz w:val="15"/>
                <w:szCs w:val="15"/>
                <w:b w:val="1"/>
                <w:bCs w:val="1"/>
                <w:color w:val="auto"/>
              </w:rPr>
              <w:t>3Q20 (a)</w:t>
            </w:r>
          </w:p>
        </w:tc>
        <w:tc>
          <w:tcPr>
            <w:tcW w:w="1540" w:type="dxa"/>
            <w:vAlign w:val="bottom"/>
            <w:tcBorders>
              <w:top w:val="single" w:sz="8" w:color="auto"/>
              <w:right w:val="single" w:sz="8" w:color="auto"/>
            </w:tcBorders>
          </w:tcPr>
          <w:p>
            <w:pPr>
              <w:spacing w:after="0"/>
              <w:rPr>
                <w:sz w:val="14"/>
                <w:szCs w:val="14"/>
                <w:color w:val="auto"/>
              </w:rPr>
            </w:pPr>
          </w:p>
        </w:tc>
        <w:tc>
          <w:tcPr>
            <w:tcW w:w="1420" w:type="dxa"/>
            <w:vAlign w:val="bottom"/>
            <w:tcBorders>
              <w:top w:val="single" w:sz="8" w:color="auto"/>
              <w:right w:val="single" w:sz="8" w:color="auto"/>
            </w:tcBorders>
            <w:gridSpan w:val="2"/>
            <w:vMerge w:val="restart"/>
            <w:shd w:val="clear" w:color="auto" w:fill="EAEAEA"/>
          </w:tcPr>
          <w:p>
            <w:pPr>
              <w:jc w:val="right"/>
              <w:ind w:right="183"/>
              <w:spacing w:after="0"/>
              <w:rPr>
                <w:sz w:val="20"/>
                <w:szCs w:val="20"/>
                <w:color w:val="auto"/>
              </w:rPr>
            </w:pPr>
            <w:r>
              <w:rPr>
                <w:rFonts w:ascii="Arial" w:cs="Arial" w:eastAsia="Arial" w:hAnsi="Arial"/>
                <w:sz w:val="15"/>
                <w:szCs w:val="15"/>
                <w:b w:val="1"/>
                <w:bCs w:val="1"/>
                <w:color w:val="auto"/>
              </w:rPr>
              <w:t>YTD 2020 (c)</w:t>
            </w:r>
          </w:p>
        </w:tc>
        <w:tc>
          <w:tcPr>
            <w:tcW w:w="14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(operating costs as a percent of total revenues less investment income)</w:t>
            </w:r>
          </w:p>
        </w:tc>
        <w:tc>
          <w:tcPr>
            <w:tcW w:w="132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540" w:type="dxa"/>
            <w:vAlign w:val="bottom"/>
            <w:tcBorders>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color w:val="auto"/>
              </w:rPr>
              <w:t>3Q19 (b)</w:t>
            </w:r>
          </w:p>
        </w:tc>
        <w:tc>
          <w:tcPr>
            <w:tcW w:w="142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44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5"/>
                <w:szCs w:val="15"/>
                <w:color w:val="auto"/>
              </w:rPr>
              <w:t>YTD 2019 (d)</w:t>
            </w:r>
          </w:p>
        </w:tc>
        <w:tc>
          <w:tcPr>
            <w:tcW w:w="0" w:type="dxa"/>
            <w:vAlign w:val="bottom"/>
          </w:tcPr>
          <w:p>
            <w:pPr>
              <w:spacing w:after="0"/>
              <w:rPr>
                <w:sz w:val="1"/>
                <w:szCs w:val="1"/>
                <w:color w:val="auto"/>
              </w:rPr>
            </w:pPr>
          </w:p>
        </w:tc>
      </w:tr>
      <w:tr>
        <w:trPr>
          <w:trHeight w:val="199"/>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13.0</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11.7 %</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12.2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10.9 %</w:t>
            </w:r>
          </w:p>
        </w:tc>
        <w:tc>
          <w:tcPr>
            <w:tcW w:w="0" w:type="dxa"/>
            <w:vAlign w:val="bottom"/>
          </w:tcPr>
          <w:p>
            <w:pPr>
              <w:spacing w:after="0"/>
              <w:rPr>
                <w:sz w:val="1"/>
                <w:szCs w:val="1"/>
                <w:color w:val="auto"/>
              </w:rPr>
            </w:pPr>
          </w:p>
        </w:tc>
      </w:tr>
      <w:tr>
        <w:trPr>
          <w:trHeight w:val="199"/>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Receipt of commercial risk corridor receivables previously written off, net</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0.2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0.1</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9"/>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Charges associated with workforce optimization</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right w:val="single" w:sz="8" w:color="auto"/>
            </w:tcBorders>
            <w:shd w:val="clear" w:color="auto" w:fill="EAEAEA"/>
          </w:tcPr>
          <w:p>
            <w:pPr>
              <w:spacing w:after="0"/>
              <w:rPr>
                <w:sz w:val="17"/>
                <w:szCs w:val="17"/>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9"/>
        </w:trPr>
        <w:tc>
          <w:tcPr>
            <w:tcW w:w="5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Adjusted (non-GAAP)</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13.2</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11.4 %</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12.3</w:t>
            </w:r>
          </w:p>
        </w:tc>
        <w:tc>
          <w:tcPr>
            <w:tcW w:w="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w w:val="89"/>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10.8 %</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The 3Q20 GAAP consolidated operating cost ratio (operating costs as a percent of total revenues less investment income) of 13.0 percent increased 130 basis points from the 3Q19 ratio of 11.7 percent. The increase was primarily related to the following factors:</w:t>
      </w:r>
    </w:p>
    <w:p>
      <w:pPr>
        <w:spacing w:after="0" w:line="167" w:lineRule="exact"/>
        <w:rPr>
          <w:sz w:val="20"/>
          <w:szCs w:val="20"/>
          <w:color w:val="auto"/>
        </w:rPr>
      </w:pPr>
    </w:p>
    <w:p>
      <w:pPr>
        <w:ind w:left="620" w:hanging="307"/>
        <w:spacing w:after="0" w:line="250" w:lineRule="auto"/>
        <w:tabs>
          <w:tab w:leader="none" w:pos="583"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reinstatement of the non-deductible HIF in 2020, which increased the consolidated GAAP operating cost ratio by approximately 150 basis points in 3Q20; and</w:t>
      </w:r>
    </w:p>
    <w:p>
      <w:pPr>
        <w:spacing w:after="0" w:line="189" w:lineRule="exact"/>
        <w:rPr>
          <w:rFonts w:ascii="Arial" w:cs="Arial" w:eastAsia="Arial" w:hAnsi="Arial"/>
          <w:sz w:val="19"/>
          <w:szCs w:val="19"/>
          <w:color w:val="auto"/>
        </w:rPr>
      </w:pPr>
    </w:p>
    <w:p>
      <w:pPr>
        <w:jc w:val="both"/>
        <w:ind w:left="620" w:hanging="307"/>
        <w:spacing w:after="0" w:line="245" w:lineRule="auto"/>
        <w:tabs>
          <w:tab w:leader="none" w:pos="583"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COVID-19 related administrative costs, including those associated with purchasing personal protective equipment for the company's clinicians, member response efforts, and the build-out of infrastructure necessary to support employees working remotely.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64" w:right="339" w:bottom="1440" w:gutter="0" w:footer="0" w:header="0"/>
        </w:sectPr>
      </w:pPr>
    </w:p>
    <w:bookmarkStart w:id="22" w:name="page23"/>
    <w:bookmarkEnd w:id="22"/>
    <w:p>
      <w:pPr>
        <w:spacing w:after="0"/>
        <w:rPr>
          <w:sz w:val="20"/>
          <w:szCs w:val="20"/>
          <w:color w:val="auto"/>
        </w:rPr>
      </w:pPr>
      <w:r>
        <w:rPr>
          <w:rFonts w:ascii="Arial" w:cs="Arial" w:eastAsia="Arial" w:hAnsi="Arial"/>
          <w:sz w:val="19"/>
          <w:szCs w:val="19"/>
          <w:color w:val="auto"/>
        </w:rPr>
        <w:t>The above items were partially offset by the following items:</w:t>
      </w:r>
    </w:p>
    <w:p>
      <w:pPr>
        <w:spacing w:after="0" w:line="207" w:lineRule="exact"/>
        <w:rPr>
          <w:sz w:val="20"/>
          <w:szCs w:val="20"/>
          <w:color w:val="auto"/>
        </w:rPr>
      </w:pPr>
    </w:p>
    <w:p>
      <w:pPr>
        <w:ind w:left="580" w:hanging="267"/>
        <w:spacing w:after="0"/>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scale efficiencies associated with growth in the company's Medicare Advantage membership,</w:t>
      </w:r>
    </w:p>
    <w:p>
      <w:pPr>
        <w:spacing w:after="0" w:line="206" w:lineRule="exact"/>
        <w:rPr>
          <w:rFonts w:ascii="Arial" w:cs="Arial" w:eastAsia="Arial" w:hAnsi="Arial"/>
          <w:sz w:val="19"/>
          <w:szCs w:val="19"/>
          <w:color w:val="auto"/>
        </w:rPr>
      </w:pPr>
    </w:p>
    <w:p>
      <w:pPr>
        <w:ind w:left="580" w:hanging="267"/>
        <w:spacing w:after="0"/>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significant operating cost efficiencies in 3Q20 driven by previously disclosed productivity initiatives,</w:t>
      </w:r>
    </w:p>
    <w:p>
      <w:pPr>
        <w:spacing w:after="0" w:line="206" w:lineRule="exact"/>
        <w:rPr>
          <w:rFonts w:ascii="Arial" w:cs="Arial" w:eastAsia="Arial" w:hAnsi="Arial"/>
          <w:sz w:val="19"/>
          <w:szCs w:val="19"/>
          <w:color w:val="auto"/>
        </w:rPr>
      </w:pPr>
    </w:p>
    <w:p>
      <w:pPr>
        <w:ind w:left="580" w:hanging="267"/>
        <w:spacing w:after="0"/>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charges associated with workforce optimization in 3Q19 that did not recur in 3Q20, and</w:t>
      </w:r>
    </w:p>
    <w:p>
      <w:pPr>
        <w:spacing w:after="0" w:line="206" w:lineRule="exact"/>
        <w:rPr>
          <w:rFonts w:ascii="Arial" w:cs="Arial" w:eastAsia="Arial" w:hAnsi="Arial"/>
          <w:sz w:val="19"/>
          <w:szCs w:val="19"/>
          <w:color w:val="auto"/>
        </w:rPr>
      </w:pPr>
    </w:p>
    <w:p>
      <w:pPr>
        <w:ind w:left="580" w:hanging="267"/>
        <w:spacing w:after="0"/>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net impact of the receipt of commercial risk corridor receivables previously written off.</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130 basis point increase in the YTD 2020 GAAP consolidated operating cost ratio of 12.2 percent from 10.9 percent in YTD 2019 was primarily impacted by the same factors influencing the third quarter GAAP comparison, along with the $200 million of contributions to the Humana Foundation in the first half of 2020 to support the communities served by the company, particularly those with social and health disparities. The non-deductible HIF increased the YTD 2020 consolidated GAAP operating cost ratio by approximately 150 basis points.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Adjusted consolidated operating cost ratio for both 3Q20 and YTD 2020 were impacted by the same factors affecting the GAAP comparisons while excluding the impact of the factors detailed in the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w:t>
      </w:r>
    </w:p>
    <w:p>
      <w:pPr>
        <w:spacing w:after="0" w:line="226" w:lineRule="exact"/>
        <w:rPr>
          <w:sz w:val="20"/>
          <w:szCs w:val="20"/>
          <w:color w:val="auto"/>
        </w:rPr>
      </w:pPr>
    </w:p>
    <w:p>
      <w:pPr>
        <w:jc w:val="both"/>
        <w:ind w:left="620" w:hanging="307"/>
        <w:spacing w:after="0" w:line="243" w:lineRule="auto"/>
        <w:tabs>
          <w:tab w:leader="none" w:pos="583" w:val="left"/>
        </w:tabs>
        <w:numPr>
          <w:ilvl w:val="0"/>
          <w:numId w:val="16"/>
        </w:numPr>
        <w:rPr>
          <w:rFonts w:ascii="Arial" w:cs="Arial" w:eastAsia="Arial" w:hAnsi="Arial"/>
          <w:sz w:val="19"/>
          <w:szCs w:val="19"/>
          <w:color w:val="auto"/>
        </w:rPr>
      </w:pPr>
      <w:r>
        <w:rPr>
          <w:rFonts w:ascii="Arial" w:cs="Arial" w:eastAsia="Arial" w:hAnsi="Arial"/>
          <w:sz w:val="19"/>
          <w:szCs w:val="19"/>
          <w:color w:val="auto"/>
        </w:rPr>
        <w:t>At September 30, 2020, the company had cash, cash equivalents, and investment securities of $21.83 billion, up approximately $1.44 billion, or 7 percent, from $20.39 billion at June 30, 2020 primarily resulting from strong operating cash flows during the quarter. Detailed changes are outlined in the company’s consolidated statement of cash flows on pages S-6 of the statistical supplement included in this release.</w:t>
      </w:r>
    </w:p>
    <w:p>
      <w:pPr>
        <w:spacing w:after="0" w:line="146" w:lineRule="exact"/>
        <w:rPr>
          <w:rFonts w:ascii="Arial" w:cs="Arial" w:eastAsia="Arial" w:hAnsi="Arial"/>
          <w:sz w:val="19"/>
          <w:szCs w:val="19"/>
          <w:color w:val="auto"/>
        </w:rPr>
      </w:pPr>
    </w:p>
    <w:p>
      <w:pPr>
        <w:jc w:val="both"/>
        <w:ind w:left="620" w:hanging="307"/>
        <w:spacing w:after="0" w:line="243" w:lineRule="auto"/>
        <w:tabs>
          <w:tab w:leader="none" w:pos="583" w:val="left"/>
        </w:tabs>
        <w:numPr>
          <w:ilvl w:val="0"/>
          <w:numId w:val="16"/>
        </w:numPr>
        <w:rPr>
          <w:rFonts w:ascii="Arial" w:cs="Arial" w:eastAsia="Arial" w:hAnsi="Arial"/>
          <w:sz w:val="19"/>
          <w:szCs w:val="19"/>
          <w:color w:val="auto"/>
        </w:rPr>
      </w:pPr>
      <w:r>
        <w:rPr>
          <w:rFonts w:ascii="Arial" w:cs="Arial" w:eastAsia="Arial" w:hAnsi="Arial"/>
          <w:sz w:val="19"/>
          <w:szCs w:val="19"/>
          <w:color w:val="auto"/>
        </w:rPr>
        <w:t>At September 30, 2020, cash and short-term investments held at the parent company of $2.42 billion decreased approximately $30 million, or 1 percent, from $2.45 billion at June 30, 2020. The sequential change primarily reflects non-regulated subsidiary earnings that were more than offset by capital expenditures, cash dividends to shareholders, and capital contributions to certain subsidiaries.</w:t>
      </w:r>
    </w:p>
    <w:p>
      <w:pPr>
        <w:spacing w:after="0" w:line="146" w:lineRule="exact"/>
        <w:rPr>
          <w:rFonts w:ascii="Arial" w:cs="Arial" w:eastAsia="Arial" w:hAnsi="Arial"/>
          <w:sz w:val="19"/>
          <w:szCs w:val="19"/>
          <w:color w:val="auto"/>
        </w:rPr>
      </w:pPr>
    </w:p>
    <w:p>
      <w:pPr>
        <w:jc w:val="both"/>
        <w:ind w:left="620" w:hanging="307"/>
        <w:spacing w:after="0" w:line="243" w:lineRule="auto"/>
        <w:tabs>
          <w:tab w:leader="none" w:pos="583" w:val="left"/>
        </w:tabs>
        <w:numPr>
          <w:ilvl w:val="0"/>
          <w:numId w:val="16"/>
        </w:numPr>
        <w:rPr>
          <w:rFonts w:ascii="Arial" w:cs="Arial" w:eastAsia="Arial" w:hAnsi="Arial"/>
          <w:sz w:val="19"/>
          <w:szCs w:val="19"/>
          <w:color w:val="auto"/>
        </w:rPr>
      </w:pPr>
      <w:r>
        <w:rPr>
          <w:rFonts w:ascii="Arial" w:cs="Arial" w:eastAsia="Arial" w:hAnsi="Arial"/>
          <w:sz w:val="19"/>
          <w:szCs w:val="19"/>
          <w:color w:val="auto"/>
        </w:rPr>
        <w:t>Days in claims payable (DCP) of 48.4 days at September 30, 2020, decreased by 2.8 days from 51.2 days at June 30, 2020 but increased 5.6 days from 42.8 days at September 30, 2019. The sequential decline primarily resulted from increasing utilization levels during 3Q20 compared to significantly depressed levels in the second quarter, particularly early in the quarter, that reduced average benefits expense per day. As utilization levels normalized in 3Q20, so too did the average benefits expenses per day.</w:t>
      </w:r>
    </w:p>
    <w:p>
      <w:pPr>
        <w:spacing w:after="0" w:line="144" w:lineRule="exact"/>
        <w:rPr>
          <w:sz w:val="20"/>
          <w:szCs w:val="20"/>
          <w:color w:val="auto"/>
        </w:rPr>
      </w:pPr>
    </w:p>
    <w:p>
      <w:pPr>
        <w:ind w:left="620"/>
        <w:spacing w:after="0" w:line="250" w:lineRule="auto"/>
        <w:rPr>
          <w:sz w:val="20"/>
          <w:szCs w:val="20"/>
          <w:color w:val="auto"/>
        </w:rPr>
      </w:pPr>
      <w:r>
        <w:rPr>
          <w:rFonts w:ascii="Arial" w:cs="Arial" w:eastAsia="Arial" w:hAnsi="Arial"/>
          <w:sz w:val="19"/>
          <w:szCs w:val="19"/>
          <w:color w:val="auto"/>
        </w:rPr>
        <w:t>The year-over-year increase in DCP primarily reflects the previously discussed lower utilization levels during YTD 2020 compared to YTD 2019, which led to higher provider surplus accruals related to the company's risk sharing arrangements.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Changes are outlined in the DCP rollforward on page S-19 of the statistical supplement included in this release.</w:t>
      </w:r>
    </w:p>
    <w:p>
      <w:pPr>
        <w:spacing w:after="0" w:line="155" w:lineRule="exact"/>
        <w:rPr>
          <w:sz w:val="20"/>
          <w:szCs w:val="20"/>
          <w:color w:val="auto"/>
        </w:rPr>
      </w:pPr>
    </w:p>
    <w:p>
      <w:pPr>
        <w:ind w:left="620" w:hanging="307"/>
        <w:spacing w:after="0" w:line="250" w:lineRule="auto"/>
        <w:tabs>
          <w:tab w:leader="none" w:pos="583"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Debt-to-total capitalization at September 30, 2020 was 33.0 percent, down 210 basis points from 35.1 percent at June 30, 2020 primarily resulting from the net impact of 3Q20 earnings.</w:t>
      </w:r>
    </w:p>
    <w:p>
      <w:pPr>
        <w:spacing w:after="0" w:line="138" w:lineRule="exact"/>
        <w:rPr>
          <w:sz w:val="20"/>
          <w:szCs w:val="20"/>
          <w:color w:val="auto"/>
        </w:rPr>
      </w:pPr>
    </w:p>
    <w:p>
      <w:pPr>
        <w:jc w:val="both"/>
        <w:ind w:left="620"/>
        <w:spacing w:after="0" w:line="245" w:lineRule="auto"/>
        <w:rPr>
          <w:sz w:val="20"/>
          <w:szCs w:val="20"/>
          <w:color w:val="auto"/>
        </w:rPr>
      </w:pPr>
      <w:r>
        <w:rPr>
          <w:rFonts w:ascii="Arial" w:cs="Arial" w:eastAsia="Arial" w:hAnsi="Arial"/>
          <w:sz w:val="19"/>
          <w:szCs w:val="19"/>
          <w:color w:val="auto"/>
        </w:rPr>
        <w:t>The company’s long-term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Operating cash flows</w:t>
      </w:r>
    </w:p>
    <w:p>
      <w:pPr>
        <w:spacing w:after="0" w:line="231" w:lineRule="exact"/>
        <w:rPr>
          <w:sz w:val="20"/>
          <w:szCs w:val="20"/>
          <w:color w:val="auto"/>
        </w:rPr>
      </w:pPr>
    </w:p>
    <w:p>
      <w:pPr>
        <w:jc w:val="both"/>
        <w:ind w:left="620" w:hanging="307"/>
        <w:spacing w:after="0" w:line="245" w:lineRule="auto"/>
        <w:tabs>
          <w:tab w:leader="none" w:pos="583" w:val="left"/>
        </w:tabs>
        <w:numPr>
          <w:ilvl w:val="0"/>
          <w:numId w:val="18"/>
        </w:numPr>
        <w:rPr>
          <w:rFonts w:ascii="Arial" w:cs="Arial" w:eastAsia="Arial" w:hAnsi="Arial"/>
          <w:sz w:val="19"/>
          <w:szCs w:val="19"/>
          <w:color w:val="auto"/>
        </w:rPr>
      </w:pPr>
      <w:r>
        <w:rPr>
          <w:rFonts w:ascii="Arial" w:cs="Arial" w:eastAsia="Arial" w:hAnsi="Arial"/>
          <w:sz w:val="19"/>
          <w:szCs w:val="19"/>
          <w:color w:val="auto"/>
        </w:rPr>
        <w:t>GAAP cash flows provided by operations of $1.82 billion in 3Q20 compared to GAAP cash flows provided by operations of $2.44 billion in 3Q19, a decrease of $627 million, year over year. The year-over-year decrease was impacted by the following factors: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271" w:right="339" w:bottom="1440" w:gutter="0" w:footer="0" w:header="0"/>
        </w:sectPr>
      </w:pPr>
    </w:p>
    <w:bookmarkStart w:id="23" w:name="page24"/>
    <w:bookmarkEnd w:id="23"/>
    <w:p>
      <w:pPr>
        <w:ind w:left="1240" w:hanging="309"/>
        <w:spacing w:after="0"/>
        <w:tabs>
          <w:tab w:leader="none" w:pos="12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payment of $1.20 billion related to Humana's portion of the HIF; and</w:t>
      </w:r>
    </w:p>
    <w:p>
      <w:pPr>
        <w:spacing w:after="0" w:line="206" w:lineRule="exact"/>
        <w:rPr>
          <w:rFonts w:ascii="Arial" w:cs="Arial" w:eastAsia="Arial" w:hAnsi="Arial"/>
          <w:sz w:val="19"/>
          <w:szCs w:val="19"/>
          <w:color w:val="auto"/>
        </w:rPr>
      </w:pPr>
    </w:p>
    <w:p>
      <w:pPr>
        <w:ind w:left="1240" w:hanging="309"/>
        <w:spacing w:after="0" w:line="250" w:lineRule="auto"/>
        <w:tabs>
          <w:tab w:leader="none" w:pos="1255"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additional estimated federal income tax payment in 3Q20 resulting from the delay of the second quarter 2020's payment in accordance with the CARES Act.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These items was partially offset by the following favorable factors:</w:t>
      </w:r>
    </w:p>
    <w:p>
      <w:pPr>
        <w:spacing w:after="0" w:line="207" w:lineRule="exact"/>
        <w:rPr>
          <w:sz w:val="20"/>
          <w:szCs w:val="20"/>
          <w:color w:val="auto"/>
        </w:rPr>
      </w:pPr>
    </w:p>
    <w:p>
      <w:pPr>
        <w:ind w:left="1240" w:hanging="309"/>
        <w:spacing w:after="0" w:line="250" w:lineRule="auto"/>
        <w:tabs>
          <w:tab w:leader="none" w:pos="1242" w:val="left"/>
        </w:tabs>
        <w:numPr>
          <w:ilvl w:val="1"/>
          <w:numId w:val="20"/>
        </w:numPr>
        <w:rPr>
          <w:rFonts w:ascii="Arial" w:cs="Arial" w:eastAsia="Arial" w:hAnsi="Arial"/>
          <w:sz w:val="19"/>
          <w:szCs w:val="19"/>
          <w:color w:val="auto"/>
        </w:rPr>
      </w:pPr>
      <w:r>
        <w:rPr>
          <w:rFonts w:ascii="Arial" w:cs="Arial" w:eastAsia="Arial" w:hAnsi="Arial"/>
          <w:sz w:val="19"/>
          <w:szCs w:val="19"/>
          <w:color w:val="auto"/>
        </w:rPr>
        <w:t>higher earnings in 3Q20 as compared to 3Q19, including the receipt of commercial risk corridor receivables previously written off; and</w:t>
      </w:r>
    </w:p>
    <w:p>
      <w:pPr>
        <w:spacing w:after="0" w:line="189" w:lineRule="exact"/>
        <w:rPr>
          <w:rFonts w:ascii="Arial" w:cs="Arial" w:eastAsia="Arial" w:hAnsi="Arial"/>
          <w:sz w:val="19"/>
          <w:szCs w:val="19"/>
          <w:color w:val="auto"/>
        </w:rPr>
      </w:pPr>
    </w:p>
    <w:p>
      <w:pPr>
        <w:ind w:left="1240" w:hanging="309"/>
        <w:spacing w:after="0" w:line="250" w:lineRule="auto"/>
        <w:tabs>
          <w:tab w:leader="none" w:pos="1268" w:val="left"/>
        </w:tabs>
        <w:numPr>
          <w:ilvl w:val="1"/>
          <w:numId w:val="20"/>
        </w:numPr>
        <w:rPr>
          <w:rFonts w:ascii="Arial" w:cs="Arial" w:eastAsia="Arial" w:hAnsi="Arial"/>
          <w:sz w:val="19"/>
          <w:szCs w:val="19"/>
          <w:color w:val="auto"/>
        </w:rPr>
      </w:pPr>
      <w:r>
        <w:rPr>
          <w:rFonts w:ascii="Arial" w:cs="Arial" w:eastAsia="Arial" w:hAnsi="Arial"/>
          <w:sz w:val="19"/>
          <w:szCs w:val="19"/>
          <w:color w:val="auto"/>
        </w:rPr>
        <w:t>favorable timing of working capital items, including the receipt of the mid-year Medicare risk adjustment premium revenue collections in July 2020 versus the second quarter in 2019.</w:t>
      </w:r>
    </w:p>
    <w:p>
      <w:pPr>
        <w:spacing w:after="0" w:line="189" w:lineRule="exact"/>
        <w:rPr>
          <w:rFonts w:ascii="Arial" w:cs="Arial" w:eastAsia="Arial" w:hAnsi="Arial"/>
          <w:sz w:val="19"/>
          <w:szCs w:val="19"/>
          <w:color w:val="auto"/>
        </w:rPr>
      </w:pPr>
    </w:p>
    <w:p>
      <w:pPr>
        <w:jc w:val="both"/>
        <w:ind w:left="620" w:right="140" w:hanging="307"/>
        <w:spacing w:after="0" w:line="234" w:lineRule="auto"/>
        <w:tabs>
          <w:tab w:leader="none" w:pos="583" w:val="left"/>
        </w:tabs>
        <w:numPr>
          <w:ilvl w:val="0"/>
          <w:numId w:val="20"/>
        </w:numPr>
        <w:rPr>
          <w:rFonts w:ascii="Arial" w:cs="Arial" w:eastAsia="Arial" w:hAnsi="Arial"/>
          <w:sz w:val="19"/>
          <w:szCs w:val="19"/>
          <w:color w:val="auto"/>
        </w:rPr>
      </w:pPr>
      <w:r>
        <w:rPr>
          <w:rFonts w:ascii="Arial" w:cs="Arial" w:eastAsia="Arial" w:hAnsi="Arial"/>
          <w:sz w:val="19"/>
          <w:szCs w:val="19"/>
          <w:color w:val="auto"/>
        </w:rPr>
        <w:t>GAAP cash flows provided by operations for YTD 2020 totaled $5.36 billion versus $4.77 billion during YTD 2019, an increase of $584 million year over year. The year-over-year increase primarily reflected higher earnings in YTD 2020 compared to YTD 2019.</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Share repurchases</w:t>
      </w:r>
    </w:p>
    <w:p>
      <w:pPr>
        <w:spacing w:after="0" w:line="231" w:lineRule="exact"/>
        <w:rPr>
          <w:sz w:val="20"/>
          <w:szCs w:val="20"/>
          <w:color w:val="auto"/>
        </w:rPr>
      </w:pPr>
    </w:p>
    <w:p>
      <w:pPr>
        <w:ind w:left="580" w:hanging="267"/>
        <w:spacing w:after="0"/>
        <w:tabs>
          <w:tab w:leader="none" w:pos="5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Humana did not complete any open-market transactions or accelerated stock repurchases during YTD 2020.</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Cash dividends</w:t>
      </w:r>
    </w:p>
    <w:p>
      <w:pPr>
        <w:spacing w:after="0" w:line="231" w:lineRule="exact"/>
        <w:rPr>
          <w:sz w:val="20"/>
          <w:szCs w:val="20"/>
          <w:color w:val="auto"/>
        </w:rPr>
      </w:pPr>
    </w:p>
    <w:p>
      <w:pPr>
        <w:jc w:val="both"/>
        <w:ind w:left="620" w:hanging="307"/>
        <w:spacing w:after="0" w:line="243" w:lineRule="auto"/>
        <w:tabs>
          <w:tab w:leader="none" w:pos="58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paid cash dividends to its stockholders of $83 million in 3Q20 versus $74 million in 3Q19. Cash dividends of $239 million were paid to the company’s stockholders during YTD 2020 compared to $216 million in YTD 2019. The quarter and year-over-year growth reflect an increase in the per share dividend amount to $0.625, as approved by the company's Board of Directors in February 2020, versus the previous per share amount of $0.55.</w:t>
      </w:r>
    </w:p>
    <w:p>
      <w:pPr>
        <w:spacing w:after="0" w:line="198" w:lineRule="exact"/>
        <w:rPr>
          <w:rFonts w:ascii="Arial" w:cs="Arial" w:eastAsia="Arial" w:hAnsi="Arial"/>
          <w:sz w:val="19"/>
          <w:szCs w:val="19"/>
          <w:color w:val="auto"/>
        </w:rPr>
      </w:pPr>
    </w:p>
    <w:p>
      <w:pPr>
        <w:ind w:left="620" w:hanging="307"/>
        <w:spacing w:after="0" w:line="250" w:lineRule="auto"/>
        <w:tabs>
          <w:tab w:leader="none" w:pos="583"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In November, the company's Board of Directors declared a cash dividend of $0.625 per share payable on January 29, 2021 to stockholders of record on 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Humana’s Retail Segment</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services under the Medicaid program, including Temporary Assistance for Needy Families (TANF), dual eligible, and Long-Term Support Services benefits. In addition, this segment also includes the company’s contract with Centers for Medicare &amp; Medicaid Services (CMS) to administer the Limited Income Newly Eligible Transition prescription drug plan (PDP) program.</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revenues:</w:t>
      </w:r>
    </w:p>
    <w:p>
      <w:pPr>
        <w:spacing w:after="0" w:line="231" w:lineRule="exact"/>
        <w:rPr>
          <w:sz w:val="20"/>
          <w:szCs w:val="20"/>
          <w:color w:val="auto"/>
        </w:rPr>
      </w:pPr>
    </w:p>
    <w:p>
      <w:pPr>
        <w:jc w:val="both"/>
        <w:ind w:left="620" w:hanging="307"/>
        <w:spacing w:after="0" w:line="243" w:lineRule="auto"/>
        <w:tabs>
          <w:tab w:leader="none" w:pos="583"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3Q20 revenues for the Retail segment were $16.74 billion, an increase of $2.65 billion, or 19 percent, from $14.09 billion in 3Q19 primarily reflecting higher premiums as a result of Medicare Advantage and state-based contracts membership growth and higher per member Medicare Advantage premiums. These favorable items were partially offset by the decline in membership in the company's stand-alone PDP offerings. The year-over-year membership changes are further discussed below.</w:t>
      </w:r>
    </w:p>
    <w:p>
      <w:pPr>
        <w:spacing w:after="0" w:line="195" w:lineRule="exact"/>
        <w:rPr>
          <w:rFonts w:ascii="Arial" w:cs="Arial" w:eastAsia="Arial" w:hAnsi="Arial"/>
          <w:sz w:val="19"/>
          <w:szCs w:val="19"/>
          <w:color w:val="auto"/>
        </w:rPr>
      </w:pPr>
    </w:p>
    <w:p>
      <w:pPr>
        <w:ind w:left="620" w:hanging="307"/>
        <w:spacing w:after="0" w:line="250" w:lineRule="auto"/>
        <w:tabs>
          <w:tab w:leader="none" w:pos="583"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YTD 2020 revenues for the Retail segment were $50.46 billion, up $8.21 billion, or 19 percent, from $42.26 billion in YTD 2019, primarily reflecting the same factors impacting the year-over-year third quarter comparison.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271"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Retail segment enrollment:</w:t>
      </w:r>
    </w:p>
    <w:p>
      <w:pPr>
        <w:spacing w:after="0" w:line="209" w:lineRule="exact"/>
        <w:rPr>
          <w:sz w:val="20"/>
          <w:szCs w:val="20"/>
          <w:color w:val="auto"/>
        </w:rPr>
      </w:pPr>
    </w:p>
    <w:p>
      <w:pPr>
        <w:jc w:val="both"/>
        <w:ind w:left="620" w:hanging="307"/>
        <w:spacing w:after="0" w:line="247" w:lineRule="auto"/>
        <w:tabs>
          <w:tab w:leader="none" w:pos="583" w:val="left"/>
        </w:tabs>
        <w:numPr>
          <w:ilvl w:val="0"/>
          <w:numId w:val="2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Individual Medicare Advantage </w:t>
      </w:r>
      <w:r>
        <w:rPr>
          <w:rFonts w:ascii="Arial" w:cs="Arial" w:eastAsia="Arial" w:hAnsi="Arial"/>
          <w:sz w:val="19"/>
          <w:szCs w:val="19"/>
          <w:color w:val="auto"/>
        </w:rPr>
        <w:t>membership was 3,935,100 as of September 30, 2020, a net increase of 382,600 or 11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percent, from 3,552,500 as of September 30, 2019, and up 347,900, or 10 percent, from 3,587,200 as of December 31, 2019. The increases were primarily due to membership additions associated with the previous Annual Election Period (AEP) and Open Election Period (OEP) for Medicare beneficiaries. The 2020 OEP sales period, which ran from January 1 to March 31, 2020, added approximately 30,000 members. Since the conclusion of the 2020 OEP, enrollment continued to increase due to special elections, age-ins, and Dual Eligible Special Need Plans (D-SNP) members.</w:t>
      </w:r>
    </w:p>
    <w:p>
      <w:pPr>
        <w:spacing w:after="0" w:line="194" w:lineRule="exact"/>
        <w:rPr>
          <w:sz w:val="20"/>
          <w:szCs w:val="20"/>
          <w:color w:val="auto"/>
        </w:rPr>
      </w:pPr>
    </w:p>
    <w:p>
      <w:pPr>
        <w:jc w:val="both"/>
        <w:ind w:left="620"/>
        <w:spacing w:after="0" w:line="243" w:lineRule="auto"/>
        <w:rPr>
          <w:sz w:val="20"/>
          <w:szCs w:val="20"/>
          <w:color w:val="auto"/>
        </w:rPr>
      </w:pPr>
      <w:r>
        <w:rPr>
          <w:rFonts w:ascii="Arial" w:cs="Arial" w:eastAsia="Arial" w:hAnsi="Arial"/>
          <w:sz w:val="19"/>
          <w:szCs w:val="19"/>
          <w:color w:val="auto"/>
        </w:rPr>
        <w:t>Individual Medicare Advantage membership includes 391,100 D-SNP members as of September 30, 2020, a net increase of 110,400, or 39 percent, from 280,700 as of September 30, 2019, and up 102,900, or 36 percent, from 288,200 as of December 31, 2019. D-SNP membership as of September 30, 2019 grew by approximately 62,100 members compared to membership at December 31, 2018.</w:t>
      </w:r>
    </w:p>
    <w:p>
      <w:pPr>
        <w:spacing w:after="0" w:line="174" w:lineRule="exact"/>
        <w:rPr>
          <w:sz w:val="20"/>
          <w:szCs w:val="20"/>
          <w:color w:val="auto"/>
        </w:rPr>
      </w:pPr>
    </w:p>
    <w:p>
      <w:pPr>
        <w:jc w:val="both"/>
        <w:ind w:left="620" w:hanging="307"/>
        <w:spacing w:after="0" w:line="252" w:lineRule="auto"/>
        <w:tabs>
          <w:tab w:leader="none" w:pos="583" w:val="left"/>
        </w:tabs>
        <w:numPr>
          <w:ilvl w:val="0"/>
          <w:numId w:val="25"/>
        </w:numPr>
        <w:rPr>
          <w:rFonts w:ascii="Arial" w:cs="Arial" w:eastAsia="Arial" w:hAnsi="Arial"/>
          <w:sz w:val="19"/>
          <w:szCs w:val="19"/>
          <w:color w:val="auto"/>
        </w:rPr>
      </w:pPr>
      <w:r>
        <w:rPr>
          <w:rFonts w:ascii="Arial" w:cs="Arial" w:eastAsia="Arial" w:hAnsi="Arial"/>
          <w:sz w:val="19"/>
          <w:szCs w:val="19"/>
          <w:b w:val="1"/>
          <w:bCs w:val="1"/>
          <w:i w:val="1"/>
          <w:iCs w:val="1"/>
          <w:color w:val="auto"/>
        </w:rPr>
        <w:t>Group Medicare Advantag</w:t>
      </w:r>
      <w:r>
        <w:rPr>
          <w:rFonts w:ascii="Arial" w:cs="Arial" w:eastAsia="Arial" w:hAnsi="Arial"/>
          <w:sz w:val="19"/>
          <w:szCs w:val="19"/>
          <w:b w:val="1"/>
          <w:bCs w:val="1"/>
          <w:color w:val="auto"/>
        </w:rPr>
        <w: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membership was 612,000 as of September 30, 2020, a net increase of 88,100, or 17 percent,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523,900 at September 30, 2019, and up 86,700, or 17 percent, from 525,300 as of December 31, 2019. These increases primarily resulted from the addition of a large account in January 2020, along with net membership additions associated with the previous AEP for Medicare beneficiaries.</w:t>
      </w:r>
    </w:p>
    <w:p>
      <w:pPr>
        <w:spacing w:after="0" w:line="167" w:lineRule="exact"/>
        <w:rPr>
          <w:rFonts w:ascii="Arial" w:cs="Arial" w:eastAsia="Arial" w:hAnsi="Arial"/>
          <w:sz w:val="19"/>
          <w:szCs w:val="19"/>
          <w:color w:val="auto"/>
        </w:rPr>
      </w:pPr>
    </w:p>
    <w:p>
      <w:pPr>
        <w:jc w:val="both"/>
        <w:ind w:left="620" w:hanging="307"/>
        <w:spacing w:after="0" w:line="246" w:lineRule="auto"/>
        <w:tabs>
          <w:tab w:leader="none" w:pos="583"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Membership in the company’s </w:t>
      </w:r>
      <w:r>
        <w:rPr>
          <w:rFonts w:ascii="Arial" w:cs="Arial" w:eastAsia="Arial" w:hAnsi="Arial"/>
          <w:sz w:val="19"/>
          <w:szCs w:val="19"/>
          <w:b w:val="1"/>
          <w:bCs w:val="1"/>
          <w:i w:val="1"/>
          <w:iCs w:val="1"/>
          <w:color w:val="auto"/>
        </w:rPr>
        <w:t>stand-alone PDP</w:t>
      </w:r>
      <w:r>
        <w:rPr>
          <w:rFonts w:ascii="Arial" w:cs="Arial" w:eastAsia="Arial" w:hAnsi="Arial"/>
          <w:sz w:val="19"/>
          <w:szCs w:val="19"/>
          <w:color w:val="auto"/>
        </w:rPr>
        <w:t xml:space="preserve"> offerings was 3,892,200 as of September 30, 2020, a net decrease of 487,600, or 11 percent, from 4,379,800 as of September 30, 2019, and down 473,000, or 11 percent, from 4,365,200 as of December 31, 2019. These comparisons primarily reflect net declines during the previous AEP for Medicare beneficiaries. The anticipated declines were primarily the result of terminations driven by premium and benefit adjustments experienced by members that were previously enrolled in the company's 2019 Humana Walmart Rx plan and the 2019 Humana Enhanced plan, which were consolidated into the Premier Rx plan in 2020. The expected PDP losses were partially offset by growth in the new low-price Humana Walmart Value Rx plan, driven by both new sales and plan to plan changes.</w:t>
      </w:r>
    </w:p>
    <w:p>
      <w:pPr>
        <w:spacing w:after="0" w:line="172" w:lineRule="exact"/>
        <w:rPr>
          <w:rFonts w:ascii="Arial" w:cs="Arial" w:eastAsia="Arial" w:hAnsi="Arial"/>
          <w:sz w:val="19"/>
          <w:szCs w:val="19"/>
          <w:color w:val="auto"/>
        </w:rPr>
      </w:pPr>
    </w:p>
    <w:p>
      <w:pPr>
        <w:jc w:val="both"/>
        <w:ind w:left="620" w:hanging="307"/>
        <w:spacing w:after="0" w:line="249" w:lineRule="auto"/>
        <w:tabs>
          <w:tab w:leader="none" w:pos="583" w:val="left"/>
        </w:tabs>
        <w:numPr>
          <w:ilvl w:val="0"/>
          <w:numId w:val="2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State-based contracts </w:t>
      </w:r>
      <w:r>
        <w:rPr>
          <w:rFonts w:ascii="Arial" w:cs="Arial" w:eastAsia="Arial" w:hAnsi="Arial"/>
          <w:sz w:val="19"/>
          <w:szCs w:val="19"/>
          <w:color w:val="auto"/>
        </w:rPr>
        <w:t>membership (including dual-eligible demonstration members) was 730,100 as of September 30, 2020,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net increase of 261,100, or 56 percent, from 469,000 at September 30, 2019 and at December 31, 2019. Theses increases primarily reflect the impact of discontinuing the reinsurance agreement with CareSource and the assumption of full financial risk for the existing Kentucky Medicaid contract as of January 1, 2020, as well as additional enrollment, particularly in Florida, resulting from the current economic downturn due to the COVID-19 pandemic.</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benefits expense:</w:t>
      </w:r>
    </w:p>
    <w:p>
      <w:pPr>
        <w:spacing w:after="0" w:line="231" w:lineRule="exact"/>
        <w:rPr>
          <w:sz w:val="20"/>
          <w:szCs w:val="20"/>
          <w:color w:val="auto"/>
        </w:rPr>
      </w:pPr>
    </w:p>
    <w:p>
      <w:pPr>
        <w:ind w:left="620" w:hanging="307"/>
        <w:spacing w:after="0" w:line="250" w:lineRule="auto"/>
        <w:tabs>
          <w:tab w:leader="none" w:pos="583"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The 3Q20 benefit ratio for the Retail segment was 85.1 percent, a decrease of 80 basis points from 85.9 percent for 3Q19. The year-over-year decrease in the segment benefit ratio was primarily due to the following factors:</w:t>
      </w:r>
    </w:p>
    <w:p>
      <w:pPr>
        <w:spacing w:after="0" w:line="189" w:lineRule="exact"/>
        <w:rPr>
          <w:rFonts w:ascii="Arial" w:cs="Arial" w:eastAsia="Arial" w:hAnsi="Arial"/>
          <w:sz w:val="19"/>
          <w:szCs w:val="19"/>
          <w:b w:val="1"/>
          <w:bCs w:val="1"/>
          <w:color w:val="auto"/>
        </w:rPr>
      </w:pPr>
    </w:p>
    <w:p>
      <w:pPr>
        <w:ind w:left="1020" w:hanging="398"/>
        <w:spacing w:after="0"/>
        <w:tabs>
          <w:tab w:leader="none" w:pos="10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temporary deferral of non-essential care as previously discussed; and</w:t>
      </w:r>
    </w:p>
    <w:p>
      <w:pPr>
        <w:spacing w:after="0" w:line="206" w:lineRule="exact"/>
        <w:rPr>
          <w:rFonts w:ascii="Arial" w:cs="Arial" w:eastAsia="Arial" w:hAnsi="Arial"/>
          <w:sz w:val="19"/>
          <w:szCs w:val="19"/>
          <w:color w:val="auto"/>
        </w:rPr>
      </w:pPr>
    </w:p>
    <w:p>
      <w:pPr>
        <w:ind w:left="1000" w:hanging="378"/>
        <w:spacing w:after="0" w:line="250" w:lineRule="auto"/>
        <w:tabs>
          <w:tab w:leader="none" w:pos="1041"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reinstatement of the non-deductible HIF in 2020 that was contemplated in the pricing and benefit design of the company's products.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above items were partially offset by the following factors:</w:t>
      </w:r>
    </w:p>
    <w:p>
      <w:pPr>
        <w:spacing w:after="0" w:line="207" w:lineRule="exact"/>
        <w:rPr>
          <w:sz w:val="20"/>
          <w:szCs w:val="20"/>
          <w:color w:val="auto"/>
        </w:rPr>
      </w:pPr>
    </w:p>
    <w:p>
      <w:pPr>
        <w:ind w:left="1020" w:hanging="398"/>
        <w:spacing w:after="0"/>
        <w:tabs>
          <w:tab w:leader="none" w:pos="10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COVID-19 testing and treatment costs,</w:t>
      </w:r>
    </w:p>
    <w:p>
      <w:pPr>
        <w:spacing w:after="0" w:line="206" w:lineRule="exact"/>
        <w:rPr>
          <w:rFonts w:ascii="Arial" w:cs="Arial" w:eastAsia="Arial" w:hAnsi="Arial"/>
          <w:sz w:val="19"/>
          <w:szCs w:val="19"/>
          <w:color w:val="auto"/>
        </w:rPr>
      </w:pPr>
    </w:p>
    <w:p>
      <w:pPr>
        <w:jc w:val="both"/>
        <w:ind w:left="1000" w:hanging="378"/>
        <w:spacing w:after="0" w:line="245" w:lineRule="auto"/>
        <w:tabs>
          <w:tab w:leader="none" w:pos="1041"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company's ongoing pandemic relief efforts, including the waiver of all cost sharing for in-network primary care, outpatient behavioral health, and telehealth visits for its Medicare Advantage members, continued delivery of meals to senior members in need, the distribution of in-home preventive screening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247" w:right="339" w:bottom="1440" w:gutter="0" w:footer="0" w:header="0"/>
        </w:sectPr>
      </w:pPr>
    </w:p>
    <w:bookmarkStart w:id="25" w:name="page26"/>
    <w:bookmarkEnd w:id="25"/>
    <w:p>
      <w:pPr>
        <w:ind w:left="1000"/>
        <w:spacing w:after="0" w:line="250" w:lineRule="auto"/>
        <w:rPr>
          <w:sz w:val="20"/>
          <w:szCs w:val="20"/>
          <w:color w:val="auto"/>
        </w:rPr>
      </w:pPr>
      <w:r>
        <w:rPr>
          <w:rFonts w:ascii="Arial" w:cs="Arial" w:eastAsia="Arial" w:hAnsi="Arial"/>
          <w:sz w:val="19"/>
          <w:szCs w:val="19"/>
          <w:color w:val="auto"/>
        </w:rPr>
        <w:t>kits to members, establishment of a clinical outreach team to proactively engage with the company's most vulnerable members, and various provider support initiatives,</w:t>
      </w:r>
    </w:p>
    <w:p>
      <w:pPr>
        <w:spacing w:after="0" w:line="189" w:lineRule="exact"/>
        <w:rPr>
          <w:sz w:val="20"/>
          <w:szCs w:val="20"/>
          <w:color w:val="auto"/>
        </w:rPr>
      </w:pPr>
    </w:p>
    <w:p>
      <w:pPr>
        <w:ind w:left="1000" w:hanging="378"/>
        <w:spacing w:after="0" w:line="250" w:lineRule="auto"/>
        <w:tabs>
          <w:tab w:leader="none" w:pos="1028"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shift in Medicare membership mix due to the loss of stand-alone PDP members and significant growth in Medicare Advantage members; the benefit ratio for stand-alone PDP members generally decreases as the year progress, and</w:t>
      </w:r>
    </w:p>
    <w:p>
      <w:pPr>
        <w:spacing w:after="0" w:line="189" w:lineRule="exact"/>
        <w:rPr>
          <w:rFonts w:ascii="Arial" w:cs="Arial" w:eastAsia="Arial" w:hAnsi="Arial"/>
          <w:sz w:val="19"/>
          <w:szCs w:val="19"/>
          <w:color w:val="auto"/>
        </w:rPr>
      </w:pPr>
    </w:p>
    <w:p>
      <w:pPr>
        <w:ind w:left="1020" w:hanging="398"/>
        <w:spacing w:after="0"/>
        <w:tabs>
          <w:tab w:leader="none" w:pos="10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lower favorable Prior Period Development in the segment in 3Q20.</w:t>
      </w:r>
    </w:p>
    <w:p>
      <w:pPr>
        <w:spacing w:after="0" w:line="206" w:lineRule="exact"/>
        <w:rPr>
          <w:rFonts w:ascii="Arial" w:cs="Arial" w:eastAsia="Arial" w:hAnsi="Arial"/>
          <w:sz w:val="19"/>
          <w:szCs w:val="19"/>
          <w:color w:val="auto"/>
        </w:rPr>
      </w:pPr>
    </w:p>
    <w:p>
      <w:pPr>
        <w:jc w:val="both"/>
        <w:ind w:left="620" w:hanging="307"/>
        <w:spacing w:after="0" w:line="243" w:lineRule="auto"/>
        <w:tabs>
          <w:tab w:leader="none" w:pos="583"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YTD 2020 benefit ratio for the segment of 83.3 percent was 310 basis points lower than the YTD 2019 ratio of 86.4 percent primarily reflecting the significantly depressed utilization experienced in the first half of 2020, as well as the same factors impacting the year-over-year comparison for the third quarter with the exception of the impact from a shift in Medicare membership mix.</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9"/>
          <w:szCs w:val="19"/>
          <w:b w:val="1"/>
          <w:bCs w:val="1"/>
          <w:u w:val="single" w:color="auto"/>
          <w:color w:val="auto"/>
        </w:rPr>
        <w:t>Prior Period Development</w:t>
      </w:r>
    </w:p>
    <w:p>
      <w:pPr>
        <w:spacing w:after="0" w:line="231" w:lineRule="exact"/>
        <w:rPr>
          <w:sz w:val="20"/>
          <w:szCs w:val="20"/>
          <w:color w:val="auto"/>
        </w:rPr>
      </w:pPr>
    </w:p>
    <w:p>
      <w:pPr>
        <w:jc w:val="both"/>
        <w:ind w:left="620"/>
        <w:spacing w:after="0" w:line="245" w:lineRule="auto"/>
        <w:rPr>
          <w:sz w:val="20"/>
          <w:szCs w:val="20"/>
          <w:color w:val="auto"/>
        </w:rPr>
      </w:pPr>
      <w:r>
        <w:rPr>
          <w:rFonts w:ascii="Arial" w:cs="Arial" w:eastAsia="Arial" w:hAnsi="Arial"/>
          <w:sz w:val="19"/>
          <w:szCs w:val="19"/>
          <w:color w:val="auto"/>
        </w:rPr>
        <w:t>The Retail segment's favorable Prior Period Development for 3Q20, as noted in the table below, decreased the segment benefit ratio by 20 basis points compared to 3Q19 favorable Prior Period Development decreasing the 3Q19 ratio by 40 basis points.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19"/>
          <w:szCs w:val="19"/>
          <w:color w:val="auto"/>
        </w:rPr>
        <w:t>Favorable Prior Period Development decreased the YTD 2020 ratio by 50 basis points and decreased the YTD 2019 benefit ratio by 90 basis points.</w:t>
      </w:r>
    </w:p>
    <w:p>
      <w:pPr>
        <w:spacing w:after="0" w:line="199" w:lineRule="exact"/>
        <w:rPr>
          <w:sz w:val="20"/>
          <w:szCs w:val="20"/>
          <w:color w:val="auto"/>
        </w:rPr>
      </w:pPr>
    </w:p>
    <w:tbl>
      <w:tblPr>
        <w:tblLayout w:type="fixed"/>
        <w:tblInd w:w="630" w:type="dxa"/>
        <w:tblCellMar>
          <w:top w:w="0" w:type="dxa"/>
          <w:left w:w="0" w:type="dxa"/>
          <w:bottom w:w="0" w:type="dxa"/>
          <w:right w:w="0" w:type="dxa"/>
        </w:tblCellMar>
      </w:tblPr>
      <w:tr>
        <w:trPr>
          <w:trHeight w:val="168"/>
        </w:trPr>
        <w:tc>
          <w:tcPr>
            <w:tcW w:w="4840" w:type="dxa"/>
            <w:vAlign w:val="bottom"/>
            <w:tcBorders>
              <w:top w:val="single" w:sz="8" w:color="auto"/>
              <w:left w:val="single" w:sz="8" w:color="auto"/>
              <w:right w:val="single" w:sz="8" w:color="auto"/>
            </w:tcBorders>
          </w:tcPr>
          <w:p>
            <w:pPr>
              <w:ind w:left="40"/>
              <w:spacing w:after="0" w:line="168" w:lineRule="exact"/>
              <w:rPr>
                <w:sz w:val="20"/>
                <w:szCs w:val="20"/>
                <w:color w:val="auto"/>
              </w:rPr>
            </w:pPr>
            <w:r>
              <w:rPr>
                <w:rFonts w:ascii="Arial" w:cs="Arial" w:eastAsia="Arial" w:hAnsi="Arial"/>
                <w:sz w:val="15"/>
                <w:szCs w:val="15"/>
                <w:b w:val="1"/>
                <w:bCs w:val="1"/>
                <w:color w:val="auto"/>
              </w:rPr>
              <w:t>Consolidated Prior Period Development (in millions)</w:t>
            </w:r>
          </w:p>
        </w:tc>
        <w:tc>
          <w:tcPr>
            <w:tcW w:w="134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98"/>
              </w:rPr>
              <w:t>First</w:t>
            </w:r>
          </w:p>
        </w:tc>
        <w:tc>
          <w:tcPr>
            <w:tcW w:w="1220" w:type="dxa"/>
            <w:vAlign w:val="bottom"/>
            <w:tcBorders>
              <w:top w:val="single" w:sz="8" w:color="auto"/>
              <w:right w:val="single" w:sz="8" w:color="auto"/>
            </w:tcBorders>
          </w:tcPr>
          <w:p>
            <w:pPr>
              <w:jc w:val="right"/>
              <w:ind w:right="263"/>
              <w:spacing w:after="0" w:line="168" w:lineRule="exact"/>
              <w:rPr>
                <w:sz w:val="20"/>
                <w:szCs w:val="20"/>
                <w:color w:val="auto"/>
              </w:rPr>
            </w:pPr>
            <w:r>
              <w:rPr>
                <w:rFonts w:ascii="Arial" w:cs="Arial" w:eastAsia="Arial" w:hAnsi="Arial"/>
                <w:sz w:val="15"/>
                <w:szCs w:val="15"/>
                <w:b w:val="1"/>
                <w:bCs w:val="1"/>
                <w:color w:val="auto"/>
              </w:rPr>
              <w:t>Second</w:t>
            </w:r>
          </w:p>
        </w:tc>
        <w:tc>
          <w:tcPr>
            <w:tcW w:w="126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rPr>
              <w:t>Third</w:t>
            </w:r>
          </w:p>
        </w:tc>
        <w:tc>
          <w:tcPr>
            <w:tcW w:w="1240" w:type="dxa"/>
            <w:vAlign w:val="bottom"/>
            <w:tcBorders>
              <w:top w:val="single" w:sz="8" w:color="auto"/>
              <w:right w:val="single" w:sz="8" w:color="auto"/>
            </w:tcBorders>
            <w:vMerge w:val="restart"/>
          </w:tcPr>
          <w:p>
            <w:pPr>
              <w:ind w:left="460"/>
              <w:spacing w:after="0"/>
              <w:rPr>
                <w:sz w:val="20"/>
                <w:szCs w:val="20"/>
                <w:color w:val="auto"/>
              </w:rPr>
            </w:pPr>
            <w:r>
              <w:rPr>
                <w:rFonts w:ascii="Arial" w:cs="Arial" w:eastAsia="Arial" w:hAnsi="Arial"/>
                <w:sz w:val="15"/>
                <w:szCs w:val="15"/>
                <w:b w:val="1"/>
                <w:bCs w:val="1"/>
                <w:color w:val="auto"/>
              </w:rPr>
              <w:t>YTD</w:t>
            </w:r>
          </w:p>
        </w:tc>
        <w:tc>
          <w:tcPr>
            <w:tcW w:w="0" w:type="dxa"/>
            <w:vAlign w:val="bottom"/>
          </w:tcPr>
          <w:p>
            <w:pPr>
              <w:spacing w:after="0"/>
              <w:rPr>
                <w:sz w:val="1"/>
                <w:szCs w:val="1"/>
                <w:color w:val="auto"/>
              </w:rPr>
            </w:pPr>
          </w:p>
        </w:tc>
      </w:tr>
      <w:tr>
        <w:trPr>
          <w:trHeight w:val="205"/>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Favorable (unfavorable)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Quarter</w:t>
            </w:r>
          </w:p>
        </w:tc>
        <w:tc>
          <w:tcPr>
            <w:tcW w:w="1220" w:type="dxa"/>
            <w:vAlign w:val="bottom"/>
            <w:tcBorders>
              <w:bottom w:val="single" w:sz="8" w:color="auto"/>
              <w:right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Quarter</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Quarter</w:t>
            </w: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Prior Period Development from prior years recognized in 2020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$238</w:t>
            </w:r>
          </w:p>
        </w:tc>
        <w:tc>
          <w:tcPr>
            <w:tcW w:w="122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$(33)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$30</w:t>
            </w:r>
          </w:p>
        </w:tc>
        <w:tc>
          <w:tcPr>
            <w:tcW w:w="12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b w:val="1"/>
                <w:bCs w:val="1"/>
                <w:color w:val="auto"/>
              </w:rPr>
              <w:t>$235</w:t>
            </w:r>
          </w:p>
        </w:tc>
        <w:tc>
          <w:tcPr>
            <w:tcW w:w="0" w:type="dxa"/>
            <w:vAlign w:val="bottom"/>
          </w:tcPr>
          <w:p>
            <w:pPr>
              <w:spacing w:after="0"/>
              <w:rPr>
                <w:sz w:val="1"/>
                <w:szCs w:val="1"/>
                <w:color w:val="auto"/>
              </w:rPr>
            </w:pPr>
          </w:p>
        </w:tc>
      </w:tr>
      <w:tr>
        <w:trPr>
          <w:trHeight w:val="198"/>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Prior Period Development from prior years recognized in 2019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$283</w:t>
            </w:r>
          </w:p>
        </w:tc>
        <w:tc>
          <w:tcPr>
            <w:tcW w:w="1220" w:type="dxa"/>
            <w:vAlign w:val="bottom"/>
            <w:tcBorders>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color w:val="auto"/>
              </w:rPr>
              <w:t>$28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$55</w:t>
            </w:r>
          </w:p>
        </w:tc>
        <w:tc>
          <w:tcPr>
            <w:tcW w:w="12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operating costs:</w:t>
      </w:r>
    </w:p>
    <w:p>
      <w:pPr>
        <w:spacing w:after="0" w:line="231" w:lineRule="exact"/>
        <w:rPr>
          <w:sz w:val="20"/>
          <w:szCs w:val="20"/>
          <w:color w:val="auto"/>
        </w:rPr>
      </w:pPr>
    </w:p>
    <w:p>
      <w:pPr>
        <w:ind w:left="620" w:hanging="307"/>
        <w:spacing w:after="0" w:line="250" w:lineRule="auto"/>
        <w:tabs>
          <w:tab w:leader="none" w:pos="583"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Retail segment’s operating cost ratio of 11.2 percent in 3Q20 increased 190 basis points from 9.3 percent in 3Q19. The year-over-year comparison was negatively impacted by the following factors:</w:t>
      </w:r>
    </w:p>
    <w:p>
      <w:pPr>
        <w:spacing w:after="0" w:line="189" w:lineRule="exact"/>
        <w:rPr>
          <w:rFonts w:ascii="Arial" w:cs="Arial" w:eastAsia="Arial" w:hAnsi="Arial"/>
          <w:sz w:val="19"/>
          <w:szCs w:val="19"/>
          <w:color w:val="auto"/>
        </w:rPr>
      </w:pPr>
    </w:p>
    <w:p>
      <w:pPr>
        <w:ind w:left="940" w:hanging="318"/>
        <w:spacing w:after="0" w:line="250" w:lineRule="auto"/>
        <w:tabs>
          <w:tab w:leader="none" w:pos="968" w:val="left"/>
        </w:tabs>
        <w:numPr>
          <w:ilvl w:val="1"/>
          <w:numId w:val="29"/>
        </w:numPr>
        <w:rPr>
          <w:rFonts w:ascii="Arial" w:cs="Arial" w:eastAsia="Arial" w:hAnsi="Arial"/>
          <w:sz w:val="19"/>
          <w:szCs w:val="19"/>
          <w:color w:val="auto"/>
        </w:rPr>
      </w:pPr>
      <w:r>
        <w:rPr>
          <w:rFonts w:ascii="Arial" w:cs="Arial" w:eastAsia="Arial" w:hAnsi="Arial"/>
          <w:sz w:val="19"/>
          <w:szCs w:val="19"/>
          <w:color w:val="auto"/>
        </w:rPr>
        <w:t>reinstatement of the non-deductible HIF in 2020, which increased the Retail segment's GAAP operating cost ratio by approximately 160 basis points in 3Q20; and</w:t>
      </w:r>
    </w:p>
    <w:p>
      <w:pPr>
        <w:spacing w:after="0" w:line="189" w:lineRule="exact"/>
        <w:rPr>
          <w:rFonts w:ascii="Arial" w:cs="Arial" w:eastAsia="Arial" w:hAnsi="Arial"/>
          <w:sz w:val="19"/>
          <w:szCs w:val="19"/>
          <w:color w:val="auto"/>
        </w:rPr>
      </w:pPr>
    </w:p>
    <w:p>
      <w:pPr>
        <w:ind w:left="940" w:hanging="318"/>
        <w:spacing w:after="0"/>
        <w:tabs>
          <w:tab w:leader="none" w:pos="9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COVID-19 related administrative costs as previously discussed.</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above increases were partially offset by the following items:</w:t>
      </w:r>
    </w:p>
    <w:p>
      <w:pPr>
        <w:spacing w:after="0" w:line="207" w:lineRule="exact"/>
        <w:rPr>
          <w:sz w:val="20"/>
          <w:szCs w:val="20"/>
          <w:color w:val="auto"/>
        </w:rPr>
      </w:pPr>
    </w:p>
    <w:p>
      <w:pPr>
        <w:ind w:left="940" w:hanging="318"/>
        <w:spacing w:after="0"/>
        <w:tabs>
          <w:tab w:leader="none" w:pos="940" w:val="left"/>
        </w:tabs>
        <w:numPr>
          <w:ilvl w:val="1"/>
          <w:numId w:val="30"/>
        </w:numPr>
        <w:rPr>
          <w:rFonts w:ascii="Arial" w:cs="Arial" w:eastAsia="Arial" w:hAnsi="Arial"/>
          <w:sz w:val="19"/>
          <w:szCs w:val="19"/>
          <w:color w:val="auto"/>
        </w:rPr>
      </w:pPr>
      <w:r>
        <w:rPr>
          <w:rFonts w:ascii="Arial" w:cs="Arial" w:eastAsia="Arial" w:hAnsi="Arial"/>
          <w:sz w:val="19"/>
          <w:szCs w:val="19"/>
          <w:color w:val="auto"/>
        </w:rPr>
        <w:t>scale efficiencies associated with growth in the company's Medicare Advantage membership; and</w:t>
      </w:r>
    </w:p>
    <w:p>
      <w:pPr>
        <w:spacing w:after="0" w:line="206" w:lineRule="exact"/>
        <w:rPr>
          <w:rFonts w:ascii="Arial" w:cs="Arial" w:eastAsia="Arial" w:hAnsi="Arial"/>
          <w:sz w:val="19"/>
          <w:szCs w:val="19"/>
          <w:color w:val="auto"/>
        </w:rPr>
      </w:pPr>
    </w:p>
    <w:p>
      <w:pPr>
        <w:ind w:left="940" w:hanging="318"/>
        <w:spacing w:after="0"/>
        <w:tabs>
          <w:tab w:leader="none" w:pos="940" w:val="left"/>
        </w:tabs>
        <w:numPr>
          <w:ilvl w:val="1"/>
          <w:numId w:val="30"/>
        </w:numPr>
        <w:rPr>
          <w:rFonts w:ascii="Arial" w:cs="Arial" w:eastAsia="Arial" w:hAnsi="Arial"/>
          <w:sz w:val="19"/>
          <w:szCs w:val="19"/>
          <w:color w:val="auto"/>
        </w:rPr>
      </w:pPr>
      <w:r>
        <w:rPr>
          <w:rFonts w:ascii="Arial" w:cs="Arial" w:eastAsia="Arial" w:hAnsi="Arial"/>
          <w:sz w:val="19"/>
          <w:szCs w:val="19"/>
          <w:color w:val="auto"/>
        </w:rPr>
        <w:t>significant operating cost efficiencies in 3Q20 driven by previously disclosed productivity initiatives.</w:t>
      </w:r>
    </w:p>
    <w:p>
      <w:pPr>
        <w:spacing w:after="0" w:line="206" w:lineRule="exact"/>
        <w:rPr>
          <w:rFonts w:ascii="Arial" w:cs="Arial" w:eastAsia="Arial" w:hAnsi="Arial"/>
          <w:sz w:val="19"/>
          <w:szCs w:val="19"/>
          <w:color w:val="auto"/>
        </w:rPr>
      </w:pPr>
    </w:p>
    <w:p>
      <w:pPr>
        <w:jc w:val="both"/>
        <w:ind w:left="620" w:hanging="307"/>
        <w:spacing w:after="0" w:line="245" w:lineRule="auto"/>
        <w:tabs>
          <w:tab w:leader="none" w:pos="583"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Retail segment’s YTD 2020 operating cost ratio of 10.0 percent increased 130 basis points from 8.7 percent in YTD 2019 primarily reflecting the same factors that impacted the year-over-year comparison for the third quarter. The non-deductible HIF impacted the segment’s YTD 2020 operating cost ratio by approximately 160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271" w:right="33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t>Retail segment results: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800" w:type="dxa"/>
            <w:vAlign w:val="bottom"/>
            <w:tcBorders>
              <w:top w:val="single" w:sz="8" w:color="auto"/>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Retail segment earnings</w:t>
            </w:r>
          </w:p>
        </w:tc>
        <w:tc>
          <w:tcPr>
            <w:tcW w:w="1360" w:type="dxa"/>
            <w:vAlign w:val="bottom"/>
            <w:tcBorders>
              <w:top w:val="single" w:sz="8" w:color="auto"/>
              <w:right w:val="single" w:sz="8" w:color="auto"/>
            </w:tcBorders>
            <w:shd w:val="clear" w:color="auto" w:fill="EAEAEA"/>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shd w:val="clear" w:color="auto" w:fill="EAEAEA"/>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r>
      <w:tr>
        <w:trPr>
          <w:trHeight w:val="193"/>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i w:val="1"/>
                <w:iCs w:val="1"/>
                <w:color w:val="auto"/>
              </w:rPr>
              <w:t>in millions</w:t>
            </w:r>
          </w:p>
        </w:tc>
        <w:tc>
          <w:tcPr>
            <w:tcW w:w="1360" w:type="dxa"/>
            <w:vAlign w:val="bottom"/>
            <w:tcBorders>
              <w:bottom w:val="single" w:sz="8" w:color="auto"/>
              <w:right w:val="single" w:sz="8" w:color="auto"/>
            </w:tcBorders>
            <w:shd w:val="clear" w:color="auto" w:fill="EAEAEA"/>
          </w:tcPr>
          <w:p>
            <w:pPr>
              <w:jc w:val="right"/>
              <w:ind w:right="345"/>
              <w:spacing w:after="0"/>
              <w:rPr>
                <w:sz w:val="20"/>
                <w:szCs w:val="20"/>
                <w:color w:val="auto"/>
              </w:rPr>
            </w:pPr>
            <w:r>
              <w:rPr>
                <w:rFonts w:ascii="Arial" w:cs="Arial" w:eastAsia="Arial" w:hAnsi="Arial"/>
                <w:sz w:val="14"/>
                <w:szCs w:val="14"/>
                <w:b w:val="1"/>
                <w:bCs w:val="1"/>
                <w:color w:val="auto"/>
              </w:rPr>
              <w:t>3Q20 (a)</w:t>
            </w:r>
          </w:p>
        </w:tc>
        <w:tc>
          <w:tcPr>
            <w:tcW w:w="1380" w:type="dxa"/>
            <w:vAlign w:val="bottom"/>
            <w:tcBorders>
              <w:bottom w:val="single" w:sz="8" w:color="auto"/>
              <w:right w:val="single" w:sz="8" w:color="auto"/>
            </w:tcBorders>
          </w:tcPr>
          <w:p>
            <w:pPr>
              <w:jc w:val="right"/>
              <w:ind w:right="365"/>
              <w:spacing w:after="0"/>
              <w:rPr>
                <w:sz w:val="20"/>
                <w:szCs w:val="20"/>
                <w:color w:val="auto"/>
              </w:rPr>
            </w:pPr>
            <w:r>
              <w:rPr>
                <w:rFonts w:ascii="Arial" w:cs="Arial" w:eastAsia="Arial" w:hAnsi="Arial"/>
                <w:sz w:val="14"/>
                <w:szCs w:val="14"/>
                <w:color w:val="auto"/>
              </w:rPr>
              <w:t>3Q19 (b)</w:t>
            </w:r>
          </w:p>
        </w:tc>
        <w:tc>
          <w:tcPr>
            <w:tcW w:w="1360" w:type="dxa"/>
            <w:vAlign w:val="bottom"/>
            <w:tcBorders>
              <w:bottom w:val="single" w:sz="8" w:color="auto"/>
              <w:right w:val="single" w:sz="8" w:color="auto"/>
            </w:tcBorders>
            <w:shd w:val="clear" w:color="auto" w:fill="EAEAEA"/>
          </w:tcPr>
          <w:p>
            <w:pPr>
              <w:jc w:val="right"/>
              <w:ind w:right="205"/>
              <w:spacing w:after="0"/>
              <w:rPr>
                <w:sz w:val="20"/>
                <w:szCs w:val="20"/>
                <w:color w:val="auto"/>
              </w:rPr>
            </w:pPr>
            <w:r>
              <w:rPr>
                <w:rFonts w:ascii="Arial" w:cs="Arial" w:eastAsia="Arial" w:hAnsi="Arial"/>
                <w:sz w:val="14"/>
                <w:szCs w:val="14"/>
                <w:b w:val="1"/>
                <w:bCs w:val="1"/>
                <w:color w:val="auto"/>
              </w:rPr>
              <w:t>YTD 2020 (c)</w:t>
            </w:r>
          </w:p>
        </w:tc>
        <w:tc>
          <w:tcPr>
            <w:tcW w:w="1360" w:type="dxa"/>
            <w:vAlign w:val="bottom"/>
            <w:tcBorders>
              <w:bottom w:val="single" w:sz="8" w:color="auto"/>
              <w:right w:val="single" w:sz="8" w:color="auto"/>
            </w:tcBorders>
          </w:tcPr>
          <w:p>
            <w:pPr>
              <w:jc w:val="right"/>
              <w:ind w:right="205"/>
              <w:spacing w:after="0"/>
              <w:rPr>
                <w:sz w:val="20"/>
                <w:szCs w:val="20"/>
                <w:color w:val="auto"/>
              </w:rPr>
            </w:pPr>
            <w:r>
              <w:rPr>
                <w:rFonts w:ascii="Arial" w:cs="Arial" w:eastAsia="Arial" w:hAnsi="Arial"/>
                <w:sz w:val="14"/>
                <w:szCs w:val="14"/>
                <w:color w:val="auto"/>
              </w:rPr>
              <w:t>YTD 2019 (d)</w:t>
            </w:r>
          </w:p>
        </w:tc>
      </w:tr>
      <w:tr>
        <w:trPr>
          <w:trHeight w:val="198"/>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GAAP</w:t>
            </w:r>
          </w:p>
        </w:tc>
        <w:tc>
          <w:tcPr>
            <w:tcW w:w="136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$553</w:t>
            </w:r>
          </w:p>
        </w:tc>
        <w:tc>
          <w:tcPr>
            <w:tcW w:w="13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$639</w:t>
            </w:r>
          </w:p>
        </w:tc>
        <w:tc>
          <w:tcPr>
            <w:tcW w:w="1360" w:type="dxa"/>
            <w:vAlign w:val="bottom"/>
            <w:tcBorders>
              <w:bottom w:val="single" w:sz="8" w:color="auto"/>
              <w:right w:val="single" w:sz="8" w:color="auto"/>
            </w:tcBorders>
            <w:shd w:val="clear" w:color="auto" w:fill="EAEAEA"/>
          </w:tcPr>
          <w:p>
            <w:pPr>
              <w:jc w:val="right"/>
              <w:ind w:right="25"/>
              <w:spacing w:after="0"/>
              <w:rPr>
                <w:sz w:val="20"/>
                <w:szCs w:val="20"/>
                <w:color w:val="auto"/>
              </w:rPr>
            </w:pPr>
            <w:r>
              <w:rPr>
                <w:rFonts w:ascii="Arial" w:cs="Arial" w:eastAsia="Arial" w:hAnsi="Arial"/>
                <w:sz w:val="15"/>
                <w:szCs w:val="15"/>
                <w:b w:val="1"/>
                <w:bCs w:val="1"/>
                <w:color w:val="auto"/>
              </w:rPr>
              <w:t>$3,227</w:t>
            </w:r>
          </w:p>
        </w:tc>
        <w:tc>
          <w:tcPr>
            <w:tcW w:w="136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$1,960</w:t>
            </w:r>
          </w:p>
        </w:tc>
      </w:tr>
      <w:tr>
        <w:trPr>
          <w:trHeight w:val="199"/>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Amortization associated with identifiable intangibles</w:t>
            </w:r>
          </w:p>
        </w:tc>
        <w:tc>
          <w:tcPr>
            <w:tcW w:w="136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4</w:t>
            </w:r>
          </w:p>
        </w:tc>
        <w:tc>
          <w:tcPr>
            <w:tcW w:w="13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4</w:t>
            </w:r>
          </w:p>
        </w:tc>
        <w:tc>
          <w:tcPr>
            <w:tcW w:w="1360" w:type="dxa"/>
            <w:vAlign w:val="bottom"/>
            <w:tcBorders>
              <w:bottom w:val="single" w:sz="8" w:color="auto"/>
              <w:right w:val="single" w:sz="8" w:color="auto"/>
            </w:tcBorders>
            <w:shd w:val="clear" w:color="auto" w:fill="EAEAEA"/>
          </w:tcPr>
          <w:p>
            <w:pPr>
              <w:jc w:val="right"/>
              <w:ind w:right="25"/>
              <w:spacing w:after="0"/>
              <w:rPr>
                <w:sz w:val="20"/>
                <w:szCs w:val="20"/>
                <w:color w:val="auto"/>
              </w:rPr>
            </w:pPr>
            <w:r>
              <w:rPr>
                <w:rFonts w:ascii="Arial" w:cs="Arial" w:eastAsia="Arial" w:hAnsi="Arial"/>
                <w:sz w:val="15"/>
                <w:szCs w:val="15"/>
                <w:b w:val="1"/>
                <w:bCs w:val="1"/>
                <w:color w:val="auto"/>
              </w:rPr>
              <w:t>12</w:t>
            </w:r>
          </w:p>
        </w:tc>
        <w:tc>
          <w:tcPr>
            <w:tcW w:w="136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12</w:t>
            </w:r>
          </w:p>
        </w:tc>
      </w:tr>
      <w:tr>
        <w:trPr>
          <w:trHeight w:val="199"/>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Adjusted (non-GAAP)</w:t>
            </w:r>
          </w:p>
        </w:tc>
        <w:tc>
          <w:tcPr>
            <w:tcW w:w="136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$557</w:t>
            </w:r>
          </w:p>
        </w:tc>
        <w:tc>
          <w:tcPr>
            <w:tcW w:w="13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$643</w:t>
            </w:r>
          </w:p>
        </w:tc>
        <w:tc>
          <w:tcPr>
            <w:tcW w:w="1360" w:type="dxa"/>
            <w:vAlign w:val="bottom"/>
            <w:tcBorders>
              <w:bottom w:val="single" w:sz="8" w:color="auto"/>
              <w:right w:val="single" w:sz="8" w:color="auto"/>
            </w:tcBorders>
            <w:shd w:val="clear" w:color="auto" w:fill="EAEAEA"/>
          </w:tcPr>
          <w:p>
            <w:pPr>
              <w:jc w:val="right"/>
              <w:ind w:right="25"/>
              <w:spacing w:after="0"/>
              <w:rPr>
                <w:sz w:val="20"/>
                <w:szCs w:val="20"/>
                <w:color w:val="auto"/>
              </w:rPr>
            </w:pPr>
            <w:r>
              <w:rPr>
                <w:rFonts w:ascii="Arial" w:cs="Arial" w:eastAsia="Arial" w:hAnsi="Arial"/>
                <w:sz w:val="15"/>
                <w:szCs w:val="15"/>
                <w:b w:val="1"/>
                <w:bCs w:val="1"/>
                <w:color w:val="auto"/>
              </w:rPr>
              <w:t>$3,239</w:t>
            </w:r>
          </w:p>
        </w:tc>
        <w:tc>
          <w:tcPr>
            <w:tcW w:w="136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$1,972</w:t>
            </w:r>
          </w:p>
        </w:tc>
      </w:tr>
    </w:tbl>
    <w:p>
      <w:pPr>
        <w:spacing w:after="0" w:line="190" w:lineRule="exact"/>
        <w:rPr>
          <w:sz w:val="20"/>
          <w:szCs w:val="20"/>
          <w:color w:val="auto"/>
        </w:rPr>
      </w:pPr>
    </w:p>
    <w:p>
      <w:pPr>
        <w:ind w:left="620" w:right="120" w:hanging="307"/>
        <w:spacing w:after="0" w:line="243" w:lineRule="auto"/>
        <w:tabs>
          <w:tab w:leader="none" w:pos="58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year-over-year unfavorable quarter comparison in GAAP segment earnings resulted from the same factors that led to the segment's higher operating cost ratio, partially offset by a lower benefit ratio. The year-over-year favorable comparison in YTD GAAP segment earnings resulted from the net favorable impact of a lower segment benefit ratio partially offset by a higher operating cost ratio as previously described.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Humana’s Group and Specialty Segment</w:t>
      </w:r>
    </w:p>
    <w:p>
      <w:pPr>
        <w:spacing w:after="0" w:line="23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revenues:</w:t>
      </w:r>
    </w:p>
    <w:p>
      <w:pPr>
        <w:spacing w:after="0" w:line="231" w:lineRule="exact"/>
        <w:rPr>
          <w:sz w:val="20"/>
          <w:szCs w:val="20"/>
          <w:color w:val="auto"/>
        </w:rPr>
      </w:pPr>
    </w:p>
    <w:p>
      <w:pPr>
        <w:jc w:val="both"/>
        <w:ind w:left="620" w:right="20" w:hanging="307"/>
        <w:spacing w:after="0" w:line="245" w:lineRule="auto"/>
        <w:tabs>
          <w:tab w:leader="none" w:pos="58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3Q20 revenues for the Group and Specialty segment were $1.79 billion, down $95 million, or 5 percent, year over year from $1.89 billion in 3Q19. This decrease was primarily due to the decline in the company's fully-insured group commercial membership, partially offset by the following factors:</w:t>
      </w:r>
    </w:p>
    <w:p>
      <w:pPr>
        <w:spacing w:after="0" w:line="194" w:lineRule="exact"/>
        <w:rPr>
          <w:rFonts w:ascii="Arial" w:cs="Arial" w:eastAsia="Arial" w:hAnsi="Arial"/>
          <w:sz w:val="19"/>
          <w:szCs w:val="19"/>
          <w:color w:val="auto"/>
        </w:rPr>
      </w:pPr>
    </w:p>
    <w:p>
      <w:pPr>
        <w:ind w:left="1000" w:right="20" w:hanging="378"/>
        <w:spacing w:after="0" w:line="250" w:lineRule="auto"/>
        <w:tabs>
          <w:tab w:leader="none" w:pos="1002" w:val="left"/>
        </w:tabs>
        <w:numPr>
          <w:ilvl w:val="1"/>
          <w:numId w:val="32"/>
        </w:numPr>
        <w:rPr>
          <w:rFonts w:ascii="Arial" w:cs="Arial" w:eastAsia="Arial" w:hAnsi="Arial"/>
          <w:sz w:val="19"/>
          <w:szCs w:val="19"/>
          <w:color w:val="auto"/>
        </w:rPr>
      </w:pPr>
      <w:r>
        <w:rPr>
          <w:rFonts w:ascii="Arial" w:cs="Arial" w:eastAsia="Arial" w:hAnsi="Arial"/>
          <w:sz w:val="19"/>
          <w:szCs w:val="19"/>
          <w:color w:val="auto"/>
        </w:rPr>
        <w:t>higher stop-loss revenues related to the company's level-funded ASO accounts resulting from membership growth in this product as more fully described below; and</w:t>
      </w:r>
    </w:p>
    <w:p>
      <w:pPr>
        <w:spacing w:after="0" w:line="189" w:lineRule="exact"/>
        <w:rPr>
          <w:rFonts w:ascii="Arial" w:cs="Arial" w:eastAsia="Arial" w:hAnsi="Arial"/>
          <w:sz w:val="19"/>
          <w:szCs w:val="19"/>
          <w:color w:val="auto"/>
        </w:rPr>
      </w:pPr>
    </w:p>
    <w:p>
      <w:pPr>
        <w:ind w:left="1020" w:hanging="398"/>
        <w:spacing w:after="0"/>
        <w:tabs>
          <w:tab w:leader="none" w:pos="10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higher per member premiums across the fully-insured commercial business.</w:t>
      </w:r>
    </w:p>
    <w:p>
      <w:pPr>
        <w:spacing w:after="0" w:line="206" w:lineRule="exact"/>
        <w:rPr>
          <w:rFonts w:ascii="Arial" w:cs="Arial" w:eastAsia="Arial" w:hAnsi="Arial"/>
          <w:sz w:val="19"/>
          <w:szCs w:val="19"/>
          <w:color w:val="auto"/>
        </w:rPr>
      </w:pPr>
    </w:p>
    <w:p>
      <w:pPr>
        <w:ind w:left="620" w:right="20" w:hanging="307"/>
        <w:spacing w:after="0" w:line="250" w:lineRule="auto"/>
        <w:tabs>
          <w:tab w:leader="none" w:pos="58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YTD 2020 revenues for the Group and Specialty segment were $5.49 billion, down $156 million, or 3 percent, from $5.65 billion in YTD 2019, primarily reflecting the same factors that impacted the year-over-year third quarter comparison.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enrollment:</w:t>
      </w:r>
    </w:p>
    <w:p>
      <w:pPr>
        <w:spacing w:after="0" w:line="209" w:lineRule="exact"/>
        <w:rPr>
          <w:sz w:val="20"/>
          <w:szCs w:val="20"/>
          <w:color w:val="auto"/>
        </w:rPr>
      </w:pPr>
    </w:p>
    <w:p>
      <w:pPr>
        <w:jc w:val="both"/>
        <w:ind w:left="620" w:right="20" w:hanging="307"/>
        <w:spacing w:after="0" w:line="244" w:lineRule="auto"/>
        <w:tabs>
          <w:tab w:leader="none" w:pos="583"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Group fully-insured commercial medical </w:t>
      </w:r>
      <w:r>
        <w:rPr>
          <w:rFonts w:ascii="Arial" w:cs="Arial" w:eastAsia="Arial" w:hAnsi="Arial"/>
          <w:sz w:val="19"/>
          <w:szCs w:val="19"/>
          <w:color w:val="auto"/>
        </w:rPr>
        <w:t>membership was 799,500 at September 30, 2020, a decrease of 127,900, or 14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percent, from 927,400 at September 30, 2019, and down 109,100, or 12 percent, from 908,600 at December 31, 2019. These anticipated declines primarily reflect lower membership in small group accounts due in part to more small group accounts selecting level-funded ASO products, as well as the loss of certain large group accounts due to disciplined pricing in the competitive environment. Additionally, the declines in membership were impacted by the current economic downturn driven by the COVID-19 pandemic resulting in higher unemployment rates and loss of coverage for fully-insured commercial group members. The portion of group fully-insured commercial medical membership in small group accounts (2-99 sized employer groups) was approximately 56 percent at September 30, 2020 compared to 59 percent at December 31, 2019 and 60 percent at September 30, 2019.</w:t>
      </w:r>
    </w:p>
    <w:p>
      <w:pPr>
        <w:spacing w:after="0" w:line="179" w:lineRule="exact"/>
        <w:rPr>
          <w:rFonts w:ascii="Arial" w:cs="Arial" w:eastAsia="Arial" w:hAnsi="Arial"/>
          <w:sz w:val="19"/>
          <w:szCs w:val="19"/>
          <w:color w:val="auto"/>
        </w:rPr>
      </w:pPr>
    </w:p>
    <w:p>
      <w:pPr>
        <w:jc w:val="both"/>
        <w:ind w:left="620" w:right="20" w:hanging="307"/>
        <w:spacing w:after="0" w:line="249" w:lineRule="auto"/>
        <w:tabs>
          <w:tab w:leader="none" w:pos="583"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Group ASO commercial medical </w:t>
      </w:r>
      <w:r>
        <w:rPr>
          <w:rFonts w:ascii="Arial" w:cs="Arial" w:eastAsia="Arial" w:hAnsi="Arial"/>
          <w:sz w:val="19"/>
          <w:szCs w:val="19"/>
          <w:color w:val="auto"/>
        </w:rPr>
        <w:t>membership was 502,100 at September 30, 2020, a decrease of 14,700, or 3 percent,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516,800 at September 30, 2019, and down 27,100, or 5 percent, from 529,200 at December 31, 2019. These changes primarily reflect the loss of certain large group accounts due to continued discipline in pricing of services for self-funded accounts amid a highly competitive environment and the impact of the current economic downturn driven by the COVID-19 pandemic as previously discussed, partially offset by more small</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247" w:right="319" w:bottom="1440" w:gutter="0" w:footer="0" w:header="0"/>
        </w:sectPr>
      </w:pPr>
    </w:p>
    <w:bookmarkStart w:id="27" w:name="page28"/>
    <w:bookmarkEnd w:id="27"/>
    <w:p>
      <w:pPr>
        <w:ind w:left="620"/>
        <w:spacing w:after="0" w:line="250" w:lineRule="auto"/>
        <w:rPr>
          <w:sz w:val="20"/>
          <w:szCs w:val="20"/>
          <w:color w:val="auto"/>
        </w:rPr>
      </w:pPr>
      <w:r>
        <w:rPr>
          <w:rFonts w:ascii="Arial" w:cs="Arial" w:eastAsia="Arial" w:hAnsi="Arial"/>
          <w:sz w:val="19"/>
          <w:szCs w:val="19"/>
          <w:color w:val="auto"/>
        </w:rPr>
        <w:t>group accounts selecting level-funded ASO products. Small group membership comprised 45 percent of group ASO medical membership at September 30, 2020 versus 40 percent at December 31, 2019 and 39 percent at September 30, 2019.</w:t>
      </w:r>
    </w:p>
    <w:p>
      <w:pPr>
        <w:spacing w:after="0" w:line="167" w:lineRule="exact"/>
        <w:rPr>
          <w:sz w:val="20"/>
          <w:szCs w:val="20"/>
          <w:color w:val="auto"/>
        </w:rPr>
      </w:pPr>
    </w:p>
    <w:p>
      <w:pPr>
        <w:jc w:val="both"/>
        <w:ind w:left="620" w:hanging="307"/>
        <w:spacing w:after="0" w:line="251" w:lineRule="auto"/>
        <w:tabs>
          <w:tab w:leader="none" w:pos="583" w:val="left"/>
        </w:tabs>
        <w:numPr>
          <w:ilvl w:val="0"/>
          <w:numId w:val="3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Military services </w:t>
      </w:r>
      <w:r>
        <w:rPr>
          <w:rFonts w:ascii="Arial" w:cs="Arial" w:eastAsia="Arial" w:hAnsi="Arial"/>
          <w:sz w:val="19"/>
          <w:szCs w:val="19"/>
          <w:color w:val="auto"/>
        </w:rPr>
        <w:t>membership was 6,016,400 at September 30, 2020, an increase of 17,700, from 5,998,700 at September 30,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2019, and up 32,100, or 1 percent, versus 5,984,300 at December 31, 2019. Membership includes military service members, retirees, and their families to whom the company is providing healthcare services under the current TRICARE East Region contract.</w:t>
      </w:r>
    </w:p>
    <w:p>
      <w:pPr>
        <w:spacing w:after="0" w:line="168" w:lineRule="exact"/>
        <w:rPr>
          <w:rFonts w:ascii="Arial" w:cs="Arial" w:eastAsia="Arial" w:hAnsi="Arial"/>
          <w:sz w:val="19"/>
          <w:szCs w:val="19"/>
          <w:color w:val="auto"/>
        </w:rPr>
      </w:pPr>
    </w:p>
    <w:p>
      <w:pPr>
        <w:ind w:left="620" w:right="120" w:hanging="307"/>
        <w:spacing w:after="0" w:line="251" w:lineRule="auto"/>
        <w:tabs>
          <w:tab w:leader="none" w:pos="583"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Membership in </w:t>
      </w:r>
      <w:r>
        <w:rPr>
          <w:rFonts w:ascii="Arial" w:cs="Arial" w:eastAsia="Arial" w:hAnsi="Arial"/>
          <w:sz w:val="19"/>
          <w:szCs w:val="19"/>
          <w:b w:val="1"/>
          <w:bCs w:val="1"/>
          <w:i w:val="1"/>
          <w:iCs w:val="1"/>
          <w:color w:val="auto"/>
        </w:rPr>
        <w:t>specialty products</w:t>
      </w:r>
      <w:r>
        <w:rPr>
          <w:rFonts w:ascii="Arial" w:cs="Arial" w:eastAsia="Arial" w:hAnsi="Arial"/>
          <w:sz w:val="10"/>
          <w:szCs w:val="10"/>
          <w:color w:val="auto"/>
        </w:rPr>
        <w:t>(j)</w:t>
      </w:r>
      <w:r>
        <w:rPr>
          <w:rFonts w:ascii="Arial" w:cs="Arial" w:eastAsia="Arial" w:hAnsi="Arial"/>
          <w:sz w:val="19"/>
          <w:szCs w:val="19"/>
          <w:color w:val="auto"/>
        </w:rPr>
        <w:t xml:space="preserve"> was 5,325,600 at September 30, 2020, a decrease of 85,800, or 2 percent, from 5,411,400, at September 30, 2019, and down 100,300, or 2 percent, from 5,425,900 at December 31, 2019. These decreases resulted from the loss of certain group accounts offering stand-alone dental and vision products, as well as the impact of the current economic downturn driven by the COVID-19 pandemic as previously discussed.</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benefits expense:</w:t>
      </w:r>
    </w:p>
    <w:p>
      <w:pPr>
        <w:spacing w:after="0" w:line="231" w:lineRule="exact"/>
        <w:rPr>
          <w:sz w:val="20"/>
          <w:szCs w:val="20"/>
          <w:color w:val="auto"/>
        </w:rPr>
      </w:pPr>
    </w:p>
    <w:p>
      <w:pPr>
        <w:ind w:left="620" w:right="600" w:hanging="307"/>
        <w:spacing w:after="0" w:line="277" w:lineRule="auto"/>
        <w:tabs>
          <w:tab w:leader="none" w:pos="583"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3Q20 benefit ratio for the Group and Specialty segment was 93.0 percent, an increase of 670 basis points from 86.3 percent for 3Q19. The year-over-year increase in the segment benefit ratio was primarily due to the following factors:</w:t>
      </w:r>
    </w:p>
    <w:p>
      <w:pPr>
        <w:spacing w:after="0" w:line="166" w:lineRule="exact"/>
        <w:rPr>
          <w:rFonts w:ascii="Arial" w:cs="Arial" w:eastAsia="Arial" w:hAnsi="Arial"/>
          <w:sz w:val="18"/>
          <w:szCs w:val="18"/>
          <w:b w:val="1"/>
          <w:bCs w:val="1"/>
          <w:color w:val="auto"/>
        </w:rPr>
      </w:pPr>
    </w:p>
    <w:p>
      <w:pPr>
        <w:ind w:left="1240" w:right="60" w:hanging="309"/>
        <w:spacing w:after="0" w:line="245" w:lineRule="auto"/>
        <w:tabs>
          <w:tab w:leader="none" w:pos="1242" w:val="left"/>
        </w:tabs>
        <w:numPr>
          <w:ilvl w:val="1"/>
          <w:numId w:val="35"/>
        </w:numPr>
        <w:rPr>
          <w:rFonts w:ascii="Arial" w:cs="Arial" w:eastAsia="Arial" w:hAnsi="Arial"/>
          <w:sz w:val="19"/>
          <w:szCs w:val="19"/>
          <w:color w:val="auto"/>
        </w:rPr>
      </w:pPr>
      <w:r>
        <w:rPr>
          <w:rFonts w:ascii="Arial" w:cs="Arial" w:eastAsia="Arial" w:hAnsi="Arial"/>
          <w:sz w:val="19"/>
          <w:szCs w:val="19"/>
          <w:color w:val="auto"/>
        </w:rPr>
        <w:t>ongoing pandemic relief efforts, primarily surrounding initiatives to ease administrative and financial stress for providers and employers, including premium rate relief for select employer groups and the payment of monthly stipends to support participating dental providers; and</w:t>
      </w:r>
    </w:p>
    <w:p>
      <w:pPr>
        <w:spacing w:after="0" w:line="194" w:lineRule="exact"/>
        <w:rPr>
          <w:rFonts w:ascii="Arial" w:cs="Arial" w:eastAsia="Arial" w:hAnsi="Arial"/>
          <w:sz w:val="19"/>
          <w:szCs w:val="19"/>
          <w:color w:val="auto"/>
        </w:rPr>
      </w:pPr>
    </w:p>
    <w:p>
      <w:pPr>
        <w:ind w:left="1240" w:right="260" w:hanging="309"/>
        <w:spacing w:after="0" w:line="250" w:lineRule="auto"/>
        <w:tabs>
          <w:tab w:leader="none" w:pos="1242" w:val="left"/>
        </w:tabs>
        <w:numPr>
          <w:ilvl w:val="1"/>
          <w:numId w:val="35"/>
        </w:numPr>
        <w:rPr>
          <w:rFonts w:ascii="Arial" w:cs="Arial" w:eastAsia="Arial" w:hAnsi="Arial"/>
          <w:sz w:val="19"/>
          <w:szCs w:val="19"/>
          <w:color w:val="auto"/>
        </w:rPr>
      </w:pPr>
      <w:r>
        <w:rPr>
          <w:rFonts w:ascii="Arial" w:cs="Arial" w:eastAsia="Arial" w:hAnsi="Arial"/>
          <w:sz w:val="19"/>
          <w:szCs w:val="19"/>
          <w:color w:val="auto"/>
        </w:rPr>
        <w:t>meaningful COVID-19 testing and treatment costs for fully-insured commercial group medical members as several of the company's key commercial markets were COVID-19 hotspots during 3Q20.</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above items were partially offset by the following factors:</w:t>
      </w:r>
    </w:p>
    <w:p>
      <w:pPr>
        <w:spacing w:after="0" w:line="207" w:lineRule="exact"/>
        <w:rPr>
          <w:sz w:val="20"/>
          <w:szCs w:val="20"/>
          <w:color w:val="auto"/>
        </w:rPr>
      </w:pPr>
    </w:p>
    <w:p>
      <w:pPr>
        <w:ind w:left="1240" w:right="820" w:hanging="309"/>
        <w:spacing w:after="0" w:line="250" w:lineRule="auto"/>
        <w:tabs>
          <w:tab w:leader="none" w:pos="1242" w:val="left"/>
        </w:tabs>
        <w:numPr>
          <w:ilvl w:val="2"/>
          <w:numId w:val="36"/>
        </w:numPr>
        <w:rPr>
          <w:rFonts w:ascii="Arial" w:cs="Arial" w:eastAsia="Arial" w:hAnsi="Arial"/>
          <w:sz w:val="19"/>
          <w:szCs w:val="19"/>
          <w:color w:val="auto"/>
        </w:rPr>
      </w:pPr>
      <w:r>
        <w:rPr>
          <w:rFonts w:ascii="Arial" w:cs="Arial" w:eastAsia="Arial" w:hAnsi="Arial"/>
          <w:sz w:val="19"/>
          <w:szCs w:val="19"/>
          <w:color w:val="auto"/>
        </w:rPr>
        <w:t>reinstatement of the non-deductible HIF in 2020 that was contemplated in the pricing and benefit design of the company's products,</w:t>
      </w:r>
    </w:p>
    <w:p>
      <w:pPr>
        <w:spacing w:after="0" w:line="189" w:lineRule="exact"/>
        <w:rPr>
          <w:rFonts w:ascii="Arial" w:cs="Arial" w:eastAsia="Arial" w:hAnsi="Arial"/>
          <w:sz w:val="19"/>
          <w:szCs w:val="19"/>
          <w:color w:val="auto"/>
        </w:rPr>
      </w:pPr>
    </w:p>
    <w:p>
      <w:pPr>
        <w:ind w:left="1240" w:right="480" w:hanging="309"/>
        <w:spacing w:after="0" w:line="245" w:lineRule="auto"/>
        <w:tabs>
          <w:tab w:leader="none" w:pos="1242" w:val="left"/>
        </w:tabs>
        <w:numPr>
          <w:ilvl w:val="2"/>
          <w:numId w:val="36"/>
        </w:numPr>
        <w:rPr>
          <w:rFonts w:ascii="Arial" w:cs="Arial" w:eastAsia="Arial" w:hAnsi="Arial"/>
          <w:sz w:val="19"/>
          <w:szCs w:val="19"/>
          <w:color w:val="auto"/>
        </w:rPr>
      </w:pPr>
      <w:r>
        <w:rPr>
          <w:rFonts w:ascii="Arial" w:cs="Arial" w:eastAsia="Arial" w:hAnsi="Arial"/>
          <w:sz w:val="19"/>
          <w:szCs w:val="19"/>
          <w:color w:val="auto"/>
        </w:rPr>
        <w:t>the temporary deferral of non-essential care as previously discussed; utilization returned faster for fully-insured commercial group members as compared to members in the Retail segment, but remained below historic baseline levels at the close of 3Q20, and</w:t>
      </w:r>
    </w:p>
    <w:p>
      <w:pPr>
        <w:spacing w:after="0" w:line="194" w:lineRule="exact"/>
        <w:rPr>
          <w:rFonts w:ascii="Arial" w:cs="Arial" w:eastAsia="Arial" w:hAnsi="Arial"/>
          <w:sz w:val="19"/>
          <w:szCs w:val="19"/>
          <w:color w:val="auto"/>
        </w:rPr>
      </w:pPr>
    </w:p>
    <w:p>
      <w:pPr>
        <w:ind w:left="1240" w:hanging="309"/>
        <w:spacing w:after="0"/>
        <w:tabs>
          <w:tab w:leader="none" w:pos="1240" w:val="left"/>
        </w:tabs>
        <w:numPr>
          <w:ilvl w:val="2"/>
          <w:numId w:val="36"/>
        </w:numPr>
        <w:rPr>
          <w:rFonts w:ascii="Arial" w:cs="Arial" w:eastAsia="Arial" w:hAnsi="Arial"/>
          <w:sz w:val="19"/>
          <w:szCs w:val="19"/>
          <w:color w:val="auto"/>
        </w:rPr>
      </w:pPr>
      <w:r>
        <w:rPr>
          <w:rFonts w:ascii="Arial" w:cs="Arial" w:eastAsia="Arial" w:hAnsi="Arial"/>
          <w:sz w:val="19"/>
          <w:szCs w:val="19"/>
          <w:color w:val="auto"/>
        </w:rPr>
        <w:t>higher favorable Prior Period Development in the segment in 3Q20.</w:t>
      </w:r>
    </w:p>
    <w:p>
      <w:pPr>
        <w:spacing w:after="0" w:line="206" w:lineRule="exact"/>
        <w:rPr>
          <w:rFonts w:ascii="Arial" w:cs="Arial" w:eastAsia="Arial" w:hAnsi="Arial"/>
          <w:sz w:val="19"/>
          <w:szCs w:val="19"/>
          <w:color w:val="auto"/>
        </w:rPr>
      </w:pPr>
    </w:p>
    <w:p>
      <w:pPr>
        <w:ind w:left="620" w:right="700" w:hanging="307"/>
        <w:spacing w:after="0" w:line="250" w:lineRule="auto"/>
        <w:tabs>
          <w:tab w:leader="none" w:pos="583"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YTD 2020 benefit ratio for the segment of 79.6 percent was 340 basis points lower than the YTD 2019 ratio of 83.0 percent. The year-over-year comparison was impacted by the following factors:</w:t>
      </w:r>
    </w:p>
    <w:p>
      <w:pPr>
        <w:spacing w:after="0" w:line="189" w:lineRule="exact"/>
        <w:rPr>
          <w:rFonts w:ascii="Arial" w:cs="Arial" w:eastAsia="Arial" w:hAnsi="Arial"/>
          <w:sz w:val="19"/>
          <w:szCs w:val="19"/>
          <w:color w:val="auto"/>
        </w:rPr>
      </w:pPr>
    </w:p>
    <w:p>
      <w:pPr>
        <w:ind w:left="1240" w:right="760" w:hanging="309"/>
        <w:spacing w:after="0" w:line="250" w:lineRule="auto"/>
        <w:tabs>
          <w:tab w:leader="none" w:pos="1242" w:val="left"/>
        </w:tabs>
        <w:numPr>
          <w:ilvl w:val="2"/>
          <w:numId w:val="36"/>
        </w:numPr>
        <w:rPr>
          <w:rFonts w:ascii="Arial" w:cs="Arial" w:eastAsia="Arial" w:hAnsi="Arial"/>
          <w:sz w:val="19"/>
          <w:szCs w:val="19"/>
          <w:color w:val="auto"/>
        </w:rPr>
      </w:pPr>
      <w:r>
        <w:rPr>
          <w:rFonts w:ascii="Arial" w:cs="Arial" w:eastAsia="Arial" w:hAnsi="Arial"/>
          <w:sz w:val="19"/>
          <w:szCs w:val="19"/>
          <w:color w:val="auto"/>
        </w:rPr>
        <w:t>significantly depressed utilization levels experienced during the first half of 2020 as a result of the pandemic as previously discussed,</w:t>
      </w:r>
    </w:p>
    <w:p>
      <w:pPr>
        <w:spacing w:after="0" w:line="189" w:lineRule="exact"/>
        <w:rPr>
          <w:rFonts w:ascii="Arial" w:cs="Arial" w:eastAsia="Arial" w:hAnsi="Arial"/>
          <w:sz w:val="19"/>
          <w:szCs w:val="19"/>
          <w:color w:val="auto"/>
        </w:rPr>
      </w:pPr>
    </w:p>
    <w:p>
      <w:pPr>
        <w:ind w:left="1240" w:right="820" w:hanging="309"/>
        <w:spacing w:after="0" w:line="250" w:lineRule="auto"/>
        <w:tabs>
          <w:tab w:leader="none" w:pos="1242" w:val="left"/>
        </w:tabs>
        <w:numPr>
          <w:ilvl w:val="2"/>
          <w:numId w:val="36"/>
        </w:numPr>
        <w:rPr>
          <w:rFonts w:ascii="Arial" w:cs="Arial" w:eastAsia="Arial" w:hAnsi="Arial"/>
          <w:sz w:val="19"/>
          <w:szCs w:val="19"/>
          <w:color w:val="auto"/>
        </w:rPr>
      </w:pPr>
      <w:r>
        <w:rPr>
          <w:rFonts w:ascii="Arial" w:cs="Arial" w:eastAsia="Arial" w:hAnsi="Arial"/>
          <w:sz w:val="19"/>
          <w:szCs w:val="19"/>
          <w:color w:val="auto"/>
        </w:rPr>
        <w:t>reinstatement of the non-deductible HIF in 2020 that was contemplated in the pricing and benefit design of the company's products, and</w:t>
      </w:r>
    </w:p>
    <w:p>
      <w:pPr>
        <w:spacing w:after="0" w:line="189" w:lineRule="exact"/>
        <w:rPr>
          <w:rFonts w:ascii="Arial" w:cs="Arial" w:eastAsia="Arial" w:hAnsi="Arial"/>
          <w:sz w:val="19"/>
          <w:szCs w:val="19"/>
          <w:color w:val="auto"/>
        </w:rPr>
      </w:pPr>
    </w:p>
    <w:p>
      <w:pPr>
        <w:ind w:left="1240" w:hanging="386"/>
        <w:spacing w:after="0"/>
        <w:tabs>
          <w:tab w:leader="none" w:pos="12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higher favorable Prior Period Development in the segment in YTD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271" w:right="339" w:bottom="1440" w:gutter="0" w:footer="0" w:header="0"/>
        </w:sectPr>
      </w:pPr>
    </w:p>
    <w:bookmarkStart w:id="28" w:name="page29"/>
    <w:bookmarkEnd w:id="28"/>
    <w:p>
      <w:pPr>
        <w:ind w:left="620"/>
        <w:spacing w:after="0"/>
        <w:rPr>
          <w:sz w:val="20"/>
          <w:szCs w:val="20"/>
          <w:color w:val="auto"/>
        </w:rPr>
      </w:pPr>
      <w:r>
        <w:rPr>
          <w:rFonts w:ascii="Arial" w:cs="Arial" w:eastAsia="Arial" w:hAnsi="Arial"/>
          <w:sz w:val="19"/>
          <w:szCs w:val="19"/>
          <w:color w:val="auto"/>
        </w:rPr>
        <w:t>These factors were partially offset by the following items:</w:t>
      </w:r>
    </w:p>
    <w:p>
      <w:pPr>
        <w:spacing w:after="0" w:line="207" w:lineRule="exact"/>
        <w:rPr>
          <w:sz w:val="20"/>
          <w:szCs w:val="20"/>
          <w:color w:val="auto"/>
        </w:rPr>
      </w:pPr>
    </w:p>
    <w:p>
      <w:pPr>
        <w:ind w:left="1240" w:hanging="386"/>
        <w:spacing w:after="0"/>
        <w:tabs>
          <w:tab w:leader="none" w:pos="12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COVID-19 testing and treatment costs; and</w:t>
      </w:r>
    </w:p>
    <w:p>
      <w:pPr>
        <w:spacing w:after="0" w:line="206" w:lineRule="exact"/>
        <w:rPr>
          <w:rFonts w:ascii="Arial" w:cs="Arial" w:eastAsia="Arial" w:hAnsi="Arial"/>
          <w:sz w:val="19"/>
          <w:szCs w:val="19"/>
          <w:color w:val="auto"/>
        </w:rPr>
      </w:pPr>
    </w:p>
    <w:p>
      <w:pPr>
        <w:ind w:left="1240" w:hanging="386"/>
        <w:spacing w:after="0"/>
        <w:tabs>
          <w:tab w:leader="none" w:pos="12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company's ongoing pandemic relief efforts as previously described.</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9"/>
          <w:szCs w:val="19"/>
          <w:b w:val="1"/>
          <w:bCs w:val="1"/>
          <w:u w:val="single" w:color="auto"/>
          <w:color w:val="auto"/>
        </w:rPr>
        <w:t>Prior Period Development</w:t>
      </w:r>
    </w:p>
    <w:p>
      <w:pPr>
        <w:spacing w:after="0" w:line="231" w:lineRule="exact"/>
        <w:rPr>
          <w:sz w:val="20"/>
          <w:szCs w:val="20"/>
          <w:color w:val="auto"/>
        </w:rPr>
      </w:pPr>
    </w:p>
    <w:p>
      <w:pPr>
        <w:ind w:left="620"/>
        <w:spacing w:after="0" w:line="250" w:lineRule="auto"/>
        <w:rPr>
          <w:sz w:val="20"/>
          <w:szCs w:val="20"/>
          <w:color w:val="auto"/>
        </w:rPr>
      </w:pPr>
      <w:r>
        <w:rPr>
          <w:rFonts w:ascii="Arial" w:cs="Arial" w:eastAsia="Arial" w:hAnsi="Arial"/>
          <w:sz w:val="19"/>
          <w:szCs w:val="19"/>
          <w:color w:val="auto"/>
        </w:rPr>
        <w:t>The Group and Specialty segment's favorable Prior Period Development for 3Q20, as noted in the table below, decreased the segment benefit ratio by 80 basis points in 3Q20 compared to lowering the 3Q19 ratio by 10 basis points.</w:t>
      </w:r>
    </w:p>
    <w:p>
      <w:pPr>
        <w:spacing w:after="0" w:line="189" w:lineRule="exact"/>
        <w:rPr>
          <w:sz w:val="20"/>
          <w:szCs w:val="20"/>
          <w:color w:val="auto"/>
        </w:rPr>
      </w:pPr>
    </w:p>
    <w:p>
      <w:pPr>
        <w:ind w:left="620"/>
        <w:spacing w:after="0" w:line="250" w:lineRule="auto"/>
        <w:rPr>
          <w:sz w:val="20"/>
          <w:szCs w:val="20"/>
          <w:color w:val="auto"/>
        </w:rPr>
      </w:pPr>
      <w:r>
        <w:rPr>
          <w:rFonts w:ascii="Arial" w:cs="Arial" w:eastAsia="Arial" w:hAnsi="Arial"/>
          <w:sz w:val="19"/>
          <w:szCs w:val="19"/>
          <w:color w:val="auto"/>
        </w:rPr>
        <w:t>Favorable Prior Period Development decreased the YTD 2020 ratio by 90 basis points while unfavorable development in YTD 2019 increased the benefit ratio by 70 basis points.</w:t>
      </w:r>
    </w:p>
    <w:p>
      <w:pPr>
        <w:spacing w:after="0" w:line="200" w:lineRule="exact"/>
        <w:rPr>
          <w:sz w:val="20"/>
          <w:szCs w:val="20"/>
          <w:color w:val="auto"/>
        </w:rPr>
      </w:pPr>
    </w:p>
    <w:p>
      <w:pPr>
        <w:spacing w:after="0" w:line="231" w:lineRule="exact"/>
        <w:rPr>
          <w:sz w:val="20"/>
          <w:szCs w:val="20"/>
          <w:color w:val="auto"/>
        </w:rPr>
      </w:pPr>
    </w:p>
    <w:tbl>
      <w:tblPr>
        <w:tblLayout w:type="fixed"/>
        <w:tblInd w:w="690" w:type="dxa"/>
        <w:tblCellMar>
          <w:top w:w="0" w:type="dxa"/>
          <w:left w:w="0" w:type="dxa"/>
          <w:bottom w:w="0" w:type="dxa"/>
          <w:right w:w="0" w:type="dxa"/>
        </w:tblCellMar>
      </w:tblPr>
      <w:tr>
        <w:trPr>
          <w:trHeight w:val="168"/>
        </w:trPr>
        <w:tc>
          <w:tcPr>
            <w:tcW w:w="5600" w:type="dxa"/>
            <w:vAlign w:val="bottom"/>
            <w:tcBorders>
              <w:top w:val="single" w:sz="8" w:color="auto"/>
              <w:left w:val="single" w:sz="8" w:color="auto"/>
              <w:right w:val="single" w:sz="8" w:color="auto"/>
            </w:tcBorders>
          </w:tcPr>
          <w:p>
            <w:pPr>
              <w:ind w:left="20"/>
              <w:spacing w:after="0" w:line="168" w:lineRule="exact"/>
              <w:rPr>
                <w:sz w:val="20"/>
                <w:szCs w:val="20"/>
                <w:color w:val="auto"/>
              </w:rPr>
            </w:pPr>
            <w:r>
              <w:rPr>
                <w:rFonts w:ascii="Arial" w:cs="Arial" w:eastAsia="Arial" w:hAnsi="Arial"/>
                <w:sz w:val="15"/>
                <w:szCs w:val="15"/>
                <w:b w:val="1"/>
                <w:bCs w:val="1"/>
                <w:color w:val="auto"/>
              </w:rPr>
              <w:t>Group and Specialty segment Prior Period Development (in millions)</w:t>
            </w:r>
          </w:p>
        </w:tc>
        <w:tc>
          <w:tcPr>
            <w:tcW w:w="1080" w:type="dxa"/>
            <w:vAlign w:val="bottom"/>
            <w:tcBorders>
              <w:top w:val="single" w:sz="8" w:color="auto"/>
              <w:right w:val="single" w:sz="8" w:color="auto"/>
            </w:tcBorders>
            <w:vMerge w:val="restart"/>
          </w:tcPr>
          <w:p>
            <w:pPr>
              <w:jc w:val="right"/>
              <w:ind w:right="23"/>
              <w:spacing w:after="0"/>
              <w:rPr>
                <w:sz w:val="20"/>
                <w:szCs w:val="20"/>
                <w:color w:val="auto"/>
              </w:rPr>
            </w:pPr>
            <w:r>
              <w:rPr>
                <w:rFonts w:ascii="Arial" w:cs="Arial" w:eastAsia="Arial" w:hAnsi="Arial"/>
                <w:sz w:val="15"/>
                <w:szCs w:val="15"/>
                <w:b w:val="1"/>
                <w:bCs w:val="1"/>
                <w:color w:val="auto"/>
              </w:rPr>
              <w:t>First Quarter</w:t>
            </w:r>
          </w:p>
        </w:tc>
        <w:tc>
          <w:tcPr>
            <w:tcW w:w="108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rPr>
              <w:t>Second</w:t>
            </w:r>
          </w:p>
        </w:tc>
        <w:tc>
          <w:tcPr>
            <w:tcW w:w="108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rPr>
              <w:t>Third</w:t>
            </w:r>
          </w:p>
        </w:tc>
        <w:tc>
          <w:tcPr>
            <w:tcW w:w="1080" w:type="dxa"/>
            <w:vAlign w:val="bottom"/>
            <w:tcBorders>
              <w:top w:val="single" w:sz="8" w:color="auto"/>
              <w:right w:val="single" w:sz="8" w:color="auto"/>
            </w:tcBorders>
            <w:vMerge w:val="restart"/>
          </w:tcPr>
          <w:p>
            <w:pPr>
              <w:jc w:val="right"/>
              <w:ind w:right="323"/>
              <w:spacing w:after="0"/>
              <w:rPr>
                <w:sz w:val="20"/>
                <w:szCs w:val="20"/>
                <w:color w:val="auto"/>
              </w:rPr>
            </w:pPr>
            <w:r>
              <w:rPr>
                <w:rFonts w:ascii="Arial" w:cs="Arial" w:eastAsia="Arial" w:hAnsi="Arial"/>
                <w:sz w:val="15"/>
                <w:szCs w:val="15"/>
                <w:b w:val="1"/>
                <w:bCs w:val="1"/>
                <w:color w:val="auto"/>
              </w:rPr>
              <w:t>YTD</w:t>
            </w:r>
          </w:p>
        </w:tc>
        <w:tc>
          <w:tcPr>
            <w:tcW w:w="0" w:type="dxa"/>
            <w:vAlign w:val="bottom"/>
          </w:tcPr>
          <w:p>
            <w:pPr>
              <w:spacing w:after="0"/>
              <w:rPr>
                <w:sz w:val="1"/>
                <w:szCs w:val="1"/>
                <w:color w:val="auto"/>
              </w:rPr>
            </w:pPr>
          </w:p>
        </w:tc>
      </w:tr>
      <w:tr>
        <w:trPr>
          <w:trHeight w:val="205"/>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Favorable (unfavorable)</w:t>
            </w:r>
          </w:p>
        </w:tc>
        <w:tc>
          <w:tcPr>
            <w:tcW w:w="1080" w:type="dxa"/>
            <w:vAlign w:val="bottom"/>
            <w:tcBorders>
              <w:bottom w:val="single" w:sz="8" w:color="auto"/>
              <w:right w:val="single" w:sz="8" w:color="auto"/>
            </w:tcBorders>
            <w:vMerge w:val="continue"/>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Quarter</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Quarter</w:t>
            </w:r>
          </w:p>
        </w:tc>
        <w:tc>
          <w:tcPr>
            <w:tcW w:w="10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Prior Period Development from prior years recognized in YTD 2020</w:t>
            </w:r>
          </w:p>
        </w:tc>
        <w:tc>
          <w:tcPr>
            <w:tcW w:w="108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$46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$(16)</w:t>
            </w:r>
          </w:p>
        </w:tc>
        <w:tc>
          <w:tcPr>
            <w:tcW w:w="108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$13</w:t>
            </w:r>
          </w:p>
        </w:tc>
        <w:tc>
          <w:tcPr>
            <w:tcW w:w="108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$43</w:t>
            </w:r>
          </w:p>
        </w:tc>
        <w:tc>
          <w:tcPr>
            <w:tcW w:w="0" w:type="dxa"/>
            <w:vAlign w:val="bottom"/>
          </w:tcPr>
          <w:p>
            <w:pPr>
              <w:spacing w:after="0"/>
              <w:rPr>
                <w:sz w:val="1"/>
                <w:szCs w:val="1"/>
                <w:color w:val="auto"/>
              </w:rPr>
            </w:pPr>
          </w:p>
        </w:tc>
      </w:tr>
      <w:tr>
        <w:trPr>
          <w:trHeight w:val="198"/>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Prior Period Development from prior years recognized in YTD 2019</w:t>
            </w:r>
          </w:p>
        </w:tc>
        <w:tc>
          <w:tcPr>
            <w:tcW w:w="1080" w:type="dxa"/>
            <w:vAlign w:val="bottom"/>
            <w:tcBorders>
              <w:bottom w:val="single" w:sz="8" w:color="auto"/>
              <w:right w:val="single" w:sz="8" w:color="auto"/>
            </w:tcBorders>
          </w:tcPr>
          <w:p>
            <w:pPr>
              <w:jc w:val="right"/>
              <w:ind w:right="303"/>
              <w:spacing w:after="0"/>
              <w:rPr>
                <w:sz w:val="20"/>
                <w:szCs w:val="20"/>
                <w:color w:val="auto"/>
              </w:rPr>
            </w:pPr>
            <w:r>
              <w:rPr>
                <w:rFonts w:ascii="Arial" w:cs="Arial" w:eastAsia="Arial" w:hAnsi="Arial"/>
                <w:sz w:val="15"/>
                <w:szCs w:val="15"/>
                <w:color w:val="auto"/>
              </w:rPr>
              <w:t>$(16)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w:t>
            </w:r>
          </w:p>
        </w:tc>
        <w:tc>
          <w:tcPr>
            <w:tcW w:w="1080" w:type="dxa"/>
            <w:vAlign w:val="bottom"/>
            <w:tcBorders>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right w:val="single" w:sz="8" w:color="auto"/>
            </w:tcBorders>
          </w:tcPr>
          <w:p>
            <w:pPr>
              <w:jc w:val="right"/>
              <w:ind w:right="30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operating costs:</w:t>
      </w:r>
    </w:p>
    <w:p>
      <w:pPr>
        <w:spacing w:after="0" w:line="231" w:lineRule="exact"/>
        <w:rPr>
          <w:sz w:val="20"/>
          <w:szCs w:val="20"/>
          <w:color w:val="auto"/>
        </w:rPr>
      </w:pPr>
    </w:p>
    <w:p>
      <w:pPr>
        <w:ind w:left="620" w:right="220" w:hanging="307"/>
        <w:spacing w:after="0" w:line="250" w:lineRule="auto"/>
        <w:tabs>
          <w:tab w:leader="none" w:pos="583"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The Group and Specialty segment’s operating cost ratio was 25.2 percent in 3Q20, an increase of 330 basis points from 21.9 percent in 3Q19 primarily reflecting the following factors:</w:t>
      </w:r>
    </w:p>
    <w:p>
      <w:pPr>
        <w:spacing w:after="0" w:line="189" w:lineRule="exact"/>
        <w:rPr>
          <w:rFonts w:ascii="Arial" w:cs="Arial" w:eastAsia="Arial" w:hAnsi="Arial"/>
          <w:sz w:val="19"/>
          <w:szCs w:val="19"/>
          <w:b w:val="1"/>
          <w:bCs w:val="1"/>
          <w:color w:val="auto"/>
        </w:rPr>
      </w:pPr>
    </w:p>
    <w:p>
      <w:pPr>
        <w:ind w:left="1240" w:right="140" w:hanging="309"/>
        <w:spacing w:after="0" w:line="250" w:lineRule="auto"/>
        <w:tabs>
          <w:tab w:leader="none" w:pos="1242" w:val="left"/>
        </w:tabs>
        <w:numPr>
          <w:ilvl w:val="1"/>
          <w:numId w:val="38"/>
        </w:numPr>
        <w:rPr>
          <w:rFonts w:ascii="Arial" w:cs="Arial" w:eastAsia="Arial" w:hAnsi="Arial"/>
          <w:sz w:val="19"/>
          <w:szCs w:val="19"/>
          <w:color w:val="auto"/>
        </w:rPr>
      </w:pPr>
      <w:r>
        <w:rPr>
          <w:rFonts w:ascii="Arial" w:cs="Arial" w:eastAsia="Arial" w:hAnsi="Arial"/>
          <w:sz w:val="19"/>
          <w:szCs w:val="19"/>
          <w:color w:val="auto"/>
        </w:rPr>
        <w:t>reinstatement of the non-deductible HIF in 2020, which increased the Group and Specialty segment's GAAP operating cost ratio by approximately 130 basis points in 3Q20; and</w:t>
      </w:r>
    </w:p>
    <w:p>
      <w:pPr>
        <w:spacing w:after="0" w:line="189" w:lineRule="exact"/>
        <w:rPr>
          <w:rFonts w:ascii="Arial" w:cs="Arial" w:eastAsia="Arial" w:hAnsi="Arial"/>
          <w:sz w:val="19"/>
          <w:szCs w:val="19"/>
          <w:color w:val="auto"/>
        </w:rPr>
      </w:pPr>
    </w:p>
    <w:p>
      <w:pPr>
        <w:ind w:left="1240" w:hanging="309"/>
        <w:spacing w:after="0"/>
        <w:tabs>
          <w:tab w:leader="none" w:pos="12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COVID-19 related administrative costs as previously discussed.</w:t>
      </w:r>
    </w:p>
    <w:p>
      <w:pPr>
        <w:spacing w:after="0" w:line="207" w:lineRule="exact"/>
        <w:rPr>
          <w:sz w:val="20"/>
          <w:szCs w:val="20"/>
          <w:color w:val="auto"/>
        </w:rPr>
      </w:pPr>
    </w:p>
    <w:p>
      <w:pPr>
        <w:ind w:left="620" w:right="680"/>
        <w:spacing w:after="0" w:line="250" w:lineRule="auto"/>
        <w:rPr>
          <w:sz w:val="20"/>
          <w:szCs w:val="20"/>
          <w:color w:val="auto"/>
        </w:rPr>
      </w:pPr>
      <w:r>
        <w:rPr>
          <w:rFonts w:ascii="Arial" w:cs="Arial" w:eastAsia="Arial" w:hAnsi="Arial"/>
          <w:sz w:val="19"/>
          <w:szCs w:val="19"/>
          <w:color w:val="auto"/>
        </w:rPr>
        <w:t>The impact of the above items was partially offset by significant operating cost efficiencies in 3Q20 driven by previously disclosed productivity initiatives.</w:t>
      </w:r>
    </w:p>
    <w:p>
      <w:pPr>
        <w:spacing w:after="0" w:line="189" w:lineRule="exact"/>
        <w:rPr>
          <w:sz w:val="20"/>
          <w:szCs w:val="20"/>
          <w:color w:val="auto"/>
        </w:rPr>
      </w:pPr>
    </w:p>
    <w:p>
      <w:pPr>
        <w:ind w:left="620" w:right="340" w:hanging="307"/>
        <w:spacing w:after="0" w:line="245" w:lineRule="auto"/>
        <w:tabs>
          <w:tab w:leader="none" w:pos="583"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Group and Specialty segment’s operating cost ratio of 24.0 percent for YTD 2020 was up 210 basis points compared to 21.9 percent for YTD 2019. The year-over-year increase was primarily impacted by the same factors influencing the third quarter comparison.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non-deductible HIF impacted the segment’s YTD 2020 operating cost ratio by approximately 130 basis points.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results:</w:t>
      </w:r>
    </w:p>
    <w:p>
      <w:pPr>
        <w:spacing w:after="0" w:line="240" w:lineRule="exact"/>
        <w:rPr>
          <w:sz w:val="20"/>
          <w:szCs w:val="20"/>
          <w:color w:val="auto"/>
        </w:rPr>
      </w:pPr>
    </w:p>
    <w:tbl>
      <w:tblPr>
        <w:tblLayout w:type="fixed"/>
        <w:tblInd w:w="30" w:type="dxa"/>
        <w:tblCellMar>
          <w:top w:w="0" w:type="dxa"/>
          <w:left w:w="0" w:type="dxa"/>
          <w:bottom w:w="0" w:type="dxa"/>
          <w:right w:w="0" w:type="dxa"/>
        </w:tblCellMar>
      </w:tblPr>
      <w:tr>
        <w:trPr>
          <w:trHeight w:val="155"/>
        </w:trPr>
        <w:tc>
          <w:tcPr>
            <w:tcW w:w="6420" w:type="dxa"/>
            <w:vAlign w:val="bottom"/>
            <w:tcBorders>
              <w:top w:val="single" w:sz="8" w:color="auto"/>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Group and Specialty segment (loss) earnings</w:t>
            </w:r>
          </w:p>
        </w:tc>
        <w:tc>
          <w:tcPr>
            <w:tcW w:w="1200" w:type="dxa"/>
            <w:vAlign w:val="bottom"/>
            <w:tcBorders>
              <w:top w:val="single" w:sz="8" w:color="auto"/>
              <w:right w:val="single" w:sz="8" w:color="auto"/>
            </w:tcBorders>
            <w:shd w:val="clear" w:color="auto" w:fill="EAEAEA"/>
          </w:tcPr>
          <w:p>
            <w:pPr>
              <w:spacing w:after="0"/>
              <w:rPr>
                <w:sz w:val="13"/>
                <w:szCs w:val="13"/>
                <w:color w:val="auto"/>
              </w:rPr>
            </w:pPr>
          </w:p>
        </w:tc>
        <w:tc>
          <w:tcPr>
            <w:tcW w:w="120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shd w:val="clear" w:color="auto" w:fill="EAEAEA"/>
          </w:tcPr>
          <w:p>
            <w:pPr>
              <w:spacing w:after="0"/>
              <w:rPr>
                <w:sz w:val="13"/>
                <w:szCs w:val="13"/>
                <w:color w:val="auto"/>
              </w:rPr>
            </w:pPr>
          </w:p>
        </w:tc>
        <w:tc>
          <w:tcPr>
            <w:tcW w:w="1220" w:type="dxa"/>
            <w:vAlign w:val="bottom"/>
            <w:tcBorders>
              <w:top w:val="single" w:sz="8" w:color="auto"/>
              <w:right w:val="single" w:sz="8" w:color="auto"/>
            </w:tcBorders>
          </w:tcPr>
          <w:p>
            <w:pPr>
              <w:spacing w:after="0"/>
              <w:rPr>
                <w:sz w:val="13"/>
                <w:szCs w:val="13"/>
                <w:color w:val="auto"/>
              </w:rPr>
            </w:pPr>
          </w:p>
        </w:tc>
      </w:tr>
      <w:tr>
        <w:trPr>
          <w:trHeight w:val="193"/>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i w:val="1"/>
                <w:iCs w:val="1"/>
                <w:color w:val="auto"/>
              </w:rPr>
              <w:t>In millions</w:t>
            </w:r>
          </w:p>
        </w:tc>
        <w:tc>
          <w:tcPr>
            <w:tcW w:w="1200" w:type="dxa"/>
            <w:vAlign w:val="bottom"/>
            <w:tcBorders>
              <w:bottom w:val="single" w:sz="8" w:color="auto"/>
              <w:right w:val="single" w:sz="8" w:color="auto"/>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auto"/>
              </w:rPr>
              <w:t>3Q20 (a)</w:t>
            </w:r>
          </w:p>
        </w:tc>
        <w:tc>
          <w:tcPr>
            <w:tcW w:w="1200" w:type="dxa"/>
            <w:vAlign w:val="bottom"/>
            <w:tcBorders>
              <w:bottom w:val="single" w:sz="8" w:color="auto"/>
              <w:right w:val="single" w:sz="8" w:color="auto"/>
            </w:tcBorders>
          </w:tcPr>
          <w:p>
            <w:pPr>
              <w:jc w:val="right"/>
              <w:ind w:right="265"/>
              <w:spacing w:after="0"/>
              <w:rPr>
                <w:sz w:val="20"/>
                <w:szCs w:val="20"/>
                <w:color w:val="auto"/>
              </w:rPr>
            </w:pPr>
            <w:r>
              <w:rPr>
                <w:rFonts w:ascii="Arial" w:cs="Arial" w:eastAsia="Arial" w:hAnsi="Arial"/>
                <w:sz w:val="14"/>
                <w:szCs w:val="14"/>
                <w:color w:val="auto"/>
              </w:rPr>
              <w:t>3Q19 (b)</w:t>
            </w:r>
          </w:p>
        </w:tc>
        <w:tc>
          <w:tcPr>
            <w:tcW w:w="1200" w:type="dxa"/>
            <w:vAlign w:val="bottom"/>
            <w:tcBorders>
              <w:bottom w:val="single" w:sz="8" w:color="auto"/>
              <w:right w:val="single" w:sz="8" w:color="auto"/>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auto"/>
              </w:rPr>
              <w:t>YTD 2020 (c)</w:t>
            </w:r>
          </w:p>
        </w:tc>
        <w:tc>
          <w:tcPr>
            <w:tcW w:w="1220" w:type="dxa"/>
            <w:vAlign w:val="bottom"/>
            <w:tcBorders>
              <w:bottom w:val="single" w:sz="8" w:color="auto"/>
              <w:right w:val="single" w:sz="8" w:color="auto"/>
            </w:tcBorders>
          </w:tcPr>
          <w:p>
            <w:pPr>
              <w:jc w:val="right"/>
              <w:ind w:right="145"/>
              <w:spacing w:after="0"/>
              <w:rPr>
                <w:sz w:val="20"/>
                <w:szCs w:val="20"/>
                <w:color w:val="auto"/>
              </w:rPr>
            </w:pPr>
            <w:r>
              <w:rPr>
                <w:rFonts w:ascii="Arial" w:cs="Arial" w:eastAsia="Arial" w:hAnsi="Arial"/>
                <w:sz w:val="14"/>
                <w:szCs w:val="14"/>
                <w:color w:val="auto"/>
              </w:rPr>
              <w:t>YTD 2019 (d)</w:t>
            </w:r>
          </w:p>
        </w:tc>
      </w:tr>
      <w:tr>
        <w:trPr>
          <w:trHeight w:val="198"/>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GAAP</w:t>
            </w:r>
          </w:p>
        </w:tc>
        <w:tc>
          <w:tcPr>
            <w:tcW w:w="1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($160)</w:t>
            </w:r>
          </w:p>
        </w:tc>
        <w:tc>
          <w:tcPr>
            <w:tcW w:w="120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$4</w:t>
            </w:r>
          </w:p>
        </w:tc>
        <w:tc>
          <w:tcPr>
            <w:tcW w:w="120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$232</w:t>
            </w:r>
          </w:p>
        </w:tc>
        <w:tc>
          <w:tcPr>
            <w:tcW w:w="122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$174</w:t>
            </w:r>
          </w:p>
        </w:tc>
      </w:tr>
      <w:tr>
        <w:trPr>
          <w:trHeight w:val="199"/>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Amortization associated with identifiable intangibles</w:t>
            </w:r>
          </w:p>
        </w:tc>
        <w:tc>
          <w:tcPr>
            <w:tcW w:w="120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1</w:t>
            </w:r>
          </w:p>
        </w:tc>
        <w:tc>
          <w:tcPr>
            <w:tcW w:w="120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1</w:t>
            </w:r>
          </w:p>
        </w:tc>
        <w:tc>
          <w:tcPr>
            <w:tcW w:w="120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3</w:t>
            </w:r>
          </w:p>
        </w:tc>
        <w:tc>
          <w:tcPr>
            <w:tcW w:w="122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3</w:t>
            </w:r>
          </w:p>
        </w:tc>
      </w:tr>
      <w:tr>
        <w:trPr>
          <w:trHeight w:val="199"/>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Adjusted (non-GAAP)</w:t>
            </w:r>
          </w:p>
        </w:tc>
        <w:tc>
          <w:tcPr>
            <w:tcW w:w="1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5"/>
                <w:szCs w:val="15"/>
                <w:b w:val="1"/>
                <w:bCs w:val="1"/>
                <w:color w:val="auto"/>
              </w:rPr>
              <w:t>($159)</w:t>
            </w:r>
          </w:p>
        </w:tc>
        <w:tc>
          <w:tcPr>
            <w:tcW w:w="120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$5</w:t>
            </w:r>
          </w:p>
        </w:tc>
        <w:tc>
          <w:tcPr>
            <w:tcW w:w="1200" w:type="dxa"/>
            <w:vAlign w:val="bottom"/>
            <w:tcBorders>
              <w:bottom w:val="single" w:sz="8" w:color="auto"/>
              <w:right w:val="single" w:sz="8" w:color="auto"/>
            </w:tcBorders>
            <w:shd w:val="clear" w:color="auto" w:fill="EAEAEA"/>
          </w:tcPr>
          <w:p>
            <w:pPr>
              <w:jc w:val="right"/>
              <w:ind w:right="5"/>
              <w:spacing w:after="0"/>
              <w:rPr>
                <w:sz w:val="20"/>
                <w:szCs w:val="20"/>
                <w:color w:val="auto"/>
              </w:rPr>
            </w:pPr>
            <w:r>
              <w:rPr>
                <w:rFonts w:ascii="Arial" w:cs="Arial" w:eastAsia="Arial" w:hAnsi="Arial"/>
                <w:sz w:val="15"/>
                <w:szCs w:val="15"/>
                <w:b w:val="1"/>
                <w:bCs w:val="1"/>
                <w:color w:val="auto"/>
              </w:rPr>
              <w:t>$235</w:t>
            </w:r>
          </w:p>
        </w:tc>
        <w:tc>
          <w:tcPr>
            <w:tcW w:w="122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$177</w:t>
            </w:r>
          </w:p>
        </w:tc>
      </w:tr>
    </w:tbl>
    <w:p>
      <w:pPr>
        <w:spacing w:after="0" w:line="190" w:lineRule="exact"/>
        <w:rPr>
          <w:sz w:val="20"/>
          <w:szCs w:val="20"/>
          <w:color w:val="auto"/>
        </w:rPr>
      </w:pPr>
    </w:p>
    <w:p>
      <w:pPr>
        <w:ind w:left="620" w:right="120" w:hanging="307"/>
        <w:spacing w:after="0" w:line="265" w:lineRule="auto"/>
        <w:tabs>
          <w:tab w:leader="none" w:pos="5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year-over-year unfavorable quarter comparison in GAAP segment earnings resulted from the same factors that led to the segment's higher benefit and operating cost ratios. The year-over-year favorable comparison in YTD GAAP segment earnings resulted from the net favorable impact of a lower segment benefit ratio partially offset by a higher operating cost ratio.</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271" w:right="339" w:bottom="1440" w:gutter="0" w:footer="0" w:header="0"/>
        </w:sectPr>
      </w:pPr>
    </w:p>
    <w:bookmarkStart w:id="29" w:name="page30"/>
    <w:bookmarkEnd w:id="29"/>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Humana’s Healthcare Services Segment</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non-consolidating minority interest investments in Kindred at Home and the strategic partnership with Welsh, Carson, Anderson &amp; Stowe (WCAS) to develop and operate senior-focused, payor-agnostic, primary care centers.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Services offered by this segment are designed to enhance the healthcare experience overall. These services may lead to lower utilization associated with improved member health and/or lower drug costs.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revenues:</w:t>
      </w:r>
    </w:p>
    <w:p>
      <w:pPr>
        <w:spacing w:after="0" w:line="231" w:lineRule="exact"/>
        <w:rPr>
          <w:sz w:val="20"/>
          <w:szCs w:val="20"/>
          <w:color w:val="auto"/>
        </w:rPr>
      </w:pPr>
    </w:p>
    <w:p>
      <w:pPr>
        <w:ind w:left="620" w:hanging="307"/>
        <w:spacing w:after="0" w:line="250" w:lineRule="auto"/>
        <w:tabs>
          <w:tab w:leader="none" w:pos="583" w:val="left"/>
        </w:tabs>
        <w:numPr>
          <w:ilvl w:val="0"/>
          <w:numId w:val="41"/>
        </w:numPr>
        <w:rPr>
          <w:rFonts w:ascii="Arial" w:cs="Arial" w:eastAsia="Arial" w:hAnsi="Arial"/>
          <w:sz w:val="19"/>
          <w:szCs w:val="19"/>
          <w:color w:val="auto"/>
        </w:rPr>
      </w:pPr>
      <w:r>
        <w:rPr>
          <w:rFonts w:ascii="Arial" w:cs="Arial" w:eastAsia="Arial" w:hAnsi="Arial"/>
          <w:sz w:val="19"/>
          <w:szCs w:val="19"/>
          <w:color w:val="auto"/>
        </w:rPr>
        <w:t>Revenues of $7.13 billion in 3Q20 for the Healthcare Services segment increased by $529 million, or 8 percent, from $6.60 billion in 3Q19. The year-over-year comparison was favorably impacted by the following factors:</w:t>
      </w:r>
    </w:p>
    <w:p>
      <w:pPr>
        <w:spacing w:after="0" w:line="189" w:lineRule="exact"/>
        <w:rPr>
          <w:rFonts w:ascii="Arial" w:cs="Arial" w:eastAsia="Arial" w:hAnsi="Arial"/>
          <w:sz w:val="19"/>
          <w:szCs w:val="19"/>
          <w:color w:val="auto"/>
        </w:rPr>
      </w:pPr>
    </w:p>
    <w:p>
      <w:pPr>
        <w:ind w:left="860" w:hanging="315"/>
        <w:spacing w:after="0"/>
        <w:tabs>
          <w:tab w:leader="none" w:pos="8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company's strong Medicare Advantage membership growth; and</w:t>
      </w:r>
    </w:p>
    <w:p>
      <w:pPr>
        <w:spacing w:after="0" w:line="206" w:lineRule="exact"/>
        <w:rPr>
          <w:rFonts w:ascii="Arial" w:cs="Arial" w:eastAsia="Arial" w:hAnsi="Arial"/>
          <w:sz w:val="19"/>
          <w:szCs w:val="19"/>
          <w:color w:val="auto"/>
        </w:rPr>
      </w:pPr>
    </w:p>
    <w:p>
      <w:pPr>
        <w:ind w:left="860" w:hanging="315"/>
        <w:spacing w:after="0"/>
        <w:tabs>
          <w:tab w:leader="none" w:pos="8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additional pharmacy revenues in 3Q20 associated with the acquisition of Enclara Healthcare.</w:t>
      </w:r>
    </w:p>
    <w:p>
      <w:pPr>
        <w:spacing w:after="0" w:line="207" w:lineRule="exact"/>
        <w:rPr>
          <w:sz w:val="20"/>
          <w:szCs w:val="20"/>
          <w:color w:val="auto"/>
        </w:rPr>
      </w:pPr>
    </w:p>
    <w:p>
      <w:pPr>
        <w:ind w:left="620"/>
        <w:spacing w:after="0" w:line="250" w:lineRule="auto"/>
        <w:rPr>
          <w:sz w:val="20"/>
          <w:szCs w:val="20"/>
          <w:color w:val="auto"/>
        </w:rPr>
      </w:pPr>
      <w:r>
        <w:rPr>
          <w:rFonts w:ascii="Arial" w:cs="Arial" w:eastAsia="Arial" w:hAnsi="Arial"/>
          <w:sz w:val="19"/>
          <w:szCs w:val="19"/>
          <w:color w:val="auto"/>
        </w:rPr>
        <w:t>These increases were partially offset by the loss of intersegment revenues associated with the decline in stand-alone PDP membership as previously discussed.</w:t>
      </w:r>
    </w:p>
    <w:p>
      <w:pPr>
        <w:spacing w:after="0" w:line="189" w:lineRule="exact"/>
        <w:rPr>
          <w:sz w:val="20"/>
          <w:szCs w:val="20"/>
          <w:color w:val="auto"/>
        </w:rPr>
      </w:pPr>
    </w:p>
    <w:p>
      <w:pPr>
        <w:jc w:val="both"/>
        <w:ind w:left="620" w:hanging="307"/>
        <w:spacing w:after="0" w:line="243" w:lineRule="auto"/>
        <w:tabs>
          <w:tab w:leader="none" w:pos="583" w:val="left"/>
        </w:tabs>
        <w:numPr>
          <w:ilvl w:val="0"/>
          <w:numId w:val="42"/>
        </w:numPr>
        <w:rPr>
          <w:rFonts w:ascii="Arial" w:cs="Arial" w:eastAsia="Arial" w:hAnsi="Arial"/>
          <w:sz w:val="19"/>
          <w:szCs w:val="19"/>
          <w:color w:val="auto"/>
        </w:rPr>
      </w:pPr>
      <w:r>
        <w:rPr>
          <w:rFonts w:ascii="Arial" w:cs="Arial" w:eastAsia="Arial" w:hAnsi="Arial"/>
          <w:sz w:val="19"/>
          <w:szCs w:val="19"/>
          <w:color w:val="auto"/>
        </w:rPr>
        <w:t>YTD 2020 revenues for the Healthcare Services segment were $21.16 billion, an increase of $2.07 billion, or 11 percent, from $19.09 billion in YTD 2019 primarily due to the same factors affecting the year-over-year comparison for the third quarter, along with a modest increase in pharmacy revenues as a result of the company allowing early prescription refills to permit members to prepare for extended supply needs in response to COVID-19 and a slight shift by members to 90-day mail supply.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operating costs:</w:t>
      </w:r>
    </w:p>
    <w:p>
      <w:pPr>
        <w:spacing w:after="0" w:line="25" w:lineRule="exact"/>
        <w:rPr>
          <w:sz w:val="20"/>
          <w:szCs w:val="20"/>
          <w:color w:val="auto"/>
        </w:rPr>
      </w:pPr>
    </w:p>
    <w:p>
      <w:pPr>
        <w:ind w:left="620" w:right="80" w:hanging="307"/>
        <w:spacing w:after="0" w:line="242" w:lineRule="auto"/>
        <w:tabs>
          <w:tab w:leader="none" w:pos="583"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Healthcare Services segment’s operating cost ratio of 96.4 percent in 3Q20 increased 20 basis points from 96.2 percent in 3Q19 primarily as a result of COVID-19 administrative related costs, including expenses associated with additional safety measures taken for the company's provider and clinical teams who have continued to provide services to members during the crisis. The increase further reflects higher costs incurred in the pharmacy business to ensure timely delivery of prescriptions amid the COVID-19 pandemic. These costs were partially offset by operational improvements and reduced utilization resulting from COVID-19 in the company's provider services business, as well as significant operating cost efficiencies in 3Q20 driven by previously disclosed productivity initiatives.</w:t>
      </w:r>
    </w:p>
    <w:p>
      <w:pPr>
        <w:spacing w:after="0" w:line="198" w:lineRule="exact"/>
        <w:rPr>
          <w:rFonts w:ascii="Arial" w:cs="Arial" w:eastAsia="Arial" w:hAnsi="Arial"/>
          <w:sz w:val="19"/>
          <w:szCs w:val="19"/>
          <w:color w:val="auto"/>
        </w:rPr>
      </w:pPr>
    </w:p>
    <w:p>
      <w:pPr>
        <w:ind w:left="620" w:hanging="307"/>
        <w:spacing w:after="0" w:line="250" w:lineRule="auto"/>
        <w:tabs>
          <w:tab w:leader="none" w:pos="583"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Healthcare Services segment’s YTD 2020 operating cost ratio of 95.8 percent decreased 50 basis points from 96.3 percent in YTD 2019 as a result of the net favorable impact of the same factors affecting the third quarter comparison.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operating statistics:</w:t>
      </w:r>
    </w:p>
    <w:p>
      <w:pPr>
        <w:spacing w:after="0" w:line="231" w:lineRule="exact"/>
        <w:rPr>
          <w:sz w:val="20"/>
          <w:szCs w:val="20"/>
          <w:color w:val="auto"/>
        </w:rPr>
      </w:pPr>
    </w:p>
    <w:p>
      <w:pPr>
        <w:jc w:val="both"/>
        <w:ind w:left="620" w:hanging="307"/>
        <w:spacing w:after="0" w:line="242" w:lineRule="auto"/>
        <w:tabs>
          <w:tab w:leader="none" w:pos="583"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Primary care providers in value-based (shared risk and path to risk) relationships of 67,000 at September 30, 2020 increased 11 percent from 60,200 at September 30, 2019, and increased 8 percent from 61,900 at December 31, 2019. The percentage of the company’s individual Medicare Advantage members in value-based relationships was 66 percent as of September 30, 2020 and at September 30, 2019 compared to 67 percent at December 31, 2019. The YTD decline in the percentage of members in value-based relationships was impacted by solid current year membership growth that has led to a greater proportion of new individual Medicare Advantage members that are not yet assigned to a primary care provider.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440" w:right="339" w:bottom="1440" w:gutter="0" w:footer="0" w:header="0"/>
        </w:sectPr>
      </w:pPr>
    </w:p>
    <w:bookmarkStart w:id="30" w:name="page31"/>
    <w:bookmarkEnd w:id="30"/>
    <w:p>
      <w:pPr>
        <w:jc w:val="both"/>
        <w:ind w:left="620" w:hanging="307"/>
        <w:spacing w:after="0" w:line="243" w:lineRule="auto"/>
        <w:tabs>
          <w:tab w:leader="none" w:pos="583"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 xml:space="preserve">Medicare Advantage and dual demonstration program membership enrolled in a Humana chronic care management program </w:t>
      </w:r>
      <w:r>
        <w:rPr>
          <w:rFonts w:ascii="Arial" w:cs="Arial" w:eastAsia="Arial" w:hAnsi="Arial"/>
          <w:sz w:val="10"/>
          <w:szCs w:val="10"/>
          <w:color w:val="auto"/>
        </w:rPr>
        <w:t>(k)</w:t>
      </w:r>
      <w:r>
        <w:rPr>
          <w:rFonts w:ascii="Arial" w:cs="Arial" w:eastAsia="Arial" w:hAnsi="Arial"/>
          <w:sz w:val="19"/>
          <w:szCs w:val="19"/>
          <w:color w:val="auto"/>
        </w:rPr>
        <w:t xml:space="preserve"> was 917,200 at September 30, 2020, up 4 percent from 882,800 at September 30, 2019 and up 6 percent from 868,800 at December 31, 2019. These changes were driven by the company's improved process for identifying and enrolling members in the appropriate program at the right time, coupled with growth in Special Needs Plans (SNP) membership.</w:t>
      </w:r>
    </w:p>
    <w:p>
      <w:pPr>
        <w:spacing w:after="0" w:line="198" w:lineRule="exact"/>
        <w:rPr>
          <w:rFonts w:ascii="Arial" w:cs="Arial" w:eastAsia="Arial" w:hAnsi="Arial"/>
          <w:sz w:val="19"/>
          <w:szCs w:val="19"/>
          <w:b w:val="1"/>
          <w:bCs w:val="1"/>
          <w:color w:val="auto"/>
        </w:rPr>
      </w:pPr>
    </w:p>
    <w:p>
      <w:pPr>
        <w:jc w:val="both"/>
        <w:ind w:left="620" w:hanging="307"/>
        <w:spacing w:after="0" w:line="243" w:lineRule="auto"/>
        <w:tabs>
          <w:tab w:leader="none" w:pos="583"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Pharmacy script volume on an adjusted 30-day equivalent basis of 119 million for 3Q20 increased 3 percent compared to 116 million for 3Q19. Pharmacy script volume of 356 million for YTD 2020 increased 5 percent compared to 339 million for YTD 2019. These increases primarily were driven by higher Medicare Advantage and state-based contracts membership, partially offset by the decline in stand-alone PDP membership. The year-over-year YTD script volume comparison was further impacted by early prescription refills in YTD 2020 as members prepared for extended supply needs in response to COVID-19.</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results:</w:t>
      </w:r>
    </w:p>
    <w:p>
      <w:pPr>
        <w:spacing w:after="0" w:line="240" w:lineRule="exact"/>
        <w:rPr>
          <w:sz w:val="20"/>
          <w:szCs w:val="20"/>
          <w:color w:val="auto"/>
        </w:rPr>
      </w:pPr>
    </w:p>
    <w:tbl>
      <w:tblPr>
        <w:tblLayout w:type="fixed"/>
        <w:tblInd w:w="30" w:type="dxa"/>
        <w:tblCellMar>
          <w:top w:w="0" w:type="dxa"/>
          <w:left w:w="0" w:type="dxa"/>
          <w:bottom w:w="0" w:type="dxa"/>
          <w:right w:w="0" w:type="dxa"/>
        </w:tblCellMar>
      </w:tblPr>
      <w:tr>
        <w:trPr>
          <w:trHeight w:val="155"/>
        </w:trPr>
        <w:tc>
          <w:tcPr>
            <w:tcW w:w="6420" w:type="dxa"/>
            <w:vAlign w:val="bottom"/>
            <w:tcBorders>
              <w:top w:val="single" w:sz="8" w:color="auto"/>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Healthcare Services segment results</w:t>
            </w:r>
          </w:p>
        </w:tc>
        <w:tc>
          <w:tcPr>
            <w:tcW w:w="1200" w:type="dxa"/>
            <w:vAlign w:val="bottom"/>
            <w:tcBorders>
              <w:top w:val="single" w:sz="8" w:color="auto"/>
              <w:right w:val="single" w:sz="8" w:color="auto"/>
            </w:tcBorders>
            <w:vMerge w:val="restart"/>
            <w:shd w:val="clear" w:color="auto" w:fill="EAEAEA"/>
          </w:tcPr>
          <w:p>
            <w:pPr>
              <w:jc w:val="right"/>
              <w:ind w:right="343"/>
              <w:spacing w:after="0"/>
              <w:rPr>
                <w:sz w:val="20"/>
                <w:szCs w:val="20"/>
                <w:color w:val="auto"/>
              </w:rPr>
            </w:pPr>
            <w:r>
              <w:rPr>
                <w:rFonts w:ascii="Arial" w:cs="Arial" w:eastAsia="Arial" w:hAnsi="Arial"/>
                <w:sz w:val="15"/>
                <w:szCs w:val="15"/>
                <w:b w:val="1"/>
                <w:bCs w:val="1"/>
                <w:color w:val="auto"/>
              </w:rPr>
              <w:t>3Q20</w:t>
            </w:r>
          </w:p>
        </w:tc>
        <w:tc>
          <w:tcPr>
            <w:tcW w:w="1200" w:type="dxa"/>
            <w:vAlign w:val="bottom"/>
            <w:tcBorders>
              <w:top w:val="single" w:sz="8" w:color="auto"/>
              <w:right w:val="single" w:sz="8" w:color="auto"/>
            </w:tcBorders>
            <w:vMerge w:val="restart"/>
          </w:tcPr>
          <w:p>
            <w:pPr>
              <w:jc w:val="right"/>
              <w:ind w:right="343"/>
              <w:spacing w:after="0"/>
              <w:rPr>
                <w:sz w:val="20"/>
                <w:szCs w:val="20"/>
                <w:color w:val="auto"/>
              </w:rPr>
            </w:pPr>
            <w:r>
              <w:rPr>
                <w:rFonts w:ascii="Arial" w:cs="Arial" w:eastAsia="Arial" w:hAnsi="Arial"/>
                <w:sz w:val="15"/>
                <w:szCs w:val="15"/>
                <w:color w:val="auto"/>
              </w:rPr>
              <w:t>3Q19</w:t>
            </w:r>
          </w:p>
        </w:tc>
        <w:tc>
          <w:tcPr>
            <w:tcW w:w="1200" w:type="dxa"/>
            <w:vAlign w:val="bottom"/>
            <w:tcBorders>
              <w:top w:val="single" w:sz="8" w:color="auto"/>
              <w:right w:val="single" w:sz="8" w:color="auto"/>
            </w:tcBorders>
            <w:vMerge w:val="restart"/>
            <w:shd w:val="clear" w:color="auto" w:fill="EAEAEA"/>
          </w:tcPr>
          <w:p>
            <w:pPr>
              <w:jc w:val="right"/>
              <w:ind w:right="183"/>
              <w:spacing w:after="0"/>
              <w:rPr>
                <w:sz w:val="20"/>
                <w:szCs w:val="20"/>
                <w:color w:val="auto"/>
              </w:rPr>
            </w:pPr>
            <w:r>
              <w:rPr>
                <w:rFonts w:ascii="Arial" w:cs="Arial" w:eastAsia="Arial" w:hAnsi="Arial"/>
                <w:sz w:val="15"/>
                <w:szCs w:val="15"/>
                <w:b w:val="1"/>
                <w:bCs w:val="1"/>
                <w:color w:val="auto"/>
              </w:rPr>
              <w:t>YTD 2020</w:t>
            </w:r>
          </w:p>
        </w:tc>
        <w:tc>
          <w:tcPr>
            <w:tcW w:w="1220" w:type="dxa"/>
            <w:vAlign w:val="bottom"/>
            <w:tcBorders>
              <w:top w:val="single" w:sz="8" w:color="auto"/>
              <w:right w:val="single" w:sz="8" w:color="auto"/>
            </w:tcBorders>
            <w:vMerge w:val="restart"/>
          </w:tcPr>
          <w:p>
            <w:pPr>
              <w:jc w:val="right"/>
              <w:ind w:right="203"/>
              <w:spacing w:after="0"/>
              <w:rPr>
                <w:sz w:val="20"/>
                <w:szCs w:val="20"/>
                <w:color w:val="auto"/>
              </w:rPr>
            </w:pPr>
            <w:r>
              <w:rPr>
                <w:rFonts w:ascii="Arial" w:cs="Arial" w:eastAsia="Arial" w:hAnsi="Arial"/>
                <w:sz w:val="15"/>
                <w:szCs w:val="15"/>
                <w:color w:val="auto"/>
              </w:rPr>
              <w:t>YTD 2019</w:t>
            </w:r>
          </w:p>
        </w:tc>
        <w:tc>
          <w:tcPr>
            <w:tcW w:w="0" w:type="dxa"/>
            <w:vAlign w:val="bottom"/>
          </w:tcPr>
          <w:p>
            <w:pPr>
              <w:spacing w:after="0"/>
              <w:rPr>
                <w:sz w:val="1"/>
                <w:szCs w:val="1"/>
                <w:color w:val="auto"/>
              </w:rPr>
            </w:pPr>
          </w:p>
        </w:tc>
      </w:tr>
      <w:tr>
        <w:trPr>
          <w:trHeight w:val="193"/>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i w:val="1"/>
                <w:iCs w:val="1"/>
                <w:color w:val="auto"/>
              </w:rPr>
              <w:t>(in millions)</w:t>
            </w:r>
          </w:p>
        </w:tc>
        <w:tc>
          <w:tcPr>
            <w:tcW w:w="120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shd w:val="clear" w:color="auto" w:fill="EAEAEA"/>
          </w:tcPr>
          <w:p>
            <w:pPr>
              <w:spacing w:after="0"/>
              <w:rPr>
                <w:sz w:val="16"/>
                <w:szCs w:val="16"/>
                <w:color w:val="auto"/>
              </w:rPr>
            </w:pPr>
          </w:p>
        </w:tc>
        <w:tc>
          <w:tcPr>
            <w:tcW w:w="12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GAAP segment earnings</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$249</w:t>
            </w:r>
          </w:p>
        </w:tc>
        <w:tc>
          <w:tcPr>
            <w:tcW w:w="12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$212</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$816</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199"/>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Depreciation and amortization expense</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52</w:t>
            </w:r>
          </w:p>
        </w:tc>
        <w:tc>
          <w:tcPr>
            <w:tcW w:w="12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48</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151</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99"/>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Interest and taxes</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26</w:t>
            </w:r>
          </w:p>
        </w:tc>
        <w:tc>
          <w:tcPr>
            <w:tcW w:w="12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23</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69</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99"/>
        </w:trPr>
        <w:tc>
          <w:tcPr>
            <w:tcW w:w="6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Adjusted EBITDA (e)</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$327</w:t>
            </w:r>
          </w:p>
        </w:tc>
        <w:tc>
          <w:tcPr>
            <w:tcW w:w="12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$283</w:t>
            </w:r>
          </w:p>
        </w:tc>
        <w:tc>
          <w:tcPr>
            <w:tcW w:w="1200" w:type="dxa"/>
            <w:vAlign w:val="bottom"/>
            <w:tcBorders>
              <w:bottom w:val="single" w:sz="8" w:color="auto"/>
              <w:right w:val="single" w:sz="8" w:color="auto"/>
            </w:tcBorders>
            <w:shd w:val="clear" w:color="auto" w:fill="EAEAEA"/>
          </w:tcPr>
          <w:p>
            <w:pPr>
              <w:jc w:val="right"/>
              <w:ind w:right="3"/>
              <w:spacing w:after="0"/>
              <w:rPr>
                <w:sz w:val="20"/>
                <w:szCs w:val="20"/>
                <w:color w:val="auto"/>
              </w:rPr>
            </w:pPr>
            <w:r>
              <w:rPr>
                <w:rFonts w:ascii="Arial" w:cs="Arial" w:eastAsia="Arial" w:hAnsi="Arial"/>
                <w:sz w:val="15"/>
                <w:szCs w:val="15"/>
                <w:b w:val="1"/>
                <w:bCs w:val="1"/>
                <w:color w:val="auto"/>
              </w:rPr>
              <w:t>$1,036</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$815</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620" w:hanging="307"/>
        <w:spacing w:after="0" w:line="242" w:lineRule="auto"/>
        <w:tabs>
          <w:tab w:leader="none" w:pos="583"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Healthcare Services segment’s 3Q20 GAAP segment earnings increased $37 million, or 17 percent, to $249 million compared to GAAP segment earnings of $212 million in 3Q19. The increase primarily resulted from operational improvements and reduced utilization resulting from COVID-19 in the company's provider services business. These improvements were partially offset by COVID-19 administrative related costs, including expenses associated with additional safety measures taken for the company's provider and clinical teams who have continued to provide services to members during the crisis, along with additional costs in the company's pharmacy operations as previously described.</w:t>
      </w:r>
    </w:p>
    <w:p>
      <w:pPr>
        <w:spacing w:after="0" w:line="199" w:lineRule="exact"/>
        <w:rPr>
          <w:sz w:val="20"/>
          <w:szCs w:val="20"/>
          <w:color w:val="auto"/>
        </w:rPr>
      </w:pPr>
    </w:p>
    <w:p>
      <w:pPr>
        <w:jc w:val="both"/>
        <w:ind w:left="620"/>
        <w:spacing w:after="0" w:line="243" w:lineRule="auto"/>
        <w:rPr>
          <w:sz w:val="20"/>
          <w:szCs w:val="20"/>
          <w:color w:val="auto"/>
        </w:rPr>
      </w:pPr>
      <w:r>
        <w:rPr>
          <w:rFonts w:ascii="Arial" w:cs="Arial" w:eastAsia="Arial" w:hAnsi="Arial"/>
          <w:sz w:val="19"/>
          <w:szCs w:val="19"/>
          <w:color w:val="auto"/>
        </w:rPr>
        <w:t>Adjusted EBITDA in 3Q20 for the Healthcare Services segment of $327 million was up $44 million, or 16 percent, compared to Adjusted EBITDA of $283 million in 3Q19. The favorable comparison of Adjusted EBITDA year over year primarily resulted from the same factors that impacted the quarterly GAAP segment results comparison while excluding the impact of the factors detailed in the table above.</w:t>
      </w:r>
    </w:p>
    <w:p>
      <w:pPr>
        <w:spacing w:after="0" w:line="198" w:lineRule="exact"/>
        <w:rPr>
          <w:sz w:val="20"/>
          <w:szCs w:val="20"/>
          <w:color w:val="auto"/>
        </w:rPr>
      </w:pPr>
    </w:p>
    <w:p>
      <w:pPr>
        <w:jc w:val="both"/>
        <w:ind w:left="620" w:hanging="307"/>
        <w:spacing w:after="0" w:line="245" w:lineRule="auto"/>
        <w:tabs>
          <w:tab w:leader="none" w:pos="5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Healthcare Services segment’s GAAP segment earnings in YTD 2020 increased $205 million, or 34 percent, to $816 million compared to GAAP segment earnings of $611 million in YTD 2019 primarily reflecting the same factors that impacted the year-over-year third quarter GAAP comparison, along with higher earnings from pharmacy operations.</w:t>
      </w:r>
    </w:p>
    <w:p>
      <w:pPr>
        <w:spacing w:after="0" w:line="195" w:lineRule="exact"/>
        <w:rPr>
          <w:sz w:val="20"/>
          <w:szCs w:val="20"/>
          <w:color w:val="auto"/>
        </w:rPr>
      </w:pPr>
    </w:p>
    <w:p>
      <w:pPr>
        <w:jc w:val="both"/>
        <w:ind w:left="620"/>
        <w:spacing w:after="0" w:line="243" w:lineRule="auto"/>
        <w:rPr>
          <w:sz w:val="20"/>
          <w:szCs w:val="20"/>
          <w:color w:val="auto"/>
        </w:rPr>
      </w:pPr>
      <w:r>
        <w:rPr>
          <w:rFonts w:ascii="Arial" w:cs="Arial" w:eastAsia="Arial" w:hAnsi="Arial"/>
          <w:sz w:val="19"/>
          <w:szCs w:val="19"/>
          <w:color w:val="auto"/>
        </w:rPr>
        <w:t>Adjusted EBITDA for YTD 2020 of $1.04 billion increased $221 million, or 27 percent, versus the YTD 2019 Adjusted EBITDA for the Healthcare Services segment of $815 million. The favorable comparison of Adjusted EBITDA year over year primarily resulted from the same factors that impacted the YTD GAAP segment results comparison while excluding the impact of the factors detailed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271" w:right="339" w:bottom="1440" w:gutter="0" w:footer="0" w:header="0"/>
        </w:sectPr>
      </w:pPr>
    </w:p>
    <w:bookmarkStart w:id="31" w:name="page32"/>
    <w:bookmarkEnd w:id="31"/>
    <w:p>
      <w:pPr>
        <w:ind w:left="100"/>
        <w:spacing w:after="0"/>
        <w:rPr>
          <w:sz w:val="20"/>
          <w:szCs w:val="20"/>
          <w:color w:val="auto"/>
        </w:rPr>
      </w:pPr>
      <w:r>
        <w:rPr>
          <w:rFonts w:ascii="Arial" w:cs="Arial" w:eastAsia="Arial" w:hAnsi="Arial"/>
          <w:sz w:val="24"/>
          <w:szCs w:val="24"/>
          <w:b w:val="1"/>
          <w:bCs w:val="1"/>
          <w:u w:val="single" w:color="auto"/>
          <w:color w:val="auto"/>
        </w:rPr>
        <w:t>Conference Call</w:t>
      </w:r>
    </w:p>
    <w:p>
      <w:pPr>
        <w:spacing w:after="0" w:line="239" w:lineRule="exact"/>
        <w:rPr>
          <w:sz w:val="20"/>
          <w:szCs w:val="20"/>
          <w:color w:val="auto"/>
        </w:rPr>
      </w:pPr>
    </w:p>
    <w:p>
      <w:pPr>
        <w:ind w:left="100" w:right="280"/>
        <w:spacing w:after="0" w:line="250" w:lineRule="auto"/>
        <w:rPr>
          <w:sz w:val="20"/>
          <w:szCs w:val="20"/>
          <w:color w:val="auto"/>
        </w:rPr>
      </w:pPr>
      <w:r>
        <w:rPr>
          <w:rFonts w:ascii="Arial" w:cs="Arial" w:eastAsia="Arial" w:hAnsi="Arial"/>
          <w:sz w:val="19"/>
          <w:szCs w:val="19"/>
          <w:color w:val="auto"/>
        </w:rPr>
        <w:t>Humana will host a conference call at 9:00 a.m. Eastern time today to discuss its financial results for the quarter and the company’s expectations for future earnings.</w:t>
      </w:r>
    </w:p>
    <w:p>
      <w:pPr>
        <w:spacing w:after="0" w:line="189" w:lineRule="exact"/>
        <w:rPr>
          <w:sz w:val="20"/>
          <w:szCs w:val="20"/>
          <w:color w:val="auto"/>
        </w:rPr>
      </w:pPr>
    </w:p>
    <w:p>
      <w:pPr>
        <w:jc w:val="both"/>
        <w:ind w:left="100"/>
        <w:spacing w:after="0" w:line="243" w:lineRule="auto"/>
        <w:rPr>
          <w:sz w:val="20"/>
          <w:szCs w:val="20"/>
          <w:color w:val="auto"/>
        </w:rPr>
      </w:pPr>
      <w:r>
        <w:rPr>
          <w:rFonts w:ascii="Arial" w:cs="Arial" w:eastAsia="Arial" w:hAnsi="Arial"/>
          <w:sz w:val="19"/>
          <w:szCs w:val="19"/>
          <w:color w:val="auto"/>
        </w:rPr>
        <w:t>All parties interested in the company’s 3Q20 earnings conference call are invited to dial 888-625-7430. No password is required. The audio-only webcast of the 3Q20 earnings call may be accessed via Humana’s Investor Relations page at humana.com. The company suggests participants for both the conference call and those listening via the web dial in or sign on at least 15 minutes in advance of the call.</w:t>
      </w:r>
    </w:p>
    <w:p>
      <w:pPr>
        <w:spacing w:after="0" w:line="198" w:lineRule="exact"/>
        <w:rPr>
          <w:sz w:val="20"/>
          <w:szCs w:val="20"/>
          <w:color w:val="auto"/>
        </w:rPr>
      </w:pPr>
    </w:p>
    <w:p>
      <w:pPr>
        <w:jc w:val="both"/>
        <w:ind w:left="100"/>
        <w:spacing w:after="0" w:line="243" w:lineRule="auto"/>
        <w:rPr>
          <w:sz w:val="20"/>
          <w:szCs w:val="20"/>
          <w:color w:val="auto"/>
        </w:rPr>
      </w:pPr>
      <w:r>
        <w:rPr>
          <w:rFonts w:ascii="Arial" w:cs="Arial" w:eastAsia="Arial" w:hAnsi="Arial"/>
          <w:sz w:val="19"/>
          <w:szCs w:val="19"/>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November 3, 2020 until 10:59 p.m. Eastern time on January 3, 2021 and can be accessed by dialing 855-859-2056 and providing the conference ID #3879636.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ootnotes</w:t>
      </w:r>
    </w:p>
    <w:p>
      <w:pPr>
        <w:spacing w:after="0" w:line="239" w:lineRule="exact"/>
        <w:rPr>
          <w:sz w:val="20"/>
          <w:szCs w:val="20"/>
          <w:color w:val="auto"/>
        </w:rPr>
      </w:pPr>
    </w:p>
    <w:p>
      <w:pPr>
        <w:ind w:left="620" w:hanging="285"/>
        <w:spacing w:after="0"/>
        <w:tabs>
          <w:tab w:leader="none" w:pos="6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3Q20 Adjusted results exclude the following:</w:t>
      </w:r>
    </w:p>
    <w:p>
      <w:pPr>
        <w:ind w:left="1080" w:right="240" w:hanging="319"/>
        <w:spacing w:after="0"/>
        <w:tabs>
          <w:tab w:leader="none" w:pos="1043" w:val="left"/>
        </w:tabs>
        <w:numPr>
          <w:ilvl w:val="2"/>
          <w:numId w:val="48"/>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$23 million pretax, or $0.13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jc w:val="both"/>
        <w:ind w:left="1080" w:right="180" w:hanging="319"/>
        <w:spacing w:after="0"/>
        <w:tabs>
          <w:tab w:leader="none" w:pos="1043" w:val="left"/>
        </w:tabs>
        <w:numPr>
          <w:ilvl w:val="2"/>
          <w:numId w:val="48"/>
        </w:numPr>
        <w:rPr>
          <w:rFonts w:ascii="Arial" w:cs="Arial" w:eastAsia="Arial" w:hAnsi="Arial"/>
          <w:sz w:val="19"/>
          <w:szCs w:val="19"/>
          <w:color w:val="auto"/>
        </w:rPr>
      </w:pPr>
      <w:r>
        <w:rPr>
          <w:rFonts w:ascii="Arial" w:cs="Arial" w:eastAsia="Arial" w:hAnsi="Arial"/>
          <w:sz w:val="19"/>
          <w:szCs w:val="19"/>
          <w:color w:val="auto"/>
        </w:rPr>
        <w:t>Put/call valuation adjustments of approximately $7 million, or $0.03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1040" w:right="80" w:hanging="318"/>
        <w:spacing w:after="0"/>
        <w:tabs>
          <w:tab w:leader="none" w:pos="1003" w:val="left"/>
        </w:tabs>
        <w:numPr>
          <w:ilvl w:val="1"/>
          <w:numId w:val="48"/>
        </w:numPr>
        <w:rPr>
          <w:rFonts w:ascii="Arial" w:cs="Arial" w:eastAsia="Arial" w:hAnsi="Arial"/>
          <w:sz w:val="19"/>
          <w:szCs w:val="19"/>
          <w:color w:val="auto"/>
        </w:rPr>
      </w:pPr>
      <w:r>
        <w:rPr>
          <w:rFonts w:ascii="Arial" w:cs="Arial" w:eastAsia="Arial" w:hAnsi="Arial"/>
          <w:sz w:val="19"/>
          <w:szCs w:val="19"/>
          <w:color w:val="auto"/>
        </w:rPr>
        <w:t>Change in fair market value of publicly-traded equity securities of $643 million, or $3.72 per diluted common share. GAAP measures affected in this release include consolidated pretax, EPS, and consolidated revenues.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w:t>
      </w:r>
    </w:p>
    <w:p>
      <w:pPr>
        <w:spacing w:after="0" w:line="4" w:lineRule="exact"/>
        <w:rPr>
          <w:rFonts w:ascii="Arial" w:cs="Arial" w:eastAsia="Arial" w:hAnsi="Arial"/>
          <w:sz w:val="19"/>
          <w:szCs w:val="19"/>
          <w:color w:val="auto"/>
        </w:rPr>
      </w:pPr>
    </w:p>
    <w:p>
      <w:pPr>
        <w:ind w:left="1040" w:right="20" w:hanging="318"/>
        <w:spacing w:after="0" w:line="243" w:lineRule="auto"/>
        <w:tabs>
          <w:tab w:leader="none" w:pos="1003"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Net adjustment of $578 million, or $3.35 per diluted common share, related to the receipt of unpaid risk corridor payments associated with the losses incurred by the company under the ACA business in 2014 to 2016 (previously written off). GAAP measures affected in this release include consolidated pretax, EPS, consolidated revenues, consolidated benefits expense ratio, and consolidated operating cost ratio.</w:t>
      </w:r>
    </w:p>
    <w:p>
      <w:pPr>
        <w:spacing w:after="0" w:line="223" w:lineRule="exact"/>
        <w:rPr>
          <w:rFonts w:ascii="Arial" w:cs="Arial" w:eastAsia="Arial" w:hAnsi="Arial"/>
          <w:sz w:val="19"/>
          <w:szCs w:val="19"/>
          <w:color w:val="auto"/>
        </w:rPr>
      </w:pPr>
    </w:p>
    <w:p>
      <w:pPr>
        <w:ind w:left="620" w:hanging="285"/>
        <w:spacing w:after="0"/>
        <w:tabs>
          <w:tab w:leader="none" w:pos="6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3Q19 Adjusted results exclude the following:</w:t>
      </w:r>
    </w:p>
    <w:p>
      <w:pPr>
        <w:ind w:left="1100" w:right="200" w:hanging="301"/>
        <w:spacing w:after="0"/>
        <w:tabs>
          <w:tab w:leader="none" w:pos="1063" w:val="left"/>
        </w:tabs>
        <w:numPr>
          <w:ilvl w:val="3"/>
          <w:numId w:val="48"/>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$17 million pretax, or $0.10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ind w:left="1100" w:right="40" w:hanging="301"/>
        <w:spacing w:after="0"/>
        <w:tabs>
          <w:tab w:leader="none" w:pos="1063" w:val="left"/>
        </w:tabs>
        <w:numPr>
          <w:ilvl w:val="3"/>
          <w:numId w:val="48"/>
        </w:numPr>
        <w:rPr>
          <w:rFonts w:ascii="Arial" w:cs="Arial" w:eastAsia="Arial" w:hAnsi="Arial"/>
          <w:sz w:val="19"/>
          <w:szCs w:val="19"/>
          <w:color w:val="auto"/>
        </w:rPr>
      </w:pPr>
      <w:r>
        <w:rPr>
          <w:rFonts w:ascii="Arial" w:cs="Arial" w:eastAsia="Arial" w:hAnsi="Arial"/>
          <w:sz w:val="19"/>
          <w:szCs w:val="19"/>
          <w:color w:val="auto"/>
        </w:rPr>
        <w:t>Put/call valuation adjustments of approximately $82 million, or $0.47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1100" w:right="40" w:hanging="301"/>
        <w:spacing w:after="0" w:line="277" w:lineRule="auto"/>
        <w:tabs>
          <w:tab w:leader="none" w:pos="1063" w:val="left"/>
        </w:tabs>
        <w:numPr>
          <w:ilvl w:val="3"/>
          <w:numId w:val="48"/>
        </w:numPr>
        <w:rPr>
          <w:rFonts w:ascii="Arial" w:cs="Arial" w:eastAsia="Arial" w:hAnsi="Arial"/>
          <w:sz w:val="18"/>
          <w:szCs w:val="18"/>
          <w:color w:val="auto"/>
        </w:rPr>
      </w:pPr>
      <w:r>
        <w:rPr>
          <w:rFonts w:ascii="Arial" w:cs="Arial" w:eastAsia="Arial" w:hAnsi="Arial"/>
          <w:sz w:val="18"/>
          <w:szCs w:val="18"/>
          <w:color w:val="auto"/>
        </w:rPr>
        <w:t>Expense associated with involuntary workforce reduction of approximately $46 million pretax, or $0.26 per diluted common share; GAAP measures affected in this release include consolidated pretax, EPS, and consolidated operating cost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340"/>
          </w:cols>
          <w:pgMar w:left="220" w:top="1039" w:right="339" w:bottom="1440" w:gutter="0" w:footer="0" w:header="0"/>
        </w:sectPr>
      </w:pPr>
    </w:p>
    <w:bookmarkStart w:id="32" w:name="page33"/>
    <w:bookmarkEnd w:id="32"/>
    <w:p>
      <w:pPr>
        <w:ind w:left="265" w:hanging="265"/>
        <w:spacing w:after="0"/>
        <w:tabs>
          <w:tab w:leader="none" w:pos="26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YTD 2020 Adjusted results exclude the following:</w:t>
      </w:r>
    </w:p>
    <w:p>
      <w:pPr>
        <w:ind w:left="765" w:right="200" w:hanging="301"/>
        <w:spacing w:after="0"/>
        <w:tabs>
          <w:tab w:leader="none" w:pos="728" w:val="left"/>
        </w:tabs>
        <w:numPr>
          <w:ilvl w:val="2"/>
          <w:numId w:val="49"/>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$66 million pretax, or $0.38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ind w:left="765" w:right="40" w:hanging="301"/>
        <w:spacing w:after="0"/>
        <w:tabs>
          <w:tab w:leader="none" w:pos="728" w:val="left"/>
        </w:tabs>
        <w:numPr>
          <w:ilvl w:val="2"/>
          <w:numId w:val="49"/>
        </w:numPr>
        <w:rPr>
          <w:rFonts w:ascii="Arial" w:cs="Arial" w:eastAsia="Arial" w:hAnsi="Arial"/>
          <w:sz w:val="19"/>
          <w:szCs w:val="19"/>
          <w:color w:val="auto"/>
        </w:rPr>
      </w:pPr>
      <w:r>
        <w:rPr>
          <w:rFonts w:ascii="Arial" w:cs="Arial" w:eastAsia="Arial" w:hAnsi="Arial"/>
          <w:sz w:val="19"/>
          <w:szCs w:val="19"/>
          <w:color w:val="auto"/>
        </w:rPr>
        <w:t>Put/call valuation adjustments of approximately $63 million, or $0.37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765" w:hanging="301"/>
        <w:spacing w:after="0"/>
        <w:tabs>
          <w:tab w:leader="none" w:pos="728" w:val="left"/>
        </w:tabs>
        <w:numPr>
          <w:ilvl w:val="2"/>
          <w:numId w:val="49"/>
        </w:numPr>
        <w:rPr>
          <w:rFonts w:ascii="Arial" w:cs="Arial" w:eastAsia="Arial" w:hAnsi="Arial"/>
          <w:sz w:val="19"/>
          <w:szCs w:val="19"/>
          <w:color w:val="auto"/>
        </w:rPr>
      </w:pPr>
      <w:r>
        <w:rPr>
          <w:rFonts w:ascii="Arial" w:cs="Arial" w:eastAsia="Arial" w:hAnsi="Arial"/>
          <w:sz w:val="19"/>
          <w:szCs w:val="19"/>
          <w:color w:val="auto"/>
        </w:rPr>
        <w:t>Change in fair market value of publicly-traded equity securities of $643 million, or $3.73 per diluted common share. GAAP measures affected in this release include consolidated pretax, EPS, and consolidated revenues.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w:t>
      </w:r>
    </w:p>
    <w:p>
      <w:pPr>
        <w:spacing w:after="0" w:line="4" w:lineRule="exact"/>
        <w:rPr>
          <w:rFonts w:ascii="Arial" w:cs="Arial" w:eastAsia="Arial" w:hAnsi="Arial"/>
          <w:sz w:val="19"/>
          <w:szCs w:val="19"/>
          <w:color w:val="auto"/>
        </w:rPr>
      </w:pPr>
    </w:p>
    <w:p>
      <w:pPr>
        <w:ind w:left="765" w:right="120" w:hanging="301"/>
        <w:spacing w:after="0" w:line="243" w:lineRule="auto"/>
        <w:tabs>
          <w:tab w:leader="none" w:pos="728" w:val="left"/>
        </w:tabs>
        <w:numPr>
          <w:ilvl w:val="2"/>
          <w:numId w:val="49"/>
        </w:numPr>
        <w:rPr>
          <w:rFonts w:ascii="Arial" w:cs="Arial" w:eastAsia="Arial" w:hAnsi="Arial"/>
          <w:sz w:val="19"/>
          <w:szCs w:val="19"/>
          <w:color w:val="auto"/>
        </w:rPr>
      </w:pPr>
      <w:r>
        <w:rPr>
          <w:rFonts w:ascii="Arial" w:cs="Arial" w:eastAsia="Arial" w:hAnsi="Arial"/>
          <w:sz w:val="19"/>
          <w:szCs w:val="19"/>
          <w:color w:val="auto"/>
        </w:rPr>
        <w:t>Net adjustment of $578 million, or $3.35 per diluted common share, related to the receipt of unpaid risk corridor payments associated with the losses incurred by the company under the ACA business in 2014 to 2016 (previously written off). GAAP measures affected in this release include consolidated pretax, EPS, consolidated revenues, consolidated benefits expense ratio, and consolidated operating cost ratio.</w:t>
      </w:r>
    </w:p>
    <w:p>
      <w:pPr>
        <w:spacing w:after="0" w:line="223" w:lineRule="exact"/>
        <w:rPr>
          <w:rFonts w:ascii="Arial" w:cs="Arial" w:eastAsia="Arial" w:hAnsi="Arial"/>
          <w:sz w:val="19"/>
          <w:szCs w:val="19"/>
          <w:color w:val="auto"/>
        </w:rPr>
      </w:pPr>
    </w:p>
    <w:p>
      <w:pPr>
        <w:ind w:left="285" w:hanging="285"/>
        <w:spacing w:after="0"/>
        <w:tabs>
          <w:tab w:leader="none" w:pos="28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YTD 2019 Adjusted results exclude the following:</w:t>
      </w:r>
    </w:p>
    <w:p>
      <w:pPr>
        <w:ind w:left="765" w:right="200" w:hanging="301"/>
        <w:spacing w:after="0"/>
        <w:tabs>
          <w:tab w:leader="none" w:pos="728" w:val="left"/>
        </w:tabs>
        <w:numPr>
          <w:ilvl w:val="2"/>
          <w:numId w:val="49"/>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$53 million pretax, or $0.29 per diluted common share; GAAP measures affected in this release include consolidated pretax, EPS and segment earnings (for respective amortization expense for the Retail and Group and Specialty segments.)</w:t>
      </w:r>
    </w:p>
    <w:p>
      <w:pPr>
        <w:spacing w:after="0" w:line="2" w:lineRule="exact"/>
        <w:rPr>
          <w:rFonts w:ascii="Arial" w:cs="Arial" w:eastAsia="Arial" w:hAnsi="Arial"/>
          <w:sz w:val="19"/>
          <w:szCs w:val="19"/>
          <w:color w:val="auto"/>
        </w:rPr>
      </w:pPr>
    </w:p>
    <w:p>
      <w:pPr>
        <w:ind w:left="765" w:right="180" w:hanging="301"/>
        <w:spacing w:after="0"/>
        <w:tabs>
          <w:tab w:leader="none" w:pos="728" w:val="left"/>
        </w:tabs>
        <w:numPr>
          <w:ilvl w:val="2"/>
          <w:numId w:val="49"/>
        </w:numPr>
        <w:rPr>
          <w:rFonts w:ascii="Arial" w:cs="Arial" w:eastAsia="Arial" w:hAnsi="Arial"/>
          <w:sz w:val="19"/>
          <w:szCs w:val="19"/>
          <w:color w:val="auto"/>
        </w:rPr>
      </w:pPr>
      <w:r>
        <w:rPr>
          <w:rFonts w:ascii="Arial" w:cs="Arial" w:eastAsia="Arial" w:hAnsi="Arial"/>
          <w:sz w:val="19"/>
          <w:szCs w:val="19"/>
          <w:color w:val="auto"/>
        </w:rPr>
        <w:t>Put/call valuation adjustments of approximately $217 million, or $1.23 per diluted common share, associated with Humana's non-consolidating minority interest investments. GAAP measures affected in this release include consolidated pretax and EPS.</w:t>
      </w:r>
    </w:p>
    <w:p>
      <w:pPr>
        <w:spacing w:after="0" w:line="2" w:lineRule="exact"/>
        <w:rPr>
          <w:rFonts w:ascii="Arial" w:cs="Arial" w:eastAsia="Arial" w:hAnsi="Arial"/>
          <w:sz w:val="19"/>
          <w:szCs w:val="19"/>
          <w:color w:val="auto"/>
        </w:rPr>
      </w:pPr>
    </w:p>
    <w:p>
      <w:pPr>
        <w:ind w:left="765" w:right="40" w:hanging="301"/>
        <w:spacing w:after="0" w:line="277" w:lineRule="auto"/>
        <w:tabs>
          <w:tab w:leader="none" w:pos="7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Expense associated with involuntary workforce reduction of approximately $46 million pretax, or $0.26 per diluted common share; GAAP measures affected in this release include consolidated pretax, EPS, and consolidated operating cost ratio.</w:t>
      </w:r>
    </w:p>
    <w:p>
      <w:pPr>
        <w:spacing w:after="0" w:line="192" w:lineRule="exact"/>
        <w:rPr>
          <w:rFonts w:ascii="Arial" w:cs="Arial" w:eastAsia="Arial" w:hAnsi="Arial"/>
          <w:sz w:val="18"/>
          <w:szCs w:val="18"/>
          <w:color w:val="auto"/>
        </w:rPr>
      </w:pPr>
    </w:p>
    <w:p>
      <w:pPr>
        <w:ind w:left="305" w:right="120" w:hanging="305"/>
        <w:spacing w:after="0" w:line="243" w:lineRule="auto"/>
        <w:tabs>
          <w:tab w:leader="none" w:pos="27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221" w:lineRule="exact"/>
        <w:rPr>
          <w:rFonts w:ascii="Arial" w:cs="Arial" w:eastAsia="Arial" w:hAnsi="Arial"/>
          <w:sz w:val="19"/>
          <w:szCs w:val="19"/>
          <w:color w:val="auto"/>
        </w:rPr>
      </w:pPr>
    </w:p>
    <w:p>
      <w:pPr>
        <w:ind w:left="225" w:hanging="225"/>
        <w:spacing w:after="0"/>
        <w:tabs>
          <w:tab w:leader="none" w:pos="22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FY 2020 Adjusted EPS projections exclude the following:</w:t>
      </w:r>
    </w:p>
    <w:p>
      <w:pPr>
        <w:ind w:left="345" w:hanging="267"/>
        <w:spacing w:after="0"/>
        <w:tabs>
          <w:tab w:leader="none" w:pos="345" w:val="left"/>
        </w:tabs>
        <w:numPr>
          <w:ilvl w:val="1"/>
          <w:numId w:val="49"/>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~0.51 per diluted common share.</w:t>
      </w:r>
    </w:p>
    <w:p>
      <w:pPr>
        <w:ind w:left="385" w:right="220" w:hanging="307"/>
        <w:spacing w:after="0" w:line="254" w:lineRule="auto"/>
        <w:tabs>
          <w:tab w:leader="none" w:pos="3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Put/call valuation adjustments of $0.37 per diluted common share related to Humana's non-consolidating minority interest investments. FY20 GAAP EPS guidance excludes the impact of future value changes of put/call options related to Humana’s non-consolidating minority interest investments. The future value change of these put/call options cannot be estimated.</w:t>
      </w:r>
    </w:p>
    <w:p>
      <w:pPr>
        <w:ind w:left="385" w:right="100" w:hanging="307"/>
        <w:spacing w:after="0"/>
        <w:tabs>
          <w:tab w:leader="none" w:pos="348" w:val="left"/>
        </w:tabs>
        <w:numPr>
          <w:ilvl w:val="1"/>
          <w:numId w:val="49"/>
        </w:numPr>
        <w:rPr>
          <w:rFonts w:ascii="Arial" w:cs="Arial" w:eastAsia="Arial" w:hAnsi="Arial"/>
          <w:sz w:val="19"/>
          <w:szCs w:val="19"/>
          <w:color w:val="auto"/>
        </w:rPr>
      </w:pPr>
      <w:r>
        <w:rPr>
          <w:rFonts w:ascii="Arial" w:cs="Arial" w:eastAsia="Arial" w:hAnsi="Arial"/>
          <w:sz w:val="19"/>
          <w:szCs w:val="19"/>
          <w:color w:val="auto"/>
        </w:rPr>
        <w:t>Change in fair market value of publicly-traded equity securities of $3.73 per diluted common share. The future value of these investments, their impact on GAAP EPS, and the related non-GAAP adjustment will fluctuate on the public trading value of the stock. The guidance set forth herein assumes no further change in the fair value of these investments.</w:t>
      </w:r>
    </w:p>
    <w:p>
      <w:pPr>
        <w:spacing w:after="0" w:line="2" w:lineRule="exact"/>
        <w:rPr>
          <w:rFonts w:ascii="Arial" w:cs="Arial" w:eastAsia="Arial" w:hAnsi="Arial"/>
          <w:sz w:val="19"/>
          <w:szCs w:val="19"/>
          <w:color w:val="auto"/>
        </w:rPr>
      </w:pPr>
    </w:p>
    <w:p>
      <w:pPr>
        <w:ind w:left="385" w:right="240" w:hanging="307"/>
        <w:spacing w:after="0" w:line="250" w:lineRule="auto"/>
        <w:tabs>
          <w:tab w:leader="none" w:pos="348" w:val="left"/>
        </w:tabs>
        <w:numPr>
          <w:ilvl w:val="1"/>
          <w:numId w:val="49"/>
        </w:numPr>
        <w:rPr>
          <w:rFonts w:ascii="Arial" w:cs="Arial" w:eastAsia="Arial" w:hAnsi="Arial"/>
          <w:sz w:val="19"/>
          <w:szCs w:val="19"/>
          <w:color w:val="auto"/>
        </w:rPr>
      </w:pPr>
      <w:r>
        <w:rPr>
          <w:rFonts w:ascii="Arial" w:cs="Arial" w:eastAsia="Arial" w:hAnsi="Arial"/>
          <w:sz w:val="19"/>
          <w:szCs w:val="19"/>
          <w:color w:val="auto"/>
        </w:rPr>
        <w:t>Net adjustment of $3.35 per diluted common share related to the receipt of unpaid risk corridor payments associated with the losses incurred by the company under the ACA business in 2014 to 2016 (previously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15"/>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005"/>
          </w:cols>
          <w:pgMar w:left="555" w:top="1064" w:right="339" w:bottom="1440" w:gutter="0" w:footer="0" w:header="0"/>
        </w:sectPr>
      </w:pPr>
    </w:p>
    <w:bookmarkStart w:id="33" w:name="page34"/>
    <w:bookmarkEnd w:id="33"/>
    <w:p>
      <w:pPr>
        <w:ind w:left="285" w:hanging="285"/>
        <w:spacing w:after="0"/>
        <w:tabs>
          <w:tab w:leader="none" w:pos="28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FY 2019 Adjusted results exclude the following:</w:t>
      </w:r>
    </w:p>
    <w:p>
      <w:pPr>
        <w:spacing w:after="0" w:line="1" w:lineRule="exact"/>
        <w:rPr>
          <w:sz w:val="20"/>
          <w:szCs w:val="20"/>
          <w:color w:val="auto"/>
        </w:rPr>
      </w:pPr>
    </w:p>
    <w:p>
      <w:pPr>
        <w:ind w:left="345" w:hanging="267"/>
        <w:spacing w:after="0"/>
        <w:tabs>
          <w:tab w:leader="none" w:pos="345" w:val="left"/>
        </w:tabs>
        <w:numPr>
          <w:ilvl w:val="0"/>
          <w:numId w:val="51"/>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$70 million pretax, or $0.40 per diluted common share.</w:t>
      </w:r>
    </w:p>
    <w:p>
      <w:pPr>
        <w:ind w:left="385" w:right="300" w:hanging="307"/>
        <w:spacing w:after="0"/>
        <w:tabs>
          <w:tab w:leader="none" w:pos="348" w:val="left"/>
        </w:tabs>
        <w:numPr>
          <w:ilvl w:val="0"/>
          <w:numId w:val="51"/>
        </w:numPr>
        <w:rPr>
          <w:rFonts w:ascii="Arial" w:cs="Arial" w:eastAsia="Arial" w:hAnsi="Arial"/>
          <w:sz w:val="19"/>
          <w:szCs w:val="19"/>
          <w:color w:val="auto"/>
        </w:rPr>
      </w:pPr>
      <w:r>
        <w:rPr>
          <w:rFonts w:ascii="Arial" w:cs="Arial" w:eastAsia="Arial" w:hAnsi="Arial"/>
          <w:sz w:val="19"/>
          <w:szCs w:val="19"/>
          <w:color w:val="auto"/>
        </w:rPr>
        <w:t>Put/call valuation adjustments of approximately $506 million, or $2.89 per diluted common share, associated with Humana’s non-consolidating minority interest investments.</w:t>
      </w:r>
    </w:p>
    <w:p>
      <w:pPr>
        <w:spacing w:after="0" w:line="1" w:lineRule="exact"/>
        <w:rPr>
          <w:rFonts w:ascii="Arial" w:cs="Arial" w:eastAsia="Arial" w:hAnsi="Arial"/>
          <w:sz w:val="19"/>
          <w:szCs w:val="19"/>
          <w:color w:val="auto"/>
        </w:rPr>
      </w:pPr>
    </w:p>
    <w:p>
      <w:pPr>
        <w:ind w:left="385" w:right="400" w:hanging="307"/>
        <w:spacing w:after="0" w:line="250" w:lineRule="auto"/>
        <w:tabs>
          <w:tab w:leader="none" w:pos="348"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Expense associated with involuntary workforce reduction of approximately $47 million pretax, or $0.26 per diluted common share.</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(h) 4Q 2020 Adjusted EPS projections exclude the following:</w:t>
      </w:r>
    </w:p>
    <w:p>
      <w:pPr>
        <w:spacing w:after="0" w:line="1" w:lineRule="exact"/>
        <w:rPr>
          <w:sz w:val="20"/>
          <w:szCs w:val="20"/>
          <w:color w:val="auto"/>
        </w:rPr>
      </w:pPr>
    </w:p>
    <w:p>
      <w:pPr>
        <w:ind w:left="345" w:hanging="267"/>
        <w:spacing w:after="0"/>
        <w:tabs>
          <w:tab w:leader="none" w:pos="345" w:val="left"/>
        </w:tabs>
        <w:numPr>
          <w:ilvl w:val="0"/>
          <w:numId w:val="52"/>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~0.15 per diluted common share.</w:t>
      </w:r>
    </w:p>
    <w:p>
      <w:pPr>
        <w:ind w:left="385" w:right="640" w:hanging="307"/>
        <w:spacing w:after="0" w:line="254" w:lineRule="auto"/>
        <w:tabs>
          <w:tab w:leader="none" w:pos="3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4Q 2020 GAAP EPS guidance excludes the impact of future value changes of put/call options related to Humana’s non-consolidating minority interest investments. The future value change of these put/call options cannot be estimated.</w:t>
      </w:r>
    </w:p>
    <w:p>
      <w:pPr>
        <w:ind w:left="385" w:right="160" w:hanging="307"/>
        <w:spacing w:after="0" w:line="245" w:lineRule="auto"/>
        <w:tabs>
          <w:tab w:leader="none" w:pos="348"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future value of publicly-traded equity securities, their impact on GAAP EPS, and the related non-GAAP adjustment will fluctuate on the public trading value of the stock. The guidance set forth herein assumes no further change in the fair value of these investments.</w:t>
      </w:r>
    </w:p>
    <w:p>
      <w:pPr>
        <w:spacing w:after="0" w:line="220" w:lineRule="exact"/>
        <w:rPr>
          <w:sz w:val="20"/>
          <w:szCs w:val="20"/>
          <w:color w:val="auto"/>
        </w:rPr>
      </w:pPr>
    </w:p>
    <w:p>
      <w:pPr>
        <w:ind w:left="85"/>
        <w:spacing w:after="0"/>
        <w:rPr>
          <w:sz w:val="20"/>
          <w:szCs w:val="20"/>
          <w:color w:val="auto"/>
        </w:rPr>
      </w:pPr>
      <w:r>
        <w:rPr>
          <w:rFonts w:ascii="Arial" w:cs="Arial" w:eastAsia="Arial" w:hAnsi="Arial"/>
          <w:sz w:val="19"/>
          <w:szCs w:val="19"/>
          <w:u w:val="single" w:color="auto"/>
          <w:color w:val="auto"/>
        </w:rPr>
        <w:t>(i) 4Q 2019 Adjusted results exclude the following:</w:t>
      </w:r>
    </w:p>
    <w:p>
      <w:pPr>
        <w:spacing w:after="0" w:line="1" w:lineRule="exact"/>
        <w:rPr>
          <w:sz w:val="20"/>
          <w:szCs w:val="20"/>
          <w:color w:val="auto"/>
        </w:rPr>
      </w:pPr>
    </w:p>
    <w:p>
      <w:pPr>
        <w:ind w:left="385" w:right="480" w:hanging="307"/>
        <w:spacing w:after="0"/>
        <w:tabs>
          <w:tab w:leader="none" w:pos="34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$17 million pretax income, or $0.10 per diluted common share.</w:t>
      </w:r>
    </w:p>
    <w:p>
      <w:pPr>
        <w:spacing w:after="0" w:line="1" w:lineRule="exact"/>
        <w:rPr>
          <w:rFonts w:ascii="Arial" w:cs="Arial" w:eastAsia="Arial" w:hAnsi="Arial"/>
          <w:sz w:val="19"/>
          <w:szCs w:val="19"/>
          <w:color w:val="auto"/>
        </w:rPr>
      </w:pPr>
    </w:p>
    <w:p>
      <w:pPr>
        <w:ind w:left="205" w:hanging="127"/>
        <w:spacing w:after="0"/>
        <w:tabs>
          <w:tab w:leader="none" w:pos="205" w:val="left"/>
        </w:tabs>
        <w:numPr>
          <w:ilvl w:val="0"/>
          <w:numId w:val="53"/>
        </w:numPr>
        <w:rPr>
          <w:rFonts w:ascii="Arial" w:cs="Arial" w:eastAsia="Arial" w:hAnsi="Arial"/>
          <w:sz w:val="19"/>
          <w:szCs w:val="19"/>
          <w:color w:val="auto"/>
        </w:rPr>
      </w:pPr>
      <w:r>
        <w:rPr>
          <w:rFonts w:ascii="Arial" w:cs="Arial" w:eastAsia="Arial" w:hAnsi="Arial"/>
          <w:sz w:val="19"/>
          <w:szCs w:val="19"/>
          <w:color w:val="auto"/>
        </w:rPr>
        <w:t>Put/call valuation adjustments of approximately $289 million, or $1.67 per diluted common share,</w:t>
      </w:r>
    </w:p>
    <w:p>
      <w:pPr>
        <w:spacing w:after="0" w:line="1" w:lineRule="exact"/>
        <w:rPr>
          <w:sz w:val="20"/>
          <w:szCs w:val="20"/>
          <w:color w:val="auto"/>
        </w:rPr>
      </w:pPr>
    </w:p>
    <w:p>
      <w:pPr>
        <w:ind w:left="385"/>
        <w:spacing w:after="0"/>
        <w:rPr>
          <w:sz w:val="20"/>
          <w:szCs w:val="20"/>
          <w:color w:val="auto"/>
        </w:rPr>
      </w:pPr>
      <w:r>
        <w:rPr>
          <w:rFonts w:ascii="Arial" w:cs="Arial" w:eastAsia="Arial" w:hAnsi="Arial"/>
          <w:sz w:val="19"/>
          <w:szCs w:val="19"/>
          <w:color w:val="auto"/>
        </w:rPr>
        <w:t>associated with Humana’s non-consolidating minority interest investments.</w:t>
      </w:r>
    </w:p>
    <w:p>
      <w:pPr>
        <w:spacing w:after="0" w:line="1" w:lineRule="exact"/>
        <w:rPr>
          <w:sz w:val="20"/>
          <w:szCs w:val="20"/>
          <w:color w:val="auto"/>
        </w:rPr>
      </w:pPr>
    </w:p>
    <w:p>
      <w:pPr>
        <w:ind w:left="385" w:right="2060" w:hanging="307"/>
        <w:spacing w:after="0" w:line="250" w:lineRule="auto"/>
        <w:tabs>
          <w:tab w:leader="none" w:pos="194" w:val="left"/>
        </w:tabs>
        <w:numPr>
          <w:ilvl w:val="0"/>
          <w:numId w:val="54"/>
        </w:numPr>
        <w:rPr>
          <w:rFonts w:ascii="Arial" w:cs="Arial" w:eastAsia="Arial" w:hAnsi="Arial"/>
          <w:sz w:val="19"/>
          <w:szCs w:val="19"/>
          <w:color w:val="auto"/>
        </w:rPr>
      </w:pPr>
      <w:r>
        <w:rPr>
          <w:rFonts w:ascii="Arial" w:cs="Arial" w:eastAsia="Arial" w:hAnsi="Arial"/>
          <w:sz w:val="19"/>
          <w:szCs w:val="19"/>
          <w:color w:val="auto"/>
        </w:rPr>
        <w:t>Expense associated with involuntary workforce reduction of approximately $1 million pretax, or $0.01 per diluted common share.</w:t>
      </w:r>
    </w:p>
    <w:p>
      <w:pPr>
        <w:spacing w:after="0" w:line="215" w:lineRule="exact"/>
        <w:rPr>
          <w:sz w:val="20"/>
          <w:szCs w:val="20"/>
          <w:color w:val="auto"/>
        </w:rPr>
      </w:pPr>
    </w:p>
    <w:p>
      <w:pPr>
        <w:jc w:val="both"/>
        <w:ind w:left="5" w:right="120" w:hanging="5"/>
        <w:spacing w:after="0" w:line="245" w:lineRule="auto"/>
        <w:tabs>
          <w:tab w:leader="none" w:pos="225"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220" w:lineRule="exact"/>
        <w:rPr>
          <w:rFonts w:ascii="Arial" w:cs="Arial" w:eastAsia="Arial" w:hAnsi="Arial"/>
          <w:sz w:val="19"/>
          <w:szCs w:val="19"/>
          <w:color w:val="auto"/>
        </w:rPr>
      </w:pPr>
    </w:p>
    <w:p>
      <w:pPr>
        <w:ind w:left="5" w:hanging="5"/>
        <w:spacing w:after="0" w:line="242" w:lineRule="auto"/>
        <w:tabs>
          <w:tab w:leader="none" w:pos="278"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5"/>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985"/>
          </w:cols>
          <w:pgMar w:left="555" w:top="1064" w:right="35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u w:val="single" w:color="auto"/>
          <w:color w:val="auto"/>
        </w:rPr>
        <w:t>Cautionary Statement</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3" w:lineRule="exact"/>
        <w:rPr>
          <w:sz w:val="20"/>
          <w:szCs w:val="20"/>
          <w:color w:val="auto"/>
        </w:rPr>
      </w:pPr>
    </w:p>
    <w:p>
      <w:pPr>
        <w:ind w:left="320" w:right="460"/>
        <w:spacing w:after="0" w:line="245" w:lineRule="auto"/>
        <w:rPr>
          <w:sz w:val="20"/>
          <w:szCs w:val="20"/>
          <w:color w:val="auto"/>
        </w:rPr>
      </w:pPr>
      <w:r>
        <w:rPr>
          <w:rFonts w:ascii="Arial" w:cs="Arial" w:eastAsia="Arial" w:hAnsi="Arial"/>
          <w:sz w:val="19"/>
          <w:szCs w:val="19"/>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7" w:lineRule="exact"/>
        <w:rPr>
          <w:sz w:val="20"/>
          <w:szCs w:val="20"/>
          <w:color w:val="auto"/>
        </w:rPr>
      </w:pPr>
    </w:p>
    <w:p>
      <w:pPr>
        <w:ind w:left="1240" w:hanging="309"/>
        <w:spacing w:after="0"/>
        <w:tabs>
          <w:tab w:leader="none" w:pos="1203"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8" w:lineRule="exact"/>
        <w:rPr>
          <w:rFonts w:ascii="Arial" w:cs="Arial" w:eastAsia="Arial" w:hAnsi="Arial"/>
          <w:sz w:val="19"/>
          <w:szCs w:val="19"/>
          <w:color w:val="auto"/>
        </w:rPr>
      </w:pPr>
    </w:p>
    <w:p>
      <w:pPr>
        <w:ind w:left="1240" w:right="280" w:hanging="309"/>
        <w:spacing w:after="0"/>
        <w:tabs>
          <w:tab w:leader="none" w:pos="1203"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2" w:lineRule="exact"/>
        <w:rPr>
          <w:rFonts w:ascii="Arial" w:cs="Arial" w:eastAsia="Arial" w:hAnsi="Arial"/>
          <w:sz w:val="19"/>
          <w:szCs w:val="19"/>
          <w:color w:val="auto"/>
        </w:rPr>
      </w:pPr>
    </w:p>
    <w:p>
      <w:pPr>
        <w:ind w:left="1240" w:right="120" w:hanging="309"/>
        <w:spacing w:after="0"/>
        <w:tabs>
          <w:tab w:leader="none" w:pos="1203"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3" w:lineRule="exact"/>
        <w:rPr>
          <w:rFonts w:ascii="Arial" w:cs="Arial" w:eastAsia="Arial" w:hAnsi="Arial"/>
          <w:sz w:val="19"/>
          <w:szCs w:val="19"/>
          <w:color w:val="auto"/>
        </w:rPr>
      </w:pPr>
    </w:p>
    <w:p>
      <w:pPr>
        <w:ind w:left="1240" w:right="80" w:hanging="309"/>
        <w:spacing w:after="0"/>
        <w:tabs>
          <w:tab w:leader="none" w:pos="1203" w:val="left"/>
        </w:tabs>
        <w:numPr>
          <w:ilvl w:val="0"/>
          <w:numId w:val="56"/>
        </w:numPr>
        <w:rPr>
          <w:rFonts w:ascii="Arial" w:cs="Arial" w:eastAsia="Arial" w:hAnsi="Arial"/>
          <w:sz w:val="19"/>
          <w:szCs w:val="19"/>
          <w:color w:val="auto"/>
        </w:rPr>
      </w:pPr>
      <w:r>
        <w:rPr>
          <w:rFonts w:ascii="Arial" w:cs="Arial" w:eastAsia="Arial" w:hAnsi="Arial"/>
          <w:sz w:val="19"/>
          <w:szCs w:val="19"/>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3" w:lineRule="exact"/>
        <w:rPr>
          <w:rFonts w:ascii="Arial" w:cs="Arial" w:eastAsia="Arial" w:hAnsi="Arial"/>
          <w:sz w:val="19"/>
          <w:szCs w:val="19"/>
          <w:color w:val="auto"/>
        </w:rPr>
      </w:pPr>
    </w:p>
    <w:p>
      <w:pPr>
        <w:ind w:left="1240" w:right="200" w:hanging="309"/>
        <w:spacing w:after="0" w:line="242" w:lineRule="auto"/>
        <w:tabs>
          <w:tab w:leader="none" w:pos="1203" w:val="left"/>
        </w:tabs>
        <w:numPr>
          <w:ilvl w:val="0"/>
          <w:numId w:val="56"/>
        </w:numPr>
        <w:rPr>
          <w:rFonts w:ascii="Arial" w:cs="Arial" w:eastAsia="Arial" w:hAnsi="Arial"/>
          <w:sz w:val="19"/>
          <w:szCs w:val="19"/>
          <w:color w:val="auto"/>
        </w:rPr>
      </w:pPr>
      <w:r>
        <w:rPr>
          <w:rFonts w:ascii="Arial" w:cs="Arial" w:eastAsia="Arial" w:hAnsi="Arial"/>
          <w:sz w:val="19"/>
          <w:szCs w:val="19"/>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156" w:right="339" w:bottom="1440" w:gutter="0" w:footer="0" w:header="0"/>
        </w:sectPr>
      </w:pPr>
    </w:p>
    <w:bookmarkStart w:id="35" w:name="page36"/>
    <w:bookmarkEnd w:id="35"/>
    <w:p>
      <w:pPr>
        <w:ind w:left="309" w:right="140"/>
        <w:spacing w:after="0"/>
        <w:rPr>
          <w:sz w:val="20"/>
          <w:szCs w:val="20"/>
          <w:color w:val="auto"/>
        </w:rPr>
      </w:pPr>
      <w:r>
        <w:rPr>
          <w:rFonts w:ascii="Arial" w:cs="Arial" w:eastAsia="Arial" w:hAnsi="Arial"/>
          <w:sz w:val="19"/>
          <w:szCs w:val="19"/>
          <w:color w:val="auto"/>
        </w:rPr>
        <w:t>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2" w:lineRule="exact"/>
        <w:rPr>
          <w:sz w:val="20"/>
          <w:szCs w:val="20"/>
          <w:color w:val="auto"/>
        </w:rPr>
      </w:pPr>
    </w:p>
    <w:p>
      <w:pPr>
        <w:ind w:left="309"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6" w:lineRule="exact"/>
        <w:rPr>
          <w:rFonts w:ascii="Arial" w:cs="Arial" w:eastAsia="Arial" w:hAnsi="Arial"/>
          <w:sz w:val="19"/>
          <w:szCs w:val="19"/>
          <w:color w:val="auto"/>
        </w:rPr>
      </w:pPr>
    </w:p>
    <w:p>
      <w:pPr>
        <w:ind w:left="309" w:right="640"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Humana’s failure to manage acquisitions, divestitures and other significant transactions successfully may have a material adverse effect on the company’s results of operations, financial position, and cash flows.</w:t>
      </w:r>
    </w:p>
    <w:p>
      <w:pPr>
        <w:spacing w:after="0" w:line="1" w:lineRule="exact"/>
        <w:rPr>
          <w:rFonts w:ascii="Arial" w:cs="Arial" w:eastAsia="Arial" w:hAnsi="Arial"/>
          <w:sz w:val="19"/>
          <w:szCs w:val="19"/>
          <w:color w:val="auto"/>
        </w:rPr>
      </w:pPr>
    </w:p>
    <w:p>
      <w:pPr>
        <w:ind w:left="309" w:right="760"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Humana fails to develop and maintain satisfactory relationships with the providers of care to its members, the company’s business may be adversely affected.</w:t>
      </w:r>
    </w:p>
    <w:p>
      <w:pPr>
        <w:spacing w:after="0" w:line="1" w:lineRule="exact"/>
        <w:rPr>
          <w:rFonts w:ascii="Arial" w:cs="Arial" w:eastAsia="Arial" w:hAnsi="Arial"/>
          <w:sz w:val="19"/>
          <w:szCs w:val="19"/>
          <w:color w:val="auto"/>
        </w:rPr>
      </w:pPr>
    </w:p>
    <w:p>
      <w:pPr>
        <w:ind w:left="309" w:right="20"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Humana’s pharmacy business is highly competitive and subjects it to regulations in addition to those the company faces with its core health benefits businesses.</w:t>
      </w:r>
    </w:p>
    <w:p>
      <w:pPr>
        <w:spacing w:after="0" w:line="1" w:lineRule="exact"/>
        <w:rPr>
          <w:rFonts w:ascii="Arial" w:cs="Arial" w:eastAsia="Arial" w:hAnsi="Arial"/>
          <w:sz w:val="19"/>
          <w:szCs w:val="19"/>
          <w:color w:val="auto"/>
        </w:rPr>
      </w:pPr>
    </w:p>
    <w:p>
      <w:pPr>
        <w:ind w:left="269" w:hanging="269"/>
        <w:spacing w:after="0"/>
        <w:tabs>
          <w:tab w:leader="none" w:pos="269" w:val="left"/>
        </w:tabs>
        <w:numPr>
          <w:ilvl w:val="0"/>
          <w:numId w:val="57"/>
        </w:numPr>
        <w:rPr>
          <w:rFonts w:ascii="Arial" w:cs="Arial" w:eastAsia="Arial" w:hAnsi="Arial"/>
          <w:sz w:val="19"/>
          <w:szCs w:val="19"/>
          <w:color w:val="auto"/>
        </w:rPr>
      </w:pPr>
      <w:r>
        <w:rPr>
          <w:rFonts w:ascii="Arial" w:cs="Arial" w:eastAsia="Arial" w:hAnsi="Arial"/>
          <w:sz w:val="19"/>
          <w:szCs w:val="19"/>
          <w:color w:val="auto"/>
        </w:rPr>
        <w:t>Changes in the prescription drug industry pricing benchmarks may adversely affect Humana’s financial performance.</w:t>
      </w:r>
    </w:p>
    <w:p>
      <w:pPr>
        <w:ind w:left="309" w:right="900"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Humana does not continue to earn and retain purchase discounts and volume rebates from pharmaceutical manufacturers at current levels, Humana’s gross margins may decline.</w:t>
      </w:r>
    </w:p>
    <w:p>
      <w:pPr>
        <w:spacing w:after="0" w:line="1" w:lineRule="exact"/>
        <w:rPr>
          <w:rFonts w:ascii="Arial" w:cs="Arial" w:eastAsia="Arial" w:hAnsi="Arial"/>
          <w:sz w:val="19"/>
          <w:szCs w:val="19"/>
          <w:color w:val="auto"/>
        </w:rPr>
      </w:pPr>
    </w:p>
    <w:p>
      <w:pPr>
        <w:ind w:left="269" w:hanging="269"/>
        <w:spacing w:after="0"/>
        <w:tabs>
          <w:tab w:leader="none" w:pos="269" w:val="left"/>
        </w:tabs>
        <w:numPr>
          <w:ilvl w:val="0"/>
          <w:numId w:val="57"/>
        </w:numPr>
        <w:rPr>
          <w:rFonts w:ascii="Arial" w:cs="Arial" w:eastAsia="Arial" w:hAnsi="Arial"/>
          <w:sz w:val="19"/>
          <w:szCs w:val="19"/>
          <w:color w:val="auto"/>
        </w:rPr>
      </w:pPr>
      <w:r>
        <w:rPr>
          <w:rFonts w:ascii="Arial" w:cs="Arial" w:eastAsia="Arial" w:hAnsi="Arial"/>
          <w:sz w:val="19"/>
          <w:szCs w:val="19"/>
          <w:color w:val="auto"/>
        </w:rPr>
        <w:t>Humana’s ability to obtain funds from certain of its licensed subsidiaries is restricted by state insurance regulations.</w:t>
      </w:r>
    </w:p>
    <w:p>
      <w:pPr>
        <w:ind w:left="309" w:right="140"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Downgrades in Humana’s debt ratings, should they occur, may adversely affect its business, results of operations, and financial condition.</w:t>
      </w:r>
    </w:p>
    <w:p>
      <w:pPr>
        <w:spacing w:after="0" w:line="1" w:lineRule="exact"/>
        <w:rPr>
          <w:rFonts w:ascii="Arial" w:cs="Arial" w:eastAsia="Arial" w:hAnsi="Arial"/>
          <w:sz w:val="19"/>
          <w:szCs w:val="19"/>
          <w:color w:val="auto"/>
        </w:rPr>
      </w:pPr>
    </w:p>
    <w:p>
      <w:pPr>
        <w:ind w:left="309" w:right="620" w:hanging="309"/>
        <w:spacing w:after="0"/>
        <w:tabs>
          <w:tab w:leader="none" w:pos="2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securities and credit markets may experience volatility and disruption, which may adversely affect Humana’s business.</w:t>
      </w:r>
    </w:p>
    <w:p>
      <w:pPr>
        <w:spacing w:after="0" w:line="1" w:lineRule="exact"/>
        <w:rPr>
          <w:rFonts w:ascii="Arial" w:cs="Arial" w:eastAsia="Arial" w:hAnsi="Arial"/>
          <w:sz w:val="19"/>
          <w:szCs w:val="19"/>
          <w:color w:val="auto"/>
        </w:rPr>
      </w:pPr>
    </w:p>
    <w:p>
      <w:pPr>
        <w:ind w:left="309" w:right="80" w:hanging="309"/>
        <w:spacing w:after="0" w:line="245" w:lineRule="auto"/>
        <w:tabs>
          <w:tab w:leader="none" w:pos="32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spread of, and response to, the novel coronavirus, or COVID-19, underscores certain risks Humana faces, including those discussed above, and the rapid development and fluidity of this situation precludes any prediction as to the ultimate adverse impact to Humana of COVID-19.</w:t>
      </w:r>
    </w:p>
    <w:p>
      <w:pPr>
        <w:spacing w:after="0" w:line="220" w:lineRule="exact"/>
        <w:rPr>
          <w:rFonts w:ascii="Arial" w:cs="Arial" w:eastAsia="Arial" w:hAnsi="Arial"/>
          <w:sz w:val="19"/>
          <w:szCs w:val="19"/>
          <w:color w:val="auto"/>
        </w:rPr>
      </w:pPr>
    </w:p>
    <w:p>
      <w:pPr>
        <w:ind w:left="309" w:right="260"/>
        <w:spacing w:after="0" w:line="250" w:lineRule="auto"/>
        <w:rPr>
          <w:rFonts w:ascii="Arial" w:cs="Arial" w:eastAsia="Arial" w:hAnsi="Arial"/>
          <w:sz w:val="19"/>
          <w:szCs w:val="19"/>
          <w:color w:val="auto"/>
        </w:rPr>
      </w:pPr>
      <w:r>
        <w:rPr>
          <w:rFonts w:ascii="Arial" w:cs="Arial" w:eastAsia="Arial" w:hAnsi="Arial"/>
          <w:sz w:val="19"/>
          <w:szCs w:val="19"/>
          <w:color w:val="auto"/>
        </w:rPr>
        <w:t>In December 2019, a novel strain of coronavirus (COVID-19) emerged which was declared a pandemic by the World Health Organization on March 11, 2020, and has now spread globally including throughout the United States.</w:t>
      </w:r>
    </w:p>
    <w:p>
      <w:pPr>
        <w:spacing w:after="0" w:line="124" w:lineRule="exact"/>
        <w:rPr>
          <w:rFonts w:ascii="Arial" w:cs="Arial" w:eastAsia="Arial" w:hAnsi="Arial"/>
          <w:sz w:val="19"/>
          <w:szCs w:val="19"/>
          <w:color w:val="auto"/>
        </w:rPr>
      </w:pPr>
    </w:p>
    <w:p>
      <w:pPr>
        <w:ind w:left="309" w:right="40"/>
        <w:spacing w:after="0" w:line="241" w:lineRule="auto"/>
        <w:rPr>
          <w:rFonts w:ascii="Arial" w:cs="Arial" w:eastAsia="Arial" w:hAnsi="Arial"/>
          <w:sz w:val="19"/>
          <w:szCs w:val="19"/>
          <w:color w:val="auto"/>
        </w:rPr>
      </w:pPr>
      <w:r>
        <w:rPr>
          <w:rFonts w:ascii="Arial" w:cs="Arial" w:eastAsia="Arial" w:hAnsi="Arial"/>
          <w:sz w:val="19"/>
          <w:szCs w:val="19"/>
          <w:color w:val="auto"/>
        </w:rPr>
        <w:t>Governmental and non-governmental organizations may not effectively combat the spread and severity of COVID-19, increasing the potential for harm for Humana’s members. If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Over time, Humana may also experience increased costs or decreased revenues if, as a result of the company’s members being unable to see their providers due to actions taken to mitigate the spread of COVID-19, Humana is unable to implement clinical initiatives to manage health care costs and chronic conditions of its members, and appropriately document their risk profiles. In addition, Humana is offering its members expanded benefit coverage, such as waiving out of pocket costs for COVID-19 diagnostic testing and treatment, certain additional coverages have been mandated by governmental action, and Humana is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of regulatory requirements associated with those services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8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289"/>
          </w:cols>
          <w:pgMar w:left="1251" w:top="871" w:right="359" w:bottom="1440" w:gutter="0" w:footer="0" w:header="0"/>
        </w:sectPr>
      </w:pPr>
    </w:p>
    <w:bookmarkStart w:id="36" w:name="page37"/>
    <w:bookmarkEnd w:id="36"/>
    <w:p>
      <w:pPr>
        <w:ind w:left="1240" w:right="260"/>
        <w:spacing w:after="0" w:line="243" w:lineRule="auto"/>
        <w:rPr>
          <w:sz w:val="20"/>
          <w:szCs w:val="20"/>
          <w:color w:val="auto"/>
        </w:rPr>
      </w:pPr>
      <w:r>
        <w:rPr>
          <w:rFonts w:ascii="Arial" w:cs="Arial" w:eastAsia="Arial" w:hAnsi="Arial"/>
          <w:sz w:val="19"/>
          <w:szCs w:val="19"/>
          <w:color w:val="auto"/>
        </w:rPr>
        <w:t>and the costs and challenges associated with ensuring timely compliance with such requirements, to provide further relief for the health care provider community, or in connection with the relaxation of stay-at-home and physical distancing orders and other restrictions on movement and economic activity, including the potential for widespread testing and therapeutic treatments and a vaccine, once available, as a component of lifting these measures, could adversely impact the company’s profitability.</w:t>
      </w:r>
    </w:p>
    <w:p>
      <w:pPr>
        <w:spacing w:after="0" w:line="132" w:lineRule="exact"/>
        <w:rPr>
          <w:sz w:val="20"/>
          <w:szCs w:val="20"/>
          <w:color w:val="auto"/>
        </w:rPr>
      </w:pPr>
    </w:p>
    <w:p>
      <w:pPr>
        <w:ind w:left="1240"/>
        <w:spacing w:after="0" w:line="241" w:lineRule="auto"/>
        <w:rPr>
          <w:sz w:val="20"/>
          <w:szCs w:val="20"/>
          <w:color w:val="auto"/>
        </w:rPr>
      </w:pPr>
      <w:r>
        <w:rPr>
          <w:rFonts w:ascii="Arial" w:cs="Arial" w:eastAsia="Arial" w:hAnsi="Arial"/>
          <w:sz w:val="19"/>
          <w:szCs w:val="19"/>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126" w:lineRule="exact"/>
        <w:rPr>
          <w:sz w:val="20"/>
          <w:szCs w:val="20"/>
          <w:color w:val="auto"/>
        </w:rPr>
      </w:pPr>
    </w:p>
    <w:p>
      <w:pPr>
        <w:ind w:left="1240"/>
        <w:spacing w:after="0" w:line="242" w:lineRule="auto"/>
        <w:rPr>
          <w:sz w:val="20"/>
          <w:szCs w:val="20"/>
          <w:color w:val="auto"/>
        </w:rPr>
      </w:pPr>
      <w:r>
        <w:rPr>
          <w:rFonts w:ascii="Arial" w:cs="Arial" w:eastAsia="Arial" w:hAnsi="Arial"/>
          <w:sz w:val="19"/>
          <w:szCs w:val="19"/>
          <w:color w:val="auto"/>
        </w:rPr>
        <w:t>The rapid development and fluidity of this situation precludes any prediction as to the ultimate adverse impact to Humana of COVID-19. Humana is continuing to monitor the spread of COVID-19, changes to the company’s benefit coverages, the ongoing costs and business impacts of dealing with COVID-19, including the potential costs and impacts associated with lifting or reimposing restrictions on movement and economic activity and related risks. The magnitude and duration of the pandemic and its impact on Humana’s business, results of operations, financial position, and cash flows is uncertain as this continues to evolve globally, but such impacts could be material to the company’s business, results of operations, financial position and cash flows.</w:t>
      </w:r>
    </w:p>
    <w:p>
      <w:pPr>
        <w:spacing w:after="0" w:line="134" w:lineRule="exact"/>
        <w:rPr>
          <w:sz w:val="20"/>
          <w:szCs w:val="20"/>
          <w:color w:val="auto"/>
        </w:rPr>
      </w:pPr>
    </w:p>
    <w:p>
      <w:pPr>
        <w:ind w:left="320" w:right="160"/>
        <w:spacing w:after="0" w:line="261"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3"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color w:val="auto"/>
        </w:rPr>
        <w:t>Humana advises investors to read the following documents as filed by the company with the SEC for further discussion both of the risks it faces and its historical performance:</w:t>
      </w:r>
    </w:p>
    <w:p>
      <w:pPr>
        <w:spacing w:after="0" w:line="189" w:lineRule="exact"/>
        <w:rPr>
          <w:sz w:val="20"/>
          <w:szCs w:val="20"/>
          <w:color w:val="auto"/>
        </w:rPr>
      </w:pPr>
    </w:p>
    <w:p>
      <w:pPr>
        <w:ind w:left="580" w:hanging="267"/>
        <w:spacing w:after="0"/>
        <w:tabs>
          <w:tab w:leader="none" w:pos="5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Form 10-K for the year ended December 31, 2019;</w:t>
      </w:r>
    </w:p>
    <w:p>
      <w:pPr>
        <w:spacing w:after="0" w:line="206" w:lineRule="exact"/>
        <w:rPr>
          <w:rFonts w:ascii="Arial" w:cs="Arial" w:eastAsia="Arial" w:hAnsi="Arial"/>
          <w:sz w:val="19"/>
          <w:szCs w:val="19"/>
          <w:color w:val="auto"/>
        </w:rPr>
      </w:pPr>
    </w:p>
    <w:p>
      <w:pPr>
        <w:ind w:left="580" w:hanging="267"/>
        <w:spacing w:after="0"/>
        <w:tabs>
          <w:tab w:leader="none" w:pos="5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Form 10-Q for the quarter ended March 31, 2020; June 30, 2020; and</w:t>
      </w:r>
    </w:p>
    <w:p>
      <w:pPr>
        <w:spacing w:after="0" w:line="206" w:lineRule="exact"/>
        <w:rPr>
          <w:rFonts w:ascii="Arial" w:cs="Arial" w:eastAsia="Arial" w:hAnsi="Arial"/>
          <w:sz w:val="19"/>
          <w:szCs w:val="19"/>
          <w:color w:val="auto"/>
        </w:rPr>
      </w:pPr>
    </w:p>
    <w:p>
      <w:pPr>
        <w:ind w:left="580" w:hanging="267"/>
        <w:spacing w:after="0"/>
        <w:tabs>
          <w:tab w:leader="none" w:pos="5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Form 8-Ks filed during 2020.</w:t>
      </w: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160"/>
          </w:cols>
          <w:pgMar w:left="320" w:top="871" w:right="419" w:bottom="1440" w:gutter="0" w:footer="0" w:header="0"/>
        </w:sectPr>
      </w:pPr>
    </w:p>
    <w:bookmarkStart w:id="37" w:name="page38"/>
    <w:bookmarkEnd w:id="37"/>
    <w:p>
      <w:pPr>
        <w:spacing w:after="0"/>
        <w:rPr>
          <w:sz w:val="20"/>
          <w:szCs w:val="20"/>
          <w:color w:val="auto"/>
        </w:rPr>
      </w:pPr>
      <w:r>
        <w:rPr>
          <w:rFonts w:ascii="Arial" w:cs="Arial" w:eastAsia="Arial" w:hAnsi="Arial"/>
          <w:sz w:val="24"/>
          <w:szCs w:val="24"/>
          <w:b w:val="1"/>
          <w:bCs w:val="1"/>
          <w:u w:val="single" w:color="auto"/>
          <w:color w:val="auto"/>
        </w:rPr>
        <w:t>About Humana</w:t>
      </w:r>
    </w:p>
    <w:p>
      <w:pPr>
        <w:spacing w:after="0" w:line="239"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98" w:lineRule="exact"/>
        <w:rPr>
          <w:sz w:val="20"/>
          <w:szCs w:val="20"/>
          <w:color w:val="auto"/>
        </w:rPr>
      </w:pPr>
    </w:p>
    <w:p>
      <w:pPr>
        <w:ind w:right="1080"/>
        <w:spacing w:after="0" w:line="250" w:lineRule="auto"/>
        <w:rPr>
          <w:sz w:val="20"/>
          <w:szCs w:val="20"/>
          <w:color w:val="auto"/>
        </w:rPr>
      </w:pPr>
      <w:r>
        <w:rPr>
          <w:rFonts w:ascii="Arial" w:cs="Arial" w:eastAsia="Arial" w:hAnsi="Arial"/>
          <w:sz w:val="19"/>
          <w:szCs w:val="19"/>
          <w:color w:val="auto"/>
        </w:rPr>
        <w:t>More information regarding Humana is available to investors via the Investor Relations page of the company’s website at humana.com, including copies of:</w:t>
      </w:r>
    </w:p>
    <w:p>
      <w:pPr>
        <w:spacing w:after="0" w:line="189" w:lineRule="exact"/>
        <w:rPr>
          <w:sz w:val="20"/>
          <w:szCs w:val="20"/>
          <w:color w:val="auto"/>
        </w:rPr>
      </w:pPr>
    </w:p>
    <w:p>
      <w:pPr>
        <w:ind w:left="580" w:hanging="267"/>
        <w:spacing w:after="0"/>
        <w:tabs>
          <w:tab w:leader="none" w:pos="5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Annual reports to stockholders</w:t>
      </w:r>
    </w:p>
    <w:p>
      <w:pPr>
        <w:ind w:left="580" w:hanging="267"/>
        <w:spacing w:after="0"/>
        <w:tabs>
          <w:tab w:leader="none" w:pos="5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Securities and Exchange Commission filings</w:t>
      </w:r>
    </w:p>
    <w:p>
      <w:pPr>
        <w:ind w:left="580" w:hanging="267"/>
        <w:spacing w:after="0"/>
        <w:tabs>
          <w:tab w:leader="none" w:pos="5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Most recent investor conference presentations</w:t>
      </w:r>
    </w:p>
    <w:p>
      <w:pPr>
        <w:ind w:left="580" w:hanging="267"/>
        <w:spacing w:after="0"/>
        <w:tabs>
          <w:tab w:leader="none" w:pos="5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Quarterly earnings news releases and conference calls</w:t>
      </w:r>
    </w:p>
    <w:p>
      <w:pPr>
        <w:ind w:left="580" w:hanging="267"/>
        <w:spacing w:after="0"/>
        <w:tabs>
          <w:tab w:leader="none" w:pos="5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Calendar of events</w:t>
      </w:r>
    </w:p>
    <w:p>
      <w:pPr>
        <w:ind w:left="580" w:hanging="267"/>
        <w:spacing w:after="0"/>
        <w:tabs>
          <w:tab w:leader="none" w:pos="5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160"/>
          </w:cols>
          <w:pgMar w:left="320" w:top="1245" w:right="419" w:bottom="1440" w:gutter="0" w:footer="0" w:header="0"/>
        </w:sectPr>
      </w:pPr>
    </w:p>
    <w:bookmarkStart w:id="38" w:name="page39"/>
    <w:bookmarkEnd w:id="38"/>
    <w:p>
      <w:pPr>
        <w:spacing w:after="0" w:line="113" w:lineRule="exact"/>
        <w:rPr>
          <w:sz w:val="20"/>
          <w:szCs w:val="20"/>
          <w:color w:val="auto"/>
        </w:rPr>
      </w:pPr>
    </w:p>
    <w:p>
      <w:pPr>
        <w:jc w:val="center"/>
        <w:spacing w:after="0"/>
        <w:rPr>
          <w:sz w:val="20"/>
          <w:szCs w:val="20"/>
          <w:color w:val="auto"/>
        </w:rPr>
      </w:pPr>
      <w:r>
        <w:rPr>
          <w:rFonts w:ascii="Arial" w:cs="Arial" w:eastAsia="Arial" w:hAnsi="Arial"/>
          <w:sz w:val="69"/>
          <w:szCs w:val="69"/>
          <w:color w:val="auto"/>
        </w:rPr>
        <w:t>Humana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69"/>
          <w:szCs w:val="69"/>
          <w:color w:val="auto"/>
        </w:rPr>
        <w:t>Statistical Schedules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69"/>
          <w:szCs w:val="69"/>
          <w:color w:val="auto"/>
        </w:rPr>
        <w:t>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68"/>
          <w:szCs w:val="68"/>
          <w:color w:val="auto"/>
        </w:rPr>
        <w:t>Supplementary Information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69"/>
          <w:szCs w:val="69"/>
          <w:color w:val="auto"/>
        </w:rPr>
        <w:t>3Q20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9019"/>
          </w:cols>
          <w:pgMar w:left="1440" w:top="1440" w:right="1440" w:bottom="1440" w:gutter="0" w:footer="0" w:header="0"/>
        </w:sectPr>
      </w:pPr>
    </w:p>
    <w:bookmarkStart w:id="39" w:name="page40"/>
    <w:bookmarkEnd w:id="39"/>
    <w:p>
      <w:pPr>
        <w:ind w:left="1720"/>
        <w:spacing w:after="0"/>
        <w:rPr>
          <w:sz w:val="20"/>
          <w:szCs w:val="20"/>
          <w:color w:val="auto"/>
        </w:rPr>
      </w:pPr>
      <w:r>
        <w:rPr>
          <w:rFonts w:ascii="Arial" w:cs="Arial" w:eastAsia="Arial" w:hAnsi="Arial"/>
          <w:sz w:val="26"/>
          <w:szCs w:val="26"/>
          <w:color w:val="auto"/>
        </w:rPr>
        <w:t>Humana Inc.</w:t>
      </w:r>
    </w:p>
    <w:p>
      <w:pPr>
        <w:ind w:left="1720"/>
        <w:spacing w:after="0" w:line="206" w:lineRule="auto"/>
        <w:rPr>
          <w:sz w:val="20"/>
          <w:szCs w:val="20"/>
          <w:color w:val="auto"/>
        </w:rPr>
      </w:pPr>
      <w:r>
        <w:rPr>
          <w:rFonts w:ascii="Arial" w:cs="Arial" w:eastAsia="Arial" w:hAnsi="Arial"/>
          <w:sz w:val="26"/>
          <w:szCs w:val="26"/>
          <w:color w:val="auto"/>
        </w:rPr>
        <w:t>Statistical Schedules and Supplementary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26"/>
          <w:szCs w:val="26"/>
          <w:color w:val="auto"/>
        </w:rPr>
        <w:t>Information 3Q20 Earnings Release</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26"/>
          <w:szCs w:val="26"/>
          <w:color w:val="auto"/>
        </w:rPr>
        <w:t>Contents</w:t>
      </w:r>
    </w:p>
    <w:p>
      <w:pPr>
        <w:spacing w:after="0" w:line="263"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Consolidated Financial Statements</w:t>
      </w:r>
    </w:p>
    <w:p>
      <w:pPr>
        <w:spacing w:after="0" w:line="16" w:lineRule="exact"/>
        <w:rPr>
          <w:sz w:val="20"/>
          <w:szCs w:val="20"/>
          <w:color w:val="auto"/>
        </w:rPr>
      </w:pPr>
    </w:p>
    <w:p>
      <w:pPr>
        <w:ind w:left="2480" w:hanging="494"/>
        <w:spacing w:after="0"/>
        <w:tabs>
          <w:tab w:leader="none" w:pos="2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Consolidated Statements of Income (S-3 - S-4)</w:t>
      </w:r>
    </w:p>
    <w:p>
      <w:pPr>
        <w:spacing w:after="0" w:line="16" w:lineRule="exact"/>
        <w:rPr>
          <w:rFonts w:ascii="Arial" w:cs="Arial" w:eastAsia="Arial" w:hAnsi="Arial"/>
          <w:sz w:val="21"/>
          <w:szCs w:val="21"/>
          <w:color w:val="auto"/>
        </w:rPr>
      </w:pPr>
    </w:p>
    <w:p>
      <w:pPr>
        <w:ind w:left="2480" w:hanging="494"/>
        <w:spacing w:after="0"/>
        <w:tabs>
          <w:tab w:leader="none" w:pos="2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Consolidated Balance Sheets (S-5)</w:t>
      </w:r>
    </w:p>
    <w:p>
      <w:pPr>
        <w:spacing w:after="0" w:line="16" w:lineRule="exact"/>
        <w:rPr>
          <w:rFonts w:ascii="Arial" w:cs="Arial" w:eastAsia="Arial" w:hAnsi="Arial"/>
          <w:sz w:val="21"/>
          <w:szCs w:val="21"/>
          <w:color w:val="auto"/>
        </w:rPr>
      </w:pPr>
    </w:p>
    <w:p>
      <w:pPr>
        <w:ind w:left="1720" w:right="1839" w:firstLine="266"/>
        <w:spacing w:after="0" w:line="256" w:lineRule="auto"/>
        <w:tabs>
          <w:tab w:leader="none" w:pos="2481" w:val="left"/>
        </w:tabs>
        <w:numPr>
          <w:ilvl w:val="0"/>
          <w:numId w:val="60"/>
        </w:numPr>
        <w:rPr>
          <w:rFonts w:ascii="Arial" w:cs="Arial" w:eastAsia="Arial" w:hAnsi="Arial"/>
          <w:sz w:val="21"/>
          <w:szCs w:val="21"/>
          <w:color w:val="auto"/>
        </w:rPr>
      </w:pPr>
      <w:r>
        <w:rPr>
          <w:rFonts w:ascii="Arial" w:cs="Arial" w:eastAsia="Arial" w:hAnsi="Arial"/>
          <w:sz w:val="21"/>
          <w:szCs w:val="21"/>
          <w:color w:val="auto"/>
        </w:rPr>
        <w:t>Consolidated Statements of Cash Flows (S-6 - S-7) Operating Results Detail</w:t>
      </w:r>
    </w:p>
    <w:p>
      <w:pPr>
        <w:ind w:left="2480" w:right="1999" w:hanging="494"/>
        <w:spacing w:after="0" w:line="226" w:lineRule="auto"/>
        <w:tabs>
          <w:tab w:leader="none" w:pos="2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Consolidating Statements of Income - Quarter (S-8 - S-9)</w:t>
      </w:r>
    </w:p>
    <w:p>
      <w:pPr>
        <w:spacing w:after="0" w:line="9" w:lineRule="exact"/>
        <w:rPr>
          <w:rFonts w:ascii="Arial" w:cs="Arial" w:eastAsia="Arial" w:hAnsi="Arial"/>
          <w:sz w:val="21"/>
          <w:szCs w:val="21"/>
          <w:color w:val="auto"/>
        </w:rPr>
      </w:pPr>
    </w:p>
    <w:p>
      <w:pPr>
        <w:ind w:left="2480" w:right="1939" w:hanging="494"/>
        <w:spacing w:after="0" w:line="226" w:lineRule="auto"/>
        <w:tabs>
          <w:tab w:leader="none" w:pos="2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Consolidating Statements of Income - YTD (S-10 - S-11)</w:t>
      </w:r>
    </w:p>
    <w:p>
      <w:pPr>
        <w:spacing w:after="0" w:line="9" w:lineRule="exact"/>
        <w:rPr>
          <w:rFonts w:ascii="Arial" w:cs="Arial" w:eastAsia="Arial" w:hAnsi="Arial"/>
          <w:sz w:val="21"/>
          <w:szCs w:val="21"/>
          <w:color w:val="auto"/>
        </w:rPr>
      </w:pPr>
    </w:p>
    <w:p>
      <w:pPr>
        <w:ind w:left="2480" w:hanging="494"/>
        <w:spacing w:after="0"/>
        <w:tabs>
          <w:tab w:leader="none" w:pos="2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Ending Membership Detail (S-12)</w:t>
      </w:r>
    </w:p>
    <w:p>
      <w:pPr>
        <w:spacing w:after="0" w:line="16" w:lineRule="exact"/>
        <w:rPr>
          <w:rFonts w:ascii="Arial" w:cs="Arial" w:eastAsia="Arial" w:hAnsi="Arial"/>
          <w:sz w:val="21"/>
          <w:szCs w:val="21"/>
          <w:color w:val="auto"/>
        </w:rPr>
      </w:pPr>
    </w:p>
    <w:p>
      <w:pPr>
        <w:ind w:left="2480" w:right="1939" w:hanging="494"/>
        <w:spacing w:after="0" w:line="226" w:lineRule="auto"/>
        <w:tabs>
          <w:tab w:leader="none" w:pos="2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Premiums and Services Revenue Detail (S-13 - S-14)</w:t>
      </w:r>
    </w:p>
    <w:p>
      <w:pPr>
        <w:spacing w:after="0" w:line="9" w:lineRule="exact"/>
        <w:rPr>
          <w:rFonts w:ascii="Arial" w:cs="Arial" w:eastAsia="Arial" w:hAnsi="Arial"/>
          <w:sz w:val="21"/>
          <w:szCs w:val="21"/>
          <w:color w:val="auto"/>
        </w:rPr>
      </w:pPr>
    </w:p>
    <w:p>
      <w:pPr>
        <w:ind w:left="1780" w:right="1839" w:firstLine="206"/>
        <w:spacing w:after="0" w:line="256" w:lineRule="auto"/>
        <w:tabs>
          <w:tab w:leader="none" w:pos="2483" w:val="left"/>
        </w:tabs>
        <w:numPr>
          <w:ilvl w:val="0"/>
          <w:numId w:val="60"/>
        </w:numPr>
        <w:rPr>
          <w:rFonts w:ascii="Arial" w:cs="Arial" w:eastAsia="Arial" w:hAnsi="Arial"/>
          <w:sz w:val="21"/>
          <w:szCs w:val="21"/>
          <w:color w:val="auto"/>
        </w:rPr>
      </w:pPr>
      <w:r>
        <w:rPr>
          <w:rFonts w:ascii="Arial" w:cs="Arial" w:eastAsia="Arial" w:hAnsi="Arial"/>
          <w:sz w:val="21"/>
          <w:szCs w:val="21"/>
          <w:color w:val="auto"/>
        </w:rPr>
        <w:t>Healthcare Services Segment Metrics (S-15 - S-17) Balance Sheet Detail</w:t>
      </w:r>
    </w:p>
    <w:p>
      <w:pPr>
        <w:ind w:left="1720" w:right="1859" w:firstLine="266"/>
        <w:spacing w:after="0" w:line="263" w:lineRule="auto"/>
        <w:tabs>
          <w:tab w:leader="none" w:pos="2481" w:val="left"/>
        </w:tabs>
        <w:numPr>
          <w:ilvl w:val="0"/>
          <w:numId w:val="60"/>
        </w:numPr>
        <w:rPr>
          <w:rFonts w:ascii="Arial" w:cs="Arial" w:eastAsia="Arial" w:hAnsi="Arial"/>
          <w:sz w:val="21"/>
          <w:szCs w:val="21"/>
          <w:color w:val="auto"/>
        </w:rPr>
      </w:pPr>
      <w:r>
        <w:rPr>
          <w:rFonts w:ascii="Arial" w:cs="Arial" w:eastAsia="Arial" w:hAnsi="Arial"/>
          <w:sz w:val="21"/>
          <w:szCs w:val="21"/>
          <w:color w:val="auto"/>
        </w:rPr>
        <w:t>Benefits Payable Detail and Statistics (S-18 - S-19) Footnotes (S-20)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w:t>
      </w:r>
    </w:p>
    <w:p>
      <w:pPr>
        <w:sectPr>
          <w:pgSz w:w="11900" w:h="16838" w:orient="portrait"/>
          <w:cols w:equalWidth="0" w:num="1">
            <w:col w:w="9019"/>
          </w:cols>
          <w:pgMar w:left="1440" w:top="1064" w:right="1440" w:bottom="1440" w:gutter="0" w:footer="0" w:header="0"/>
        </w:sectPr>
      </w:pPr>
    </w:p>
    <w:bookmarkStart w:id="40" w:name="page41"/>
    <w:bookmarkEnd w:id="40"/>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Statements of Income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Dollars in millions, except per common share results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5140" w:type="dxa"/>
            <w:vAlign w:val="bottom"/>
          </w:tcPr>
          <w:p>
            <w:pPr>
              <w:spacing w:after="0"/>
              <w:rPr>
                <w:sz w:val="16"/>
                <w:szCs w:val="16"/>
                <w:color w:val="auto"/>
              </w:rPr>
            </w:pPr>
          </w:p>
        </w:tc>
        <w:tc>
          <w:tcPr>
            <w:tcW w:w="3660" w:type="dxa"/>
            <w:vAlign w:val="bottom"/>
            <w:tcBorders>
              <w:top w:val="single" w:sz="8" w:color="auto"/>
              <w:left w:val="single" w:sz="8" w:color="auto"/>
              <w:right w:val="single" w:sz="8" w:color="auto"/>
            </w:tcBorders>
            <w:gridSpan w:val="4"/>
          </w:tcPr>
          <w:p>
            <w:pPr>
              <w:jc w:val="right"/>
              <w:spacing w:after="0" w:line="193" w:lineRule="exact"/>
              <w:rPr>
                <w:sz w:val="20"/>
                <w:szCs w:val="20"/>
                <w:color w:val="auto"/>
              </w:rPr>
            </w:pPr>
            <w:r>
              <w:rPr>
                <w:rFonts w:ascii="Arial" w:cs="Arial" w:eastAsia="Arial" w:hAnsi="Arial"/>
                <w:sz w:val="19"/>
                <w:szCs w:val="19"/>
                <w:b w:val="1"/>
                <w:bCs w:val="1"/>
                <w:color w:val="auto"/>
              </w:rPr>
              <w:t>For the three months ended September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p>
        </w:tc>
        <w:tc>
          <w:tcPr>
            <w:tcW w:w="420" w:type="dxa"/>
            <w:vAlign w:val="bottom"/>
            <w:tcBorders>
              <w:left w:val="single" w:sz="8" w:color="auto"/>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9"/>
                <w:szCs w:val="19"/>
                <w:b w:val="1"/>
                <w:bCs w:val="1"/>
                <w:color w:val="auto"/>
              </w:rPr>
              <w:t>30,</w:t>
            </w:r>
          </w:p>
        </w:tc>
        <w:tc>
          <w:tcPr>
            <w:tcW w:w="142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6"/>
              <w:spacing w:after="0" w:line="212" w:lineRule="exact"/>
              <w:rPr>
                <w:sz w:val="20"/>
                <w:szCs w:val="20"/>
                <w:color w:val="auto"/>
              </w:rPr>
            </w:pPr>
            <w:r>
              <w:rPr>
                <w:rFonts w:ascii="Arial" w:cs="Arial" w:eastAsia="Arial" w:hAnsi="Arial"/>
                <w:sz w:val="19"/>
                <w:szCs w:val="19"/>
                <w:color w:val="auto"/>
              </w:rPr>
              <w:t>Dollar</w:t>
            </w:r>
          </w:p>
        </w:tc>
        <w:tc>
          <w:tcPr>
            <w:tcW w:w="1280" w:type="dxa"/>
            <w:vAlign w:val="bottom"/>
          </w:tcPr>
          <w:p>
            <w:pPr>
              <w:jc w:val="right"/>
              <w:ind w:right="66"/>
              <w:spacing w:after="0" w:line="212" w:lineRule="exact"/>
              <w:rPr>
                <w:sz w:val="20"/>
                <w:szCs w:val="20"/>
                <w:color w:val="auto"/>
              </w:rPr>
            </w:pPr>
            <w:r>
              <w:rPr>
                <w:rFonts w:ascii="Arial" w:cs="Arial" w:eastAsia="Arial" w:hAnsi="Arial"/>
                <w:sz w:val="19"/>
                <w:szCs w:val="19"/>
                <w:color w:val="auto"/>
              </w:rPr>
              <w:t>Percentage</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420" w:type="dxa"/>
            <w:vAlign w:val="bottom"/>
            <w:tcBorders>
              <w:left w:val="single" w:sz="8" w:color="auto"/>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626"/>
              <w:spacing w:after="0"/>
              <w:rPr>
                <w:sz w:val="20"/>
                <w:szCs w:val="20"/>
                <w:color w:val="auto"/>
              </w:rPr>
            </w:pPr>
            <w:r>
              <w:rPr>
                <w:rFonts w:ascii="Arial" w:cs="Arial" w:eastAsia="Arial" w:hAnsi="Arial"/>
                <w:sz w:val="19"/>
                <w:szCs w:val="19"/>
                <w:b w:val="1"/>
                <w:bCs w:val="1"/>
                <w:color w:val="00497F"/>
              </w:rPr>
              <w:t>2020</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26"/>
              <w:spacing w:after="0"/>
              <w:rPr>
                <w:sz w:val="20"/>
                <w:szCs w:val="20"/>
                <w:color w:val="auto"/>
              </w:rPr>
            </w:pPr>
            <w:r>
              <w:rPr>
                <w:rFonts w:ascii="Arial" w:cs="Arial" w:eastAsia="Arial" w:hAnsi="Arial"/>
                <w:sz w:val="19"/>
                <w:szCs w:val="19"/>
                <w:color w:val="auto"/>
              </w:rPr>
              <w:t>2019</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rPr>
              <w:t>Change</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Change</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Arial" w:cs="Arial" w:eastAsia="Arial" w:hAnsi="Arial"/>
                <w:sz w:val="19"/>
                <w:szCs w:val="19"/>
                <w:color w:val="auto"/>
              </w:rPr>
              <w:t>Revenues:</w:t>
            </w:r>
          </w:p>
        </w:tc>
        <w:tc>
          <w:tcPr>
            <w:tcW w:w="420" w:type="dxa"/>
            <w:vAlign w:val="bottom"/>
            <w:tcBorders>
              <w:left w:val="single" w:sz="8" w:color="auto"/>
            </w:tcBorders>
            <w:vMerge w:val="restart"/>
          </w:tcPr>
          <w:p>
            <w:pPr>
              <w:jc w:val="right"/>
              <w:ind w:right="186"/>
              <w:spacing w:after="0"/>
              <w:rPr>
                <w:sz w:val="20"/>
                <w:szCs w:val="20"/>
                <w:color w:val="auto"/>
              </w:rPr>
            </w:pPr>
            <w:r>
              <w:rPr>
                <w:rFonts w:ascii="Arial" w:cs="Arial" w:eastAsia="Arial" w:hAnsi="Arial"/>
                <w:sz w:val="19"/>
                <w:szCs w:val="19"/>
                <w:b w:val="1"/>
                <w:bCs w:val="1"/>
                <w:color w:val="00497F"/>
              </w:rPr>
              <w:t>$</w:t>
            </w:r>
          </w:p>
        </w:tc>
        <w:tc>
          <w:tcPr>
            <w:tcW w:w="142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18,904</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300"/>
              <w:spacing w:after="0" w:line="214" w:lineRule="exact"/>
              <w:rPr>
                <w:sz w:val="20"/>
                <w:szCs w:val="20"/>
                <w:color w:val="auto"/>
              </w:rPr>
            </w:pPr>
            <w:r>
              <w:rPr>
                <w:rFonts w:ascii="Arial" w:cs="Arial" w:eastAsia="Arial" w:hAnsi="Arial"/>
                <w:sz w:val="19"/>
                <w:szCs w:val="19"/>
                <w:color w:val="auto"/>
              </w:rPr>
              <w:t>Premiums</w:t>
            </w:r>
          </w:p>
        </w:tc>
        <w:tc>
          <w:tcPr>
            <w:tcW w:w="420" w:type="dxa"/>
            <w:vAlign w:val="bottom"/>
            <w:tcBorders>
              <w:left w:val="single" w:sz="8" w:color="auto"/>
            </w:tcBorders>
            <w:vMerge w:val="continue"/>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400" w:type="dxa"/>
            <w:vAlign w:val="bottom"/>
          </w:tcPr>
          <w:p>
            <w:pPr>
              <w:jc w:val="right"/>
              <w:ind w:right="186"/>
              <w:spacing w:after="0" w:line="214" w:lineRule="exact"/>
              <w:rPr>
                <w:sz w:val="20"/>
                <w:szCs w:val="20"/>
                <w:color w:val="auto"/>
              </w:rPr>
            </w:pPr>
            <w:r>
              <w:rPr>
                <w:rFonts w:ascii="Arial" w:cs="Arial" w:eastAsia="Arial" w:hAnsi="Arial"/>
                <w:sz w:val="19"/>
                <w:szCs w:val="19"/>
                <w:color w:val="auto"/>
                <w:w w:val="94"/>
              </w:rPr>
              <w:t>$</w:t>
            </w:r>
          </w:p>
        </w:tc>
        <w:tc>
          <w:tcPr>
            <w:tcW w:w="1420" w:type="dxa"/>
            <w:vAlign w:val="bottom"/>
          </w:tcPr>
          <w:p>
            <w:pPr>
              <w:jc w:val="right"/>
              <w:ind w:right="6"/>
              <w:spacing w:after="0" w:line="214" w:lineRule="exact"/>
              <w:rPr>
                <w:sz w:val="20"/>
                <w:szCs w:val="20"/>
                <w:color w:val="auto"/>
              </w:rPr>
            </w:pPr>
            <w:r>
              <w:rPr>
                <w:rFonts w:ascii="Arial" w:cs="Arial" w:eastAsia="Arial" w:hAnsi="Arial"/>
                <w:sz w:val="19"/>
                <w:szCs w:val="19"/>
                <w:color w:val="auto"/>
              </w:rPr>
              <w:t>15,712</w:t>
            </w:r>
          </w:p>
        </w:tc>
        <w:tc>
          <w:tcPr>
            <w:tcW w:w="60" w:type="dxa"/>
            <w:vAlign w:val="bottom"/>
          </w:tcPr>
          <w:p>
            <w:pPr>
              <w:spacing w:after="0"/>
              <w:rPr>
                <w:sz w:val="18"/>
                <w:szCs w:val="18"/>
                <w:color w:val="auto"/>
              </w:rPr>
            </w:pPr>
          </w:p>
        </w:tc>
        <w:tc>
          <w:tcPr>
            <w:tcW w:w="160" w:type="dxa"/>
            <w:vAlign w:val="bottom"/>
          </w:tcPr>
          <w:p>
            <w:pPr>
              <w:jc w:val="right"/>
              <w:spacing w:after="0" w:line="214" w:lineRule="exact"/>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3,192</w:t>
            </w:r>
          </w:p>
        </w:tc>
        <w:tc>
          <w:tcPr>
            <w:tcW w:w="1280" w:type="dxa"/>
            <w:vAlign w:val="bottom"/>
          </w:tcPr>
          <w:p>
            <w:pPr>
              <w:jc w:val="right"/>
              <w:spacing w:after="0" w:line="214" w:lineRule="exact"/>
              <w:rPr>
                <w:sz w:val="20"/>
                <w:szCs w:val="20"/>
                <w:color w:val="auto"/>
              </w:rPr>
            </w:pPr>
            <w:r>
              <w:rPr>
                <w:rFonts w:ascii="Arial" w:cs="Arial" w:eastAsia="Arial" w:hAnsi="Arial"/>
                <w:sz w:val="19"/>
                <w:szCs w:val="19"/>
                <w:color w:val="auto"/>
              </w:rPr>
              <w:t>20.3 %</w:t>
            </w:r>
          </w:p>
        </w:tc>
        <w:tc>
          <w:tcPr>
            <w:tcW w:w="0" w:type="dxa"/>
            <w:vAlign w:val="bottom"/>
          </w:tcPr>
          <w:p>
            <w:pPr>
              <w:spacing w:after="0"/>
              <w:rPr>
                <w:sz w:val="1"/>
                <w:szCs w:val="1"/>
                <w:color w:val="auto"/>
              </w:rPr>
            </w:pPr>
          </w:p>
        </w:tc>
      </w:tr>
      <w:tr>
        <w:trPr>
          <w:trHeight w:val="232"/>
        </w:trPr>
        <w:tc>
          <w:tcPr>
            <w:tcW w:w="5140" w:type="dxa"/>
            <w:vAlign w:val="bottom"/>
          </w:tcPr>
          <w:p>
            <w:pPr>
              <w:ind w:left="300"/>
              <w:spacing w:after="0"/>
              <w:rPr>
                <w:sz w:val="20"/>
                <w:szCs w:val="20"/>
                <w:color w:val="auto"/>
              </w:rPr>
            </w:pPr>
            <w:r>
              <w:rPr>
                <w:rFonts w:ascii="Arial" w:cs="Arial" w:eastAsia="Arial" w:hAnsi="Arial"/>
                <w:sz w:val="19"/>
                <w:szCs w:val="19"/>
                <w:color w:val="auto"/>
              </w:rPr>
              <w:t>Services</w:t>
            </w:r>
          </w:p>
        </w:tc>
        <w:tc>
          <w:tcPr>
            <w:tcW w:w="42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457</w:t>
            </w:r>
          </w:p>
        </w:tc>
        <w:tc>
          <w:tcPr>
            <w:tcW w:w="40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9"/>
                <w:szCs w:val="19"/>
                <w:color w:val="auto"/>
              </w:rPr>
              <w:t>393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64</w:t>
            </w:r>
          </w:p>
        </w:tc>
        <w:tc>
          <w:tcPr>
            <w:tcW w:w="1280" w:type="dxa"/>
            <w:vAlign w:val="bottom"/>
          </w:tcPr>
          <w:p>
            <w:pPr>
              <w:jc w:val="right"/>
              <w:spacing w:after="0"/>
              <w:rPr>
                <w:sz w:val="20"/>
                <w:szCs w:val="20"/>
                <w:color w:val="auto"/>
              </w:rPr>
            </w:pPr>
            <w:r>
              <w:rPr>
                <w:rFonts w:ascii="Arial" w:cs="Arial" w:eastAsia="Arial" w:hAnsi="Arial"/>
                <w:sz w:val="19"/>
                <w:szCs w:val="19"/>
                <w:color w:val="auto"/>
              </w:rPr>
              <w:t>16.3 %</w:t>
            </w:r>
          </w:p>
        </w:tc>
        <w:tc>
          <w:tcPr>
            <w:tcW w:w="0" w:type="dxa"/>
            <w:vAlign w:val="bottom"/>
          </w:tcPr>
          <w:p>
            <w:pPr>
              <w:spacing w:after="0"/>
              <w:rPr>
                <w:sz w:val="1"/>
                <w:szCs w:val="1"/>
                <w:color w:val="auto"/>
              </w:rPr>
            </w:pPr>
          </w:p>
        </w:tc>
      </w:tr>
      <w:tr>
        <w:trPr>
          <w:trHeight w:val="247"/>
        </w:trPr>
        <w:tc>
          <w:tcPr>
            <w:tcW w:w="5140" w:type="dxa"/>
            <w:vAlign w:val="bottom"/>
          </w:tcPr>
          <w:p>
            <w:pPr>
              <w:ind w:left="300"/>
              <w:spacing w:after="0"/>
              <w:rPr>
                <w:sz w:val="20"/>
                <w:szCs w:val="20"/>
                <w:color w:val="auto"/>
              </w:rPr>
            </w:pPr>
            <w:r>
              <w:rPr>
                <w:rFonts w:ascii="Arial" w:cs="Arial" w:eastAsia="Arial" w:hAnsi="Arial"/>
                <w:sz w:val="19"/>
                <w:szCs w:val="19"/>
                <w:color w:val="auto"/>
              </w:rPr>
              <w:t>Investment income</w:t>
            </w:r>
          </w:p>
        </w:tc>
        <w:tc>
          <w:tcPr>
            <w:tcW w:w="420" w:type="dxa"/>
            <w:vAlign w:val="bottom"/>
            <w:tcBorders>
              <w:left w:val="single" w:sz="8" w:color="auto"/>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714</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136</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578</w:t>
            </w:r>
          </w:p>
        </w:tc>
        <w:tc>
          <w:tcPr>
            <w:tcW w:w="1280" w:type="dxa"/>
            <w:vAlign w:val="bottom"/>
          </w:tcPr>
          <w:p>
            <w:pPr>
              <w:jc w:val="right"/>
              <w:spacing w:after="0"/>
              <w:rPr>
                <w:sz w:val="20"/>
                <w:szCs w:val="20"/>
                <w:color w:val="auto"/>
              </w:rPr>
            </w:pPr>
            <w:r>
              <w:rPr>
                <w:rFonts w:ascii="Arial" w:cs="Arial" w:eastAsia="Arial" w:hAnsi="Arial"/>
                <w:sz w:val="19"/>
                <w:szCs w:val="19"/>
                <w:color w:val="auto"/>
              </w:rPr>
              <w:t>425.0 %</w:t>
            </w:r>
          </w:p>
        </w:tc>
        <w:tc>
          <w:tcPr>
            <w:tcW w:w="0" w:type="dxa"/>
            <w:vAlign w:val="bottom"/>
          </w:tcPr>
          <w:p>
            <w:pPr>
              <w:spacing w:after="0"/>
              <w:rPr>
                <w:sz w:val="1"/>
                <w:szCs w:val="1"/>
                <w:color w:val="auto"/>
              </w:rPr>
            </w:pPr>
          </w:p>
        </w:tc>
      </w:tr>
      <w:tr>
        <w:trPr>
          <w:trHeight w:val="245"/>
        </w:trPr>
        <w:tc>
          <w:tcPr>
            <w:tcW w:w="5140" w:type="dxa"/>
            <w:vAlign w:val="bottom"/>
          </w:tcPr>
          <w:p>
            <w:pPr>
              <w:ind w:left="600"/>
              <w:spacing w:after="0"/>
              <w:rPr>
                <w:sz w:val="20"/>
                <w:szCs w:val="20"/>
                <w:color w:val="auto"/>
              </w:rPr>
            </w:pPr>
            <w:r>
              <w:rPr>
                <w:rFonts w:ascii="Arial" w:cs="Arial" w:eastAsia="Arial" w:hAnsi="Arial"/>
                <w:sz w:val="19"/>
                <w:szCs w:val="19"/>
                <w:b w:val="1"/>
                <w:bCs w:val="1"/>
                <w:color w:val="auto"/>
              </w:rPr>
              <w:t>Total revenues</w:t>
            </w:r>
          </w:p>
        </w:tc>
        <w:tc>
          <w:tcPr>
            <w:tcW w:w="420" w:type="dxa"/>
            <w:vAlign w:val="bottom"/>
            <w:tcBorders>
              <w:left w:val="single" w:sz="8" w:color="auto"/>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20,075</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16,241</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3,834</w:t>
            </w:r>
          </w:p>
        </w:tc>
        <w:tc>
          <w:tcPr>
            <w:tcW w:w="1280" w:type="dxa"/>
            <w:vAlign w:val="bottom"/>
          </w:tcPr>
          <w:p>
            <w:pPr>
              <w:jc w:val="right"/>
              <w:spacing w:after="0"/>
              <w:rPr>
                <w:sz w:val="20"/>
                <w:szCs w:val="20"/>
                <w:color w:val="auto"/>
              </w:rPr>
            </w:pPr>
            <w:r>
              <w:rPr>
                <w:rFonts w:ascii="Arial" w:cs="Arial" w:eastAsia="Arial" w:hAnsi="Arial"/>
                <w:sz w:val="19"/>
                <w:szCs w:val="19"/>
                <w:color w:val="auto"/>
              </w:rPr>
              <w:t>23.6 %</w:t>
            </w:r>
          </w:p>
        </w:tc>
        <w:tc>
          <w:tcPr>
            <w:tcW w:w="0" w:type="dxa"/>
            <w:vAlign w:val="bottom"/>
          </w:tcPr>
          <w:p>
            <w:pPr>
              <w:spacing w:after="0"/>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9"/>
                <w:szCs w:val="19"/>
                <w:color w:val="auto"/>
              </w:rPr>
              <w:t>Operating expenses:</w:t>
            </w:r>
          </w:p>
        </w:tc>
        <w:tc>
          <w:tcPr>
            <w:tcW w:w="42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15,611</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300"/>
              <w:spacing w:after="0" w:line="214" w:lineRule="exact"/>
              <w:rPr>
                <w:sz w:val="20"/>
                <w:szCs w:val="20"/>
                <w:color w:val="auto"/>
              </w:rPr>
            </w:pPr>
            <w:r>
              <w:rPr>
                <w:rFonts w:ascii="Arial" w:cs="Arial" w:eastAsia="Arial" w:hAnsi="Arial"/>
                <w:sz w:val="19"/>
                <w:szCs w:val="19"/>
                <w:color w:val="auto"/>
              </w:rPr>
              <w:t>Benefits</w:t>
            </w:r>
          </w:p>
        </w:tc>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6"/>
              <w:spacing w:after="0" w:line="214" w:lineRule="exact"/>
              <w:rPr>
                <w:sz w:val="20"/>
                <w:szCs w:val="20"/>
                <w:color w:val="auto"/>
              </w:rPr>
            </w:pPr>
            <w:r>
              <w:rPr>
                <w:rFonts w:ascii="Arial" w:cs="Arial" w:eastAsia="Arial" w:hAnsi="Arial"/>
                <w:sz w:val="19"/>
                <w:szCs w:val="19"/>
                <w:color w:val="auto"/>
              </w:rPr>
              <w:t>13,357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2,254</w:t>
            </w:r>
          </w:p>
        </w:tc>
        <w:tc>
          <w:tcPr>
            <w:tcW w:w="1280" w:type="dxa"/>
            <w:vAlign w:val="bottom"/>
          </w:tcPr>
          <w:p>
            <w:pPr>
              <w:jc w:val="right"/>
              <w:spacing w:after="0" w:line="214" w:lineRule="exact"/>
              <w:rPr>
                <w:sz w:val="20"/>
                <w:szCs w:val="20"/>
                <w:color w:val="auto"/>
              </w:rPr>
            </w:pPr>
            <w:r>
              <w:rPr>
                <w:rFonts w:ascii="Arial" w:cs="Arial" w:eastAsia="Arial" w:hAnsi="Arial"/>
                <w:sz w:val="19"/>
                <w:szCs w:val="19"/>
                <w:color w:val="auto"/>
              </w:rPr>
              <w:t>16.9 %</w:t>
            </w:r>
          </w:p>
        </w:tc>
        <w:tc>
          <w:tcPr>
            <w:tcW w:w="0" w:type="dxa"/>
            <w:vAlign w:val="bottom"/>
          </w:tcPr>
          <w:p>
            <w:pPr>
              <w:spacing w:after="0"/>
              <w:rPr>
                <w:sz w:val="1"/>
                <w:szCs w:val="1"/>
                <w:color w:val="auto"/>
              </w:rPr>
            </w:pPr>
          </w:p>
        </w:tc>
      </w:tr>
      <w:tr>
        <w:trPr>
          <w:trHeight w:val="232"/>
        </w:trPr>
        <w:tc>
          <w:tcPr>
            <w:tcW w:w="5140" w:type="dxa"/>
            <w:vAlign w:val="bottom"/>
          </w:tcPr>
          <w:p>
            <w:pPr>
              <w:ind w:left="300"/>
              <w:spacing w:after="0"/>
              <w:rPr>
                <w:sz w:val="20"/>
                <w:szCs w:val="20"/>
                <w:color w:val="auto"/>
              </w:rPr>
            </w:pPr>
            <w:r>
              <w:rPr>
                <w:rFonts w:ascii="Arial" w:cs="Arial" w:eastAsia="Arial" w:hAnsi="Arial"/>
                <w:sz w:val="19"/>
                <w:szCs w:val="19"/>
                <w:color w:val="auto"/>
              </w:rPr>
              <w:t>Operating costs</w:t>
            </w:r>
          </w:p>
        </w:tc>
        <w:tc>
          <w:tcPr>
            <w:tcW w:w="42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2,513</w:t>
            </w:r>
          </w:p>
        </w:tc>
        <w:tc>
          <w:tcPr>
            <w:tcW w:w="40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9"/>
                <w:szCs w:val="19"/>
                <w:color w:val="auto"/>
              </w:rPr>
              <w:t>1,889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624</w:t>
            </w:r>
          </w:p>
        </w:tc>
        <w:tc>
          <w:tcPr>
            <w:tcW w:w="1280" w:type="dxa"/>
            <w:vAlign w:val="bottom"/>
          </w:tcPr>
          <w:p>
            <w:pPr>
              <w:jc w:val="right"/>
              <w:spacing w:after="0"/>
              <w:rPr>
                <w:sz w:val="20"/>
                <w:szCs w:val="20"/>
                <w:color w:val="auto"/>
              </w:rPr>
            </w:pPr>
            <w:r>
              <w:rPr>
                <w:rFonts w:ascii="Arial" w:cs="Arial" w:eastAsia="Arial" w:hAnsi="Arial"/>
                <w:sz w:val="19"/>
                <w:szCs w:val="19"/>
                <w:color w:val="auto"/>
              </w:rPr>
              <w:t>33.0 %</w:t>
            </w:r>
          </w:p>
        </w:tc>
        <w:tc>
          <w:tcPr>
            <w:tcW w:w="0" w:type="dxa"/>
            <w:vAlign w:val="bottom"/>
          </w:tcPr>
          <w:p>
            <w:pPr>
              <w:spacing w:after="0"/>
              <w:rPr>
                <w:sz w:val="1"/>
                <w:szCs w:val="1"/>
                <w:color w:val="auto"/>
              </w:rPr>
            </w:pPr>
          </w:p>
        </w:tc>
      </w:tr>
      <w:tr>
        <w:trPr>
          <w:trHeight w:val="247"/>
        </w:trPr>
        <w:tc>
          <w:tcPr>
            <w:tcW w:w="5140" w:type="dxa"/>
            <w:vAlign w:val="bottom"/>
          </w:tcPr>
          <w:p>
            <w:pPr>
              <w:ind w:left="300"/>
              <w:spacing w:after="0"/>
              <w:rPr>
                <w:sz w:val="20"/>
                <w:szCs w:val="20"/>
                <w:color w:val="auto"/>
              </w:rPr>
            </w:pPr>
            <w:r>
              <w:rPr>
                <w:rFonts w:ascii="Arial" w:cs="Arial" w:eastAsia="Arial" w:hAnsi="Arial"/>
                <w:sz w:val="19"/>
                <w:szCs w:val="19"/>
                <w:color w:val="auto"/>
              </w:rPr>
              <w:t>Depreciation and amortization</w:t>
            </w:r>
          </w:p>
        </w:tc>
        <w:tc>
          <w:tcPr>
            <w:tcW w:w="420" w:type="dxa"/>
            <w:vAlign w:val="bottom"/>
            <w:tcBorders>
              <w:left w:val="single" w:sz="8" w:color="auto"/>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128</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127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1280" w:type="dxa"/>
            <w:vAlign w:val="bottom"/>
          </w:tcPr>
          <w:p>
            <w:pPr>
              <w:jc w:val="right"/>
              <w:spacing w:after="0"/>
              <w:rPr>
                <w:sz w:val="20"/>
                <w:szCs w:val="20"/>
                <w:color w:val="auto"/>
              </w:rPr>
            </w:pPr>
            <w:r>
              <w:rPr>
                <w:rFonts w:ascii="Arial" w:cs="Arial" w:eastAsia="Arial" w:hAnsi="Arial"/>
                <w:sz w:val="19"/>
                <w:szCs w:val="19"/>
                <w:color w:val="auto"/>
              </w:rPr>
              <w:t>0.8 %</w:t>
            </w:r>
          </w:p>
        </w:tc>
        <w:tc>
          <w:tcPr>
            <w:tcW w:w="0" w:type="dxa"/>
            <w:vAlign w:val="bottom"/>
          </w:tcPr>
          <w:p>
            <w:pPr>
              <w:spacing w:after="0"/>
              <w:rPr>
                <w:sz w:val="1"/>
                <w:szCs w:val="1"/>
                <w:color w:val="auto"/>
              </w:rPr>
            </w:pPr>
          </w:p>
        </w:tc>
      </w:tr>
      <w:tr>
        <w:trPr>
          <w:trHeight w:val="225"/>
        </w:trPr>
        <w:tc>
          <w:tcPr>
            <w:tcW w:w="5140" w:type="dxa"/>
            <w:vAlign w:val="bottom"/>
          </w:tcPr>
          <w:p>
            <w:pPr>
              <w:ind w:left="600"/>
              <w:spacing w:after="0"/>
              <w:rPr>
                <w:sz w:val="20"/>
                <w:szCs w:val="20"/>
                <w:color w:val="auto"/>
              </w:rPr>
            </w:pPr>
            <w:r>
              <w:rPr>
                <w:rFonts w:ascii="Arial" w:cs="Arial" w:eastAsia="Arial" w:hAnsi="Arial"/>
                <w:sz w:val="19"/>
                <w:szCs w:val="19"/>
                <w:b w:val="1"/>
                <w:bCs w:val="1"/>
                <w:color w:val="auto"/>
              </w:rPr>
              <w:t>Total operating expenses</w:t>
            </w:r>
          </w:p>
        </w:tc>
        <w:tc>
          <w:tcPr>
            <w:tcW w:w="420" w:type="dxa"/>
            <w:vAlign w:val="bottom"/>
            <w:tcBorders>
              <w:left w:val="single" w:sz="8" w:color="auto"/>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18,252</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15,373</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2,879</w:t>
            </w:r>
          </w:p>
        </w:tc>
        <w:tc>
          <w:tcPr>
            <w:tcW w:w="1280" w:type="dxa"/>
            <w:vAlign w:val="bottom"/>
          </w:tcPr>
          <w:p>
            <w:pPr>
              <w:jc w:val="right"/>
              <w:spacing w:after="0"/>
              <w:rPr>
                <w:sz w:val="20"/>
                <w:szCs w:val="20"/>
                <w:color w:val="auto"/>
              </w:rPr>
            </w:pPr>
            <w:r>
              <w:rPr>
                <w:rFonts w:ascii="Arial" w:cs="Arial" w:eastAsia="Arial" w:hAnsi="Arial"/>
                <w:sz w:val="19"/>
                <w:szCs w:val="19"/>
                <w:color w:val="auto"/>
              </w:rPr>
              <w:t>18.7 %</w:t>
            </w:r>
          </w:p>
        </w:tc>
        <w:tc>
          <w:tcPr>
            <w:tcW w:w="0" w:type="dxa"/>
            <w:vAlign w:val="bottom"/>
          </w:tcPr>
          <w:p>
            <w:pPr>
              <w:spacing w:after="0"/>
              <w:rPr>
                <w:sz w:val="1"/>
                <w:szCs w:val="1"/>
                <w:color w:val="auto"/>
              </w:rPr>
            </w:pPr>
          </w:p>
        </w:tc>
      </w:tr>
      <w:tr>
        <w:trPr>
          <w:trHeight w:val="210"/>
        </w:trPr>
        <w:tc>
          <w:tcPr>
            <w:tcW w:w="5140" w:type="dxa"/>
            <w:vAlign w:val="bottom"/>
          </w:tcPr>
          <w:p>
            <w:pPr>
              <w:spacing w:after="0" w:line="211" w:lineRule="exact"/>
              <w:rPr>
                <w:sz w:val="20"/>
                <w:szCs w:val="20"/>
                <w:color w:val="auto"/>
              </w:rPr>
            </w:pPr>
            <w:r>
              <w:rPr>
                <w:rFonts w:ascii="Arial" w:cs="Arial" w:eastAsia="Arial" w:hAnsi="Arial"/>
                <w:sz w:val="19"/>
                <w:szCs w:val="19"/>
                <w:b w:val="1"/>
                <w:bCs w:val="1"/>
                <w:color w:val="auto"/>
              </w:rPr>
              <w:t>Income from operations</w:t>
            </w:r>
          </w:p>
        </w:tc>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00497F"/>
              </w:rPr>
              <w:t>1,823</w:t>
            </w:r>
          </w:p>
        </w:tc>
        <w:tc>
          <w:tcPr>
            <w:tcW w:w="400" w:type="dxa"/>
            <w:vAlign w:val="bottom"/>
          </w:tcPr>
          <w:p>
            <w:pPr>
              <w:spacing w:after="0"/>
              <w:rPr>
                <w:sz w:val="18"/>
                <w:szCs w:val="18"/>
                <w:color w:val="auto"/>
              </w:rPr>
            </w:pPr>
          </w:p>
        </w:tc>
        <w:tc>
          <w:tcPr>
            <w:tcW w:w="1420" w:type="dxa"/>
            <w:vAlign w:val="bottom"/>
          </w:tcPr>
          <w:p>
            <w:pPr>
              <w:jc w:val="right"/>
              <w:ind w:right="6"/>
              <w:spacing w:after="0" w:line="211" w:lineRule="exact"/>
              <w:rPr>
                <w:sz w:val="20"/>
                <w:szCs w:val="20"/>
                <w:color w:val="auto"/>
              </w:rPr>
            </w:pPr>
            <w:r>
              <w:rPr>
                <w:rFonts w:ascii="Arial" w:cs="Arial" w:eastAsia="Arial" w:hAnsi="Arial"/>
                <w:sz w:val="19"/>
                <w:szCs w:val="19"/>
                <w:color w:val="auto"/>
              </w:rPr>
              <w:t>868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11" w:lineRule="exact"/>
              <w:rPr>
                <w:sz w:val="20"/>
                <w:szCs w:val="20"/>
                <w:color w:val="auto"/>
              </w:rPr>
            </w:pPr>
            <w:r>
              <w:rPr>
                <w:rFonts w:ascii="Arial" w:cs="Arial" w:eastAsia="Arial" w:hAnsi="Arial"/>
                <w:sz w:val="19"/>
                <w:szCs w:val="19"/>
                <w:color w:val="auto"/>
              </w:rPr>
              <w:t>955</w:t>
            </w:r>
          </w:p>
        </w:tc>
        <w:tc>
          <w:tcPr>
            <w:tcW w:w="1280" w:type="dxa"/>
            <w:vAlign w:val="bottom"/>
          </w:tcPr>
          <w:p>
            <w:pPr>
              <w:jc w:val="right"/>
              <w:spacing w:after="0" w:line="211" w:lineRule="exact"/>
              <w:rPr>
                <w:sz w:val="20"/>
                <w:szCs w:val="20"/>
                <w:color w:val="auto"/>
              </w:rPr>
            </w:pPr>
            <w:r>
              <w:rPr>
                <w:rFonts w:ascii="Arial" w:cs="Arial" w:eastAsia="Arial" w:hAnsi="Arial"/>
                <w:sz w:val="19"/>
                <w:szCs w:val="19"/>
                <w:color w:val="auto"/>
              </w:rPr>
              <w:t>110.0 %</w:t>
            </w: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r>
              <w:rPr>
                <w:rFonts w:ascii="Arial" w:cs="Arial" w:eastAsia="Arial" w:hAnsi="Arial"/>
                <w:sz w:val="19"/>
                <w:szCs w:val="19"/>
                <w:color w:val="auto"/>
              </w:rPr>
              <w:t>Interest expense</w:t>
            </w:r>
          </w:p>
        </w:tc>
        <w:tc>
          <w:tcPr>
            <w:tcW w:w="42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75</w:t>
            </w:r>
          </w:p>
        </w:tc>
        <w:tc>
          <w:tcPr>
            <w:tcW w:w="40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9"/>
                <w:szCs w:val="19"/>
                <w:color w:val="auto"/>
              </w:rPr>
              <w:t>62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13</w:t>
            </w:r>
          </w:p>
        </w:tc>
        <w:tc>
          <w:tcPr>
            <w:tcW w:w="1280" w:type="dxa"/>
            <w:vAlign w:val="bottom"/>
          </w:tcPr>
          <w:p>
            <w:pPr>
              <w:jc w:val="right"/>
              <w:spacing w:after="0"/>
              <w:rPr>
                <w:sz w:val="20"/>
                <w:szCs w:val="20"/>
                <w:color w:val="auto"/>
              </w:rPr>
            </w:pPr>
            <w:r>
              <w:rPr>
                <w:rFonts w:ascii="Arial" w:cs="Arial" w:eastAsia="Arial" w:hAnsi="Arial"/>
                <w:sz w:val="19"/>
                <w:szCs w:val="19"/>
                <w:color w:val="auto"/>
              </w:rPr>
              <w:t>21.0 %</w:t>
            </w:r>
          </w:p>
        </w:tc>
        <w:tc>
          <w:tcPr>
            <w:tcW w:w="0" w:type="dxa"/>
            <w:vAlign w:val="bottom"/>
          </w:tcPr>
          <w:p>
            <w:pPr>
              <w:spacing w:after="0"/>
              <w:rPr>
                <w:sz w:val="1"/>
                <w:szCs w:val="1"/>
                <w:color w:val="auto"/>
              </w:rPr>
            </w:pPr>
          </w:p>
        </w:tc>
      </w:tr>
      <w:tr>
        <w:trPr>
          <w:trHeight w:val="247"/>
        </w:trPr>
        <w:tc>
          <w:tcPr>
            <w:tcW w:w="5140" w:type="dxa"/>
            <w:vAlign w:val="bottom"/>
          </w:tcPr>
          <w:p>
            <w:pPr>
              <w:spacing w:after="0"/>
              <w:rPr>
                <w:sz w:val="20"/>
                <w:szCs w:val="20"/>
                <w:color w:val="auto"/>
              </w:rPr>
            </w:pPr>
            <w:r>
              <w:rPr>
                <w:rFonts w:ascii="Arial" w:cs="Arial" w:eastAsia="Arial" w:hAnsi="Arial"/>
                <w:sz w:val="19"/>
                <w:szCs w:val="19"/>
                <w:color w:val="auto"/>
              </w:rPr>
              <w:t>Other (income) expense, net (A)</w:t>
            </w:r>
          </w:p>
        </w:tc>
        <w:tc>
          <w:tcPr>
            <w:tcW w:w="420" w:type="dxa"/>
            <w:vAlign w:val="bottom"/>
            <w:tcBorders>
              <w:left w:val="single" w:sz="8" w:color="auto"/>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b w:val="1"/>
                <w:bCs w:val="1"/>
                <w:color w:val="00497F"/>
              </w:rPr>
              <w:t>(7)</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w:t>
            </w:r>
          </w:p>
        </w:tc>
        <w:tc>
          <w:tcPr>
            <w:tcW w:w="1280" w:type="dxa"/>
            <w:vAlign w:val="bottom"/>
          </w:tcPr>
          <w:p>
            <w:pPr>
              <w:jc w:val="right"/>
              <w:spacing w:after="0"/>
              <w:rPr>
                <w:sz w:val="20"/>
                <w:szCs w:val="20"/>
                <w:color w:val="auto"/>
              </w:rPr>
            </w:pPr>
            <w:r>
              <w:rPr>
                <w:rFonts w:ascii="Arial" w:cs="Arial" w:eastAsia="Arial" w:hAnsi="Arial"/>
                <w:sz w:val="19"/>
                <w:szCs w:val="19"/>
                <w:color w:val="auto"/>
              </w:rPr>
              <w:t>-91.5 %</w:t>
            </w:r>
          </w:p>
        </w:tc>
        <w:tc>
          <w:tcPr>
            <w:tcW w:w="0" w:type="dxa"/>
            <w:vAlign w:val="bottom"/>
          </w:tcPr>
          <w:p>
            <w:pPr>
              <w:spacing w:after="0"/>
              <w:rPr>
                <w:sz w:val="1"/>
                <w:szCs w:val="1"/>
                <w:color w:val="auto"/>
              </w:rPr>
            </w:pPr>
          </w:p>
        </w:tc>
      </w:tr>
      <w:tr>
        <w:trPr>
          <w:trHeight w:val="210"/>
        </w:trPr>
        <w:tc>
          <w:tcPr>
            <w:tcW w:w="5140" w:type="dxa"/>
            <w:vAlign w:val="bottom"/>
          </w:tcPr>
          <w:p>
            <w:pPr>
              <w:spacing w:after="0" w:line="211" w:lineRule="exact"/>
              <w:rPr>
                <w:sz w:val="20"/>
                <w:szCs w:val="20"/>
                <w:color w:val="auto"/>
              </w:rPr>
            </w:pPr>
            <w:r>
              <w:rPr>
                <w:rFonts w:ascii="Arial" w:cs="Arial" w:eastAsia="Arial" w:hAnsi="Arial"/>
                <w:sz w:val="19"/>
                <w:szCs w:val="19"/>
                <w:b w:val="1"/>
                <w:bCs w:val="1"/>
                <w:color w:val="auto"/>
              </w:rPr>
              <w:t>Income before income taxes and equity in net earnings</w:t>
            </w:r>
          </w:p>
        </w:tc>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00497F"/>
              </w:rPr>
              <w:t>1,755</w:t>
            </w:r>
          </w:p>
        </w:tc>
        <w:tc>
          <w:tcPr>
            <w:tcW w:w="400" w:type="dxa"/>
            <w:vAlign w:val="bottom"/>
          </w:tcPr>
          <w:p>
            <w:pPr>
              <w:spacing w:after="0"/>
              <w:rPr>
                <w:sz w:val="18"/>
                <w:szCs w:val="18"/>
                <w:color w:val="auto"/>
              </w:rPr>
            </w:pPr>
          </w:p>
        </w:tc>
        <w:tc>
          <w:tcPr>
            <w:tcW w:w="1420" w:type="dxa"/>
            <w:vAlign w:val="bottom"/>
          </w:tcPr>
          <w:p>
            <w:pPr>
              <w:jc w:val="right"/>
              <w:ind w:right="6"/>
              <w:spacing w:after="0" w:line="211" w:lineRule="exact"/>
              <w:rPr>
                <w:sz w:val="20"/>
                <w:szCs w:val="20"/>
                <w:color w:val="auto"/>
              </w:rPr>
            </w:pPr>
            <w:r>
              <w:rPr>
                <w:rFonts w:ascii="Arial" w:cs="Arial" w:eastAsia="Arial" w:hAnsi="Arial"/>
                <w:sz w:val="19"/>
                <w:szCs w:val="19"/>
                <w:color w:val="auto"/>
              </w:rPr>
              <w:t>888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11" w:lineRule="exact"/>
              <w:rPr>
                <w:sz w:val="20"/>
                <w:szCs w:val="20"/>
                <w:color w:val="auto"/>
              </w:rPr>
            </w:pPr>
            <w:r>
              <w:rPr>
                <w:rFonts w:ascii="Arial" w:cs="Arial" w:eastAsia="Arial" w:hAnsi="Arial"/>
                <w:sz w:val="19"/>
                <w:szCs w:val="19"/>
                <w:color w:val="auto"/>
              </w:rPr>
              <w:t>867</w:t>
            </w:r>
          </w:p>
        </w:tc>
        <w:tc>
          <w:tcPr>
            <w:tcW w:w="1280" w:type="dxa"/>
            <w:vAlign w:val="bottom"/>
          </w:tcPr>
          <w:p>
            <w:pPr>
              <w:jc w:val="right"/>
              <w:spacing w:after="0" w:line="211" w:lineRule="exact"/>
              <w:rPr>
                <w:sz w:val="20"/>
                <w:szCs w:val="20"/>
                <w:color w:val="auto"/>
              </w:rPr>
            </w:pPr>
            <w:r>
              <w:rPr>
                <w:rFonts w:ascii="Arial" w:cs="Arial" w:eastAsia="Arial" w:hAnsi="Arial"/>
                <w:sz w:val="19"/>
                <w:szCs w:val="19"/>
                <w:color w:val="auto"/>
              </w:rPr>
              <w:t>97.6 %</w:t>
            </w: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r>
              <w:rPr>
                <w:rFonts w:ascii="Arial" w:cs="Arial" w:eastAsia="Arial" w:hAnsi="Arial"/>
                <w:sz w:val="19"/>
                <w:szCs w:val="19"/>
                <w:color w:val="auto"/>
              </w:rPr>
              <w:t>Provision for income taxes</w:t>
            </w:r>
          </w:p>
        </w:tc>
        <w:tc>
          <w:tcPr>
            <w:tcW w:w="42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450</w:t>
            </w:r>
          </w:p>
        </w:tc>
        <w:tc>
          <w:tcPr>
            <w:tcW w:w="40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9"/>
                <w:szCs w:val="19"/>
                <w:color w:val="auto"/>
              </w:rPr>
              <w:t>200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250</w:t>
            </w:r>
          </w:p>
        </w:tc>
        <w:tc>
          <w:tcPr>
            <w:tcW w:w="1280" w:type="dxa"/>
            <w:vAlign w:val="bottom"/>
          </w:tcPr>
          <w:p>
            <w:pPr>
              <w:jc w:val="right"/>
              <w:spacing w:after="0"/>
              <w:rPr>
                <w:sz w:val="20"/>
                <w:szCs w:val="20"/>
                <w:color w:val="auto"/>
              </w:rPr>
            </w:pPr>
            <w:r>
              <w:rPr>
                <w:rFonts w:ascii="Arial" w:cs="Arial" w:eastAsia="Arial" w:hAnsi="Arial"/>
                <w:sz w:val="19"/>
                <w:szCs w:val="19"/>
                <w:color w:val="auto"/>
              </w:rPr>
              <w:t>125.0 %</w:t>
            </w:r>
          </w:p>
        </w:tc>
        <w:tc>
          <w:tcPr>
            <w:tcW w:w="0" w:type="dxa"/>
            <w:vAlign w:val="bottom"/>
          </w:tcPr>
          <w:p>
            <w:pPr>
              <w:spacing w:after="0"/>
              <w:rPr>
                <w:sz w:val="1"/>
                <w:szCs w:val="1"/>
                <w:color w:val="auto"/>
              </w:rPr>
            </w:pPr>
          </w:p>
        </w:tc>
      </w:tr>
      <w:tr>
        <w:trPr>
          <w:trHeight w:val="247"/>
        </w:trPr>
        <w:tc>
          <w:tcPr>
            <w:tcW w:w="5140" w:type="dxa"/>
            <w:vAlign w:val="bottom"/>
          </w:tcPr>
          <w:p>
            <w:pPr>
              <w:spacing w:after="0"/>
              <w:rPr>
                <w:sz w:val="20"/>
                <w:szCs w:val="20"/>
                <w:color w:val="auto"/>
              </w:rPr>
            </w:pPr>
            <w:r>
              <w:rPr>
                <w:rFonts w:ascii="Arial" w:cs="Arial" w:eastAsia="Arial" w:hAnsi="Arial"/>
                <w:sz w:val="19"/>
                <w:szCs w:val="19"/>
                <w:color w:val="auto"/>
              </w:rPr>
              <w:t>Equity in net earnings (B)</w:t>
            </w:r>
          </w:p>
        </w:tc>
        <w:tc>
          <w:tcPr>
            <w:tcW w:w="420" w:type="dxa"/>
            <w:vAlign w:val="bottom"/>
            <w:tcBorders>
              <w:left w:val="single" w:sz="8" w:color="auto"/>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35</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w:t>
            </w:r>
          </w:p>
        </w:tc>
        <w:tc>
          <w:tcPr>
            <w:tcW w:w="1280" w:type="dxa"/>
            <w:vAlign w:val="bottom"/>
          </w:tcPr>
          <w:p>
            <w:pPr>
              <w:jc w:val="right"/>
              <w:spacing w:after="0"/>
              <w:rPr>
                <w:sz w:val="20"/>
                <w:szCs w:val="20"/>
                <w:color w:val="auto"/>
              </w:rPr>
            </w:pPr>
            <w:r>
              <w:rPr>
                <w:rFonts w:ascii="Arial" w:cs="Arial" w:eastAsia="Arial" w:hAnsi="Arial"/>
                <w:sz w:val="19"/>
                <w:szCs w:val="19"/>
                <w:color w:val="auto"/>
              </w:rPr>
              <w:t>3,400.0 %</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9"/>
                <w:szCs w:val="19"/>
                <w:b w:val="1"/>
                <w:bCs w:val="1"/>
                <w:color w:val="auto"/>
              </w:rPr>
              <w:t>Net income</w:t>
            </w:r>
          </w:p>
        </w:tc>
        <w:tc>
          <w:tcPr>
            <w:tcW w:w="420" w:type="dxa"/>
            <w:vAlign w:val="bottom"/>
            <w:tcBorders>
              <w:left w:val="single" w:sz="8" w:color="auto"/>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00497F"/>
              </w:rPr>
              <w:t>$</w:t>
            </w:r>
          </w:p>
        </w:tc>
        <w:tc>
          <w:tcPr>
            <w:tcW w:w="14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1,340</w:t>
            </w:r>
          </w:p>
        </w:tc>
        <w:tc>
          <w:tcPr>
            <w:tcW w:w="4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w w:val="94"/>
              </w:rPr>
              <w:t>$</w:t>
            </w: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689</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651</w:t>
            </w:r>
          </w:p>
        </w:tc>
        <w:tc>
          <w:tcPr>
            <w:tcW w:w="1280" w:type="dxa"/>
            <w:vAlign w:val="bottom"/>
          </w:tcPr>
          <w:p>
            <w:pPr>
              <w:jc w:val="right"/>
              <w:spacing w:after="0"/>
              <w:rPr>
                <w:sz w:val="20"/>
                <w:szCs w:val="20"/>
                <w:color w:val="auto"/>
              </w:rPr>
            </w:pPr>
            <w:r>
              <w:rPr>
                <w:rFonts w:ascii="Arial" w:cs="Arial" w:eastAsia="Arial" w:hAnsi="Arial"/>
                <w:sz w:val="19"/>
                <w:szCs w:val="19"/>
                <w:color w:val="auto"/>
              </w:rPr>
              <w:t>94.5 %</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9"/>
                <w:szCs w:val="19"/>
                <w:color w:val="auto"/>
              </w:rPr>
              <w:t>Basic earnings per common share</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9"/>
                <w:szCs w:val="19"/>
                <w:color w:val="auto"/>
              </w:rPr>
              <w:t>96.1 %</w:t>
            </w: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420" w:type="dxa"/>
            <w:vAlign w:val="bottom"/>
            <w:tcBorders>
              <w:left w:val="single" w:sz="8" w:color="auto"/>
            </w:tcBorders>
          </w:tcPr>
          <w:p>
            <w:pPr>
              <w:jc w:val="right"/>
              <w:ind w:right="186"/>
              <w:spacing w:after="0" w:line="209" w:lineRule="exact"/>
              <w:rPr>
                <w:sz w:val="20"/>
                <w:szCs w:val="20"/>
                <w:color w:val="auto"/>
              </w:rPr>
            </w:pPr>
            <w:r>
              <w:rPr>
                <w:rFonts w:ascii="Arial" w:cs="Arial" w:eastAsia="Arial" w:hAnsi="Arial"/>
                <w:sz w:val="19"/>
                <w:szCs w:val="19"/>
                <w:b w:val="1"/>
                <w:bCs w:val="1"/>
                <w:color w:val="00497F"/>
              </w:rPr>
              <w:t>$</w:t>
            </w:r>
          </w:p>
        </w:tc>
        <w:tc>
          <w:tcPr>
            <w:tcW w:w="1420" w:type="dxa"/>
            <w:vAlign w:val="bottom"/>
            <w:tcBorders>
              <w:right w:val="single" w:sz="8" w:color="auto"/>
            </w:tcBorders>
          </w:tcPr>
          <w:p>
            <w:pPr>
              <w:jc w:val="right"/>
              <w:ind w:right="6"/>
              <w:spacing w:after="0" w:line="209" w:lineRule="exact"/>
              <w:rPr>
                <w:sz w:val="20"/>
                <w:szCs w:val="20"/>
                <w:color w:val="auto"/>
              </w:rPr>
            </w:pPr>
            <w:r>
              <w:rPr>
                <w:rFonts w:ascii="Arial" w:cs="Arial" w:eastAsia="Arial" w:hAnsi="Arial"/>
                <w:sz w:val="19"/>
                <w:szCs w:val="19"/>
                <w:b w:val="1"/>
                <w:bCs w:val="1"/>
                <w:color w:val="00497F"/>
              </w:rPr>
              <w:t>10.12</w:t>
            </w:r>
          </w:p>
        </w:tc>
        <w:tc>
          <w:tcPr>
            <w:tcW w:w="400" w:type="dxa"/>
            <w:vAlign w:val="bottom"/>
          </w:tcPr>
          <w:p>
            <w:pPr>
              <w:jc w:val="right"/>
              <w:ind w:right="186"/>
              <w:spacing w:after="0" w:line="209" w:lineRule="exact"/>
              <w:rPr>
                <w:sz w:val="20"/>
                <w:szCs w:val="20"/>
                <w:color w:val="auto"/>
              </w:rPr>
            </w:pPr>
            <w:r>
              <w:rPr>
                <w:rFonts w:ascii="Arial" w:cs="Arial" w:eastAsia="Arial" w:hAnsi="Arial"/>
                <w:sz w:val="19"/>
                <w:szCs w:val="19"/>
                <w:color w:val="auto"/>
                <w:w w:val="94"/>
              </w:rPr>
              <w:t>$</w:t>
            </w:r>
          </w:p>
        </w:tc>
        <w:tc>
          <w:tcPr>
            <w:tcW w:w="1420" w:type="dxa"/>
            <w:vAlign w:val="bottom"/>
          </w:tcPr>
          <w:p>
            <w:pPr>
              <w:jc w:val="right"/>
              <w:ind w:right="6"/>
              <w:spacing w:after="0" w:line="209" w:lineRule="exact"/>
              <w:rPr>
                <w:sz w:val="20"/>
                <w:szCs w:val="20"/>
                <w:color w:val="auto"/>
              </w:rPr>
            </w:pPr>
            <w:r>
              <w:rPr>
                <w:rFonts w:ascii="Arial" w:cs="Arial" w:eastAsia="Arial" w:hAnsi="Arial"/>
                <w:sz w:val="19"/>
                <w:szCs w:val="19"/>
                <w:color w:val="auto"/>
              </w:rPr>
              <w:t>5.16</w:t>
            </w:r>
          </w:p>
        </w:tc>
        <w:tc>
          <w:tcPr>
            <w:tcW w:w="60" w:type="dxa"/>
            <w:vAlign w:val="bottom"/>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line="209" w:lineRule="exact"/>
              <w:rPr>
                <w:sz w:val="20"/>
                <w:szCs w:val="20"/>
                <w:color w:val="auto"/>
              </w:rPr>
            </w:pPr>
            <w:r>
              <w:rPr>
                <w:rFonts w:ascii="Arial" w:cs="Arial" w:eastAsia="Arial" w:hAnsi="Arial"/>
                <w:sz w:val="19"/>
                <w:szCs w:val="19"/>
                <w:color w:val="auto"/>
              </w:rPr>
              <w:t>4.96</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140" w:type="dxa"/>
            <w:vAlign w:val="bottom"/>
          </w:tcPr>
          <w:p>
            <w:pPr>
              <w:spacing w:after="0"/>
              <w:rPr>
                <w:sz w:val="20"/>
                <w:szCs w:val="20"/>
                <w:color w:val="auto"/>
              </w:rPr>
            </w:pPr>
            <w:r>
              <w:rPr>
                <w:rFonts w:ascii="Arial" w:cs="Arial" w:eastAsia="Arial" w:hAnsi="Arial"/>
                <w:sz w:val="19"/>
                <w:szCs w:val="19"/>
                <w:b w:val="1"/>
                <w:bCs w:val="1"/>
                <w:color w:val="auto"/>
              </w:rPr>
              <w:t>Diluted earnings per common share</w:t>
            </w:r>
          </w:p>
        </w:tc>
        <w:tc>
          <w:tcPr>
            <w:tcW w:w="420" w:type="dxa"/>
            <w:vAlign w:val="bottom"/>
            <w:tcBorders>
              <w:left w:val="single" w:sz="8" w:color="auto"/>
            </w:tcBorders>
          </w:tcPr>
          <w:p>
            <w:pPr>
              <w:jc w:val="right"/>
              <w:ind w:right="186"/>
              <w:spacing w:after="0"/>
              <w:rPr>
                <w:sz w:val="20"/>
                <w:szCs w:val="20"/>
                <w:color w:val="auto"/>
              </w:rPr>
            </w:pPr>
            <w:r>
              <w:rPr>
                <w:rFonts w:ascii="Arial" w:cs="Arial" w:eastAsia="Arial" w:hAnsi="Arial"/>
                <w:sz w:val="19"/>
                <w:szCs w:val="19"/>
                <w:b w:val="1"/>
                <w:bCs w:val="1"/>
                <w:color w:val="00497F"/>
              </w:rPr>
              <w:t>$</w:t>
            </w:r>
          </w:p>
        </w:tc>
        <w:tc>
          <w:tcPr>
            <w:tcW w:w="14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10.05</w:t>
            </w:r>
          </w:p>
        </w:tc>
        <w:tc>
          <w:tcPr>
            <w:tcW w:w="400" w:type="dxa"/>
            <w:vAlign w:val="bottom"/>
          </w:tcPr>
          <w:p>
            <w:pPr>
              <w:jc w:val="right"/>
              <w:ind w:right="186"/>
              <w:spacing w:after="0"/>
              <w:rPr>
                <w:sz w:val="20"/>
                <w:szCs w:val="20"/>
                <w:color w:val="auto"/>
              </w:rPr>
            </w:pPr>
            <w:r>
              <w:rPr>
                <w:rFonts w:ascii="Arial" w:cs="Arial" w:eastAsia="Arial" w:hAnsi="Arial"/>
                <w:sz w:val="19"/>
                <w:szCs w:val="19"/>
                <w:color w:val="auto"/>
                <w:w w:val="94"/>
              </w:rPr>
              <w:t>$</w:t>
            </w:r>
          </w:p>
        </w:tc>
        <w:tc>
          <w:tcPr>
            <w:tcW w:w="1420" w:type="dxa"/>
            <w:vAlign w:val="bottom"/>
          </w:tcPr>
          <w:p>
            <w:pPr>
              <w:jc w:val="right"/>
              <w:ind w:right="6"/>
              <w:spacing w:after="0"/>
              <w:rPr>
                <w:sz w:val="20"/>
                <w:szCs w:val="20"/>
                <w:color w:val="auto"/>
              </w:rPr>
            </w:pPr>
            <w:r>
              <w:rPr>
                <w:rFonts w:ascii="Arial" w:cs="Arial" w:eastAsia="Arial" w:hAnsi="Arial"/>
                <w:sz w:val="19"/>
                <w:szCs w:val="19"/>
                <w:color w:val="auto"/>
              </w:rPr>
              <w:t>5.14</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4.91</w:t>
            </w:r>
          </w:p>
        </w:tc>
        <w:tc>
          <w:tcPr>
            <w:tcW w:w="1280" w:type="dxa"/>
            <w:vAlign w:val="bottom"/>
          </w:tcPr>
          <w:p>
            <w:pPr>
              <w:jc w:val="right"/>
              <w:spacing w:after="0"/>
              <w:rPr>
                <w:sz w:val="20"/>
                <w:szCs w:val="20"/>
                <w:color w:val="auto"/>
              </w:rPr>
            </w:pPr>
            <w:r>
              <w:rPr>
                <w:rFonts w:ascii="Arial" w:cs="Arial" w:eastAsia="Arial" w:hAnsi="Arial"/>
                <w:sz w:val="19"/>
                <w:szCs w:val="19"/>
                <w:color w:val="auto"/>
              </w:rPr>
              <w:t>95.5 %</w:t>
            </w:r>
          </w:p>
        </w:tc>
        <w:tc>
          <w:tcPr>
            <w:tcW w:w="0" w:type="dxa"/>
            <w:vAlign w:val="bottom"/>
          </w:tcPr>
          <w:p>
            <w:pPr>
              <w:spacing w:after="0"/>
              <w:rPr>
                <w:sz w:val="1"/>
                <w:szCs w:val="1"/>
                <w:color w:val="auto"/>
              </w:rPr>
            </w:pPr>
          </w:p>
        </w:tc>
      </w:tr>
      <w:tr>
        <w:trPr>
          <w:trHeight w:val="185"/>
        </w:trPr>
        <w:tc>
          <w:tcPr>
            <w:tcW w:w="5140" w:type="dxa"/>
            <w:vAlign w:val="bottom"/>
          </w:tcPr>
          <w:p>
            <w:pPr>
              <w:spacing w:after="0" w:line="185" w:lineRule="exact"/>
              <w:rPr>
                <w:sz w:val="20"/>
                <w:szCs w:val="20"/>
                <w:color w:val="auto"/>
              </w:rPr>
            </w:pPr>
            <w:r>
              <w:rPr>
                <w:rFonts w:ascii="Arial" w:cs="Arial" w:eastAsia="Arial" w:hAnsi="Arial"/>
                <w:sz w:val="19"/>
                <w:szCs w:val="19"/>
                <w:color w:val="auto"/>
                <w:w w:val="99"/>
              </w:rPr>
              <w:t>Shares used in computing basic earnings per common share</w:t>
            </w:r>
          </w:p>
        </w:tc>
        <w:tc>
          <w:tcPr>
            <w:tcW w:w="42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132,318</w:t>
            </w:r>
          </w:p>
        </w:tc>
        <w:tc>
          <w:tcPr>
            <w:tcW w:w="400" w:type="dxa"/>
            <w:vAlign w:val="bottom"/>
          </w:tcPr>
          <w:p>
            <w:pPr>
              <w:spacing w:after="0"/>
              <w:rPr>
                <w:sz w:val="16"/>
                <w:szCs w:val="16"/>
                <w:color w:val="auto"/>
              </w:rPr>
            </w:pPr>
          </w:p>
        </w:tc>
        <w:tc>
          <w:tcPr>
            <w:tcW w:w="1420" w:type="dxa"/>
            <w:vAlign w:val="bottom"/>
            <w:vMerge w:val="restart"/>
          </w:tcPr>
          <w:p>
            <w:pPr>
              <w:jc w:val="right"/>
              <w:ind w:right="6"/>
              <w:spacing w:after="0"/>
              <w:rPr>
                <w:sz w:val="20"/>
                <w:szCs w:val="20"/>
                <w:color w:val="auto"/>
              </w:rPr>
            </w:pPr>
            <w:r>
              <w:rPr>
                <w:rFonts w:ascii="Arial" w:cs="Arial" w:eastAsia="Arial" w:hAnsi="Arial"/>
                <w:sz w:val="19"/>
                <w:szCs w:val="19"/>
                <w:color w:val="auto"/>
              </w:rPr>
              <w:t>133,321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40" w:type="dxa"/>
            <w:vAlign w:val="bottom"/>
          </w:tcPr>
          <w:p>
            <w:pPr>
              <w:spacing w:after="0"/>
              <w:rPr>
                <w:sz w:val="20"/>
                <w:szCs w:val="20"/>
                <w:color w:val="auto"/>
              </w:rPr>
            </w:pPr>
            <w:r>
              <w:rPr>
                <w:rFonts w:ascii="Arial" w:cs="Arial" w:eastAsia="Arial" w:hAnsi="Arial"/>
                <w:sz w:val="19"/>
                <w:szCs w:val="19"/>
                <w:color w:val="auto"/>
              </w:rPr>
              <w:t>(000’s)</w:t>
            </w:r>
          </w:p>
        </w:tc>
        <w:tc>
          <w:tcPr>
            <w:tcW w:w="420" w:type="dxa"/>
            <w:vAlign w:val="bottom"/>
            <w:tcBorders>
              <w:left w:val="single" w:sz="8" w:color="auto"/>
            </w:tcBorders>
          </w:tcPr>
          <w:p>
            <w:pPr>
              <w:spacing w:after="0"/>
              <w:rPr>
                <w:sz w:val="19"/>
                <w:szCs w:val="19"/>
                <w:color w:val="auto"/>
              </w:rPr>
            </w:pPr>
          </w:p>
        </w:tc>
        <w:tc>
          <w:tcPr>
            <w:tcW w:w="1420" w:type="dxa"/>
            <w:vAlign w:val="bottom"/>
            <w:tcBorders>
              <w:right w:val="single" w:sz="8" w:color="auto"/>
            </w:tcBorders>
            <w:vMerge w:val="continue"/>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140" w:type="dxa"/>
            <w:vAlign w:val="bottom"/>
          </w:tcPr>
          <w:p>
            <w:pPr>
              <w:spacing w:after="0" w:line="185" w:lineRule="exact"/>
              <w:rPr>
                <w:sz w:val="20"/>
                <w:szCs w:val="20"/>
                <w:color w:val="auto"/>
              </w:rPr>
            </w:pPr>
            <w:r>
              <w:rPr>
                <w:rFonts w:ascii="Arial" w:cs="Arial" w:eastAsia="Arial" w:hAnsi="Arial"/>
                <w:sz w:val="19"/>
                <w:szCs w:val="19"/>
                <w:color w:val="auto"/>
              </w:rPr>
              <w:t>Shares used in computing diluted earnings per common</w:t>
            </w:r>
          </w:p>
        </w:tc>
        <w:tc>
          <w:tcPr>
            <w:tcW w:w="42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133,196</w:t>
            </w:r>
          </w:p>
        </w:tc>
        <w:tc>
          <w:tcPr>
            <w:tcW w:w="400" w:type="dxa"/>
            <w:vAlign w:val="bottom"/>
          </w:tcPr>
          <w:p>
            <w:pPr>
              <w:spacing w:after="0"/>
              <w:rPr>
                <w:sz w:val="16"/>
                <w:szCs w:val="16"/>
                <w:color w:val="auto"/>
              </w:rPr>
            </w:pPr>
          </w:p>
        </w:tc>
        <w:tc>
          <w:tcPr>
            <w:tcW w:w="1420" w:type="dxa"/>
            <w:vAlign w:val="bottom"/>
            <w:vMerge w:val="restart"/>
          </w:tcPr>
          <w:p>
            <w:pPr>
              <w:jc w:val="right"/>
              <w:ind w:right="6"/>
              <w:spacing w:after="0"/>
              <w:rPr>
                <w:sz w:val="20"/>
                <w:szCs w:val="20"/>
                <w:color w:val="auto"/>
              </w:rPr>
            </w:pPr>
            <w:r>
              <w:rPr>
                <w:rFonts w:ascii="Arial" w:cs="Arial" w:eastAsia="Arial" w:hAnsi="Arial"/>
                <w:sz w:val="19"/>
                <w:szCs w:val="19"/>
                <w:color w:val="auto"/>
              </w:rPr>
              <w:t>134,025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9"/>
                <w:szCs w:val="19"/>
                <w:color w:val="auto"/>
              </w:rPr>
              <w:t>share (000’s)</w:t>
            </w:r>
          </w:p>
        </w:tc>
        <w:tc>
          <w:tcPr>
            <w:tcW w:w="420" w:type="dxa"/>
            <w:vAlign w:val="bottom"/>
            <w:tcBorders>
              <w:left w:val="single" w:sz="8" w:color="auto"/>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vMerge w:val="continue"/>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ectPr>
          <w:pgSz w:w="11900" w:h="16838" w:orient="portrait"/>
          <w:cols w:equalWidth="0" w:num="1">
            <w:col w:w="11240"/>
          </w:cols>
          <w:pgMar w:left="320" w:top="1069" w:right="339" w:bottom="1440" w:gutter="0" w:footer="0" w:header="0"/>
        </w:sectPr>
      </w:pPr>
    </w:p>
    <w:bookmarkStart w:id="41" w:name="page42"/>
    <w:bookmarkEnd w:id="41"/>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Statements of Income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Dollars in millions, except per common share results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5420" w:type="dxa"/>
            <w:vAlign w:val="bottom"/>
            <w:tcBorders>
              <w:right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60" w:type="dxa"/>
            <w:vAlign w:val="bottom"/>
            <w:tcBorders>
              <w:top w:val="single" w:sz="8" w:color="auto"/>
              <w:right w:val="single" w:sz="8" w:color="auto"/>
            </w:tcBorders>
            <w:gridSpan w:val="3"/>
          </w:tcPr>
          <w:p>
            <w:pPr>
              <w:jc w:val="right"/>
              <w:ind w:right="366"/>
              <w:spacing w:after="0" w:line="193" w:lineRule="exact"/>
              <w:rPr>
                <w:sz w:val="20"/>
                <w:szCs w:val="20"/>
                <w:color w:val="auto"/>
              </w:rPr>
            </w:pPr>
            <w:r>
              <w:rPr>
                <w:rFonts w:ascii="Arial" w:cs="Arial" w:eastAsia="Arial" w:hAnsi="Arial"/>
                <w:sz w:val="19"/>
                <w:szCs w:val="19"/>
                <w:b w:val="1"/>
                <w:bCs w:val="1"/>
                <w:color w:val="auto"/>
              </w:rPr>
              <w:t>For the nine months ended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3"/>
          </w:tcPr>
          <w:p>
            <w:pPr>
              <w:jc w:val="right"/>
              <w:ind w:right="946"/>
              <w:spacing w:after="0"/>
              <w:rPr>
                <w:sz w:val="20"/>
                <w:szCs w:val="20"/>
                <w:color w:val="auto"/>
              </w:rPr>
            </w:pPr>
            <w:r>
              <w:rPr>
                <w:rFonts w:ascii="Arial" w:cs="Arial" w:eastAsia="Arial" w:hAnsi="Arial"/>
                <w:sz w:val="19"/>
                <w:szCs w:val="19"/>
                <w:b w:val="1"/>
                <w:bCs w:val="1"/>
                <w:color w:val="auto"/>
              </w:rPr>
              <w:t>September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06"/>
              <w:spacing w:after="0" w:line="212" w:lineRule="exact"/>
              <w:rPr>
                <w:sz w:val="20"/>
                <w:szCs w:val="20"/>
                <w:color w:val="auto"/>
              </w:rPr>
            </w:pPr>
            <w:r>
              <w:rPr>
                <w:rFonts w:ascii="Arial" w:cs="Arial" w:eastAsia="Arial" w:hAnsi="Arial"/>
                <w:sz w:val="19"/>
                <w:szCs w:val="19"/>
                <w:color w:val="auto"/>
              </w:rPr>
              <w:t>Dollar</w:t>
            </w:r>
          </w:p>
        </w:tc>
        <w:tc>
          <w:tcPr>
            <w:tcW w:w="1280" w:type="dxa"/>
            <w:vAlign w:val="bottom"/>
          </w:tcPr>
          <w:p>
            <w:pPr>
              <w:jc w:val="right"/>
              <w:ind w:right="66"/>
              <w:spacing w:after="0" w:line="212" w:lineRule="exact"/>
              <w:rPr>
                <w:sz w:val="20"/>
                <w:szCs w:val="20"/>
                <w:color w:val="auto"/>
              </w:rPr>
            </w:pPr>
            <w:r>
              <w:rPr>
                <w:rFonts w:ascii="Arial" w:cs="Arial" w:eastAsia="Arial" w:hAnsi="Arial"/>
                <w:sz w:val="19"/>
                <w:szCs w:val="19"/>
                <w:color w:val="auto"/>
              </w:rPr>
              <w:t>Percentage</w:t>
            </w:r>
          </w:p>
        </w:tc>
        <w:tc>
          <w:tcPr>
            <w:tcW w:w="0" w:type="dxa"/>
            <w:vAlign w:val="bottom"/>
          </w:tcPr>
          <w:p>
            <w:pPr>
              <w:spacing w:after="0"/>
              <w:rPr>
                <w:sz w:val="1"/>
                <w:szCs w:val="1"/>
                <w:color w:val="auto"/>
              </w:rPr>
            </w:pPr>
          </w:p>
        </w:tc>
      </w:tr>
      <w:tr>
        <w:trPr>
          <w:trHeight w:val="225"/>
        </w:trPr>
        <w:tc>
          <w:tcPr>
            <w:tcW w:w="5420" w:type="dxa"/>
            <w:vAlign w:val="bottom"/>
            <w:tcBorders>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46"/>
              <w:spacing w:after="0"/>
              <w:rPr>
                <w:sz w:val="20"/>
                <w:szCs w:val="20"/>
                <w:color w:val="auto"/>
              </w:rPr>
            </w:pPr>
            <w:r>
              <w:rPr>
                <w:rFonts w:ascii="Arial" w:cs="Arial" w:eastAsia="Arial" w:hAnsi="Arial"/>
                <w:sz w:val="19"/>
                <w:szCs w:val="19"/>
                <w:b w:val="1"/>
                <w:bCs w:val="1"/>
                <w:color w:val="00497F"/>
              </w:rPr>
              <w:t>2020</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rPr>
              <w:t>2019</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rPr>
              <w:t>Change</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Change</w:t>
            </w:r>
          </w:p>
        </w:tc>
        <w:tc>
          <w:tcPr>
            <w:tcW w:w="0" w:type="dxa"/>
            <w:vAlign w:val="bottom"/>
          </w:tcPr>
          <w:p>
            <w:pPr>
              <w:spacing w:after="0"/>
              <w:rPr>
                <w:sz w:val="1"/>
                <w:szCs w:val="1"/>
                <w:color w:val="auto"/>
              </w:rPr>
            </w:pPr>
          </w:p>
        </w:tc>
      </w:tr>
      <w:tr>
        <w:trPr>
          <w:trHeight w:val="216"/>
        </w:trPr>
        <w:tc>
          <w:tcPr>
            <w:tcW w:w="5420" w:type="dxa"/>
            <w:vAlign w:val="bottom"/>
            <w:tcBorders>
              <w:right w:val="single" w:sz="8" w:color="auto"/>
            </w:tcBorders>
          </w:tcPr>
          <w:p>
            <w:pPr>
              <w:spacing w:after="0" w:line="216" w:lineRule="exact"/>
              <w:rPr>
                <w:sz w:val="20"/>
                <w:szCs w:val="20"/>
                <w:color w:val="auto"/>
              </w:rPr>
            </w:pPr>
            <w:r>
              <w:rPr>
                <w:rFonts w:ascii="Arial" w:cs="Arial" w:eastAsia="Arial" w:hAnsi="Arial"/>
                <w:sz w:val="19"/>
                <w:szCs w:val="19"/>
                <w:color w:val="auto"/>
              </w:rPr>
              <w:t>Revenues:</w:t>
            </w:r>
          </w:p>
        </w:tc>
        <w:tc>
          <w:tcPr>
            <w:tcW w:w="38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00497F"/>
                <w:w w:val="94"/>
              </w:rPr>
              <w:t>$</w:t>
            </w:r>
          </w:p>
        </w:tc>
        <w:tc>
          <w:tcPr>
            <w:tcW w:w="1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55,822</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Borders>
              <w:right w:val="single" w:sz="8" w:color="auto"/>
            </w:tcBorders>
          </w:tcPr>
          <w:p>
            <w:pPr>
              <w:ind w:left="300"/>
              <w:spacing w:after="0" w:line="214" w:lineRule="exact"/>
              <w:rPr>
                <w:sz w:val="20"/>
                <w:szCs w:val="20"/>
                <w:color w:val="auto"/>
              </w:rPr>
            </w:pPr>
            <w:r>
              <w:rPr>
                <w:rFonts w:ascii="Arial" w:cs="Arial" w:eastAsia="Arial" w:hAnsi="Arial"/>
                <w:sz w:val="19"/>
                <w:szCs w:val="19"/>
                <w:color w:val="auto"/>
              </w:rPr>
              <w:t>Premiums</w:t>
            </w:r>
          </w:p>
        </w:tc>
        <w:tc>
          <w:tcPr>
            <w:tcW w:w="380" w:type="dxa"/>
            <w:vAlign w:val="bottom"/>
            <w:vMerge w:val="continue"/>
          </w:tcPr>
          <w:p>
            <w:pPr>
              <w:spacing w:after="0"/>
              <w:rPr>
                <w:sz w:val="18"/>
                <w:szCs w:val="18"/>
                <w:color w:val="auto"/>
              </w:rPr>
            </w:pPr>
          </w:p>
        </w:tc>
        <w:tc>
          <w:tcPr>
            <w:tcW w:w="1300" w:type="dxa"/>
            <w:vAlign w:val="bottom"/>
            <w:tcBorders>
              <w:right w:val="single" w:sz="8" w:color="auto"/>
            </w:tcBorders>
            <w:vMerge w:val="continue"/>
          </w:tcPr>
          <w:p>
            <w:pPr>
              <w:spacing w:after="0"/>
              <w:rPr>
                <w:sz w:val="18"/>
                <w:szCs w:val="18"/>
                <w:color w:val="auto"/>
              </w:rPr>
            </w:pPr>
          </w:p>
        </w:tc>
        <w:tc>
          <w:tcPr>
            <w:tcW w:w="360" w:type="dxa"/>
            <w:vAlign w:val="bottom"/>
          </w:tcPr>
          <w:p>
            <w:pPr>
              <w:jc w:val="right"/>
              <w:ind w:right="166"/>
              <w:spacing w:after="0" w:line="214" w:lineRule="exact"/>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line="214" w:lineRule="exact"/>
              <w:rPr>
                <w:sz w:val="20"/>
                <w:szCs w:val="20"/>
                <w:color w:val="auto"/>
              </w:rPr>
            </w:pPr>
            <w:r>
              <w:rPr>
                <w:rFonts w:ascii="Arial" w:cs="Arial" w:eastAsia="Arial" w:hAnsi="Arial"/>
                <w:sz w:val="19"/>
                <w:szCs w:val="19"/>
                <w:color w:val="auto"/>
              </w:rPr>
              <w:t>47,139</w:t>
            </w:r>
          </w:p>
        </w:tc>
        <w:tc>
          <w:tcPr>
            <w:tcW w:w="60" w:type="dxa"/>
            <w:vAlign w:val="bottom"/>
          </w:tcPr>
          <w:p>
            <w:pPr>
              <w:spacing w:after="0"/>
              <w:rPr>
                <w:sz w:val="18"/>
                <w:szCs w:val="18"/>
                <w:color w:val="auto"/>
              </w:rPr>
            </w:pPr>
          </w:p>
        </w:tc>
        <w:tc>
          <w:tcPr>
            <w:tcW w:w="180" w:type="dxa"/>
            <w:vAlign w:val="bottom"/>
          </w:tcPr>
          <w:p>
            <w:pPr>
              <w:jc w:val="right"/>
              <w:spacing w:after="0" w:line="214" w:lineRule="exact"/>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line="214" w:lineRule="exact"/>
              <w:rPr>
                <w:sz w:val="20"/>
                <w:szCs w:val="20"/>
                <w:color w:val="auto"/>
              </w:rPr>
            </w:pPr>
            <w:r>
              <w:rPr>
                <w:rFonts w:ascii="Arial" w:cs="Arial" w:eastAsia="Arial" w:hAnsi="Arial"/>
                <w:sz w:val="19"/>
                <w:szCs w:val="19"/>
                <w:color w:val="auto"/>
              </w:rPr>
              <w:t>8,683</w:t>
            </w:r>
          </w:p>
        </w:tc>
        <w:tc>
          <w:tcPr>
            <w:tcW w:w="1280" w:type="dxa"/>
            <w:vAlign w:val="bottom"/>
          </w:tcPr>
          <w:p>
            <w:pPr>
              <w:jc w:val="right"/>
              <w:spacing w:after="0" w:line="214" w:lineRule="exact"/>
              <w:rPr>
                <w:sz w:val="20"/>
                <w:szCs w:val="20"/>
                <w:color w:val="auto"/>
              </w:rPr>
            </w:pPr>
            <w:r>
              <w:rPr>
                <w:rFonts w:ascii="Arial" w:cs="Arial" w:eastAsia="Arial" w:hAnsi="Arial"/>
                <w:sz w:val="19"/>
                <w:szCs w:val="19"/>
                <w:color w:val="auto"/>
              </w:rPr>
              <w:t>18.4 %</w:t>
            </w:r>
          </w:p>
        </w:tc>
        <w:tc>
          <w:tcPr>
            <w:tcW w:w="0" w:type="dxa"/>
            <w:vAlign w:val="bottom"/>
          </w:tcPr>
          <w:p>
            <w:pPr>
              <w:spacing w:after="0"/>
              <w:rPr>
                <w:sz w:val="1"/>
                <w:szCs w:val="1"/>
                <w:color w:val="auto"/>
              </w:rPr>
            </w:pPr>
          </w:p>
        </w:tc>
      </w:tr>
      <w:tr>
        <w:trPr>
          <w:trHeight w:val="232"/>
        </w:trPr>
        <w:tc>
          <w:tcPr>
            <w:tcW w:w="5420" w:type="dxa"/>
            <w:vAlign w:val="bottom"/>
            <w:tcBorders>
              <w:right w:val="single" w:sz="8" w:color="auto"/>
            </w:tcBorders>
          </w:tcPr>
          <w:p>
            <w:pPr>
              <w:ind w:left="300"/>
              <w:spacing w:after="0"/>
              <w:rPr>
                <w:sz w:val="20"/>
                <w:szCs w:val="20"/>
                <w:color w:val="auto"/>
              </w:rPr>
            </w:pPr>
            <w:r>
              <w:rPr>
                <w:rFonts w:ascii="Arial" w:cs="Arial" w:eastAsia="Arial" w:hAnsi="Arial"/>
                <w:sz w:val="19"/>
                <w:szCs w:val="19"/>
                <w:color w:val="auto"/>
              </w:rPr>
              <w:t>Services</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1,331</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1,103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228</w:t>
            </w:r>
          </w:p>
        </w:tc>
        <w:tc>
          <w:tcPr>
            <w:tcW w:w="1280" w:type="dxa"/>
            <w:vAlign w:val="bottom"/>
          </w:tcPr>
          <w:p>
            <w:pPr>
              <w:jc w:val="right"/>
              <w:spacing w:after="0"/>
              <w:rPr>
                <w:sz w:val="20"/>
                <w:szCs w:val="20"/>
                <w:color w:val="auto"/>
              </w:rPr>
            </w:pPr>
            <w:r>
              <w:rPr>
                <w:rFonts w:ascii="Arial" w:cs="Arial" w:eastAsia="Arial" w:hAnsi="Arial"/>
                <w:sz w:val="19"/>
                <w:szCs w:val="19"/>
                <w:color w:val="auto"/>
              </w:rPr>
              <w:t>20.7 %</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ind w:left="300"/>
              <w:spacing w:after="0"/>
              <w:rPr>
                <w:sz w:val="20"/>
                <w:szCs w:val="20"/>
                <w:color w:val="auto"/>
              </w:rPr>
            </w:pPr>
            <w:r>
              <w:rPr>
                <w:rFonts w:ascii="Arial" w:cs="Arial" w:eastAsia="Arial" w:hAnsi="Arial"/>
                <w:sz w:val="19"/>
                <w:szCs w:val="19"/>
                <w:color w:val="auto"/>
              </w:rPr>
              <w:t>Investment income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940</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351</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589</w:t>
            </w:r>
          </w:p>
        </w:tc>
        <w:tc>
          <w:tcPr>
            <w:tcW w:w="1280" w:type="dxa"/>
            <w:vAlign w:val="bottom"/>
          </w:tcPr>
          <w:p>
            <w:pPr>
              <w:jc w:val="right"/>
              <w:spacing w:after="0"/>
              <w:rPr>
                <w:sz w:val="20"/>
                <w:szCs w:val="20"/>
                <w:color w:val="auto"/>
              </w:rPr>
            </w:pPr>
            <w:r>
              <w:rPr>
                <w:rFonts w:ascii="Arial" w:cs="Arial" w:eastAsia="Arial" w:hAnsi="Arial"/>
                <w:sz w:val="19"/>
                <w:szCs w:val="19"/>
                <w:color w:val="auto"/>
              </w:rPr>
              <w:t>167.8 %</w:t>
            </w:r>
          </w:p>
        </w:tc>
        <w:tc>
          <w:tcPr>
            <w:tcW w:w="0" w:type="dxa"/>
            <w:vAlign w:val="bottom"/>
          </w:tcPr>
          <w:p>
            <w:pPr>
              <w:spacing w:after="0"/>
              <w:rPr>
                <w:sz w:val="1"/>
                <w:szCs w:val="1"/>
                <w:color w:val="auto"/>
              </w:rPr>
            </w:pPr>
          </w:p>
        </w:tc>
      </w:tr>
      <w:tr>
        <w:trPr>
          <w:trHeight w:val="225"/>
        </w:trPr>
        <w:tc>
          <w:tcPr>
            <w:tcW w:w="5420" w:type="dxa"/>
            <w:vAlign w:val="bottom"/>
            <w:tcBorders>
              <w:right w:val="single" w:sz="8" w:color="auto"/>
            </w:tcBorders>
          </w:tcPr>
          <w:p>
            <w:pPr>
              <w:ind w:left="600"/>
              <w:spacing w:after="0"/>
              <w:rPr>
                <w:sz w:val="20"/>
                <w:szCs w:val="20"/>
                <w:color w:val="auto"/>
              </w:rPr>
            </w:pPr>
            <w:r>
              <w:rPr>
                <w:rFonts w:ascii="Arial" w:cs="Arial" w:eastAsia="Arial" w:hAnsi="Arial"/>
                <w:sz w:val="19"/>
                <w:szCs w:val="19"/>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58,093</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48,593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9,500</w:t>
            </w:r>
          </w:p>
        </w:tc>
        <w:tc>
          <w:tcPr>
            <w:tcW w:w="1280" w:type="dxa"/>
            <w:vAlign w:val="bottom"/>
          </w:tcPr>
          <w:p>
            <w:pPr>
              <w:jc w:val="right"/>
              <w:spacing w:after="0"/>
              <w:rPr>
                <w:sz w:val="20"/>
                <w:szCs w:val="20"/>
                <w:color w:val="auto"/>
              </w:rPr>
            </w:pPr>
            <w:r>
              <w:rPr>
                <w:rFonts w:ascii="Arial" w:cs="Arial" w:eastAsia="Arial" w:hAnsi="Arial"/>
                <w:sz w:val="19"/>
                <w:szCs w:val="19"/>
                <w:color w:val="auto"/>
              </w:rPr>
              <w:t>19.6 %</w:t>
            </w:r>
          </w:p>
        </w:tc>
        <w:tc>
          <w:tcPr>
            <w:tcW w:w="0" w:type="dxa"/>
            <w:vAlign w:val="bottom"/>
          </w:tcPr>
          <w:p>
            <w:pPr>
              <w:spacing w:after="0"/>
              <w:rPr>
                <w:sz w:val="1"/>
                <w:szCs w:val="1"/>
                <w:color w:val="auto"/>
              </w:rPr>
            </w:pPr>
          </w:p>
        </w:tc>
      </w:tr>
      <w:tr>
        <w:trPr>
          <w:trHeight w:val="216"/>
        </w:trPr>
        <w:tc>
          <w:tcPr>
            <w:tcW w:w="5420" w:type="dxa"/>
            <w:vAlign w:val="bottom"/>
            <w:tcBorders>
              <w:right w:val="single" w:sz="8" w:color="auto"/>
            </w:tcBorders>
          </w:tcPr>
          <w:p>
            <w:pPr>
              <w:spacing w:after="0" w:line="216" w:lineRule="exact"/>
              <w:rPr>
                <w:sz w:val="20"/>
                <w:szCs w:val="20"/>
                <w:color w:val="auto"/>
              </w:rPr>
            </w:pPr>
            <w:r>
              <w:rPr>
                <w:rFonts w:ascii="Arial" w:cs="Arial" w:eastAsia="Arial" w:hAnsi="Arial"/>
                <w:sz w:val="19"/>
                <w:szCs w:val="19"/>
                <w:color w:val="auto"/>
              </w:rPr>
              <w:t>Operating expenses:</w:t>
            </w:r>
          </w:p>
        </w:tc>
        <w:tc>
          <w:tcPr>
            <w:tcW w:w="380" w:type="dxa"/>
            <w:vAlign w:val="bottom"/>
          </w:tcPr>
          <w:p>
            <w:pPr>
              <w:spacing w:after="0"/>
              <w:rPr>
                <w:sz w:val="18"/>
                <w:szCs w:val="18"/>
                <w:color w:val="auto"/>
              </w:rPr>
            </w:pPr>
          </w:p>
        </w:tc>
        <w:tc>
          <w:tcPr>
            <w:tcW w:w="1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45,415</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Borders>
              <w:right w:val="single" w:sz="8" w:color="auto"/>
            </w:tcBorders>
          </w:tcPr>
          <w:p>
            <w:pPr>
              <w:ind w:left="300"/>
              <w:spacing w:after="0" w:line="214" w:lineRule="exact"/>
              <w:rPr>
                <w:sz w:val="20"/>
                <w:szCs w:val="20"/>
                <w:color w:val="auto"/>
              </w:rPr>
            </w:pPr>
            <w:r>
              <w:rPr>
                <w:rFonts w:ascii="Arial" w:cs="Arial" w:eastAsia="Arial" w:hAnsi="Arial"/>
                <w:sz w:val="19"/>
                <w:szCs w:val="19"/>
                <w:color w:val="auto"/>
              </w:rPr>
              <w:t>Benefits</w:t>
            </w:r>
          </w:p>
        </w:tc>
        <w:tc>
          <w:tcPr>
            <w:tcW w:w="380" w:type="dxa"/>
            <w:vAlign w:val="bottom"/>
          </w:tcPr>
          <w:p>
            <w:pPr>
              <w:spacing w:after="0"/>
              <w:rPr>
                <w:sz w:val="18"/>
                <w:szCs w:val="18"/>
                <w:color w:val="auto"/>
              </w:rPr>
            </w:pPr>
          </w:p>
        </w:tc>
        <w:tc>
          <w:tcPr>
            <w:tcW w:w="1300" w:type="dxa"/>
            <w:vAlign w:val="bottom"/>
            <w:tcBorders>
              <w:right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Arial" w:cs="Arial" w:eastAsia="Arial" w:hAnsi="Arial"/>
                <w:sz w:val="19"/>
                <w:szCs w:val="19"/>
                <w:color w:val="auto"/>
              </w:rPr>
              <w:t>40,168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Arial" w:cs="Arial" w:eastAsia="Arial" w:hAnsi="Arial"/>
                <w:sz w:val="19"/>
                <w:szCs w:val="19"/>
                <w:color w:val="auto"/>
              </w:rPr>
              <w:t>5,247</w:t>
            </w:r>
          </w:p>
        </w:tc>
        <w:tc>
          <w:tcPr>
            <w:tcW w:w="1280" w:type="dxa"/>
            <w:vAlign w:val="bottom"/>
          </w:tcPr>
          <w:p>
            <w:pPr>
              <w:jc w:val="right"/>
              <w:spacing w:after="0" w:line="214" w:lineRule="exact"/>
              <w:rPr>
                <w:sz w:val="20"/>
                <w:szCs w:val="20"/>
                <w:color w:val="auto"/>
              </w:rPr>
            </w:pPr>
            <w:r>
              <w:rPr>
                <w:rFonts w:ascii="Arial" w:cs="Arial" w:eastAsia="Arial" w:hAnsi="Arial"/>
                <w:sz w:val="19"/>
                <w:szCs w:val="19"/>
                <w:color w:val="auto"/>
              </w:rPr>
              <w:t>13.1 %</w:t>
            </w:r>
          </w:p>
        </w:tc>
        <w:tc>
          <w:tcPr>
            <w:tcW w:w="0" w:type="dxa"/>
            <w:vAlign w:val="bottom"/>
          </w:tcPr>
          <w:p>
            <w:pPr>
              <w:spacing w:after="0"/>
              <w:rPr>
                <w:sz w:val="1"/>
                <w:szCs w:val="1"/>
                <w:color w:val="auto"/>
              </w:rPr>
            </w:pPr>
          </w:p>
        </w:tc>
      </w:tr>
      <w:tr>
        <w:trPr>
          <w:trHeight w:val="232"/>
        </w:trPr>
        <w:tc>
          <w:tcPr>
            <w:tcW w:w="5420" w:type="dxa"/>
            <w:vAlign w:val="bottom"/>
            <w:tcBorders>
              <w:right w:val="single" w:sz="8" w:color="auto"/>
            </w:tcBorders>
          </w:tcPr>
          <w:p>
            <w:pPr>
              <w:ind w:left="300"/>
              <w:spacing w:after="0"/>
              <w:rPr>
                <w:sz w:val="20"/>
                <w:szCs w:val="20"/>
                <w:color w:val="auto"/>
              </w:rPr>
            </w:pPr>
            <w:r>
              <w:rPr>
                <w:rFonts w:ascii="Arial" w:cs="Arial" w:eastAsia="Arial" w:hAnsi="Arial"/>
                <w:sz w:val="19"/>
                <w:szCs w:val="19"/>
                <w:color w:val="auto"/>
              </w:rPr>
              <w:t>Operating costs</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6,984</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5,252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1,732</w:t>
            </w:r>
          </w:p>
        </w:tc>
        <w:tc>
          <w:tcPr>
            <w:tcW w:w="1280" w:type="dxa"/>
            <w:vAlign w:val="bottom"/>
          </w:tcPr>
          <w:p>
            <w:pPr>
              <w:jc w:val="right"/>
              <w:spacing w:after="0"/>
              <w:rPr>
                <w:sz w:val="20"/>
                <w:szCs w:val="20"/>
                <w:color w:val="auto"/>
              </w:rPr>
            </w:pPr>
            <w:r>
              <w:rPr>
                <w:rFonts w:ascii="Arial" w:cs="Arial" w:eastAsia="Arial" w:hAnsi="Arial"/>
                <w:sz w:val="19"/>
                <w:szCs w:val="19"/>
                <w:color w:val="auto"/>
              </w:rPr>
              <w:t>33.0 %</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ind w:left="300"/>
              <w:spacing w:after="0"/>
              <w:rPr>
                <w:sz w:val="20"/>
                <w:szCs w:val="20"/>
                <w:color w:val="auto"/>
              </w:rPr>
            </w:pPr>
            <w:r>
              <w:rPr>
                <w:rFonts w:ascii="Arial" w:cs="Arial" w:eastAsia="Arial" w:hAnsi="Arial"/>
                <w:sz w:val="19"/>
                <w:szCs w:val="19"/>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362</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343</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1280" w:type="dxa"/>
            <w:vAlign w:val="bottom"/>
          </w:tcPr>
          <w:p>
            <w:pPr>
              <w:jc w:val="right"/>
              <w:spacing w:after="0"/>
              <w:rPr>
                <w:sz w:val="20"/>
                <w:szCs w:val="20"/>
                <w:color w:val="auto"/>
              </w:rPr>
            </w:pPr>
            <w:r>
              <w:rPr>
                <w:rFonts w:ascii="Arial" w:cs="Arial" w:eastAsia="Arial" w:hAnsi="Arial"/>
                <w:sz w:val="19"/>
                <w:szCs w:val="19"/>
                <w:color w:val="auto"/>
              </w:rPr>
              <w:t>5.5 %</w:t>
            </w:r>
          </w:p>
        </w:tc>
        <w:tc>
          <w:tcPr>
            <w:tcW w:w="0" w:type="dxa"/>
            <w:vAlign w:val="bottom"/>
          </w:tcPr>
          <w:p>
            <w:pPr>
              <w:spacing w:after="0"/>
              <w:rPr>
                <w:sz w:val="1"/>
                <w:szCs w:val="1"/>
                <w:color w:val="auto"/>
              </w:rPr>
            </w:pPr>
          </w:p>
        </w:tc>
      </w:tr>
      <w:tr>
        <w:trPr>
          <w:trHeight w:val="225"/>
        </w:trPr>
        <w:tc>
          <w:tcPr>
            <w:tcW w:w="5420" w:type="dxa"/>
            <w:vAlign w:val="bottom"/>
            <w:tcBorders>
              <w:right w:val="single" w:sz="8" w:color="auto"/>
            </w:tcBorders>
          </w:tcPr>
          <w:p>
            <w:pPr>
              <w:ind w:left="600"/>
              <w:spacing w:after="0"/>
              <w:rPr>
                <w:sz w:val="20"/>
                <w:szCs w:val="20"/>
                <w:color w:val="auto"/>
              </w:rPr>
            </w:pPr>
            <w:r>
              <w:rPr>
                <w:rFonts w:ascii="Arial" w:cs="Arial" w:eastAsia="Arial" w:hAnsi="Arial"/>
                <w:sz w:val="19"/>
                <w:szCs w:val="19"/>
                <w:b w:val="1"/>
                <w:bCs w:val="1"/>
                <w:color w:val="auto"/>
              </w:rPr>
              <w:t>Total operating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52,761</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45,763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6,998</w:t>
            </w:r>
          </w:p>
        </w:tc>
        <w:tc>
          <w:tcPr>
            <w:tcW w:w="1280" w:type="dxa"/>
            <w:vAlign w:val="bottom"/>
          </w:tcPr>
          <w:p>
            <w:pPr>
              <w:jc w:val="right"/>
              <w:spacing w:after="0"/>
              <w:rPr>
                <w:sz w:val="20"/>
                <w:szCs w:val="20"/>
                <w:color w:val="auto"/>
              </w:rPr>
            </w:pPr>
            <w:r>
              <w:rPr>
                <w:rFonts w:ascii="Arial" w:cs="Arial" w:eastAsia="Arial" w:hAnsi="Arial"/>
                <w:sz w:val="19"/>
                <w:szCs w:val="19"/>
                <w:color w:val="auto"/>
              </w:rPr>
              <w:t>15.3 %</w:t>
            </w:r>
          </w:p>
        </w:tc>
        <w:tc>
          <w:tcPr>
            <w:tcW w:w="0" w:type="dxa"/>
            <w:vAlign w:val="bottom"/>
          </w:tcPr>
          <w:p>
            <w:pPr>
              <w:spacing w:after="0"/>
              <w:rPr>
                <w:sz w:val="1"/>
                <w:szCs w:val="1"/>
                <w:color w:val="auto"/>
              </w:rPr>
            </w:pPr>
          </w:p>
        </w:tc>
      </w:tr>
      <w:tr>
        <w:trPr>
          <w:trHeight w:val="210"/>
        </w:trPr>
        <w:tc>
          <w:tcPr>
            <w:tcW w:w="5420" w:type="dxa"/>
            <w:vAlign w:val="bottom"/>
            <w:tcBorders>
              <w:right w:val="single" w:sz="8" w:color="auto"/>
            </w:tcBorders>
          </w:tcPr>
          <w:p>
            <w:pPr>
              <w:spacing w:after="0" w:line="211" w:lineRule="exact"/>
              <w:rPr>
                <w:sz w:val="20"/>
                <w:szCs w:val="20"/>
                <w:color w:val="auto"/>
              </w:rPr>
            </w:pPr>
            <w:r>
              <w:rPr>
                <w:rFonts w:ascii="Arial" w:cs="Arial" w:eastAsia="Arial" w:hAnsi="Arial"/>
                <w:sz w:val="19"/>
                <w:szCs w:val="19"/>
                <w:b w:val="1"/>
                <w:bCs w:val="1"/>
                <w:color w:val="auto"/>
              </w:rPr>
              <w:t>Income from operations</w:t>
            </w:r>
          </w:p>
        </w:tc>
        <w:tc>
          <w:tcPr>
            <w:tcW w:w="380" w:type="dxa"/>
            <w:vAlign w:val="bottom"/>
          </w:tcPr>
          <w:p>
            <w:pPr>
              <w:spacing w:after="0"/>
              <w:rPr>
                <w:sz w:val="18"/>
                <w:szCs w:val="18"/>
                <w:color w:val="auto"/>
              </w:rPr>
            </w:pPr>
          </w:p>
        </w:tc>
        <w:tc>
          <w:tcPr>
            <w:tcW w:w="1300" w:type="dxa"/>
            <w:vAlign w:val="bottom"/>
            <w:tcBorders>
              <w:right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00497F"/>
              </w:rPr>
              <w:t>5,332</w:t>
            </w:r>
          </w:p>
        </w:tc>
        <w:tc>
          <w:tcPr>
            <w:tcW w:w="360" w:type="dxa"/>
            <w:vAlign w:val="bottom"/>
          </w:tcPr>
          <w:p>
            <w:pPr>
              <w:spacing w:after="0"/>
              <w:rPr>
                <w:sz w:val="18"/>
                <w:szCs w:val="18"/>
                <w:color w:val="auto"/>
              </w:rPr>
            </w:pPr>
          </w:p>
        </w:tc>
        <w:tc>
          <w:tcPr>
            <w:tcW w:w="1300" w:type="dxa"/>
            <w:vAlign w:val="bottom"/>
          </w:tcPr>
          <w:p>
            <w:pPr>
              <w:jc w:val="right"/>
              <w:spacing w:after="0" w:line="211" w:lineRule="exact"/>
              <w:rPr>
                <w:sz w:val="20"/>
                <w:szCs w:val="20"/>
                <w:color w:val="auto"/>
              </w:rPr>
            </w:pPr>
            <w:r>
              <w:rPr>
                <w:rFonts w:ascii="Arial" w:cs="Arial" w:eastAsia="Arial" w:hAnsi="Arial"/>
                <w:sz w:val="19"/>
                <w:szCs w:val="19"/>
                <w:color w:val="auto"/>
              </w:rPr>
              <w:t>2,830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1" w:lineRule="exact"/>
              <w:rPr>
                <w:sz w:val="20"/>
                <w:szCs w:val="20"/>
                <w:color w:val="auto"/>
              </w:rPr>
            </w:pPr>
            <w:r>
              <w:rPr>
                <w:rFonts w:ascii="Arial" w:cs="Arial" w:eastAsia="Arial" w:hAnsi="Arial"/>
                <w:sz w:val="19"/>
                <w:szCs w:val="19"/>
                <w:color w:val="auto"/>
              </w:rPr>
              <w:t>2,502</w:t>
            </w:r>
          </w:p>
        </w:tc>
        <w:tc>
          <w:tcPr>
            <w:tcW w:w="1280" w:type="dxa"/>
            <w:vAlign w:val="bottom"/>
          </w:tcPr>
          <w:p>
            <w:pPr>
              <w:jc w:val="right"/>
              <w:spacing w:after="0" w:line="211" w:lineRule="exact"/>
              <w:rPr>
                <w:sz w:val="20"/>
                <w:szCs w:val="20"/>
                <w:color w:val="auto"/>
              </w:rPr>
            </w:pPr>
            <w:r>
              <w:rPr>
                <w:rFonts w:ascii="Arial" w:cs="Arial" w:eastAsia="Arial" w:hAnsi="Arial"/>
                <w:sz w:val="19"/>
                <w:szCs w:val="19"/>
                <w:color w:val="auto"/>
              </w:rPr>
              <w:t>88.4 %</w:t>
            </w:r>
          </w:p>
        </w:tc>
        <w:tc>
          <w:tcPr>
            <w:tcW w:w="0" w:type="dxa"/>
            <w:vAlign w:val="bottom"/>
          </w:tcPr>
          <w:p>
            <w:pPr>
              <w:spacing w:after="0"/>
              <w:rPr>
                <w:sz w:val="1"/>
                <w:szCs w:val="1"/>
                <w:color w:val="auto"/>
              </w:rPr>
            </w:pPr>
          </w:p>
        </w:tc>
      </w:tr>
      <w:tr>
        <w:trPr>
          <w:trHeight w:val="232"/>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Interest expense</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211</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27</w:t>
            </w:r>
          </w:p>
        </w:tc>
        <w:tc>
          <w:tcPr>
            <w:tcW w:w="1280" w:type="dxa"/>
            <w:vAlign w:val="bottom"/>
          </w:tcPr>
          <w:p>
            <w:pPr>
              <w:jc w:val="right"/>
              <w:spacing w:after="0"/>
              <w:rPr>
                <w:sz w:val="20"/>
                <w:szCs w:val="20"/>
                <w:color w:val="auto"/>
              </w:rPr>
            </w:pPr>
            <w:r>
              <w:rPr>
                <w:rFonts w:ascii="Arial" w:cs="Arial" w:eastAsia="Arial" w:hAnsi="Arial"/>
                <w:sz w:val="19"/>
                <w:szCs w:val="19"/>
                <w:color w:val="auto"/>
              </w:rPr>
              <w:t>14.7 %</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Other expense (income), net (A)</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63</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(217)</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w:t>
            </w:r>
          </w:p>
        </w:tc>
        <w:tc>
          <w:tcPr>
            <w:tcW w:w="1280" w:type="dxa"/>
            <w:vAlign w:val="bottom"/>
          </w:tcPr>
          <w:p>
            <w:pPr>
              <w:jc w:val="right"/>
              <w:spacing w:after="0"/>
              <w:rPr>
                <w:sz w:val="20"/>
                <w:szCs w:val="20"/>
                <w:color w:val="auto"/>
              </w:rPr>
            </w:pPr>
            <w:r>
              <w:rPr>
                <w:rFonts w:ascii="Arial" w:cs="Arial" w:eastAsia="Arial" w:hAnsi="Arial"/>
                <w:sz w:val="19"/>
                <w:szCs w:val="19"/>
                <w:color w:val="auto"/>
              </w:rPr>
              <w:t>129.0 %</w:t>
            </w:r>
          </w:p>
        </w:tc>
        <w:tc>
          <w:tcPr>
            <w:tcW w:w="0" w:type="dxa"/>
            <w:vAlign w:val="bottom"/>
          </w:tcPr>
          <w:p>
            <w:pPr>
              <w:spacing w:after="0"/>
              <w:rPr>
                <w:sz w:val="1"/>
                <w:szCs w:val="1"/>
                <w:color w:val="auto"/>
              </w:rPr>
            </w:pPr>
          </w:p>
        </w:tc>
      </w:tr>
      <w:tr>
        <w:trPr>
          <w:trHeight w:val="210"/>
        </w:trPr>
        <w:tc>
          <w:tcPr>
            <w:tcW w:w="5420" w:type="dxa"/>
            <w:vAlign w:val="bottom"/>
            <w:tcBorders>
              <w:right w:val="single" w:sz="8" w:color="auto"/>
            </w:tcBorders>
          </w:tcPr>
          <w:p>
            <w:pPr>
              <w:spacing w:after="0" w:line="211" w:lineRule="exact"/>
              <w:rPr>
                <w:sz w:val="20"/>
                <w:szCs w:val="20"/>
                <w:color w:val="auto"/>
              </w:rPr>
            </w:pPr>
            <w:r>
              <w:rPr>
                <w:rFonts w:ascii="Arial" w:cs="Arial" w:eastAsia="Arial" w:hAnsi="Arial"/>
                <w:sz w:val="19"/>
                <w:szCs w:val="19"/>
                <w:b w:val="1"/>
                <w:bCs w:val="1"/>
                <w:color w:val="auto"/>
              </w:rPr>
              <w:t>Income before income taxes and equity in net earnings</w:t>
            </w:r>
          </w:p>
        </w:tc>
        <w:tc>
          <w:tcPr>
            <w:tcW w:w="380" w:type="dxa"/>
            <w:vAlign w:val="bottom"/>
          </w:tcPr>
          <w:p>
            <w:pPr>
              <w:spacing w:after="0"/>
              <w:rPr>
                <w:sz w:val="18"/>
                <w:szCs w:val="18"/>
                <w:color w:val="auto"/>
              </w:rPr>
            </w:pPr>
          </w:p>
        </w:tc>
        <w:tc>
          <w:tcPr>
            <w:tcW w:w="1300" w:type="dxa"/>
            <w:vAlign w:val="bottom"/>
            <w:tcBorders>
              <w:right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00497F"/>
              </w:rPr>
              <w:t>5,058</w:t>
            </w:r>
          </w:p>
        </w:tc>
        <w:tc>
          <w:tcPr>
            <w:tcW w:w="360" w:type="dxa"/>
            <w:vAlign w:val="bottom"/>
          </w:tcPr>
          <w:p>
            <w:pPr>
              <w:spacing w:after="0"/>
              <w:rPr>
                <w:sz w:val="18"/>
                <w:szCs w:val="18"/>
                <w:color w:val="auto"/>
              </w:rPr>
            </w:pPr>
          </w:p>
        </w:tc>
        <w:tc>
          <w:tcPr>
            <w:tcW w:w="1300" w:type="dxa"/>
            <w:vAlign w:val="bottom"/>
          </w:tcPr>
          <w:p>
            <w:pPr>
              <w:jc w:val="right"/>
              <w:spacing w:after="0" w:line="211" w:lineRule="exact"/>
              <w:rPr>
                <w:sz w:val="20"/>
                <w:szCs w:val="20"/>
                <w:color w:val="auto"/>
              </w:rPr>
            </w:pPr>
            <w:r>
              <w:rPr>
                <w:rFonts w:ascii="Arial" w:cs="Arial" w:eastAsia="Arial" w:hAnsi="Arial"/>
                <w:sz w:val="19"/>
                <w:szCs w:val="19"/>
                <w:color w:val="auto"/>
              </w:rPr>
              <w:t>2,863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1" w:lineRule="exact"/>
              <w:rPr>
                <w:sz w:val="20"/>
                <w:szCs w:val="20"/>
                <w:color w:val="auto"/>
              </w:rPr>
            </w:pPr>
            <w:r>
              <w:rPr>
                <w:rFonts w:ascii="Arial" w:cs="Arial" w:eastAsia="Arial" w:hAnsi="Arial"/>
                <w:sz w:val="19"/>
                <w:szCs w:val="19"/>
                <w:color w:val="auto"/>
              </w:rPr>
              <w:t>2,195</w:t>
            </w:r>
          </w:p>
        </w:tc>
        <w:tc>
          <w:tcPr>
            <w:tcW w:w="1280" w:type="dxa"/>
            <w:vAlign w:val="bottom"/>
          </w:tcPr>
          <w:p>
            <w:pPr>
              <w:jc w:val="right"/>
              <w:spacing w:after="0" w:line="211" w:lineRule="exact"/>
              <w:rPr>
                <w:sz w:val="20"/>
                <w:szCs w:val="20"/>
                <w:color w:val="auto"/>
              </w:rPr>
            </w:pPr>
            <w:r>
              <w:rPr>
                <w:rFonts w:ascii="Arial" w:cs="Arial" w:eastAsia="Arial" w:hAnsi="Arial"/>
                <w:sz w:val="19"/>
                <w:szCs w:val="19"/>
                <w:color w:val="auto"/>
              </w:rPr>
              <w:t>76.7 %</w:t>
            </w:r>
          </w:p>
        </w:tc>
        <w:tc>
          <w:tcPr>
            <w:tcW w:w="0" w:type="dxa"/>
            <w:vAlign w:val="bottom"/>
          </w:tcPr>
          <w:p>
            <w:pPr>
              <w:spacing w:after="0"/>
              <w:rPr>
                <w:sz w:val="1"/>
                <w:szCs w:val="1"/>
                <w:color w:val="auto"/>
              </w:rPr>
            </w:pPr>
          </w:p>
        </w:tc>
      </w:tr>
      <w:tr>
        <w:trPr>
          <w:trHeight w:val="232"/>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Provision for income taxes</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1,485</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684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801</w:t>
            </w:r>
          </w:p>
        </w:tc>
        <w:tc>
          <w:tcPr>
            <w:tcW w:w="1280" w:type="dxa"/>
            <w:vAlign w:val="bottom"/>
          </w:tcPr>
          <w:p>
            <w:pPr>
              <w:jc w:val="right"/>
              <w:spacing w:after="0"/>
              <w:rPr>
                <w:sz w:val="20"/>
                <w:szCs w:val="20"/>
                <w:color w:val="auto"/>
              </w:rPr>
            </w:pPr>
            <w:r>
              <w:rPr>
                <w:rFonts w:ascii="Arial" w:cs="Arial" w:eastAsia="Arial" w:hAnsi="Arial"/>
                <w:sz w:val="19"/>
                <w:szCs w:val="19"/>
                <w:color w:val="auto"/>
              </w:rPr>
              <w:t>117.1 %</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Equity in net earnings (B)</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68</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w:t>
            </w:r>
          </w:p>
        </w:tc>
        <w:tc>
          <w:tcPr>
            <w:tcW w:w="1280" w:type="dxa"/>
            <w:vAlign w:val="bottom"/>
          </w:tcPr>
          <w:p>
            <w:pPr>
              <w:jc w:val="right"/>
              <w:spacing w:after="0"/>
              <w:rPr>
                <w:sz w:val="20"/>
                <w:szCs w:val="20"/>
                <w:color w:val="auto"/>
              </w:rPr>
            </w:pPr>
            <w:r>
              <w:rPr>
                <w:rFonts w:ascii="Arial" w:cs="Arial" w:eastAsia="Arial" w:hAnsi="Arial"/>
                <w:sz w:val="19"/>
                <w:szCs w:val="19"/>
                <w:color w:val="auto"/>
              </w:rPr>
              <w:t>325.0 %</w:t>
            </w:r>
          </w:p>
        </w:tc>
        <w:tc>
          <w:tcPr>
            <w:tcW w:w="0" w:type="dxa"/>
            <w:vAlign w:val="bottom"/>
          </w:tcPr>
          <w:p>
            <w:pPr>
              <w:spacing w:after="0"/>
              <w:rPr>
                <w:sz w:val="1"/>
                <w:szCs w:val="1"/>
                <w:color w:val="auto"/>
              </w:rPr>
            </w:pPr>
          </w:p>
        </w:tc>
      </w:tr>
      <w:tr>
        <w:trPr>
          <w:trHeight w:val="225"/>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Net income</w:t>
            </w:r>
          </w:p>
        </w:tc>
        <w:tc>
          <w:tcPr>
            <w:tcW w:w="38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b w:val="1"/>
                <w:bCs w:val="1"/>
                <w:color w:val="00497F"/>
                <w:w w:val="94"/>
              </w:rPr>
              <w:t>$</w:t>
            </w:r>
          </w:p>
        </w:tc>
        <w:tc>
          <w:tcPr>
            <w:tcW w:w="13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3,641</w:t>
            </w:r>
          </w:p>
        </w:tc>
        <w:tc>
          <w:tcPr>
            <w:tcW w:w="36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color w:val="auto"/>
                <w:w w:val="7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2,195</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1,446</w:t>
            </w: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65.9 %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Basic earnings per common share</w:t>
            </w:r>
          </w:p>
        </w:tc>
        <w:tc>
          <w:tcPr>
            <w:tcW w:w="380" w:type="dxa"/>
            <w:vAlign w:val="bottom"/>
          </w:tcPr>
          <w:p>
            <w:pPr>
              <w:jc w:val="right"/>
              <w:ind w:right="166"/>
              <w:spacing w:after="0"/>
              <w:rPr>
                <w:sz w:val="20"/>
                <w:szCs w:val="20"/>
                <w:color w:val="auto"/>
              </w:rPr>
            </w:pPr>
            <w:r>
              <w:rPr>
                <w:rFonts w:ascii="Arial" w:cs="Arial" w:eastAsia="Arial" w:hAnsi="Arial"/>
                <w:sz w:val="19"/>
                <w:szCs w:val="19"/>
                <w:b w:val="1"/>
                <w:bCs w:val="1"/>
                <w:color w:val="00497F"/>
                <w:w w:val="94"/>
              </w:rPr>
              <w:t>$</w:t>
            </w:r>
          </w:p>
        </w:tc>
        <w:tc>
          <w:tcPr>
            <w:tcW w:w="1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27.53</w:t>
            </w:r>
          </w:p>
        </w:tc>
        <w:tc>
          <w:tcPr>
            <w:tcW w:w="360" w:type="dxa"/>
            <w:vAlign w:val="bottom"/>
          </w:tcPr>
          <w:p>
            <w:pPr>
              <w:jc w:val="right"/>
              <w:ind w:right="166"/>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16.31</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11.22</w:t>
            </w:r>
          </w:p>
        </w:tc>
        <w:tc>
          <w:tcPr>
            <w:tcW w:w="1280" w:type="dxa"/>
            <w:vAlign w:val="bottom"/>
          </w:tcPr>
          <w:p>
            <w:pPr>
              <w:jc w:val="right"/>
              <w:spacing w:after="0"/>
              <w:rPr>
                <w:sz w:val="20"/>
                <w:szCs w:val="20"/>
                <w:color w:val="auto"/>
              </w:rPr>
            </w:pPr>
            <w:r>
              <w:rPr>
                <w:rFonts w:ascii="Arial" w:cs="Arial" w:eastAsia="Arial" w:hAnsi="Arial"/>
                <w:sz w:val="19"/>
                <w:szCs w:val="19"/>
                <w:color w:val="auto"/>
              </w:rPr>
              <w:t>68.8 %</w:t>
            </w:r>
          </w:p>
        </w:tc>
        <w:tc>
          <w:tcPr>
            <w:tcW w:w="0" w:type="dxa"/>
            <w:vAlign w:val="bottom"/>
          </w:tcPr>
          <w:p>
            <w:pPr>
              <w:spacing w:after="0"/>
              <w:rPr>
                <w:sz w:val="1"/>
                <w:szCs w:val="1"/>
                <w:color w:val="auto"/>
              </w:rPr>
            </w:pPr>
          </w:p>
        </w:tc>
      </w:tr>
      <w:tr>
        <w:trPr>
          <w:trHeight w:val="251"/>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Diluted earnings per common share</w:t>
            </w:r>
          </w:p>
        </w:tc>
        <w:tc>
          <w:tcPr>
            <w:tcW w:w="380" w:type="dxa"/>
            <w:vAlign w:val="bottom"/>
          </w:tcPr>
          <w:p>
            <w:pPr>
              <w:jc w:val="right"/>
              <w:ind w:right="166"/>
              <w:spacing w:after="0"/>
              <w:rPr>
                <w:sz w:val="20"/>
                <w:szCs w:val="20"/>
                <w:color w:val="auto"/>
              </w:rPr>
            </w:pPr>
            <w:r>
              <w:rPr>
                <w:rFonts w:ascii="Arial" w:cs="Arial" w:eastAsia="Arial" w:hAnsi="Arial"/>
                <w:sz w:val="19"/>
                <w:szCs w:val="19"/>
                <w:b w:val="1"/>
                <w:bCs w:val="1"/>
                <w:color w:val="00497F"/>
                <w:w w:val="94"/>
              </w:rPr>
              <w:t>$</w:t>
            </w:r>
          </w:p>
        </w:tc>
        <w:tc>
          <w:tcPr>
            <w:tcW w:w="1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00497F"/>
              </w:rPr>
              <w:t>27.37</w:t>
            </w:r>
          </w:p>
        </w:tc>
        <w:tc>
          <w:tcPr>
            <w:tcW w:w="360" w:type="dxa"/>
            <w:vAlign w:val="bottom"/>
          </w:tcPr>
          <w:p>
            <w:pPr>
              <w:jc w:val="right"/>
              <w:ind w:right="166"/>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16.24</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11.13</w:t>
            </w:r>
          </w:p>
        </w:tc>
        <w:tc>
          <w:tcPr>
            <w:tcW w:w="1280" w:type="dxa"/>
            <w:vAlign w:val="bottom"/>
          </w:tcPr>
          <w:p>
            <w:pPr>
              <w:jc w:val="right"/>
              <w:spacing w:after="0"/>
              <w:rPr>
                <w:sz w:val="20"/>
                <w:szCs w:val="20"/>
                <w:color w:val="auto"/>
              </w:rPr>
            </w:pPr>
            <w:r>
              <w:rPr>
                <w:rFonts w:ascii="Arial" w:cs="Arial" w:eastAsia="Arial" w:hAnsi="Arial"/>
                <w:sz w:val="19"/>
                <w:szCs w:val="19"/>
                <w:color w:val="auto"/>
              </w:rPr>
              <w:t>68.5 %</w:t>
            </w:r>
          </w:p>
        </w:tc>
        <w:tc>
          <w:tcPr>
            <w:tcW w:w="0" w:type="dxa"/>
            <w:vAlign w:val="bottom"/>
          </w:tcPr>
          <w:p>
            <w:pPr>
              <w:spacing w:after="0"/>
              <w:rPr>
                <w:sz w:val="1"/>
                <w:szCs w:val="1"/>
                <w:color w:val="auto"/>
              </w:rPr>
            </w:pPr>
          </w:p>
        </w:tc>
      </w:tr>
      <w:tr>
        <w:trPr>
          <w:trHeight w:val="185"/>
        </w:trPr>
        <w:tc>
          <w:tcPr>
            <w:tcW w:w="5420" w:type="dxa"/>
            <w:vAlign w:val="bottom"/>
            <w:tcBorders>
              <w:right w:val="single" w:sz="8" w:color="auto"/>
            </w:tcBorders>
          </w:tcPr>
          <w:p>
            <w:pPr>
              <w:spacing w:after="0" w:line="185" w:lineRule="exact"/>
              <w:rPr>
                <w:sz w:val="20"/>
                <w:szCs w:val="20"/>
                <w:color w:val="auto"/>
              </w:rPr>
            </w:pPr>
            <w:r>
              <w:rPr>
                <w:rFonts w:ascii="Arial" w:cs="Arial" w:eastAsia="Arial" w:hAnsi="Arial"/>
                <w:sz w:val="19"/>
                <w:szCs w:val="19"/>
                <w:color w:val="auto"/>
              </w:rPr>
              <w:t>Shares used in computing basic earnings per common share</w:t>
            </w:r>
          </w:p>
        </w:tc>
        <w:tc>
          <w:tcPr>
            <w:tcW w:w="380" w:type="dxa"/>
            <w:vAlign w:val="bottom"/>
          </w:tcPr>
          <w:p>
            <w:pPr>
              <w:spacing w:after="0"/>
              <w:rPr>
                <w:sz w:val="16"/>
                <w:szCs w:val="16"/>
                <w:color w:val="auto"/>
              </w:rPr>
            </w:pPr>
          </w:p>
        </w:tc>
        <w:tc>
          <w:tcPr>
            <w:tcW w:w="1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132,234</w:t>
            </w:r>
          </w:p>
        </w:tc>
        <w:tc>
          <w:tcPr>
            <w:tcW w:w="3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9"/>
                <w:szCs w:val="19"/>
                <w:color w:val="auto"/>
              </w:rPr>
              <w:t>134,589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(000’s)</w:t>
            </w:r>
          </w:p>
        </w:tc>
        <w:tc>
          <w:tcPr>
            <w:tcW w:w="380" w:type="dxa"/>
            <w:vAlign w:val="bottom"/>
          </w:tcPr>
          <w:p>
            <w:pPr>
              <w:spacing w:after="0"/>
              <w:rPr>
                <w:sz w:val="19"/>
                <w:szCs w:val="19"/>
                <w:color w:val="auto"/>
              </w:rPr>
            </w:pPr>
          </w:p>
        </w:tc>
        <w:tc>
          <w:tcPr>
            <w:tcW w:w="1300" w:type="dxa"/>
            <w:vAlign w:val="bottom"/>
            <w:tcBorders>
              <w:right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20" w:type="dxa"/>
            <w:vAlign w:val="bottom"/>
            <w:tcBorders>
              <w:right w:val="single" w:sz="8" w:color="auto"/>
            </w:tcBorders>
          </w:tcPr>
          <w:p>
            <w:pPr>
              <w:spacing w:after="0" w:line="185" w:lineRule="exact"/>
              <w:rPr>
                <w:sz w:val="20"/>
                <w:szCs w:val="20"/>
                <w:color w:val="auto"/>
              </w:rPr>
            </w:pPr>
            <w:r>
              <w:rPr>
                <w:rFonts w:ascii="Arial" w:cs="Arial" w:eastAsia="Arial" w:hAnsi="Arial"/>
                <w:sz w:val="19"/>
                <w:szCs w:val="19"/>
                <w:color w:val="auto"/>
              </w:rPr>
              <w:t>Shares used in computing diluted earnings per common share</w:t>
            </w:r>
          </w:p>
        </w:tc>
        <w:tc>
          <w:tcPr>
            <w:tcW w:w="380" w:type="dxa"/>
            <w:vAlign w:val="bottom"/>
          </w:tcPr>
          <w:p>
            <w:pPr>
              <w:spacing w:after="0"/>
              <w:rPr>
                <w:sz w:val="16"/>
                <w:szCs w:val="16"/>
                <w:color w:val="auto"/>
              </w:rPr>
            </w:pPr>
          </w:p>
        </w:tc>
        <w:tc>
          <w:tcPr>
            <w:tcW w:w="1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00497F"/>
              </w:rPr>
              <w:t>133,010</w:t>
            </w:r>
          </w:p>
        </w:tc>
        <w:tc>
          <w:tcPr>
            <w:tcW w:w="3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9"/>
                <w:szCs w:val="19"/>
                <w:color w:val="auto"/>
              </w:rPr>
              <w:t>135,189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(000’s)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9"/>
        </w:trPr>
        <w:tc>
          <w:tcPr>
            <w:tcW w:w="5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S-4</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9" w:right="33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Humana Inc.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Dollars in millions, except share amounts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100" w:type="dxa"/>
            <w:vAlign w:val="bottom"/>
            <w:tcBorders>
              <w:top w:val="single" w:sz="8" w:color="auto"/>
              <w:lef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4"/>
                <w:szCs w:val="14"/>
                <w:b w:val="1"/>
                <w:bCs w:val="1"/>
                <w:color w:val="00497F"/>
                <w:w w:val="96"/>
              </w:rPr>
              <w:t>September 30,</w:t>
            </w:r>
          </w:p>
        </w:tc>
        <w:tc>
          <w:tcPr>
            <w:tcW w:w="1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0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4"/>
                <w:szCs w:val="14"/>
                <w:b w:val="1"/>
                <w:bCs w:val="1"/>
                <w:color w:val="00497F"/>
              </w:rPr>
              <w:t>2020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Current assets: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left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7,985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Investment securities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12,741</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10,972</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Receivables, net</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1,135</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79"/>
        </w:trPr>
        <w:tc>
          <w:tcPr>
            <w:tcW w:w="5340" w:type="dxa"/>
            <w:vAlign w:val="bottom"/>
          </w:tcPr>
          <w:p>
            <w:pPr>
              <w:ind w:left="300"/>
              <w:spacing w:after="0"/>
              <w:rPr>
                <w:sz w:val="20"/>
                <w:szCs w:val="20"/>
                <w:color w:val="auto"/>
              </w:rPr>
            </w:pPr>
            <w:r>
              <w:rPr>
                <w:rFonts w:ascii="Arial" w:cs="Arial" w:eastAsia="Arial" w:hAnsi="Arial"/>
                <w:sz w:val="14"/>
                <w:szCs w:val="14"/>
                <w:color w:val="auto"/>
              </w:rPr>
              <w:t>Other current assets</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5,170</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75"/>
        </w:trPr>
        <w:tc>
          <w:tcPr>
            <w:tcW w:w="5340" w:type="dxa"/>
            <w:vAlign w:val="bottom"/>
          </w:tcPr>
          <w:p>
            <w:pPr>
              <w:ind w:left="600"/>
              <w:spacing w:after="0"/>
              <w:rPr>
                <w:sz w:val="20"/>
                <w:szCs w:val="20"/>
                <w:color w:val="auto"/>
              </w:rPr>
            </w:pPr>
            <w:r>
              <w:rPr>
                <w:rFonts w:ascii="Arial" w:cs="Arial" w:eastAsia="Arial" w:hAnsi="Arial"/>
                <w:sz w:val="14"/>
                <w:szCs w:val="14"/>
                <w:color w:val="auto"/>
              </w:rPr>
              <w:t>Total current assets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27,031</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19,888</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2,228</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Long-term investment securities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1,105</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Goodwill</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4,443</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Equity method investments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1,160</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79"/>
        </w:trPr>
        <w:tc>
          <w:tcPr>
            <w:tcW w:w="5340" w:type="dxa"/>
            <w:vAlign w:val="bottom"/>
          </w:tcPr>
          <w:p>
            <w:pPr>
              <w:spacing w:after="0"/>
              <w:rPr>
                <w:sz w:val="20"/>
                <w:szCs w:val="20"/>
                <w:color w:val="auto"/>
              </w:rPr>
            </w:pPr>
            <w:r>
              <w:rPr>
                <w:rFonts w:ascii="Arial" w:cs="Arial" w:eastAsia="Arial" w:hAnsi="Arial"/>
                <w:sz w:val="14"/>
                <w:szCs w:val="14"/>
                <w:color w:val="auto"/>
              </w:rPr>
              <w:t>Other long-term assets</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2,510</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38,477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29,074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340" w:type="dxa"/>
            <w:vAlign w:val="bottom"/>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Benefits payable</w:t>
            </w:r>
          </w:p>
        </w:tc>
        <w:tc>
          <w:tcPr>
            <w:tcW w:w="100" w:type="dxa"/>
            <w:vAlign w:val="bottom"/>
            <w:tcBorders>
              <w:left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8,208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6,004</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Trade accounts payable and accrued expenses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4,472</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3,754</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Book overdraft</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214</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Unearned revenues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287</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9"/>
        </w:trPr>
        <w:tc>
          <w:tcPr>
            <w:tcW w:w="5340" w:type="dxa"/>
            <w:vAlign w:val="bottom"/>
          </w:tcPr>
          <w:p>
            <w:pPr>
              <w:ind w:left="300"/>
              <w:spacing w:after="0"/>
              <w:rPr>
                <w:sz w:val="20"/>
                <w:szCs w:val="20"/>
                <w:color w:val="auto"/>
              </w:rPr>
            </w:pPr>
            <w:r>
              <w:rPr>
                <w:rFonts w:ascii="Arial" w:cs="Arial" w:eastAsia="Arial" w:hAnsi="Arial"/>
                <w:sz w:val="14"/>
                <w:szCs w:val="14"/>
                <w:color w:val="auto"/>
              </w:rPr>
              <w:t>Short-term debt</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1,724</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5"/>
        </w:trPr>
        <w:tc>
          <w:tcPr>
            <w:tcW w:w="5340" w:type="dxa"/>
            <w:vAlign w:val="bottom"/>
          </w:tcPr>
          <w:p>
            <w:pPr>
              <w:ind w:left="60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14,905</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10,929</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Long-term debt</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6,059</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4,967</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Future policy benefits payable</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202</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79"/>
        </w:trPr>
        <w:tc>
          <w:tcPr>
            <w:tcW w:w="534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1,543</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73"/>
        </w:trPr>
        <w:tc>
          <w:tcPr>
            <w:tcW w:w="5340" w:type="dxa"/>
            <w:vAlign w:val="bottom"/>
          </w:tcPr>
          <w:p>
            <w:pPr>
              <w:ind w:left="60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22,709</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17,037</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0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Preferred stock, $1 par; 10,000,000 shares authorized, none issued</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340" w:type="dxa"/>
            <w:vAlign w:val="bottom"/>
          </w:tcPr>
          <w:p>
            <w:pPr>
              <w:ind w:left="300"/>
              <w:spacing w:after="0" w:line="145" w:lineRule="exact"/>
              <w:rPr>
                <w:sz w:val="20"/>
                <w:szCs w:val="20"/>
                <w:color w:val="auto"/>
              </w:rPr>
            </w:pPr>
            <w:r>
              <w:rPr>
                <w:rFonts w:ascii="Arial" w:cs="Arial" w:eastAsia="Arial" w:hAnsi="Arial"/>
                <w:sz w:val="14"/>
                <w:szCs w:val="14"/>
                <w:color w:val="auto"/>
              </w:rPr>
              <w:t>Common stock, $0.16 2/3 par; 300,000,000 shares authorized; 198,648,742</w:t>
            </w:r>
          </w:p>
        </w:tc>
        <w:tc>
          <w:tcPr>
            <w:tcW w:w="10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00497F"/>
              </w:rPr>
              <w:t>33</w:t>
            </w:r>
          </w:p>
        </w:tc>
        <w:tc>
          <w:tcPr>
            <w:tcW w:w="120" w:type="dxa"/>
            <w:vAlign w:val="bottom"/>
          </w:tcPr>
          <w:p>
            <w:pPr>
              <w:spacing w:after="0"/>
              <w:rPr>
                <w:sz w:val="12"/>
                <w:szCs w:val="12"/>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4"/>
        </w:trPr>
        <w:tc>
          <w:tcPr>
            <w:tcW w:w="5340" w:type="dxa"/>
            <w:vAlign w:val="bottom"/>
          </w:tcPr>
          <w:p>
            <w:pPr>
              <w:ind w:left="300"/>
              <w:spacing w:after="0"/>
              <w:rPr>
                <w:sz w:val="20"/>
                <w:szCs w:val="20"/>
                <w:color w:val="auto"/>
              </w:rPr>
            </w:pPr>
            <w:r>
              <w:rPr>
                <w:rFonts w:ascii="Arial" w:cs="Arial" w:eastAsia="Arial" w:hAnsi="Arial"/>
                <w:sz w:val="14"/>
                <w:szCs w:val="14"/>
                <w:color w:val="auto"/>
              </w:rPr>
              <w:t>issued at September 30, 2020</w:t>
            </w:r>
          </w:p>
        </w:tc>
        <w:tc>
          <w:tcPr>
            <w:tcW w:w="10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Capital in excess of par value</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2,940</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Retained earnings</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20,872</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17,483</w:t>
            </w:r>
          </w:p>
        </w:tc>
        <w:tc>
          <w:tcPr>
            <w:tcW w:w="0" w:type="dxa"/>
            <w:vAlign w:val="bottom"/>
          </w:tcPr>
          <w:p>
            <w:pPr>
              <w:spacing w:after="0"/>
              <w:rPr>
                <w:sz w:val="1"/>
                <w:szCs w:val="1"/>
                <w:color w:val="auto"/>
              </w:rPr>
            </w:pPr>
          </w:p>
        </w:tc>
      </w:tr>
      <w:tr>
        <w:trPr>
          <w:trHeight w:val="180"/>
        </w:trPr>
        <w:tc>
          <w:tcPr>
            <w:tcW w:w="5340" w:type="dxa"/>
            <w:vAlign w:val="bottom"/>
          </w:tcPr>
          <w:p>
            <w:pPr>
              <w:ind w:left="30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370</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79"/>
        </w:trPr>
        <w:tc>
          <w:tcPr>
            <w:tcW w:w="5340" w:type="dxa"/>
            <w:vAlign w:val="bottom"/>
          </w:tcPr>
          <w:p>
            <w:pPr>
              <w:ind w:left="300"/>
              <w:spacing w:after="0"/>
              <w:rPr>
                <w:sz w:val="20"/>
                <w:szCs w:val="20"/>
                <w:color w:val="auto"/>
              </w:rPr>
            </w:pPr>
            <w:r>
              <w:rPr>
                <w:rFonts w:ascii="Arial" w:cs="Arial" w:eastAsia="Arial" w:hAnsi="Arial"/>
                <w:sz w:val="14"/>
                <w:szCs w:val="14"/>
                <w:color w:val="auto"/>
              </w:rPr>
              <w:t>Treasury stock, at cost, 66,307,291 shares at September 30, 2020</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91"/>
              <w:spacing w:after="0"/>
              <w:rPr>
                <w:sz w:val="20"/>
                <w:szCs w:val="20"/>
                <w:color w:val="auto"/>
              </w:rPr>
            </w:pPr>
            <w:r>
              <w:rPr>
                <w:rFonts w:ascii="Arial" w:cs="Arial" w:eastAsia="Arial" w:hAnsi="Arial"/>
                <w:sz w:val="14"/>
                <w:szCs w:val="14"/>
                <w:b w:val="1"/>
                <w:bCs w:val="1"/>
                <w:color w:val="00497F"/>
              </w:rPr>
              <w:t>(8,447)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(8,455)</w:t>
            </w:r>
          </w:p>
        </w:tc>
        <w:tc>
          <w:tcPr>
            <w:tcW w:w="0" w:type="dxa"/>
            <w:vAlign w:val="bottom"/>
          </w:tcPr>
          <w:p>
            <w:pPr>
              <w:spacing w:after="0"/>
              <w:rPr>
                <w:sz w:val="1"/>
                <w:szCs w:val="1"/>
                <w:color w:val="auto"/>
              </w:rPr>
            </w:pPr>
          </w:p>
        </w:tc>
      </w:tr>
      <w:tr>
        <w:trPr>
          <w:trHeight w:val="173"/>
        </w:trPr>
        <w:tc>
          <w:tcPr>
            <w:tcW w:w="5340" w:type="dxa"/>
            <w:vAlign w:val="bottom"/>
          </w:tcPr>
          <w:p>
            <w:pPr>
              <w:ind w:left="60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15,768</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12,037</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1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106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b w:val="1"/>
                <w:bCs w:val="1"/>
                <w:color w:val="00497F"/>
              </w:rPr>
              <w:t>38,477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29,074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340" w:type="dxa"/>
            <w:vAlign w:val="bottom"/>
          </w:tcPr>
          <w:p>
            <w:pPr>
              <w:spacing w:after="0"/>
              <w:rPr>
                <w:sz w:val="20"/>
                <w:szCs w:val="20"/>
                <w:color w:val="auto"/>
              </w:rPr>
            </w:pPr>
            <w:r>
              <w:rPr>
                <w:rFonts w:ascii="Arial" w:cs="Arial" w:eastAsia="Arial" w:hAnsi="Arial"/>
                <w:sz w:val="14"/>
                <w:szCs w:val="14"/>
                <w:color w:val="auto"/>
              </w:rPr>
              <w:t>Debt-to-total capitalization ratio</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00497F"/>
              </w:rPr>
              <w:t>33.0 %</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Year-to-Date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50645" cy="130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0645" cy="130810"/>
                    </a:xfrm>
                    <a:prstGeom prst="rect">
                      <a:avLst/>
                    </a:prstGeom>
                    <a:noFill/>
                  </pic:spPr>
                </pic:pic>
              </a:graphicData>
            </a:graphic>
          </wp:anchor>
        </w:drawing>
      </w:r>
    </w:p>
    <w:p>
      <w:pPr>
        <w:spacing w:after="0" w:line="12" w:lineRule="exact"/>
        <w:rPr>
          <w:sz w:val="20"/>
          <w:szCs w:val="20"/>
          <w:color w:val="auto"/>
        </w:rPr>
      </w:pPr>
    </w:p>
    <w:p>
      <w:pPr>
        <w:ind w:left="300"/>
        <w:spacing w:after="0"/>
        <w:tabs>
          <w:tab w:leader="none" w:pos="1280" w:val="left"/>
        </w:tabs>
        <w:rPr>
          <w:sz w:val="20"/>
          <w:szCs w:val="20"/>
          <w:color w:val="auto"/>
        </w:rPr>
      </w:pPr>
      <w:r>
        <w:rPr>
          <w:rFonts w:ascii="Arial" w:cs="Arial" w:eastAsia="Arial" w:hAnsi="Arial"/>
          <w:sz w:val="14"/>
          <w:szCs w:val="14"/>
          <w:color w:val="auto"/>
        </w:rPr>
        <w:t>Dollar</w:t>
      </w:r>
      <w:r>
        <w:rPr>
          <w:sz w:val="20"/>
          <w:szCs w:val="20"/>
          <w:color w:val="auto"/>
        </w:rPr>
        <w:tab/>
      </w:r>
      <w:r>
        <w:rPr>
          <w:rFonts w:ascii="Arial" w:cs="Arial" w:eastAsia="Arial" w:hAnsi="Arial"/>
          <w:sz w:val="14"/>
          <w:szCs w:val="14"/>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342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7,143</w:t>
            </w:r>
          </w:p>
        </w:tc>
        <w:tc>
          <w:tcPr>
            <w:tcW w:w="800" w:type="dxa"/>
            <w:vAlign w:val="bottom"/>
          </w:tcPr>
          <w:p>
            <w:pPr>
              <w:jc w:val="right"/>
              <w:spacing w:after="0"/>
              <w:rPr>
                <w:sz w:val="20"/>
                <w:szCs w:val="20"/>
                <w:color w:val="auto"/>
              </w:rPr>
            </w:pPr>
            <w:r>
              <w:rPr>
                <w:rFonts w:ascii="Arial" w:cs="Arial" w:eastAsia="Arial" w:hAnsi="Arial"/>
                <w:sz w:val="14"/>
                <w:szCs w:val="14"/>
                <w:color w:val="auto"/>
              </w:rPr>
              <w:t>35.9 %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9,403</w:t>
            </w:r>
          </w:p>
        </w:tc>
        <w:tc>
          <w:tcPr>
            <w:tcW w:w="800" w:type="dxa"/>
            <w:vAlign w:val="bottom"/>
          </w:tcPr>
          <w:p>
            <w:pPr>
              <w:jc w:val="right"/>
              <w:spacing w:after="0"/>
              <w:rPr>
                <w:sz w:val="20"/>
                <w:szCs w:val="20"/>
                <w:color w:val="auto"/>
              </w:rPr>
            </w:pPr>
            <w:r>
              <w:rPr>
                <w:rFonts w:ascii="Arial" w:cs="Arial" w:eastAsia="Arial" w:hAnsi="Arial"/>
                <w:sz w:val="14"/>
                <w:szCs w:val="14"/>
                <w:color w:val="auto"/>
              </w:rPr>
              <w:t>32.3 %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3,976</w:t>
            </w:r>
          </w:p>
        </w:tc>
        <w:tc>
          <w:tcPr>
            <w:tcW w:w="800" w:type="dxa"/>
            <w:vAlign w:val="bottom"/>
          </w:tcPr>
          <w:p>
            <w:pPr>
              <w:jc w:val="right"/>
              <w:spacing w:after="0"/>
              <w:rPr>
                <w:sz w:val="20"/>
                <w:szCs w:val="20"/>
                <w:color w:val="auto"/>
              </w:rPr>
            </w:pPr>
            <w:r>
              <w:rPr>
                <w:rFonts w:ascii="Arial" w:cs="Arial" w:eastAsia="Arial" w:hAnsi="Arial"/>
                <w:sz w:val="14"/>
                <w:szCs w:val="14"/>
                <w:color w:val="auto"/>
              </w:rPr>
              <w:t>36.4 %</w:t>
            </w:r>
          </w:p>
        </w:tc>
      </w:tr>
      <w:tr>
        <w:trPr>
          <w:trHeight w:val="735"/>
        </w:trPr>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5,672</w:t>
            </w:r>
          </w:p>
        </w:tc>
        <w:tc>
          <w:tcPr>
            <w:tcW w:w="800" w:type="dxa"/>
            <w:vAlign w:val="bottom"/>
          </w:tcPr>
          <w:p>
            <w:pPr>
              <w:jc w:val="right"/>
              <w:spacing w:after="0"/>
              <w:rPr>
                <w:sz w:val="20"/>
                <w:szCs w:val="20"/>
                <w:color w:val="auto"/>
              </w:rPr>
            </w:pPr>
            <w:r>
              <w:rPr>
                <w:rFonts w:ascii="Arial" w:cs="Arial" w:eastAsia="Arial" w:hAnsi="Arial"/>
                <w:sz w:val="14"/>
                <w:szCs w:val="14"/>
                <w:color w:val="auto"/>
              </w:rPr>
              <w:t>33.3 %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3,731</w:t>
            </w:r>
          </w:p>
        </w:tc>
        <w:tc>
          <w:tcPr>
            <w:tcW w:w="800" w:type="dxa"/>
            <w:vAlign w:val="bottom"/>
          </w:tcPr>
          <w:p>
            <w:pPr>
              <w:jc w:val="right"/>
              <w:spacing w:after="0"/>
              <w:rPr>
                <w:sz w:val="20"/>
                <w:szCs w:val="20"/>
                <w:color w:val="auto"/>
              </w:rPr>
            </w:pPr>
            <w:r>
              <w:rPr>
                <w:rFonts w:ascii="Arial" w:cs="Arial" w:eastAsia="Arial" w:hAnsi="Arial"/>
                <w:sz w:val="14"/>
                <w:szCs w:val="14"/>
                <w:color w:val="auto"/>
              </w:rPr>
              <w:t>31.0 %</w:t>
            </w:r>
          </w:p>
        </w:tc>
      </w:tr>
      <w:tr>
        <w:trPr>
          <w:trHeight w:val="219"/>
        </w:trPr>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9,403</w:t>
            </w:r>
          </w:p>
        </w:tc>
        <w:tc>
          <w:tcPr>
            <w:tcW w:w="800" w:type="dxa"/>
            <w:vAlign w:val="bottom"/>
          </w:tcPr>
          <w:p>
            <w:pPr>
              <w:jc w:val="right"/>
              <w:spacing w:after="0"/>
              <w:rPr>
                <w:sz w:val="20"/>
                <w:szCs w:val="20"/>
                <w:color w:val="auto"/>
              </w:rPr>
            </w:pPr>
            <w:r>
              <w:rPr>
                <w:rFonts w:ascii="Arial" w:cs="Arial" w:eastAsia="Arial" w:hAnsi="Arial"/>
                <w:sz w:val="14"/>
                <w:szCs w:val="14"/>
                <w:color w:val="auto"/>
              </w:rPr>
              <w:t>32.3 %</w:t>
            </w:r>
          </w:p>
        </w:tc>
      </w:tr>
    </w:tbl>
    <w:p>
      <w:pPr>
        <w:spacing w:after="0" w:line="406" w:lineRule="exact"/>
        <w:rPr>
          <w:sz w:val="20"/>
          <w:szCs w:val="20"/>
          <w:color w:val="auto"/>
        </w:rPr>
      </w:pPr>
    </w:p>
    <w:p>
      <w:pPr>
        <w:sectPr>
          <w:pgSz w:w="11900" w:h="16838" w:orient="portrait"/>
          <w:cols w:equalWidth="0" w:num="2">
            <w:col w:w="7660" w:space="100"/>
            <w:col w:w="2379"/>
          </w:cols>
          <w:pgMar w:left="320" w:top="1064"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S-5</w:t>
      </w:r>
    </w:p>
    <w:p>
      <w:pPr>
        <w:sectPr>
          <w:pgSz w:w="11900" w:h="16838" w:orient="portrait"/>
          <w:cols w:equalWidth="0" w:num="1">
            <w:col w:w="10139"/>
          </w:cols>
          <w:pgMar w:left="320" w:top="1064"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9"/>
          <w:szCs w:val="19"/>
          <w:color w:val="auto"/>
        </w:rPr>
        <w:t>Humana Inc.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5180" w:type="dxa"/>
            <w:vAlign w:val="bottom"/>
            <w:tcBorders>
              <w:right w:val="single" w:sz="8" w:color="auto"/>
            </w:tcBorders>
          </w:tcPr>
          <w:p>
            <w:pPr>
              <w:spacing w:after="0"/>
              <w:rPr>
                <w:sz w:val="12"/>
                <w:szCs w:val="12"/>
                <w:color w:val="auto"/>
              </w:rPr>
            </w:pPr>
          </w:p>
        </w:tc>
        <w:tc>
          <w:tcPr>
            <w:tcW w:w="2660" w:type="dxa"/>
            <w:vAlign w:val="bottom"/>
            <w:tcBorders>
              <w:top w:val="single" w:sz="8" w:color="auto"/>
              <w:right w:val="single" w:sz="8" w:color="auto"/>
            </w:tcBorders>
            <w:gridSpan w:val="4"/>
          </w:tcPr>
          <w:p>
            <w:pPr>
              <w:jc w:val="right"/>
              <w:spacing w:after="0" w:line="147" w:lineRule="exact"/>
              <w:rPr>
                <w:sz w:val="20"/>
                <w:szCs w:val="20"/>
                <w:color w:val="auto"/>
              </w:rPr>
            </w:pPr>
            <w:r>
              <w:rPr>
                <w:rFonts w:ascii="Arial" w:cs="Arial" w:eastAsia="Arial" w:hAnsi="Arial"/>
                <w:sz w:val="14"/>
                <w:szCs w:val="14"/>
                <w:b w:val="1"/>
                <w:bCs w:val="1"/>
                <w:color w:val="auto"/>
                <w:w w:val="98"/>
              </w:rPr>
              <w:t>For the three months ended September</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80" w:type="dxa"/>
            <w:vAlign w:val="bottom"/>
            <w:tcBorders>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4"/>
                <w:szCs w:val="14"/>
                <w:b w:val="1"/>
                <w:bCs w:val="1"/>
                <w:color w:val="auto"/>
              </w:rPr>
              <w:t>30,</w:t>
            </w:r>
          </w:p>
        </w:tc>
        <w:tc>
          <w:tcPr>
            <w:tcW w:w="500" w:type="dxa"/>
            <w:vAlign w:val="bottom"/>
            <w:tcBorders>
              <w:bottom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1"/>
              <w:spacing w:after="0"/>
              <w:rPr>
                <w:sz w:val="20"/>
                <w:szCs w:val="20"/>
                <w:color w:val="auto"/>
              </w:rPr>
            </w:pPr>
            <w:r>
              <w:rPr>
                <w:rFonts w:ascii="Arial" w:cs="Arial" w:eastAsia="Arial" w:hAnsi="Arial"/>
                <w:sz w:val="14"/>
                <w:szCs w:val="14"/>
                <w:color w:val="auto"/>
                <w:w w:val="98"/>
              </w:rPr>
              <w:t>Dollar</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73"/>
        </w:trPr>
        <w:tc>
          <w:tcPr>
            <w:tcW w:w="5180" w:type="dxa"/>
            <w:vAlign w:val="bottom"/>
            <w:tcBorders>
              <w:right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2020</w:t>
            </w:r>
          </w:p>
        </w:tc>
        <w:tc>
          <w:tcPr>
            <w:tcW w:w="5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w w:val="97"/>
              </w:rPr>
              <w:t>Change</w:t>
            </w: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62"/>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00497F"/>
              </w:rPr>
              <w:t>$</w:t>
            </w:r>
          </w:p>
        </w:tc>
        <w:tc>
          <w:tcPr>
            <w:tcW w:w="5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00497F"/>
              </w:rPr>
              <w:t>1,340</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Net income</w:t>
            </w:r>
          </w:p>
        </w:tc>
        <w:tc>
          <w:tcPr>
            <w:tcW w:w="840" w:type="dxa"/>
            <w:vAlign w:val="bottom"/>
            <w:vMerge w:val="continue"/>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820" w:type="dxa"/>
            <w:vAlign w:val="bottom"/>
          </w:tcPr>
          <w:p>
            <w:pPr>
              <w:jc w:val="right"/>
              <w:ind w:right="671"/>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689</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5180" w:type="dxa"/>
            <w:vAlign w:val="bottom"/>
            <w:tcBorders>
              <w:right w:val="single" w:sz="8" w:color="auto"/>
            </w:tcBorders>
          </w:tcPr>
          <w:p>
            <w:pPr>
              <w:ind w:left="340"/>
              <w:spacing w:after="0" w:line="145" w:lineRule="exact"/>
              <w:rPr>
                <w:sz w:val="20"/>
                <w:szCs w:val="20"/>
                <w:color w:val="auto"/>
              </w:rPr>
            </w:pPr>
            <w:r>
              <w:rPr>
                <w:rFonts w:ascii="Arial" w:cs="Arial" w:eastAsia="Arial" w:hAnsi="Arial"/>
                <w:sz w:val="14"/>
                <w:szCs w:val="14"/>
                <w:color w:val="auto"/>
              </w:rPr>
              <w:t>Adjustments to reconcile net income to net cash provided by operating</w:t>
            </w:r>
          </w:p>
        </w:tc>
        <w:tc>
          <w:tcPr>
            <w:tcW w:w="8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activities:</w:t>
            </w:r>
          </w:p>
        </w:tc>
        <w:tc>
          <w:tcPr>
            <w:tcW w:w="8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Depreciation</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138</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142</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Amortization</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23</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Net realized capital gains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(645)</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Equity in net earnings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(35)</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47</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5180" w:type="dxa"/>
            <w:vAlign w:val="bottom"/>
            <w:tcBorders>
              <w:right w:val="single" w:sz="8" w:color="auto"/>
            </w:tcBorders>
          </w:tcPr>
          <w:p>
            <w:pPr>
              <w:ind w:left="600"/>
              <w:spacing w:after="0" w:line="145" w:lineRule="exact"/>
              <w:rPr>
                <w:sz w:val="20"/>
                <w:szCs w:val="20"/>
                <w:color w:val="auto"/>
              </w:rPr>
            </w:pPr>
            <w:r>
              <w:rPr>
                <w:rFonts w:ascii="Arial" w:cs="Arial" w:eastAsia="Arial" w:hAnsi="Arial"/>
                <w:sz w:val="14"/>
                <w:szCs w:val="14"/>
                <w:color w:val="auto"/>
              </w:rPr>
              <w:t>Changes in operating assets and liabilities, net of effect of businesses</w:t>
            </w:r>
          </w:p>
        </w:tc>
        <w:tc>
          <w:tcPr>
            <w:tcW w:w="8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acquired and dispositions:</w:t>
            </w:r>
          </w:p>
        </w:tc>
        <w:tc>
          <w:tcPr>
            <w:tcW w:w="8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Receivables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1,103</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Other assets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577</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882</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Benefits payable</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228</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378</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Other liabilities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w w:val="94"/>
              </w:rPr>
              <w:t>(1,010)</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284</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Unearned revenues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21</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8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Other, net</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28</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1,815</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2,442</w:t>
            </w:r>
          </w:p>
        </w:tc>
        <w:tc>
          <w:tcPr>
            <w:tcW w:w="1180" w:type="dxa"/>
            <w:vAlign w:val="bottom"/>
            <w:gridSpan w:val="2"/>
          </w:tcPr>
          <w:p>
            <w:pPr>
              <w:jc w:val="center"/>
              <w:ind w:left="551"/>
              <w:spacing w:after="0"/>
              <w:rPr>
                <w:sz w:val="20"/>
                <w:szCs w:val="20"/>
                <w:color w:val="auto"/>
              </w:rPr>
            </w:pPr>
            <w:r>
              <w:rPr>
                <w:rFonts w:ascii="Arial" w:cs="Arial" w:eastAsia="Arial" w:hAnsi="Arial"/>
                <w:sz w:val="14"/>
                <w:szCs w:val="14"/>
                <w:color w:val="auto"/>
                <w:w w:val="98"/>
              </w:rPr>
              <w:t>($627)</w:t>
            </w:r>
          </w:p>
        </w:tc>
        <w:tc>
          <w:tcPr>
            <w:tcW w:w="980" w:type="dxa"/>
            <w:vAlign w:val="bottom"/>
          </w:tcPr>
          <w:p>
            <w:pPr>
              <w:jc w:val="right"/>
              <w:spacing w:after="0"/>
              <w:rPr>
                <w:sz w:val="20"/>
                <w:szCs w:val="20"/>
                <w:color w:val="auto"/>
              </w:rPr>
            </w:pPr>
            <w:r>
              <w:rPr>
                <w:rFonts w:ascii="Arial" w:cs="Arial" w:eastAsia="Arial" w:hAnsi="Arial"/>
                <w:sz w:val="14"/>
                <w:szCs w:val="14"/>
                <w:color w:val="auto"/>
              </w:rPr>
              <w:t>-25.7 %</w:t>
            </w:r>
          </w:p>
        </w:tc>
        <w:tc>
          <w:tcPr>
            <w:tcW w:w="0" w:type="dxa"/>
            <w:vAlign w:val="bottom"/>
          </w:tcPr>
          <w:p>
            <w:pPr>
              <w:spacing w:after="0"/>
              <w:rPr>
                <w:sz w:val="1"/>
                <w:szCs w:val="1"/>
                <w:color w:val="auto"/>
              </w:rPr>
            </w:pPr>
          </w:p>
        </w:tc>
      </w:tr>
      <w:tr>
        <w:trPr>
          <w:trHeight w:val="162"/>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14"/>
                <w:szCs w:val="14"/>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00497F"/>
              </w:rPr>
              <w:t>(250)</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Purchases of property and equipment, net</w:t>
            </w:r>
          </w:p>
        </w:tc>
        <w:tc>
          <w:tcPr>
            <w:tcW w:w="84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Purchases of investment securities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w w:val="94"/>
              </w:rPr>
              <w:t>(1,766)</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(995)</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Maturities of investment securities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1,855</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387</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sales of investment securities</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13</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(148)</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180" w:type="dxa"/>
            <w:vAlign w:val="bottom"/>
            <w:gridSpan w:val="2"/>
          </w:tcPr>
          <w:p>
            <w:pPr>
              <w:jc w:val="center"/>
              <w:ind w:left="551"/>
              <w:spacing w:after="0"/>
              <w:rPr>
                <w:sz w:val="20"/>
                <w:szCs w:val="20"/>
                <w:color w:val="auto"/>
              </w:rPr>
            </w:pPr>
            <w:r>
              <w:rPr>
                <w:rFonts w:ascii="Arial" w:cs="Arial" w:eastAsia="Arial" w:hAnsi="Arial"/>
                <w:sz w:val="14"/>
                <w:szCs w:val="14"/>
                <w:color w:val="auto"/>
              </w:rPr>
              <w:t>$418</w:t>
            </w:r>
          </w:p>
        </w:tc>
        <w:tc>
          <w:tcPr>
            <w:tcW w:w="980" w:type="dxa"/>
            <w:vAlign w:val="bottom"/>
          </w:tcPr>
          <w:p>
            <w:pPr>
              <w:jc w:val="right"/>
              <w:spacing w:after="0"/>
              <w:rPr>
                <w:sz w:val="20"/>
                <w:szCs w:val="20"/>
                <w:color w:val="auto"/>
              </w:rPr>
            </w:pPr>
            <w:r>
              <w:rPr>
                <w:rFonts w:ascii="Arial" w:cs="Arial" w:eastAsia="Arial" w:hAnsi="Arial"/>
                <w:sz w:val="14"/>
                <w:szCs w:val="14"/>
                <w:color w:val="auto"/>
              </w:rPr>
              <w:t>73.9 %</w:t>
            </w:r>
          </w:p>
        </w:tc>
        <w:tc>
          <w:tcPr>
            <w:tcW w:w="0" w:type="dxa"/>
            <w:vAlign w:val="bottom"/>
          </w:tcPr>
          <w:p>
            <w:pPr>
              <w:spacing w:after="0"/>
              <w:rPr>
                <w:sz w:val="1"/>
                <w:szCs w:val="1"/>
                <w:color w:val="auto"/>
              </w:rPr>
            </w:pPr>
          </w:p>
        </w:tc>
      </w:tr>
      <w:tr>
        <w:trPr>
          <w:trHeight w:val="162"/>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Pr>
          <w:p>
            <w:pPr>
              <w:spacing w:after="0"/>
              <w:rPr>
                <w:sz w:val="14"/>
                <w:szCs w:val="14"/>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00497F"/>
              </w:rPr>
              <w:t>(663)</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Withdrawals from contract deposits, net</w:t>
            </w:r>
          </w:p>
        </w:tc>
        <w:tc>
          <w:tcPr>
            <w:tcW w:w="84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(462)</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Repayment of commercial paper, net</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issuance of senior notes, net</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987</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Repayment of term loan</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Change in book overdraft</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(96)</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Common stock repurchases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(5)</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(1,000)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Dividends paid</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(83)</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stock option exercises and other</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2</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(845)</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(1,127)</w:t>
            </w:r>
          </w:p>
        </w:tc>
        <w:tc>
          <w:tcPr>
            <w:tcW w:w="1180" w:type="dxa"/>
            <w:vAlign w:val="bottom"/>
            <w:gridSpan w:val="2"/>
          </w:tcPr>
          <w:p>
            <w:pPr>
              <w:jc w:val="center"/>
              <w:ind w:left="551"/>
              <w:spacing w:after="0"/>
              <w:rPr>
                <w:sz w:val="20"/>
                <w:szCs w:val="20"/>
                <w:color w:val="auto"/>
              </w:rPr>
            </w:pPr>
            <w:r>
              <w:rPr>
                <w:rFonts w:ascii="Arial" w:cs="Arial" w:eastAsia="Arial" w:hAnsi="Arial"/>
                <w:sz w:val="14"/>
                <w:szCs w:val="14"/>
                <w:color w:val="auto"/>
              </w:rPr>
              <w:t>$282</w:t>
            </w:r>
          </w:p>
        </w:tc>
        <w:tc>
          <w:tcPr>
            <w:tcW w:w="980" w:type="dxa"/>
            <w:vAlign w:val="bottom"/>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75"/>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Increase in cash and cash equivalents</w:t>
            </w:r>
          </w:p>
        </w:tc>
        <w:tc>
          <w:tcPr>
            <w:tcW w:w="840" w:type="dxa"/>
            <w:vAlign w:val="bottom"/>
          </w:tcPr>
          <w:p>
            <w:pPr>
              <w:spacing w:after="0"/>
              <w:rPr>
                <w:sz w:val="15"/>
                <w:szCs w:val="15"/>
                <w:color w:val="auto"/>
              </w:rPr>
            </w:pPr>
          </w:p>
        </w:tc>
        <w:tc>
          <w:tcPr>
            <w:tcW w:w="50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822</w:t>
            </w:r>
          </w:p>
        </w:tc>
        <w:tc>
          <w:tcPr>
            <w:tcW w:w="82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749</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7,163</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4,778</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8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00497F"/>
              </w:rPr>
              <w:t>$</w:t>
            </w:r>
          </w:p>
        </w:tc>
        <w:tc>
          <w:tcPr>
            <w:tcW w:w="5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b w:val="1"/>
                <w:bCs w:val="1"/>
                <w:color w:val="00497F"/>
              </w:rPr>
              <w:t>7,985</w:t>
            </w:r>
          </w:p>
        </w:tc>
        <w:tc>
          <w:tcPr>
            <w:tcW w:w="8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5,527</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S-6</w:t>
      </w:r>
    </w:p>
    <w:p>
      <w:pPr>
        <w:sectPr>
          <w:pgSz w:w="11900" w:h="16838" w:orient="portrait"/>
          <w:cols w:equalWidth="0" w:num="1">
            <w:col w:w="10139"/>
          </w:cols>
          <w:pgMar w:left="320" w:top="484" w:right="1440" w:bottom="1440" w:gutter="0" w:footer="0" w:header="0"/>
        </w:sectPr>
      </w:pPr>
    </w:p>
    <w:bookmarkStart w:id="44" w:name="page45"/>
    <w:bookmarkEnd w:id="44"/>
    <w:p>
      <w:pPr>
        <w:spacing w:after="0"/>
        <w:rPr>
          <w:sz w:val="20"/>
          <w:szCs w:val="20"/>
          <w:color w:val="auto"/>
        </w:rPr>
      </w:pPr>
      <w:r>
        <w:rPr>
          <w:rFonts w:ascii="Arial" w:cs="Arial" w:eastAsia="Arial" w:hAnsi="Arial"/>
          <w:sz w:val="19"/>
          <w:szCs w:val="19"/>
          <w:color w:val="auto"/>
        </w:rPr>
        <w:t>Humana Inc.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5360" w:type="dxa"/>
            <w:vAlign w:val="bottom"/>
            <w:tcBorders>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60" w:type="dxa"/>
            <w:vAlign w:val="bottom"/>
            <w:tcBorders>
              <w:top w:val="single" w:sz="8" w:color="auto"/>
              <w:right w:val="single" w:sz="8" w:color="auto"/>
            </w:tcBorders>
            <w:gridSpan w:val="3"/>
          </w:tcPr>
          <w:p>
            <w:pPr>
              <w:jc w:val="right"/>
              <w:ind w:right="291"/>
              <w:spacing w:after="0" w:line="147" w:lineRule="exact"/>
              <w:rPr>
                <w:sz w:val="20"/>
                <w:szCs w:val="20"/>
                <w:color w:val="auto"/>
              </w:rPr>
            </w:pPr>
            <w:r>
              <w:rPr>
                <w:rFonts w:ascii="Arial" w:cs="Arial" w:eastAsia="Arial" w:hAnsi="Arial"/>
                <w:sz w:val="14"/>
                <w:szCs w:val="14"/>
                <w:b w:val="1"/>
                <w:bCs w:val="1"/>
                <w:color w:val="auto"/>
              </w:rPr>
              <w:t>For the nine months ended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color w:val="auto"/>
              </w:rPr>
              <w:t>Dollar</w:t>
            </w:r>
          </w:p>
        </w:tc>
        <w:tc>
          <w:tcPr>
            <w:tcW w:w="920" w:type="dxa"/>
            <w:vAlign w:val="bottom"/>
          </w:tcPr>
          <w:p>
            <w:pPr>
              <w:jc w:val="right"/>
              <w:ind w:right="211"/>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73"/>
        </w:trPr>
        <w:tc>
          <w:tcPr>
            <w:tcW w:w="536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4"/>
                <w:szCs w:val="14"/>
                <w:b w:val="1"/>
                <w:bCs w:val="1"/>
                <w:color w:val="00497F"/>
              </w:rPr>
              <w:t>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Change</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62"/>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00497F"/>
                <w:w w:val="76"/>
              </w:rPr>
              <w:t>$</w:t>
            </w:r>
          </w:p>
        </w:tc>
        <w:tc>
          <w:tcPr>
            <w:tcW w:w="1020" w:type="dxa"/>
            <w:vAlign w:val="bottom"/>
            <w:tcBorders>
              <w:right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00497F"/>
              </w:rPr>
              <w:t>3,641</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Net income</w:t>
            </w:r>
          </w:p>
        </w:tc>
        <w:tc>
          <w:tcPr>
            <w:tcW w:w="200" w:type="dxa"/>
            <w:vAlign w:val="bottom"/>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0" w:type="dxa"/>
            <w:vAlign w:val="bottom"/>
          </w:tcPr>
          <w:p>
            <w:pPr>
              <w:jc w:val="right"/>
              <w:ind w:right="61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2,195</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390</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382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66</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Net realized capital gains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(696)</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Equity in net earnings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(68)</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129</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Benefit for deferred income taxes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5360" w:type="dxa"/>
            <w:vAlign w:val="bottom"/>
            <w:tcBorders>
              <w:right w:val="single" w:sz="8" w:color="auto"/>
            </w:tcBorders>
          </w:tcPr>
          <w:p>
            <w:pPr>
              <w:ind w:left="600"/>
              <w:spacing w:after="0" w:line="145" w:lineRule="exact"/>
              <w:rPr>
                <w:sz w:val="20"/>
                <w:szCs w:val="20"/>
                <w:color w:val="auto"/>
              </w:rPr>
            </w:pPr>
            <w:r>
              <w:rPr>
                <w:rFonts w:ascii="Arial" w:cs="Arial" w:eastAsia="Arial" w:hAnsi="Arial"/>
                <w:sz w:val="14"/>
                <w:szCs w:val="14"/>
                <w:color w:val="auto"/>
              </w:rPr>
              <w:t>Changes in operating assets and liabilities, net of effect of businesses</w:t>
            </w: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acquired and dispositions:</w:t>
            </w:r>
          </w:p>
        </w:tc>
        <w:tc>
          <w:tcPr>
            <w:tcW w:w="2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Receivables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(82)</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(1,547)</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334</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Benefits payable</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2,204</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1,358</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1,257</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1020"/>
              <w:spacing w:after="0"/>
              <w:rPr>
                <w:sz w:val="20"/>
                <w:szCs w:val="20"/>
                <w:color w:val="auto"/>
              </w:rPr>
            </w:pPr>
            <w:r>
              <w:rPr>
                <w:rFonts w:ascii="Arial" w:cs="Arial" w:eastAsia="Arial" w:hAnsi="Arial"/>
                <w:sz w:val="14"/>
                <w:szCs w:val="14"/>
                <w:color w:val="auto"/>
              </w:rPr>
              <w:t>Unearned revenues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40</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6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Other, net</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25</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5,356</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4,772</w:t>
            </w:r>
          </w:p>
        </w:tc>
        <w:tc>
          <w:tcPr>
            <w:tcW w:w="1240" w:type="dxa"/>
            <w:vAlign w:val="bottom"/>
            <w:gridSpan w:val="2"/>
          </w:tcPr>
          <w:p>
            <w:pPr>
              <w:jc w:val="right"/>
              <w:ind w:right="111"/>
              <w:spacing w:after="0"/>
              <w:rPr>
                <w:sz w:val="20"/>
                <w:szCs w:val="20"/>
                <w:color w:val="auto"/>
              </w:rPr>
            </w:pPr>
            <w:r>
              <w:rPr>
                <w:rFonts w:ascii="Arial" w:cs="Arial" w:eastAsia="Arial" w:hAnsi="Arial"/>
                <w:sz w:val="14"/>
                <w:szCs w:val="14"/>
                <w:color w:val="auto"/>
              </w:rPr>
              <w:t>$584</w:t>
            </w:r>
          </w:p>
        </w:tc>
        <w:tc>
          <w:tcPr>
            <w:tcW w:w="920" w:type="dxa"/>
            <w:vAlign w:val="bottom"/>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62"/>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14"/>
                <w:szCs w:val="14"/>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00497F"/>
              </w:rPr>
              <w:t>(709)</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Purchases of property and equipment, net</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(668)</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(506)</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Purchases of investment securities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(7,230)</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(4,130)</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Maturities of investment securities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3,500</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1,281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sales of investment securities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2,097</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2,878</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(3,010)</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240" w:type="dxa"/>
            <w:vAlign w:val="bottom"/>
            <w:gridSpan w:val="2"/>
          </w:tcPr>
          <w:p>
            <w:pPr>
              <w:jc w:val="right"/>
              <w:ind w:right="71"/>
              <w:spacing w:after="0"/>
              <w:rPr>
                <w:sz w:val="20"/>
                <w:szCs w:val="20"/>
                <w:color w:val="auto"/>
              </w:rPr>
            </w:pPr>
            <w:r>
              <w:rPr>
                <w:rFonts w:ascii="Arial" w:cs="Arial" w:eastAsia="Arial" w:hAnsi="Arial"/>
                <w:sz w:val="14"/>
                <w:szCs w:val="14"/>
                <w:color w:val="auto"/>
              </w:rPr>
              <w:t>($2,533)</w:t>
            </w:r>
          </w:p>
        </w:tc>
        <w:tc>
          <w:tcPr>
            <w:tcW w:w="920" w:type="dxa"/>
            <w:vAlign w:val="bottom"/>
          </w:tcPr>
          <w:p>
            <w:pPr>
              <w:jc w:val="right"/>
              <w:spacing w:after="0"/>
              <w:rPr>
                <w:sz w:val="20"/>
                <w:szCs w:val="20"/>
                <w:color w:val="auto"/>
              </w:rPr>
            </w:pPr>
            <w:r>
              <w:rPr>
                <w:rFonts w:ascii="Arial" w:cs="Arial" w:eastAsia="Arial" w:hAnsi="Arial"/>
                <w:sz w:val="14"/>
                <w:szCs w:val="14"/>
                <w:color w:val="auto"/>
              </w:rPr>
              <w:t>-531.0 %</w:t>
            </w:r>
          </w:p>
        </w:tc>
        <w:tc>
          <w:tcPr>
            <w:tcW w:w="0" w:type="dxa"/>
            <w:vAlign w:val="bottom"/>
          </w:tcPr>
          <w:p>
            <w:pPr>
              <w:spacing w:after="0"/>
              <w:rPr>
                <w:sz w:val="1"/>
                <w:szCs w:val="1"/>
                <w:color w:val="auto"/>
              </w:rPr>
            </w:pPr>
          </w:p>
        </w:tc>
      </w:tr>
      <w:tr>
        <w:trPr>
          <w:trHeight w:val="162"/>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4"/>
                <w:szCs w:val="14"/>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00497F"/>
              </w:rPr>
              <w:t>(274)</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(Withdrawals) receipts from contract deposits, net</w:t>
            </w:r>
          </w:p>
        </w:tc>
        <w:tc>
          <w:tcPr>
            <w:tcW w:w="20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(repayment) from the issuance of commercial paper, net</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21</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(358)</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issuance of senior notes, net</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1,088</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987</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issuance of term loan</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1,000</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Repayment of term loan</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(650)</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Change in book overdraft</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(11)</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Common stock repurchases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(30)</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(1,010)</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(239)</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(216)</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Proceeds from stock option exercises and other</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30</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1,585</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(1,111)</w:t>
            </w:r>
          </w:p>
        </w:tc>
        <w:tc>
          <w:tcPr>
            <w:tcW w:w="1240" w:type="dxa"/>
            <w:vAlign w:val="bottom"/>
            <w:gridSpan w:val="2"/>
          </w:tcPr>
          <w:p>
            <w:pPr>
              <w:jc w:val="right"/>
              <w:ind w:right="111"/>
              <w:spacing w:after="0"/>
              <w:rPr>
                <w:sz w:val="20"/>
                <w:szCs w:val="20"/>
                <w:color w:val="auto"/>
              </w:rPr>
            </w:pPr>
            <w:r>
              <w:rPr>
                <w:rFonts w:ascii="Arial" w:cs="Arial" w:eastAsia="Arial" w:hAnsi="Arial"/>
                <w:sz w:val="14"/>
                <w:szCs w:val="14"/>
                <w:color w:val="auto"/>
              </w:rPr>
              <w:t>$2,696</w:t>
            </w:r>
          </w:p>
        </w:tc>
        <w:tc>
          <w:tcPr>
            <w:tcW w:w="920" w:type="dxa"/>
            <w:vAlign w:val="bottom"/>
          </w:tcPr>
          <w:p>
            <w:pPr>
              <w:jc w:val="right"/>
              <w:spacing w:after="0"/>
              <w:rPr>
                <w:sz w:val="20"/>
                <w:szCs w:val="20"/>
                <w:color w:val="auto"/>
              </w:rPr>
            </w:pPr>
            <w:r>
              <w:rPr>
                <w:rFonts w:ascii="Arial" w:cs="Arial" w:eastAsia="Arial" w:hAnsi="Arial"/>
                <w:sz w:val="14"/>
                <w:szCs w:val="14"/>
                <w:color w:val="auto"/>
              </w:rPr>
              <w:t>-242.7 %</w:t>
            </w:r>
          </w:p>
        </w:tc>
        <w:tc>
          <w:tcPr>
            <w:tcW w:w="0" w:type="dxa"/>
            <w:vAlign w:val="bottom"/>
          </w:tcPr>
          <w:p>
            <w:pPr>
              <w:spacing w:after="0"/>
              <w:rPr>
                <w:sz w:val="1"/>
                <w:szCs w:val="1"/>
                <w:color w:val="auto"/>
              </w:rPr>
            </w:pPr>
          </w:p>
        </w:tc>
      </w:tr>
      <w:tr>
        <w:trPr>
          <w:trHeight w:val="175"/>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Increase in cash and cash equivalents</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3,931</w:t>
            </w:r>
          </w:p>
        </w:tc>
        <w:tc>
          <w:tcPr>
            <w:tcW w:w="76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3,184</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4,054</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2,343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00497F"/>
                <w:w w:val="76"/>
              </w:rPr>
              <w:t>$</w:t>
            </w:r>
          </w:p>
        </w:tc>
        <w:tc>
          <w:tcPr>
            <w:tcW w:w="10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7,985</w:t>
            </w:r>
          </w:p>
        </w:tc>
        <w:tc>
          <w:tcPr>
            <w:tcW w:w="7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5,527</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S-7</w:t>
      </w:r>
    </w:p>
    <w:p>
      <w:pPr>
        <w:sectPr>
          <w:pgSz w:w="11900" w:h="16838" w:orient="portrait"/>
          <w:cols w:equalWidth="0" w:num="1">
            <w:col w:w="10139"/>
          </w:cols>
          <w:pgMar w:left="320" w:top="484" w:right="1440" w:bottom="1440" w:gutter="0" w:footer="0" w:header="0"/>
        </w:sectPr>
      </w:pPr>
    </w:p>
    <w:bookmarkStart w:id="45" w:name="page46"/>
    <w:bookmarkEnd w:id="45"/>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Consolidating Statements of Income—For the three months ended September 30, 2020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millions</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Group and</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Healthcare</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5"/>
                <w:szCs w:val="15"/>
                <w:b w:val="1"/>
                <w:bCs w:val="1"/>
                <w:color w:val="auto"/>
              </w:rPr>
              <w:t>Retail</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Specialty</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Services</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Corporate</w:t>
            </w:r>
          </w:p>
        </w:tc>
        <w:tc>
          <w:tcPr>
            <w:tcW w:w="120" w:type="dxa"/>
            <w:vAlign w:val="bottom"/>
          </w:tcPr>
          <w:p>
            <w:pPr>
              <w:spacing w:after="0"/>
              <w:rPr>
                <w:sz w:val="17"/>
                <w:szCs w:val="17"/>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Individual Medicare Advantage</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12,949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12,949</w:t>
            </w:r>
          </w:p>
        </w:tc>
        <w:tc>
          <w:tcPr>
            <w:tcW w:w="0" w:type="dxa"/>
            <w:vAlign w:val="bottom"/>
          </w:tcPr>
          <w:p>
            <w:pPr>
              <w:spacing w:after="0"/>
              <w:rPr>
                <w:sz w:val="1"/>
                <w:szCs w:val="1"/>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Group Medicare Advantage</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1,880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Arial" w:cs="Arial" w:eastAsia="Arial" w:hAnsi="Arial"/>
                <w:sz w:val="14"/>
                <w:szCs w:val="14"/>
                <w:color w:val="auto"/>
              </w:rPr>
              <w:t>Medicare stand-alone PDP</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b w:val="1"/>
                <w:bCs w:val="1"/>
                <w:color w:val="auto"/>
              </w:rPr>
              <w:t>Total Medicare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15,451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15,451</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4"/>
                <w:szCs w:val="14"/>
                <w:color w:val="auto"/>
              </w:rPr>
              <w:t>Fully-insured</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1,169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Arial" w:cs="Arial" w:eastAsia="Arial" w:hAnsi="Arial"/>
                <w:sz w:val="14"/>
                <w:szCs w:val="14"/>
                <w:color w:val="auto"/>
              </w:rPr>
              <w:t>Medicaid and other (C)</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b w:val="1"/>
                <w:bCs w:val="1"/>
                <w:color w:val="auto"/>
              </w:rPr>
              <w:t>Total premiums</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16,709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162"/>
        </w:trPr>
        <w:tc>
          <w:tcPr>
            <w:tcW w:w="306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Provider</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ASO and other (D)</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Arial" w:cs="Arial" w:eastAsia="Arial" w:hAnsi="Arial"/>
                <w:sz w:val="14"/>
                <w:szCs w:val="14"/>
                <w:color w:val="auto"/>
              </w:rPr>
              <w:t>Pharmacy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b w:val="1"/>
                <w:bCs w:val="1"/>
                <w:color w:val="auto"/>
              </w:rPr>
              <w:t>Total services revenue</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16,713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1,782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19,361</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4,852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Arial" w:cs="Arial" w:eastAsia="Arial" w:hAnsi="Arial"/>
                <w:sz w:val="14"/>
                <w:szCs w:val="14"/>
                <w:color w:val="auto"/>
              </w:rPr>
              <w:t>Products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color w:val="auto"/>
              </w:rPr>
              <w:t>Investment income</w:t>
            </w: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16,741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1,794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7,131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20,075</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14,224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15,611</w:t>
            </w: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6,871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79"/>
        </w:trPr>
        <w:tc>
          <w:tcPr>
            <w:tcW w:w="306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3"/>
        </w:trPr>
        <w:tc>
          <w:tcPr>
            <w:tcW w:w="3060" w:type="dxa"/>
            <w:vAlign w:val="bottom"/>
          </w:tcPr>
          <w:p>
            <w:pPr>
              <w:ind w:left="18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16,188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1,954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6,917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18,252</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20"/>
                <w:szCs w:val="20"/>
                <w:color w:val="auto"/>
              </w:rPr>
            </w:pPr>
            <w:r>
              <w:rPr>
                <w:rFonts w:ascii="Arial" w:cs="Arial" w:eastAsia="Arial" w:hAnsi="Arial"/>
                <w:sz w:val="14"/>
                <w:szCs w:val="14"/>
                <w:color w:val="auto"/>
              </w:rPr>
              <w:t>Other income, net (A)</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4"/>
                <w:szCs w:val="14"/>
                <w:b w:val="1"/>
                <w:bCs w:val="1"/>
                <w:color w:val="auto"/>
              </w:rPr>
              <w:t>Income (loss) before income taxes and equity</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Arial" w:cs="Arial" w:eastAsia="Arial" w:hAnsi="Arial"/>
                <w:sz w:val="14"/>
                <w:szCs w:val="14"/>
                <w:b w:val="1"/>
                <w:bCs w:val="1"/>
                <w:color w:val="auto"/>
              </w:rPr>
              <w:t>in net earnings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color w:val="auto"/>
              </w:rPr>
              <w:t>Equity in net earnings (B)</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Segment earnings (loss)</w:t>
            </w: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82.6 %</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S-8</w:t>
      </w:r>
    </w:p>
    <w:p>
      <w:pPr>
        <w:sectPr>
          <w:pgSz w:w="11900" w:h="16838" w:orient="portrait"/>
          <w:cols w:equalWidth="0" w:num="1">
            <w:col w:w="10139"/>
          </w:cols>
          <w:pgMar w:left="320" w:top="1069" w:right="1440" w:bottom="1440" w:gutter="0" w:footer="0" w:header="0"/>
        </w:sectPr>
      </w:pPr>
    </w:p>
    <w:bookmarkStart w:id="46" w:name="page47"/>
    <w:bookmarkEnd w:id="46"/>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Consolidating Statements of Income—For the three months ended September 30, 2019</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millions</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Group and</w:t>
            </w: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Healthcare</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Specialty</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Services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Corporate</w:t>
            </w:r>
          </w:p>
        </w:tc>
        <w:tc>
          <w:tcPr>
            <w:tcW w:w="120" w:type="dxa"/>
            <w:vAlign w:val="bottom"/>
          </w:tcPr>
          <w:p>
            <w:pPr>
              <w:spacing w:after="0"/>
              <w:rPr>
                <w:sz w:val="17"/>
                <w:szCs w:val="17"/>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Individual Medicare Advantage</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10,752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Group Medicare Advantage</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179"/>
        </w:trPr>
        <w:tc>
          <w:tcPr>
            <w:tcW w:w="3060" w:type="dxa"/>
            <w:vAlign w:val="bottom"/>
          </w:tcPr>
          <w:p>
            <w:pPr>
              <w:ind w:left="300"/>
              <w:spacing w:after="0"/>
              <w:rPr>
                <w:sz w:val="20"/>
                <w:szCs w:val="20"/>
                <w:color w:val="auto"/>
              </w:rPr>
            </w:pPr>
            <w:r>
              <w:rPr>
                <w:rFonts w:ascii="Arial" w:cs="Arial" w:eastAsia="Arial" w:hAnsi="Arial"/>
                <w:sz w:val="14"/>
                <w:szCs w:val="14"/>
                <w:color w:val="auto"/>
              </w:rPr>
              <w:t>Medicare stand-alone PDP</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73"/>
        </w:trPr>
        <w:tc>
          <w:tcPr>
            <w:tcW w:w="3060" w:type="dxa"/>
            <w:vAlign w:val="bottom"/>
          </w:tcPr>
          <w:p>
            <w:pPr>
              <w:ind w:left="400"/>
              <w:spacing w:after="0"/>
              <w:rPr>
                <w:sz w:val="20"/>
                <w:szCs w:val="20"/>
                <w:color w:val="auto"/>
              </w:rPr>
            </w:pPr>
            <w:r>
              <w:rPr>
                <w:rFonts w:ascii="Arial" w:cs="Arial" w:eastAsia="Arial" w:hAnsi="Arial"/>
                <w:sz w:val="14"/>
                <w:szCs w:val="14"/>
                <w:b w:val="1"/>
                <w:bCs w:val="1"/>
                <w:color w:val="auto"/>
              </w:rPr>
              <w:t>Total Medicare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13,142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13,142</w:t>
            </w:r>
          </w:p>
        </w:tc>
        <w:tc>
          <w:tcPr>
            <w:tcW w:w="0" w:type="dxa"/>
            <w:vAlign w:val="bottom"/>
          </w:tcPr>
          <w:p>
            <w:pPr>
              <w:spacing w:after="0"/>
              <w:rPr>
                <w:sz w:val="1"/>
                <w:szCs w:val="1"/>
                <w:color w:val="auto"/>
              </w:rPr>
            </w:pPr>
          </w:p>
        </w:tc>
      </w:tr>
      <w:tr>
        <w:trPr>
          <w:trHeight w:val="175"/>
        </w:trPr>
        <w:tc>
          <w:tcPr>
            <w:tcW w:w="3060" w:type="dxa"/>
            <w:vAlign w:val="bottom"/>
          </w:tcPr>
          <w:p>
            <w:pPr>
              <w:ind w:left="300"/>
              <w:spacing w:after="0"/>
              <w:rPr>
                <w:sz w:val="20"/>
                <w:szCs w:val="20"/>
                <w:color w:val="auto"/>
              </w:rPr>
            </w:pPr>
            <w:r>
              <w:rPr>
                <w:rFonts w:ascii="Arial" w:cs="Arial" w:eastAsia="Arial" w:hAnsi="Arial"/>
                <w:sz w:val="14"/>
                <w:szCs w:val="14"/>
                <w:color w:val="auto"/>
              </w:rPr>
              <w:t>Fully-insured</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9"/>
        </w:trPr>
        <w:tc>
          <w:tcPr>
            <w:tcW w:w="3060" w:type="dxa"/>
            <w:vAlign w:val="bottom"/>
          </w:tcPr>
          <w:p>
            <w:pPr>
              <w:ind w:left="300"/>
              <w:spacing w:after="0"/>
              <w:rPr>
                <w:sz w:val="20"/>
                <w:szCs w:val="20"/>
                <w:color w:val="auto"/>
              </w:rPr>
            </w:pPr>
            <w:r>
              <w:rPr>
                <w:rFonts w:ascii="Arial" w:cs="Arial" w:eastAsia="Arial" w:hAnsi="Arial"/>
                <w:sz w:val="14"/>
                <w:szCs w:val="14"/>
                <w:color w:val="auto"/>
              </w:rPr>
              <w:t>Medicaid and other (C)</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73"/>
        </w:trPr>
        <w:tc>
          <w:tcPr>
            <w:tcW w:w="3060" w:type="dxa"/>
            <w:vAlign w:val="bottom"/>
          </w:tcPr>
          <w:p>
            <w:pPr>
              <w:ind w:left="400"/>
              <w:spacing w:after="0"/>
              <w:rPr>
                <w:sz w:val="20"/>
                <w:szCs w:val="20"/>
                <w:color w:val="auto"/>
              </w:rPr>
            </w:pPr>
            <w:r>
              <w:rPr>
                <w:rFonts w:ascii="Arial" w:cs="Arial" w:eastAsia="Arial" w:hAnsi="Arial"/>
                <w:sz w:val="14"/>
                <w:szCs w:val="14"/>
                <w:b w:val="1"/>
                <w:bCs w:val="1"/>
                <w:color w:val="auto"/>
              </w:rPr>
              <w:t>Total premiums</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14,034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15,712</w:t>
            </w:r>
          </w:p>
        </w:tc>
        <w:tc>
          <w:tcPr>
            <w:tcW w:w="0" w:type="dxa"/>
            <w:vAlign w:val="bottom"/>
          </w:tcPr>
          <w:p>
            <w:pPr>
              <w:spacing w:after="0"/>
              <w:rPr>
                <w:sz w:val="1"/>
                <w:szCs w:val="1"/>
                <w:color w:val="auto"/>
              </w:rPr>
            </w:pPr>
          </w:p>
        </w:tc>
      </w:tr>
      <w:tr>
        <w:trPr>
          <w:trHeight w:val="162"/>
        </w:trPr>
        <w:tc>
          <w:tcPr>
            <w:tcW w:w="306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Provider</w:t>
            </w:r>
          </w:p>
        </w:tc>
        <w:tc>
          <w:tcPr>
            <w:tcW w:w="2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136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ASO and other (D)</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79"/>
        </w:trPr>
        <w:tc>
          <w:tcPr>
            <w:tcW w:w="3060" w:type="dxa"/>
            <w:vAlign w:val="bottom"/>
          </w:tcPr>
          <w:p>
            <w:pPr>
              <w:ind w:left="300"/>
              <w:spacing w:after="0"/>
              <w:rPr>
                <w:sz w:val="20"/>
                <w:szCs w:val="20"/>
                <w:color w:val="auto"/>
              </w:rPr>
            </w:pPr>
            <w:r>
              <w:rPr>
                <w:rFonts w:ascii="Arial" w:cs="Arial" w:eastAsia="Arial" w:hAnsi="Arial"/>
                <w:sz w:val="14"/>
                <w:szCs w:val="14"/>
                <w:color w:val="auto"/>
              </w:rPr>
              <w:t>Pharmacy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3"/>
        </w:trPr>
        <w:tc>
          <w:tcPr>
            <w:tcW w:w="3060" w:type="dxa"/>
            <w:vAlign w:val="bottom"/>
          </w:tcPr>
          <w:p>
            <w:pPr>
              <w:ind w:left="400"/>
              <w:spacing w:after="0"/>
              <w:rPr>
                <w:sz w:val="20"/>
                <w:szCs w:val="20"/>
                <w:color w:val="auto"/>
              </w:rPr>
            </w:pPr>
            <w:r>
              <w:rPr>
                <w:rFonts w:ascii="Arial" w:cs="Arial" w:eastAsia="Arial" w:hAnsi="Arial"/>
                <w:sz w:val="14"/>
                <w:szCs w:val="14"/>
                <w:b w:val="1"/>
                <w:bCs w:val="1"/>
                <w:color w:val="auto"/>
              </w:rPr>
              <w:t>Total services revenue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14,038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1,878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16,105</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4,654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060" w:type="dxa"/>
            <w:vAlign w:val="bottom"/>
          </w:tcPr>
          <w:p>
            <w:pPr>
              <w:ind w:left="100"/>
              <w:spacing w:after="0"/>
              <w:rPr>
                <w:sz w:val="20"/>
                <w:szCs w:val="20"/>
                <w:color w:val="auto"/>
              </w:rPr>
            </w:pPr>
            <w:r>
              <w:rPr>
                <w:rFonts w:ascii="Arial" w:cs="Arial" w:eastAsia="Arial" w:hAnsi="Arial"/>
                <w:sz w:val="14"/>
                <w:szCs w:val="14"/>
                <w:color w:val="auto"/>
              </w:rPr>
              <w:t>Products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1,759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6,413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14,088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1,889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6,602</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16,241</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12,050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13,357</w:t>
            </w: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6,348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179"/>
        </w:trPr>
        <w:tc>
          <w:tcPr>
            <w:tcW w:w="306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3"/>
        </w:trPr>
        <w:tc>
          <w:tcPr>
            <w:tcW w:w="3060" w:type="dxa"/>
            <w:vAlign w:val="bottom"/>
          </w:tcPr>
          <w:p>
            <w:pPr>
              <w:ind w:left="18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13,449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6,391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15,373</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Pr>
          <w:p>
            <w:pPr>
              <w:spacing w:after="0"/>
              <w:rPr>
                <w:sz w:val="15"/>
                <w:szCs w:val="15"/>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20"/>
                <w:szCs w:val="20"/>
                <w:color w:val="auto"/>
              </w:rPr>
            </w:pPr>
            <w:r>
              <w:rPr>
                <w:rFonts w:ascii="Arial" w:cs="Arial" w:eastAsia="Arial" w:hAnsi="Arial"/>
                <w:sz w:val="14"/>
                <w:szCs w:val="14"/>
                <w:color w:val="auto"/>
              </w:rPr>
              <w:t>Other income, net (A)</w:t>
            </w:r>
          </w:p>
        </w:tc>
        <w:tc>
          <w:tcPr>
            <w:tcW w:w="2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4"/>
                <w:szCs w:val="14"/>
                <w:b w:val="1"/>
                <w:bCs w:val="1"/>
                <w:color w:val="auto"/>
              </w:rPr>
              <w:t>Income before income taxes and equity in net</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300"/>
              <w:spacing w:after="0"/>
              <w:rPr>
                <w:sz w:val="20"/>
                <w:szCs w:val="20"/>
                <w:color w:val="auto"/>
              </w:rPr>
            </w:pPr>
            <w:r>
              <w:rPr>
                <w:rFonts w:ascii="Arial" w:cs="Arial" w:eastAsia="Arial" w:hAnsi="Arial"/>
                <w:sz w:val="14"/>
                <w:szCs w:val="14"/>
                <w:color w:val="auto"/>
              </w:rPr>
              <w:t>Equity in net earnings (B)</w:t>
            </w:r>
          </w:p>
        </w:tc>
        <w:tc>
          <w:tcPr>
            <w:tcW w:w="2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212</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85.0 %</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96.2 %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S-9</w:t>
      </w:r>
    </w:p>
    <w:p>
      <w:pPr>
        <w:sectPr>
          <w:pgSz w:w="11900" w:h="16838" w:orient="portrait"/>
          <w:cols w:equalWidth="0" w:num="1">
            <w:col w:w="10139"/>
          </w:cols>
          <w:pgMar w:left="320" w:top="1069" w:right="1440" w:bottom="1440" w:gutter="0" w:footer="0" w:header="0"/>
        </w:sectPr>
      </w:pPr>
    </w:p>
    <w:bookmarkStart w:id="47" w:name="page48"/>
    <w:bookmarkEnd w:id="47"/>
    <w:p>
      <w:pPr>
        <w:spacing w:after="0" w:line="326" w:lineRule="exact"/>
        <w:rPr>
          <w:sz w:val="20"/>
          <w:szCs w:val="20"/>
          <w:color w:val="auto"/>
        </w:rPr>
      </w:pPr>
    </w:p>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Consolidating Statements of Income—For the nine months ended September 30, 2020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millions</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Group and</w:t>
            </w:r>
          </w:p>
        </w:tc>
        <w:tc>
          <w:tcPr>
            <w:tcW w:w="13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Healthcare</w:t>
            </w:r>
          </w:p>
        </w:tc>
        <w:tc>
          <w:tcPr>
            <w:tcW w:w="11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Eliminations/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Retail</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Specialty</w:t>
            </w:r>
          </w:p>
        </w:tc>
        <w:tc>
          <w:tcPr>
            <w:tcW w:w="13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Services</w:t>
            </w:r>
          </w:p>
        </w:tc>
        <w:tc>
          <w:tcPr>
            <w:tcW w:w="11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Corporate</w:t>
            </w:r>
          </w:p>
        </w:tc>
        <w:tc>
          <w:tcPr>
            <w:tcW w:w="1140" w:type="dxa"/>
            <w:vAlign w:val="bottom"/>
          </w:tcPr>
          <w:p>
            <w:pPr>
              <w:jc w:val="right"/>
              <w:ind w:right="7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300"/>
              <w:spacing w:after="0"/>
              <w:rPr>
                <w:sz w:val="20"/>
                <w:szCs w:val="20"/>
                <w:color w:val="auto"/>
              </w:rPr>
            </w:pPr>
            <w:r>
              <w:rPr>
                <w:rFonts w:ascii="Arial" w:cs="Arial" w:eastAsia="Arial" w:hAnsi="Arial"/>
                <w:sz w:val="14"/>
                <w:szCs w:val="14"/>
                <w:color w:val="auto"/>
              </w:rPr>
              <w:t>Individual Medicare Advantage</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38,748</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38,748</w:t>
            </w:r>
          </w:p>
        </w:tc>
        <w:tc>
          <w:tcPr>
            <w:tcW w:w="0" w:type="dxa"/>
            <w:vAlign w:val="bottom"/>
          </w:tcPr>
          <w:p>
            <w:pPr>
              <w:spacing w:after="0"/>
              <w:rPr>
                <w:sz w:val="1"/>
                <w:szCs w:val="1"/>
                <w:color w:val="auto"/>
              </w:rPr>
            </w:pPr>
          </w:p>
        </w:tc>
      </w:tr>
      <w:tr>
        <w:trPr>
          <w:trHeight w:val="180"/>
        </w:trPr>
        <w:tc>
          <w:tcPr>
            <w:tcW w:w="3100" w:type="dxa"/>
            <w:vAlign w:val="bottom"/>
          </w:tcPr>
          <w:p>
            <w:pPr>
              <w:ind w:left="300"/>
              <w:spacing w:after="0"/>
              <w:rPr>
                <w:sz w:val="20"/>
                <w:szCs w:val="20"/>
                <w:color w:val="auto"/>
              </w:rPr>
            </w:pPr>
            <w:r>
              <w:rPr>
                <w:rFonts w:ascii="Arial" w:cs="Arial" w:eastAsia="Arial" w:hAnsi="Arial"/>
                <w:sz w:val="14"/>
                <w:szCs w:val="14"/>
                <w:color w:val="auto"/>
              </w:rPr>
              <w:t>Group Medicare Advantage</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79"/>
        </w:trPr>
        <w:tc>
          <w:tcPr>
            <w:tcW w:w="3100" w:type="dxa"/>
            <w:vAlign w:val="bottom"/>
          </w:tcPr>
          <w:p>
            <w:pPr>
              <w:ind w:left="300"/>
              <w:spacing w:after="0"/>
              <w:rPr>
                <w:sz w:val="20"/>
                <w:szCs w:val="20"/>
                <w:color w:val="auto"/>
              </w:rPr>
            </w:pPr>
            <w:r>
              <w:rPr>
                <w:rFonts w:ascii="Arial" w:cs="Arial" w:eastAsia="Arial" w:hAnsi="Arial"/>
                <w:sz w:val="14"/>
                <w:szCs w:val="14"/>
                <w:color w:val="auto"/>
              </w:rPr>
              <w:t>Medicare stand-alone PDP</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2,108</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73"/>
        </w:trPr>
        <w:tc>
          <w:tcPr>
            <w:tcW w:w="3100" w:type="dxa"/>
            <w:vAlign w:val="bottom"/>
          </w:tcPr>
          <w:p>
            <w:pPr>
              <w:ind w:left="400"/>
              <w:spacing w:after="0"/>
              <w:rPr>
                <w:sz w:val="20"/>
                <w:szCs w:val="20"/>
                <w:color w:val="auto"/>
              </w:rPr>
            </w:pPr>
            <w:r>
              <w:rPr>
                <w:rFonts w:ascii="Arial" w:cs="Arial" w:eastAsia="Arial" w:hAnsi="Arial"/>
                <w:sz w:val="14"/>
                <w:szCs w:val="14"/>
                <w:b w:val="1"/>
                <w:bCs w:val="1"/>
                <w:color w:val="auto"/>
              </w:rPr>
              <w:t>Total Medicare</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46,723</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46,723</w:t>
            </w:r>
          </w:p>
        </w:tc>
        <w:tc>
          <w:tcPr>
            <w:tcW w:w="0" w:type="dxa"/>
            <w:vAlign w:val="bottom"/>
          </w:tcPr>
          <w:p>
            <w:pPr>
              <w:spacing w:after="0"/>
              <w:rPr>
                <w:sz w:val="1"/>
                <w:szCs w:val="1"/>
                <w:color w:val="auto"/>
              </w:rPr>
            </w:pPr>
          </w:p>
        </w:tc>
      </w:tr>
      <w:tr>
        <w:trPr>
          <w:trHeight w:val="175"/>
        </w:trPr>
        <w:tc>
          <w:tcPr>
            <w:tcW w:w="3100" w:type="dxa"/>
            <w:vAlign w:val="bottom"/>
          </w:tcPr>
          <w:p>
            <w:pPr>
              <w:ind w:left="300"/>
              <w:spacing w:after="0"/>
              <w:rPr>
                <w:sz w:val="20"/>
                <w:szCs w:val="20"/>
                <w:color w:val="auto"/>
              </w:rPr>
            </w:pPr>
            <w:r>
              <w:rPr>
                <w:rFonts w:ascii="Arial" w:cs="Arial" w:eastAsia="Arial" w:hAnsi="Arial"/>
                <w:sz w:val="14"/>
                <w:szCs w:val="14"/>
                <w:color w:val="auto"/>
              </w:rPr>
              <w:t>Fully-insured</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3,606</w:t>
            </w:r>
          </w:p>
        </w:tc>
        <w:tc>
          <w:tcPr>
            <w:tcW w:w="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4,717</w:t>
            </w:r>
          </w:p>
        </w:tc>
        <w:tc>
          <w:tcPr>
            <w:tcW w:w="0" w:type="dxa"/>
            <w:vAlign w:val="bottom"/>
          </w:tcPr>
          <w:p>
            <w:pPr>
              <w:spacing w:after="0"/>
              <w:rPr>
                <w:sz w:val="1"/>
                <w:szCs w:val="1"/>
                <w:color w:val="auto"/>
              </w:rPr>
            </w:pPr>
          </w:p>
        </w:tc>
      </w:tr>
      <w:tr>
        <w:trPr>
          <w:trHeight w:val="180"/>
        </w:trPr>
        <w:tc>
          <w:tcPr>
            <w:tcW w:w="3100" w:type="dxa"/>
            <w:vAlign w:val="bottom"/>
          </w:tcPr>
          <w:p>
            <w:pPr>
              <w:ind w:left="300"/>
              <w:spacing w:after="0"/>
              <w:rPr>
                <w:sz w:val="20"/>
                <w:szCs w:val="20"/>
                <w:color w:val="auto"/>
              </w:rPr>
            </w:pPr>
            <w:r>
              <w:rPr>
                <w:rFonts w:ascii="Arial" w:cs="Arial" w:eastAsia="Arial" w:hAnsi="Arial"/>
                <w:sz w:val="14"/>
                <w:szCs w:val="14"/>
                <w:color w:val="auto"/>
              </w:rPr>
              <w:t>Specialty</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1,278</w:t>
            </w:r>
          </w:p>
        </w:tc>
        <w:tc>
          <w:tcPr>
            <w:tcW w:w="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179"/>
        </w:trPr>
        <w:tc>
          <w:tcPr>
            <w:tcW w:w="3100" w:type="dxa"/>
            <w:vAlign w:val="bottom"/>
          </w:tcPr>
          <w:p>
            <w:pPr>
              <w:ind w:left="300"/>
              <w:spacing w:after="0"/>
              <w:rPr>
                <w:sz w:val="20"/>
                <w:szCs w:val="20"/>
                <w:color w:val="auto"/>
              </w:rPr>
            </w:pPr>
            <w:r>
              <w:rPr>
                <w:rFonts w:ascii="Arial" w:cs="Arial" w:eastAsia="Arial" w:hAnsi="Arial"/>
                <w:sz w:val="14"/>
                <w:szCs w:val="14"/>
                <w:color w:val="auto"/>
              </w:rPr>
              <w:t>Medicaid and other (C)</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3,104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173"/>
        </w:trPr>
        <w:tc>
          <w:tcPr>
            <w:tcW w:w="3100" w:type="dxa"/>
            <w:vAlign w:val="bottom"/>
          </w:tcPr>
          <w:p>
            <w:pPr>
              <w:ind w:left="400"/>
              <w:spacing w:after="0"/>
              <w:rPr>
                <w:sz w:val="20"/>
                <w:szCs w:val="20"/>
                <w:color w:val="auto"/>
              </w:rPr>
            </w:pPr>
            <w:r>
              <w:rPr>
                <w:rFonts w:ascii="Arial" w:cs="Arial" w:eastAsia="Arial" w:hAnsi="Arial"/>
                <w:sz w:val="14"/>
                <w:szCs w:val="14"/>
                <w:b w:val="1"/>
                <w:bCs w:val="1"/>
                <w:color w:val="auto"/>
              </w:rPr>
              <w:t>Total premiums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50,336</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4,884</w:t>
            </w:r>
          </w:p>
        </w:tc>
        <w:tc>
          <w:tcPr>
            <w:tcW w:w="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55,822</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300"/>
              <w:spacing w:after="0"/>
              <w:rPr>
                <w:sz w:val="20"/>
                <w:szCs w:val="20"/>
                <w:color w:val="auto"/>
              </w:rPr>
            </w:pPr>
            <w:r>
              <w:rPr>
                <w:rFonts w:ascii="Arial" w:cs="Arial" w:eastAsia="Arial" w:hAnsi="Arial"/>
                <w:sz w:val="14"/>
                <w:szCs w:val="14"/>
                <w:color w:val="auto"/>
              </w:rPr>
              <w:t>Provider</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316</w:t>
            </w:r>
          </w:p>
        </w:tc>
        <w:tc>
          <w:tcPr>
            <w:tcW w:w="1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0"/>
        </w:trPr>
        <w:tc>
          <w:tcPr>
            <w:tcW w:w="3100" w:type="dxa"/>
            <w:vAlign w:val="bottom"/>
          </w:tcPr>
          <w:p>
            <w:pPr>
              <w:ind w:left="300"/>
              <w:spacing w:after="0"/>
              <w:rPr>
                <w:sz w:val="20"/>
                <w:szCs w:val="20"/>
                <w:color w:val="auto"/>
              </w:rPr>
            </w:pPr>
            <w:r>
              <w:rPr>
                <w:rFonts w:ascii="Arial" w:cs="Arial" w:eastAsia="Arial" w:hAnsi="Arial"/>
                <w:sz w:val="14"/>
                <w:szCs w:val="14"/>
                <w:color w:val="auto"/>
              </w:rPr>
              <w:t>ASO and other (D)</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79"/>
        </w:trPr>
        <w:tc>
          <w:tcPr>
            <w:tcW w:w="3100" w:type="dxa"/>
            <w:vAlign w:val="bottom"/>
          </w:tcPr>
          <w:p>
            <w:pPr>
              <w:ind w:left="300"/>
              <w:spacing w:after="0"/>
              <w:rPr>
                <w:sz w:val="20"/>
                <w:szCs w:val="20"/>
                <w:color w:val="auto"/>
              </w:rPr>
            </w:pPr>
            <w:r>
              <w:rPr>
                <w:rFonts w:ascii="Arial" w:cs="Arial" w:eastAsia="Arial" w:hAnsi="Arial"/>
                <w:sz w:val="14"/>
                <w:szCs w:val="14"/>
                <w:color w:val="auto"/>
              </w:rPr>
              <w:t>Pharmacy</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425</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73"/>
        </w:trPr>
        <w:tc>
          <w:tcPr>
            <w:tcW w:w="3100" w:type="dxa"/>
            <w:vAlign w:val="bottom"/>
          </w:tcPr>
          <w:p>
            <w:pPr>
              <w:ind w:left="400"/>
              <w:spacing w:after="0"/>
              <w:rPr>
                <w:sz w:val="20"/>
                <w:szCs w:val="20"/>
                <w:color w:val="auto"/>
              </w:rPr>
            </w:pPr>
            <w:r>
              <w:rPr>
                <w:rFonts w:ascii="Arial" w:cs="Arial" w:eastAsia="Arial" w:hAnsi="Arial"/>
                <w:sz w:val="14"/>
                <w:szCs w:val="14"/>
                <w:b w:val="1"/>
                <w:bCs w:val="1"/>
                <w:color w:val="auto"/>
              </w:rPr>
              <w:t>Total services revenue</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741</w:t>
            </w:r>
          </w:p>
        </w:tc>
        <w:tc>
          <w:tcPr>
            <w:tcW w:w="1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50,350</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5,460</w:t>
            </w:r>
          </w:p>
        </w:tc>
        <w:tc>
          <w:tcPr>
            <w:tcW w:w="8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741</w:t>
            </w:r>
          </w:p>
        </w:tc>
        <w:tc>
          <w:tcPr>
            <w:tcW w:w="1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57,153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00"/>
              <w:spacing w:after="0"/>
              <w:rPr>
                <w:sz w:val="20"/>
                <w:szCs w:val="20"/>
                <w:color w:val="auto"/>
              </w:rPr>
            </w:pPr>
            <w:r>
              <w:rPr>
                <w:rFonts w:ascii="Arial" w:cs="Arial" w:eastAsia="Arial" w:hAnsi="Arial"/>
                <w:sz w:val="14"/>
                <w:szCs w:val="14"/>
                <w:color w:val="auto"/>
              </w:rPr>
              <w:t>Services</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14,514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(14,536)</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100" w:type="dxa"/>
            <w:vAlign w:val="bottom"/>
          </w:tcPr>
          <w:p>
            <w:pPr>
              <w:ind w:left="100"/>
              <w:spacing w:after="0"/>
              <w:rPr>
                <w:sz w:val="20"/>
                <w:szCs w:val="20"/>
                <w:color w:val="auto"/>
              </w:rPr>
            </w:pPr>
            <w:r>
              <w:rPr>
                <w:rFonts w:ascii="Arial" w:cs="Arial" w:eastAsia="Arial" w:hAnsi="Arial"/>
                <w:sz w:val="14"/>
                <w:szCs w:val="14"/>
                <w:color w:val="auto"/>
              </w:rPr>
              <w:t>Products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5,900</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(5,900)</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20,414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(20,436)</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Arial" w:cs="Arial" w:eastAsia="Arial" w:hAnsi="Arial"/>
                <w:sz w:val="14"/>
                <w:szCs w:val="14"/>
                <w:color w:val="auto"/>
              </w:rPr>
              <w:t>Investment income</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73"/>
        </w:trPr>
        <w:tc>
          <w:tcPr>
            <w:tcW w:w="3100" w:type="dxa"/>
            <w:vAlign w:val="bottom"/>
          </w:tcPr>
          <w:p>
            <w:pPr>
              <w:ind w:left="300"/>
              <w:spacing w:after="0"/>
              <w:rPr>
                <w:sz w:val="20"/>
                <w:szCs w:val="20"/>
                <w:color w:val="auto"/>
              </w:rPr>
            </w:pPr>
            <w:r>
              <w:rPr>
                <w:rFonts w:ascii="Arial" w:cs="Arial" w:eastAsia="Arial" w:hAnsi="Arial"/>
                <w:sz w:val="14"/>
                <w:szCs w:val="14"/>
                <w:b w:val="1"/>
                <w:bCs w:val="1"/>
                <w:color w:val="auto"/>
              </w:rPr>
              <w:t>Total revenues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50,464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21,157</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(19,022)</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58,093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00"/>
              <w:spacing w:after="0"/>
              <w:rPr>
                <w:sz w:val="20"/>
                <w:szCs w:val="20"/>
                <w:color w:val="auto"/>
              </w:rPr>
            </w:pPr>
            <w:r>
              <w:rPr>
                <w:rFonts w:ascii="Arial" w:cs="Arial" w:eastAsia="Arial" w:hAnsi="Arial"/>
                <w:sz w:val="14"/>
                <w:szCs w:val="14"/>
                <w:color w:val="auto"/>
              </w:rPr>
              <w:t>Benefits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41,939</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3,886</w:t>
            </w:r>
          </w:p>
        </w:tc>
        <w:tc>
          <w:tcPr>
            <w:tcW w:w="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45,415</w:t>
            </w:r>
          </w:p>
        </w:tc>
        <w:tc>
          <w:tcPr>
            <w:tcW w:w="0" w:type="dxa"/>
            <w:vAlign w:val="bottom"/>
          </w:tcPr>
          <w:p>
            <w:pPr>
              <w:spacing w:after="0"/>
              <w:rPr>
                <w:sz w:val="1"/>
                <w:szCs w:val="1"/>
                <w:color w:val="auto"/>
              </w:rPr>
            </w:pPr>
          </w:p>
        </w:tc>
      </w:tr>
      <w:tr>
        <w:trPr>
          <w:trHeight w:val="180"/>
        </w:trPr>
        <w:tc>
          <w:tcPr>
            <w:tcW w:w="310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5,047</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1,316</w:t>
            </w:r>
          </w:p>
        </w:tc>
        <w:tc>
          <w:tcPr>
            <w:tcW w:w="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20,274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(19,653)</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6,984</w:t>
            </w:r>
          </w:p>
        </w:tc>
        <w:tc>
          <w:tcPr>
            <w:tcW w:w="0" w:type="dxa"/>
            <w:vAlign w:val="bottom"/>
          </w:tcPr>
          <w:p>
            <w:pPr>
              <w:spacing w:after="0"/>
              <w:rPr>
                <w:sz w:val="1"/>
                <w:szCs w:val="1"/>
                <w:color w:val="auto"/>
              </w:rPr>
            </w:pPr>
          </w:p>
        </w:tc>
      </w:tr>
      <w:tr>
        <w:trPr>
          <w:trHeight w:val="179"/>
        </w:trPr>
        <w:tc>
          <w:tcPr>
            <w:tcW w:w="310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135</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73"/>
        </w:trPr>
        <w:tc>
          <w:tcPr>
            <w:tcW w:w="3100" w:type="dxa"/>
            <w:vAlign w:val="bottom"/>
          </w:tcPr>
          <w:p>
            <w:pPr>
              <w:ind w:left="180"/>
              <w:spacing w:after="0"/>
              <w:rPr>
                <w:sz w:val="20"/>
                <w:szCs w:val="20"/>
                <w:color w:val="auto"/>
              </w:rPr>
            </w:pPr>
            <w:r>
              <w:rPr>
                <w:rFonts w:ascii="Arial" w:cs="Arial" w:eastAsia="Arial" w:hAnsi="Arial"/>
                <w:sz w:val="14"/>
                <w:szCs w:val="14"/>
                <w:b w:val="1"/>
                <w:bCs w:val="1"/>
                <w:color w:val="auto"/>
              </w:rPr>
              <w:t>Total operating expenses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47,237</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20,409</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52,761</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748</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auto"/>
              </w:rPr>
              <w:t>Interest expense</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20"/>
                <w:szCs w:val="20"/>
                <w:color w:val="auto"/>
              </w:rPr>
            </w:pPr>
            <w:r>
              <w:rPr>
                <w:rFonts w:ascii="Arial" w:cs="Arial" w:eastAsia="Arial" w:hAnsi="Arial"/>
                <w:sz w:val="14"/>
                <w:szCs w:val="14"/>
                <w:color w:val="auto"/>
              </w:rPr>
              <w:t>Other expense, net (A)</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2"/>
        </w:trPr>
        <w:tc>
          <w:tcPr>
            <w:tcW w:w="3100" w:type="dxa"/>
            <w:vAlign w:val="bottom"/>
          </w:tcPr>
          <w:p>
            <w:pPr>
              <w:spacing w:after="0" w:line="122" w:lineRule="exact"/>
              <w:rPr>
                <w:sz w:val="20"/>
                <w:szCs w:val="20"/>
                <w:color w:val="auto"/>
              </w:rPr>
            </w:pPr>
            <w:r>
              <w:rPr>
                <w:rFonts w:ascii="Arial" w:cs="Arial" w:eastAsia="Arial" w:hAnsi="Arial"/>
                <w:sz w:val="14"/>
                <w:szCs w:val="14"/>
                <w:b w:val="1"/>
                <w:bCs w:val="1"/>
                <w:color w:val="auto"/>
              </w:rPr>
              <w:t>Income before income taxes and equity in net</w:t>
            </w:r>
          </w:p>
        </w:tc>
        <w:tc>
          <w:tcPr>
            <w:tcW w:w="106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0"/>
                <w:szCs w:val="10"/>
                <w:color w:val="auto"/>
              </w:rPr>
            </w:pPr>
          </w:p>
        </w:tc>
        <w:tc>
          <w:tcPr>
            <w:tcW w:w="11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0"/>
                <w:szCs w:val="10"/>
                <w:color w:val="auto"/>
              </w:rPr>
            </w:pPr>
          </w:p>
        </w:tc>
        <w:tc>
          <w:tcPr>
            <w:tcW w:w="11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748</w:t>
            </w:r>
          </w:p>
        </w:tc>
        <w:tc>
          <w:tcPr>
            <w:tcW w:w="180" w:type="dxa"/>
            <w:vAlign w:val="bottom"/>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0"/>
                <w:szCs w:val="10"/>
                <w:color w:val="auto"/>
              </w:rPr>
            </w:pPr>
          </w:p>
        </w:tc>
        <w:tc>
          <w:tcPr>
            <w:tcW w:w="11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5,058</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00" w:type="dxa"/>
            <w:vAlign w:val="bottom"/>
          </w:tcPr>
          <w:p>
            <w:pPr>
              <w:ind w:left="300"/>
              <w:spacing w:after="0"/>
              <w:rPr>
                <w:sz w:val="20"/>
                <w:szCs w:val="20"/>
                <w:color w:val="auto"/>
              </w:rPr>
            </w:pPr>
            <w:r>
              <w:rPr>
                <w:rFonts w:ascii="Arial" w:cs="Arial" w:eastAsia="Arial" w:hAnsi="Arial"/>
                <w:sz w:val="14"/>
                <w:szCs w:val="14"/>
                <w:color w:val="auto"/>
              </w:rPr>
              <w:t>Equity in net earnings (B)</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816</w:t>
            </w:r>
          </w:p>
        </w:tc>
        <w:tc>
          <w:tcPr>
            <w:tcW w:w="1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5,126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0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83.3 %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79.6 %</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81.4 %</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24.0 %</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95.8 %</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S-10</w:t>
      </w:r>
    </w:p>
    <w:p>
      <w:pPr>
        <w:sectPr>
          <w:pgSz w:w="11900" w:h="16838" w:orient="portrait"/>
          <w:cols w:equalWidth="0" w:num="1">
            <w:col w:w="10139"/>
          </w:cols>
          <w:pgMar w:left="320" w:top="1440" w:right="1440" w:bottom="1440" w:gutter="0" w:footer="0" w:header="0"/>
        </w:sectPr>
      </w:pPr>
    </w:p>
    <w:bookmarkStart w:id="48" w:name="page49"/>
    <w:bookmarkEnd w:id="48"/>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Consolidating Statements of Income—For the nine months September 30, 2019</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millions</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Group and</w:t>
            </w: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Healthcare</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Retail</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Specialty</w:t>
            </w:r>
          </w:p>
        </w:tc>
        <w:tc>
          <w:tcPr>
            <w:tcW w:w="1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Services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Corporate</w:t>
            </w:r>
          </w:p>
        </w:tc>
        <w:tc>
          <w:tcPr>
            <w:tcW w:w="120" w:type="dxa"/>
            <w:vAlign w:val="bottom"/>
          </w:tcPr>
          <w:p>
            <w:pPr>
              <w:spacing w:after="0"/>
              <w:rPr>
                <w:sz w:val="17"/>
                <w:szCs w:val="17"/>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Individual Medicare Advantage</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32,254</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32,254</w:t>
            </w: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Group Medicare Advantage</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4,867</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179"/>
        </w:trPr>
        <w:tc>
          <w:tcPr>
            <w:tcW w:w="3060" w:type="dxa"/>
            <w:vAlign w:val="bottom"/>
          </w:tcPr>
          <w:p>
            <w:pPr>
              <w:ind w:left="300"/>
              <w:spacing w:after="0"/>
              <w:rPr>
                <w:sz w:val="20"/>
                <w:szCs w:val="20"/>
                <w:color w:val="auto"/>
              </w:rPr>
            </w:pPr>
            <w:r>
              <w:rPr>
                <w:rFonts w:ascii="Arial" w:cs="Arial" w:eastAsia="Arial" w:hAnsi="Arial"/>
                <w:sz w:val="14"/>
                <w:szCs w:val="14"/>
                <w:color w:val="auto"/>
              </w:rPr>
              <w:t>Medicare stand-alone PDP</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73"/>
        </w:trPr>
        <w:tc>
          <w:tcPr>
            <w:tcW w:w="3060" w:type="dxa"/>
            <w:vAlign w:val="bottom"/>
          </w:tcPr>
          <w:p>
            <w:pPr>
              <w:ind w:left="400"/>
              <w:spacing w:after="0"/>
              <w:rPr>
                <w:sz w:val="20"/>
                <w:szCs w:val="20"/>
                <w:color w:val="auto"/>
              </w:rPr>
            </w:pPr>
            <w:r>
              <w:rPr>
                <w:rFonts w:ascii="Arial" w:cs="Arial" w:eastAsia="Arial" w:hAnsi="Arial"/>
                <w:sz w:val="14"/>
                <w:szCs w:val="14"/>
                <w:b w:val="1"/>
                <w:bCs w:val="1"/>
                <w:color w:val="auto"/>
              </w:rPr>
              <w:t>Total Medicare</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39,529</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39,529</w:t>
            </w:r>
          </w:p>
        </w:tc>
        <w:tc>
          <w:tcPr>
            <w:tcW w:w="0" w:type="dxa"/>
            <w:vAlign w:val="bottom"/>
          </w:tcPr>
          <w:p>
            <w:pPr>
              <w:spacing w:after="0"/>
              <w:rPr>
                <w:sz w:val="1"/>
                <w:szCs w:val="1"/>
                <w:color w:val="auto"/>
              </w:rPr>
            </w:pPr>
          </w:p>
        </w:tc>
      </w:tr>
      <w:tr>
        <w:trPr>
          <w:trHeight w:val="175"/>
        </w:trPr>
        <w:tc>
          <w:tcPr>
            <w:tcW w:w="3060" w:type="dxa"/>
            <w:vAlign w:val="bottom"/>
          </w:tcPr>
          <w:p>
            <w:pPr>
              <w:ind w:left="300"/>
              <w:spacing w:after="0"/>
              <w:rPr>
                <w:sz w:val="20"/>
                <w:szCs w:val="20"/>
                <w:color w:val="auto"/>
              </w:rPr>
            </w:pPr>
            <w:r>
              <w:rPr>
                <w:rFonts w:ascii="Arial" w:cs="Arial" w:eastAsia="Arial" w:hAnsi="Arial"/>
                <w:sz w:val="14"/>
                <w:szCs w:val="14"/>
                <w:color w:val="auto"/>
              </w:rPr>
              <w:t>Fully-insured</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3,873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Specialty</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1,160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79"/>
        </w:trPr>
        <w:tc>
          <w:tcPr>
            <w:tcW w:w="3060" w:type="dxa"/>
            <w:vAlign w:val="bottom"/>
          </w:tcPr>
          <w:p>
            <w:pPr>
              <w:ind w:left="300"/>
              <w:spacing w:after="0"/>
              <w:rPr>
                <w:sz w:val="20"/>
                <w:szCs w:val="20"/>
                <w:color w:val="auto"/>
              </w:rPr>
            </w:pPr>
            <w:r>
              <w:rPr>
                <w:rFonts w:ascii="Arial" w:cs="Arial" w:eastAsia="Arial" w:hAnsi="Arial"/>
                <w:sz w:val="14"/>
                <w:szCs w:val="14"/>
                <w:color w:val="auto"/>
              </w:rPr>
              <w:t>Medicaid and other (C)</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73"/>
        </w:trPr>
        <w:tc>
          <w:tcPr>
            <w:tcW w:w="3060" w:type="dxa"/>
            <w:vAlign w:val="bottom"/>
          </w:tcPr>
          <w:p>
            <w:pPr>
              <w:ind w:left="400"/>
              <w:spacing w:after="0"/>
              <w:rPr>
                <w:sz w:val="20"/>
                <w:szCs w:val="20"/>
                <w:color w:val="auto"/>
              </w:rPr>
            </w:pPr>
            <w:r>
              <w:rPr>
                <w:rFonts w:ascii="Arial" w:cs="Arial" w:eastAsia="Arial" w:hAnsi="Arial"/>
                <w:sz w:val="14"/>
                <w:szCs w:val="14"/>
                <w:b w:val="1"/>
                <w:bCs w:val="1"/>
                <w:color w:val="auto"/>
              </w:rPr>
              <w:t>Total premiums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42,106</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5,033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47,139</w:t>
            </w:r>
          </w:p>
        </w:tc>
        <w:tc>
          <w:tcPr>
            <w:tcW w:w="0" w:type="dxa"/>
            <w:vAlign w:val="bottom"/>
          </w:tcPr>
          <w:p>
            <w:pPr>
              <w:spacing w:after="0"/>
              <w:rPr>
                <w:sz w:val="1"/>
                <w:szCs w:val="1"/>
                <w:color w:val="auto"/>
              </w:rPr>
            </w:pPr>
          </w:p>
        </w:tc>
      </w:tr>
      <w:tr>
        <w:trPr>
          <w:trHeight w:val="162"/>
        </w:trPr>
        <w:tc>
          <w:tcPr>
            <w:tcW w:w="306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Provider</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367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0"/>
        </w:trPr>
        <w:tc>
          <w:tcPr>
            <w:tcW w:w="3060" w:type="dxa"/>
            <w:vAlign w:val="bottom"/>
          </w:tcPr>
          <w:p>
            <w:pPr>
              <w:ind w:left="300"/>
              <w:spacing w:after="0"/>
              <w:rPr>
                <w:sz w:val="20"/>
                <w:szCs w:val="20"/>
                <w:color w:val="auto"/>
              </w:rPr>
            </w:pPr>
            <w:r>
              <w:rPr>
                <w:rFonts w:ascii="Arial" w:cs="Arial" w:eastAsia="Arial" w:hAnsi="Arial"/>
                <w:sz w:val="14"/>
                <w:szCs w:val="14"/>
                <w:color w:val="auto"/>
              </w:rPr>
              <w:t>ASO and other (D)</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79"/>
        </w:trPr>
        <w:tc>
          <w:tcPr>
            <w:tcW w:w="3060" w:type="dxa"/>
            <w:vAlign w:val="bottom"/>
          </w:tcPr>
          <w:p>
            <w:pPr>
              <w:ind w:left="300"/>
              <w:spacing w:after="0"/>
              <w:rPr>
                <w:sz w:val="20"/>
                <w:szCs w:val="20"/>
                <w:color w:val="auto"/>
              </w:rPr>
            </w:pPr>
            <w:r>
              <w:rPr>
                <w:rFonts w:ascii="Arial" w:cs="Arial" w:eastAsia="Arial" w:hAnsi="Arial"/>
                <w:sz w:val="14"/>
                <w:szCs w:val="14"/>
                <w:color w:val="auto"/>
              </w:rPr>
              <w:t>Pharmacy</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3"/>
        </w:trPr>
        <w:tc>
          <w:tcPr>
            <w:tcW w:w="3060" w:type="dxa"/>
            <w:vAlign w:val="bottom"/>
          </w:tcPr>
          <w:p>
            <w:pPr>
              <w:ind w:left="400"/>
              <w:spacing w:after="0"/>
              <w:rPr>
                <w:sz w:val="20"/>
                <w:szCs w:val="20"/>
                <w:color w:val="auto"/>
              </w:rPr>
            </w:pPr>
            <w:r>
              <w:rPr>
                <w:rFonts w:ascii="Arial" w:cs="Arial" w:eastAsia="Arial" w:hAnsi="Arial"/>
                <w:sz w:val="14"/>
                <w:szCs w:val="14"/>
                <w:b w:val="1"/>
                <w:bCs w:val="1"/>
                <w:color w:val="auto"/>
              </w:rPr>
              <w:t>Total services revenue</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502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42,120</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5,620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502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48,242</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Services</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13,456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060" w:type="dxa"/>
            <w:vAlign w:val="bottom"/>
          </w:tcPr>
          <w:p>
            <w:pPr>
              <w:ind w:left="100"/>
              <w:spacing w:after="0"/>
              <w:rPr>
                <w:sz w:val="20"/>
                <w:szCs w:val="20"/>
                <w:color w:val="auto"/>
              </w:rPr>
            </w:pPr>
            <w:r>
              <w:rPr>
                <w:rFonts w:ascii="Arial" w:cs="Arial" w:eastAsia="Arial" w:hAnsi="Arial"/>
                <w:sz w:val="14"/>
                <w:szCs w:val="14"/>
                <w:color w:val="auto"/>
              </w:rPr>
              <w:t>Products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5,128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18,584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color w:val="auto"/>
              </w:rPr>
              <w:t>Investment income</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b w:val="1"/>
                <w:bCs w:val="1"/>
                <w:color w:val="auto"/>
              </w:rPr>
              <w:t>Total revenues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42,259</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5,650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19,087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48,593</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Benefits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36,396</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4,177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r>
        <w:trPr>
          <w:trHeight w:val="180"/>
        </w:trPr>
        <w:tc>
          <w:tcPr>
            <w:tcW w:w="306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1,232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18,371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179"/>
        </w:trPr>
        <w:tc>
          <w:tcPr>
            <w:tcW w:w="306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73"/>
        </w:trPr>
        <w:tc>
          <w:tcPr>
            <w:tcW w:w="3060" w:type="dxa"/>
            <w:vAlign w:val="bottom"/>
          </w:tcPr>
          <w:p>
            <w:pPr>
              <w:ind w:left="180"/>
              <w:spacing w:after="0"/>
              <w:rPr>
                <w:sz w:val="20"/>
                <w:szCs w:val="20"/>
                <w:color w:val="auto"/>
              </w:rPr>
            </w:pPr>
            <w:r>
              <w:rPr>
                <w:rFonts w:ascii="Arial" w:cs="Arial" w:eastAsia="Arial" w:hAnsi="Arial"/>
                <w:sz w:val="14"/>
                <w:szCs w:val="14"/>
                <w:b w:val="1"/>
                <w:bCs w:val="1"/>
                <w:color w:val="auto"/>
              </w:rPr>
              <w:t>Total operating expenses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40,299</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5,476</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18,492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45,763</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595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color w:val="auto"/>
              </w:rPr>
              <w:t>Interest expense</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20"/>
                <w:szCs w:val="20"/>
                <w:color w:val="auto"/>
              </w:rPr>
            </w:pPr>
            <w:r>
              <w:rPr>
                <w:rFonts w:ascii="Arial" w:cs="Arial" w:eastAsia="Arial" w:hAnsi="Arial"/>
                <w:sz w:val="14"/>
                <w:szCs w:val="14"/>
                <w:color w:val="auto"/>
              </w:rPr>
              <w:t>Other income, net (A)</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4"/>
                <w:szCs w:val="14"/>
                <w:b w:val="1"/>
                <w:bCs w:val="1"/>
                <w:color w:val="auto"/>
              </w:rPr>
              <w:t>Income before income taxes and equity in net</w:t>
            </w:r>
          </w:p>
        </w:tc>
        <w:tc>
          <w:tcPr>
            <w:tcW w:w="106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0"/>
                <w:szCs w:val="10"/>
                <w:color w:val="auto"/>
              </w:rPr>
            </w:pPr>
          </w:p>
        </w:tc>
        <w:tc>
          <w:tcPr>
            <w:tcW w:w="11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595</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60" w:type="dxa"/>
            <w:vAlign w:val="bottom"/>
          </w:tcPr>
          <w:p>
            <w:pPr>
              <w:ind w:left="300"/>
              <w:spacing w:after="0"/>
              <w:rPr>
                <w:sz w:val="20"/>
                <w:szCs w:val="20"/>
                <w:color w:val="auto"/>
              </w:rPr>
            </w:pPr>
            <w:r>
              <w:rPr>
                <w:rFonts w:ascii="Arial" w:cs="Arial" w:eastAsia="Arial" w:hAnsi="Arial"/>
                <w:sz w:val="14"/>
                <w:szCs w:val="14"/>
                <w:color w:val="auto"/>
              </w:rPr>
              <w:t>Equity in net earnings (B)</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611</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6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86.4 %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85.2 %</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106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96.3 %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S-11</w:t>
      </w:r>
    </w:p>
    <w:p>
      <w:pPr>
        <w:sectPr>
          <w:pgSz w:w="11900" w:h="16838" w:orient="portrait"/>
          <w:cols w:equalWidth="0" w:num="1">
            <w:col w:w="10139"/>
          </w:cols>
          <w:pgMar w:left="320" w:top="1069" w:right="1440"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Humana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Ending Membership Detail</w:t>
      </w:r>
    </w:p>
    <w:p>
      <w:pPr>
        <w:spacing w:after="0"/>
        <w:rPr>
          <w:sz w:val="20"/>
          <w:szCs w:val="20"/>
          <w:color w:val="auto"/>
        </w:rPr>
      </w:pPr>
      <w:r>
        <w:rPr>
          <w:rFonts w:ascii="Arial" w:cs="Arial" w:eastAsia="Arial" w:hAnsi="Arial"/>
          <w:sz w:val="15"/>
          <w:szCs w:val="15"/>
          <w:i w:val="1"/>
          <w:iCs w:val="1"/>
          <w:color w:val="auto"/>
        </w:rPr>
        <w:t>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40" w:type="dxa"/>
            <w:vAlign w:val="bottom"/>
            <w:tcBorders>
              <w:top w:val="single" w:sz="8" w:color="auto"/>
              <w:left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80" w:type="dxa"/>
            <w:vAlign w:val="bottom"/>
            <w:tcBorders>
              <w:top w:val="single" w:sz="8" w:color="auto"/>
              <w:bottom w:val="single" w:sz="8" w:color="auto"/>
              <w:right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120" w:type="dxa"/>
            <w:vAlign w:val="bottom"/>
            <w:tcBorders>
              <w:left w:val="single" w:sz="8" w:color="auto"/>
              <w:right w:val="single" w:sz="8" w:color="auto"/>
            </w:tcBorders>
            <w:gridSpan w:val="2"/>
          </w:tcPr>
          <w:p>
            <w:pPr>
              <w:ind w:left="80"/>
              <w:spacing w:after="0" w:line="122" w:lineRule="exact"/>
              <w:rPr>
                <w:sz w:val="20"/>
                <w:szCs w:val="20"/>
                <w:color w:val="auto"/>
              </w:rPr>
            </w:pPr>
            <w:r>
              <w:rPr>
                <w:rFonts w:ascii="Arial" w:cs="Arial" w:eastAsia="Arial" w:hAnsi="Arial"/>
                <w:sz w:val="14"/>
                <w:szCs w:val="14"/>
                <w:b w:val="1"/>
                <w:bCs w:val="1"/>
                <w:color w:val="00497F"/>
              </w:rPr>
              <w:t>September 30,</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0497F"/>
                <w:w w:val="96"/>
              </w:rPr>
              <w:t>Average 3Q20</w:t>
            </w:r>
          </w:p>
        </w:tc>
        <w:tc>
          <w:tcPr>
            <w:tcW w:w="112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97"/>
              </w:rPr>
              <w:t>September 30,</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w:t>
            </w:r>
          </w:p>
        </w:tc>
        <w:tc>
          <w:tcPr>
            <w:tcW w:w="960" w:type="dxa"/>
            <w:vAlign w:val="bottom"/>
          </w:tcPr>
          <w:p>
            <w:pPr>
              <w:jc w:val="right"/>
              <w:spacing w:after="0" w:line="122"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1040" w:type="dxa"/>
            <w:vAlign w:val="bottom"/>
            <w:tcBorders>
              <w:left w:val="single" w:sz="8" w:color="auto"/>
            </w:tcBorders>
          </w:tcPr>
          <w:p>
            <w:pPr>
              <w:jc w:val="right"/>
              <w:ind w:right="271"/>
              <w:spacing w:after="0"/>
              <w:rPr>
                <w:sz w:val="20"/>
                <w:szCs w:val="20"/>
                <w:color w:val="auto"/>
              </w:rPr>
            </w:pPr>
            <w:r>
              <w:rPr>
                <w:rFonts w:ascii="Arial" w:cs="Arial" w:eastAsia="Arial" w:hAnsi="Arial"/>
                <w:sz w:val="14"/>
                <w:szCs w:val="14"/>
                <w:b w:val="1"/>
                <w:bCs w:val="1"/>
                <w:color w:val="00497F"/>
              </w:rPr>
              <w:t>2020</w:t>
            </w:r>
          </w:p>
        </w:tc>
        <w:tc>
          <w:tcPr>
            <w:tcW w:w="80" w:type="dxa"/>
            <w:vAlign w:val="bottom"/>
            <w:tcBorders>
              <w:right w:val="single" w:sz="8" w:color="auto"/>
            </w:tcBorders>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Arial" w:cs="Arial" w:eastAsia="Arial" w:hAnsi="Arial"/>
                <w:sz w:val="14"/>
                <w:szCs w:val="14"/>
                <w:b w:val="1"/>
                <w:bCs w:val="1"/>
                <w:color w:val="auto"/>
              </w:rPr>
              <w:t>Medical Membership:</w:t>
            </w:r>
          </w:p>
        </w:tc>
        <w:tc>
          <w:tcPr>
            <w:tcW w:w="1040" w:type="dxa"/>
            <w:vAlign w:val="bottom"/>
            <w:tcBorders>
              <w:top w:val="single" w:sz="8" w:color="auto"/>
              <w:left w:val="single" w:sz="8" w:color="auto"/>
            </w:tcBorders>
          </w:tcPr>
          <w:p>
            <w:pPr>
              <w:spacing w:after="0"/>
              <w:rPr>
                <w:sz w:val="14"/>
                <w:szCs w:val="14"/>
                <w:color w:val="auto"/>
              </w:rPr>
            </w:pPr>
          </w:p>
        </w:tc>
        <w:tc>
          <w:tcPr>
            <w:tcW w:w="80" w:type="dxa"/>
            <w:vAlign w:val="bottom"/>
            <w:tcBorders>
              <w:top w:val="single" w:sz="8" w:color="auto"/>
              <w:right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04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Individual Medicare Advantage</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3,935.1</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3,918.0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3,552.5</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382.6</w:t>
            </w:r>
          </w:p>
        </w:tc>
        <w:tc>
          <w:tcPr>
            <w:tcW w:w="940" w:type="dxa"/>
            <w:vAlign w:val="bottom"/>
          </w:tcPr>
          <w:p>
            <w:pPr>
              <w:jc w:val="right"/>
              <w:spacing w:after="0"/>
              <w:rPr>
                <w:sz w:val="20"/>
                <w:szCs w:val="20"/>
                <w:color w:val="auto"/>
              </w:rPr>
            </w:pPr>
            <w:r>
              <w:rPr>
                <w:rFonts w:ascii="Arial" w:cs="Arial" w:eastAsia="Arial" w:hAnsi="Arial"/>
                <w:sz w:val="14"/>
                <w:szCs w:val="14"/>
                <w:color w:val="auto"/>
              </w:rPr>
              <w:t>10.8 %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3,587.2</w:t>
            </w: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Group Medicare Advantage</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612.0</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610.9</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523.9</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88.1</w:t>
            </w:r>
          </w:p>
        </w:tc>
        <w:tc>
          <w:tcPr>
            <w:tcW w:w="940" w:type="dxa"/>
            <w:vAlign w:val="bottom"/>
          </w:tcPr>
          <w:p>
            <w:pPr>
              <w:jc w:val="right"/>
              <w:spacing w:after="0"/>
              <w:rPr>
                <w:sz w:val="20"/>
                <w:szCs w:val="20"/>
                <w:color w:val="auto"/>
              </w:rPr>
            </w:pPr>
            <w:r>
              <w:rPr>
                <w:rFonts w:ascii="Arial" w:cs="Arial" w:eastAsia="Arial" w:hAnsi="Arial"/>
                <w:sz w:val="14"/>
                <w:szCs w:val="14"/>
                <w:color w:val="auto"/>
              </w:rPr>
              <w:t>16.8 %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Medicare stand-alone PDP</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3,892.2</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3,892.2</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4,379.8</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(487.6)</w:t>
            </w:r>
          </w:p>
        </w:tc>
        <w:tc>
          <w:tcPr>
            <w:tcW w:w="940" w:type="dxa"/>
            <w:vAlign w:val="bottom"/>
          </w:tcPr>
          <w:p>
            <w:pPr>
              <w:jc w:val="right"/>
              <w:spacing w:after="0"/>
              <w:rPr>
                <w:sz w:val="20"/>
                <w:szCs w:val="20"/>
                <w:color w:val="auto"/>
              </w:rPr>
            </w:pPr>
            <w:r>
              <w:rPr>
                <w:rFonts w:ascii="Arial" w:cs="Arial" w:eastAsia="Arial" w:hAnsi="Arial"/>
                <w:sz w:val="14"/>
                <w:szCs w:val="14"/>
                <w:color w:val="auto"/>
              </w:rPr>
              <w:t>-11.1 %</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4,365.2</w:t>
            </w:r>
          </w:p>
        </w:tc>
        <w:tc>
          <w:tcPr>
            <w:tcW w:w="0" w:type="dxa"/>
            <w:vAlign w:val="bottom"/>
          </w:tcPr>
          <w:p>
            <w:pPr>
              <w:spacing w:after="0"/>
              <w:rPr>
                <w:sz w:val="1"/>
                <w:szCs w:val="1"/>
                <w:color w:val="auto"/>
              </w:rPr>
            </w:pPr>
          </w:p>
        </w:tc>
      </w:tr>
      <w:tr>
        <w:trPr>
          <w:trHeight w:val="173"/>
        </w:trPr>
        <w:tc>
          <w:tcPr>
            <w:tcW w:w="2500" w:type="dxa"/>
            <w:vAlign w:val="bottom"/>
          </w:tcPr>
          <w:p>
            <w:pPr>
              <w:ind w:left="600"/>
              <w:spacing w:after="0"/>
              <w:rPr>
                <w:sz w:val="20"/>
                <w:szCs w:val="20"/>
                <w:color w:val="auto"/>
              </w:rPr>
            </w:pPr>
            <w:r>
              <w:rPr>
                <w:rFonts w:ascii="Arial" w:cs="Arial" w:eastAsia="Arial" w:hAnsi="Arial"/>
                <w:sz w:val="14"/>
                <w:szCs w:val="14"/>
                <w:color w:val="auto"/>
              </w:rPr>
              <w:t>Total Medicare</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8,439.3</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8,421.1</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8,456.2</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(16.9)</w:t>
            </w:r>
          </w:p>
        </w:tc>
        <w:tc>
          <w:tcPr>
            <w:tcW w:w="940" w:type="dxa"/>
            <w:vAlign w:val="bottom"/>
          </w:tcPr>
          <w:p>
            <w:pPr>
              <w:jc w:val="right"/>
              <w:spacing w:after="0"/>
              <w:rPr>
                <w:sz w:val="20"/>
                <w:szCs w:val="20"/>
                <w:color w:val="auto"/>
              </w:rPr>
            </w:pPr>
            <w:r>
              <w:rPr>
                <w:rFonts w:ascii="Arial" w:cs="Arial" w:eastAsia="Arial" w:hAnsi="Arial"/>
                <w:sz w:val="14"/>
                <w:szCs w:val="14"/>
                <w:color w:val="auto"/>
              </w:rPr>
              <w:t>-0.2 %</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8,477.7</w:t>
            </w:r>
          </w:p>
        </w:tc>
        <w:tc>
          <w:tcPr>
            <w:tcW w:w="0" w:type="dxa"/>
            <w:vAlign w:val="bottom"/>
          </w:tcPr>
          <w:p>
            <w:pPr>
              <w:spacing w:after="0"/>
              <w:rPr>
                <w:sz w:val="1"/>
                <w:szCs w:val="1"/>
                <w:color w:val="auto"/>
              </w:rPr>
            </w:pPr>
          </w:p>
        </w:tc>
      </w:tr>
      <w:tr>
        <w:trPr>
          <w:trHeight w:val="175"/>
        </w:trPr>
        <w:tc>
          <w:tcPr>
            <w:tcW w:w="2500" w:type="dxa"/>
            <w:vAlign w:val="bottom"/>
          </w:tcPr>
          <w:p>
            <w:pPr>
              <w:ind w:left="180"/>
              <w:spacing w:after="0"/>
              <w:rPr>
                <w:sz w:val="20"/>
                <w:szCs w:val="20"/>
                <w:color w:val="auto"/>
              </w:rPr>
            </w:pPr>
            <w:r>
              <w:rPr>
                <w:rFonts w:ascii="Arial" w:cs="Arial" w:eastAsia="Arial" w:hAnsi="Arial"/>
                <w:sz w:val="14"/>
                <w:szCs w:val="14"/>
                <w:color w:val="auto"/>
              </w:rPr>
              <w:t>State-based contracts (E)</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730.1</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717.0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469.0</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261.1</w:t>
            </w:r>
          </w:p>
        </w:tc>
        <w:tc>
          <w:tcPr>
            <w:tcW w:w="940" w:type="dxa"/>
            <w:vAlign w:val="bottom"/>
          </w:tcPr>
          <w:p>
            <w:pPr>
              <w:jc w:val="right"/>
              <w:spacing w:after="0"/>
              <w:rPr>
                <w:sz w:val="20"/>
                <w:szCs w:val="20"/>
                <w:color w:val="auto"/>
              </w:rPr>
            </w:pPr>
            <w:r>
              <w:rPr>
                <w:rFonts w:ascii="Arial" w:cs="Arial" w:eastAsia="Arial" w:hAnsi="Arial"/>
                <w:sz w:val="14"/>
                <w:szCs w:val="14"/>
                <w:color w:val="auto"/>
              </w:rPr>
              <w:t>55.7 %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Medicare Supplement</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331.3</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329.2</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286.6</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44.7</w:t>
            </w:r>
          </w:p>
        </w:tc>
        <w:tc>
          <w:tcPr>
            <w:tcW w:w="940" w:type="dxa"/>
            <w:vAlign w:val="bottom"/>
          </w:tcPr>
          <w:p>
            <w:pPr>
              <w:jc w:val="right"/>
              <w:spacing w:after="0"/>
              <w:rPr>
                <w:sz w:val="20"/>
                <w:szCs w:val="20"/>
                <w:color w:val="auto"/>
              </w:rPr>
            </w:pPr>
            <w:r>
              <w:rPr>
                <w:rFonts w:ascii="Arial" w:cs="Arial" w:eastAsia="Arial" w:hAnsi="Arial"/>
                <w:sz w:val="14"/>
                <w:szCs w:val="14"/>
                <w:color w:val="auto"/>
              </w:rPr>
              <w:t>15.6 %</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93"/>
        </w:trPr>
        <w:tc>
          <w:tcPr>
            <w:tcW w:w="2500" w:type="dxa"/>
            <w:vAlign w:val="bottom"/>
          </w:tcPr>
          <w:p>
            <w:pPr>
              <w:ind w:left="480"/>
              <w:spacing w:after="0"/>
              <w:rPr>
                <w:sz w:val="20"/>
                <w:szCs w:val="20"/>
                <w:color w:val="auto"/>
              </w:rPr>
            </w:pPr>
            <w:r>
              <w:rPr>
                <w:rFonts w:ascii="Arial" w:cs="Arial" w:eastAsia="Arial" w:hAnsi="Arial"/>
                <w:sz w:val="14"/>
                <w:szCs w:val="14"/>
                <w:b w:val="1"/>
                <w:bCs w:val="1"/>
                <w:color w:val="auto"/>
              </w:rPr>
              <w:t>Total Retail</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9,500.7</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9,467.3</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9,211.8</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288.9</w:t>
            </w: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c>
          <w:tcPr>
            <w:tcW w:w="60" w:type="dxa"/>
            <w:vAlign w:val="bottom"/>
          </w:tcPr>
          <w:p>
            <w:pPr>
              <w:spacing w:after="0"/>
              <w:rPr>
                <w:sz w:val="16"/>
                <w:szCs w:val="16"/>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9,245.1</w:t>
            </w:r>
          </w:p>
        </w:tc>
        <w:tc>
          <w:tcPr>
            <w:tcW w:w="0" w:type="dxa"/>
            <w:vAlign w:val="bottom"/>
          </w:tcPr>
          <w:p>
            <w:pPr>
              <w:spacing w:after="0"/>
              <w:rPr>
                <w:sz w:val="1"/>
                <w:szCs w:val="1"/>
                <w:color w:val="auto"/>
              </w:rPr>
            </w:pPr>
          </w:p>
        </w:tc>
      </w:tr>
      <w:tr>
        <w:trPr>
          <w:trHeight w:val="142"/>
        </w:trPr>
        <w:tc>
          <w:tcPr>
            <w:tcW w:w="2500" w:type="dxa"/>
            <w:vAlign w:val="bottom"/>
          </w:tcPr>
          <w:p>
            <w:pPr>
              <w:spacing w:after="0" w:line="142" w:lineRule="exact"/>
              <w:rPr>
                <w:sz w:val="20"/>
                <w:szCs w:val="20"/>
                <w:color w:val="auto"/>
              </w:rPr>
            </w:pPr>
            <w:r>
              <w:rPr>
                <w:rFonts w:ascii="Arial" w:cs="Arial" w:eastAsia="Arial" w:hAnsi="Arial"/>
                <w:sz w:val="14"/>
                <w:szCs w:val="14"/>
                <w:b w:val="1"/>
                <w:bCs w:val="1"/>
                <w:color w:val="auto"/>
              </w:rPr>
              <w:t>Group and Specialty</w:t>
            </w:r>
          </w:p>
        </w:tc>
        <w:tc>
          <w:tcPr>
            <w:tcW w:w="1120" w:type="dxa"/>
            <w:vAlign w:val="bottom"/>
            <w:tcBorders>
              <w:left w:val="single" w:sz="8" w:color="auto"/>
              <w:right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00497F"/>
              </w:rPr>
              <w:t>799.5</w:t>
            </w:r>
          </w:p>
        </w:tc>
        <w:tc>
          <w:tcPr>
            <w:tcW w:w="11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0497F"/>
              </w:rPr>
              <w:t>804.1</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Fully-insured commercial medical</w:t>
            </w:r>
          </w:p>
        </w:tc>
        <w:tc>
          <w:tcPr>
            <w:tcW w:w="1120" w:type="dxa"/>
            <w:vAlign w:val="bottom"/>
            <w:tcBorders>
              <w:left w:val="single" w:sz="8" w:color="auto"/>
              <w:right w:val="single" w:sz="8" w:color="auto"/>
            </w:tcBorders>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927.4</w:t>
            </w:r>
          </w:p>
        </w:tc>
        <w:tc>
          <w:tcPr>
            <w:tcW w:w="10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(127.9)</w:t>
            </w:r>
          </w:p>
        </w:tc>
        <w:tc>
          <w:tcPr>
            <w:tcW w:w="940" w:type="dxa"/>
            <w:vAlign w:val="bottom"/>
          </w:tcPr>
          <w:p>
            <w:pPr>
              <w:jc w:val="right"/>
              <w:spacing w:after="0"/>
              <w:rPr>
                <w:sz w:val="20"/>
                <w:szCs w:val="20"/>
                <w:color w:val="auto"/>
              </w:rPr>
            </w:pPr>
            <w:r>
              <w:rPr>
                <w:rFonts w:ascii="Arial" w:cs="Arial" w:eastAsia="Arial" w:hAnsi="Arial"/>
                <w:sz w:val="14"/>
                <w:szCs w:val="14"/>
                <w:color w:val="auto"/>
              </w:rPr>
              <w:t>-13.8 %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ASO commercial</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502.1</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499.0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516.8</w:t>
            </w:r>
          </w:p>
        </w:tc>
        <w:tc>
          <w:tcPr>
            <w:tcW w:w="10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(14.7)</w:t>
            </w:r>
          </w:p>
        </w:tc>
        <w:tc>
          <w:tcPr>
            <w:tcW w:w="940" w:type="dxa"/>
            <w:vAlign w:val="bottom"/>
          </w:tcPr>
          <w:p>
            <w:pPr>
              <w:jc w:val="right"/>
              <w:spacing w:after="0"/>
              <w:rPr>
                <w:sz w:val="20"/>
                <w:szCs w:val="20"/>
                <w:color w:val="auto"/>
              </w:rPr>
            </w:pPr>
            <w:r>
              <w:rPr>
                <w:rFonts w:ascii="Arial" w:cs="Arial" w:eastAsia="Arial" w:hAnsi="Arial"/>
                <w:sz w:val="14"/>
                <w:szCs w:val="14"/>
                <w:color w:val="auto"/>
              </w:rPr>
              <w:t>-2.8 %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Military services</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6,016.4</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6,015.2</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5,998.7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17.7</w:t>
            </w:r>
          </w:p>
        </w:tc>
        <w:tc>
          <w:tcPr>
            <w:tcW w:w="940" w:type="dxa"/>
            <w:vAlign w:val="bottom"/>
          </w:tcPr>
          <w:p>
            <w:pPr>
              <w:jc w:val="right"/>
              <w:spacing w:after="0"/>
              <w:rPr>
                <w:sz w:val="20"/>
                <w:szCs w:val="20"/>
                <w:color w:val="auto"/>
              </w:rPr>
            </w:pPr>
            <w:r>
              <w:rPr>
                <w:rFonts w:ascii="Arial" w:cs="Arial" w:eastAsia="Arial" w:hAnsi="Arial"/>
                <w:sz w:val="14"/>
                <w:szCs w:val="14"/>
                <w:color w:val="auto"/>
              </w:rPr>
              <w:t>0.3 %</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5,984.3</w:t>
            </w:r>
          </w:p>
        </w:tc>
        <w:tc>
          <w:tcPr>
            <w:tcW w:w="0" w:type="dxa"/>
            <w:vAlign w:val="bottom"/>
          </w:tcPr>
          <w:p>
            <w:pPr>
              <w:spacing w:after="0"/>
              <w:rPr>
                <w:sz w:val="1"/>
                <w:szCs w:val="1"/>
                <w:color w:val="auto"/>
              </w:rPr>
            </w:pPr>
          </w:p>
        </w:tc>
      </w:tr>
      <w:tr>
        <w:trPr>
          <w:trHeight w:val="193"/>
        </w:trPr>
        <w:tc>
          <w:tcPr>
            <w:tcW w:w="2500" w:type="dxa"/>
            <w:vAlign w:val="bottom"/>
          </w:tcPr>
          <w:p>
            <w:pPr>
              <w:ind w:left="480"/>
              <w:spacing w:after="0"/>
              <w:rPr>
                <w:sz w:val="20"/>
                <w:szCs w:val="20"/>
                <w:color w:val="auto"/>
              </w:rPr>
            </w:pPr>
            <w:r>
              <w:rPr>
                <w:rFonts w:ascii="Arial" w:cs="Arial" w:eastAsia="Arial" w:hAnsi="Arial"/>
                <w:sz w:val="14"/>
                <w:szCs w:val="14"/>
                <w:b w:val="1"/>
                <w:bCs w:val="1"/>
                <w:color w:val="auto"/>
              </w:rPr>
              <w:t>Total Group and Specialty</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7,318.0</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7,318.3</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7,442.9</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(124.9)</w:t>
            </w: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c>
          <w:tcPr>
            <w:tcW w:w="60" w:type="dxa"/>
            <w:vAlign w:val="bottom"/>
          </w:tcPr>
          <w:p>
            <w:pPr>
              <w:spacing w:after="0"/>
              <w:rPr>
                <w:sz w:val="16"/>
                <w:szCs w:val="16"/>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7,422.1</w:t>
            </w:r>
          </w:p>
        </w:tc>
        <w:tc>
          <w:tcPr>
            <w:tcW w:w="0" w:type="dxa"/>
            <w:vAlign w:val="bottom"/>
          </w:tcPr>
          <w:p>
            <w:pPr>
              <w:spacing w:after="0"/>
              <w:rPr>
                <w:sz w:val="1"/>
                <w:szCs w:val="1"/>
                <w:color w:val="auto"/>
              </w:rPr>
            </w:pPr>
          </w:p>
        </w:tc>
      </w:tr>
      <w:tr>
        <w:trPr>
          <w:trHeight w:val="153"/>
        </w:trPr>
        <w:tc>
          <w:tcPr>
            <w:tcW w:w="2500" w:type="dxa"/>
            <w:vAlign w:val="bottom"/>
          </w:tcPr>
          <w:p>
            <w:pPr>
              <w:spacing w:after="0" w:line="153" w:lineRule="exact"/>
              <w:rPr>
                <w:sz w:val="20"/>
                <w:szCs w:val="20"/>
                <w:color w:val="auto"/>
              </w:rPr>
            </w:pPr>
            <w:r>
              <w:rPr>
                <w:rFonts w:ascii="Arial" w:cs="Arial" w:eastAsia="Arial" w:hAnsi="Arial"/>
                <w:sz w:val="14"/>
                <w:szCs w:val="14"/>
                <w:b w:val="1"/>
                <w:bCs w:val="1"/>
                <w:color w:val="auto"/>
              </w:rPr>
              <w:t>Total Medical Membership</w:t>
            </w:r>
          </w:p>
        </w:tc>
        <w:tc>
          <w:tcPr>
            <w:tcW w:w="1120" w:type="dxa"/>
            <w:vAlign w:val="bottom"/>
            <w:tcBorders>
              <w:left w:val="single" w:sz="8" w:color="auto"/>
              <w:bottom w:val="single" w:sz="8" w:color="auto"/>
              <w:right w:val="single" w:sz="8" w:color="auto"/>
            </w:tcBorders>
            <w:gridSpan w:val="2"/>
          </w:tcPr>
          <w:p>
            <w:pPr>
              <w:jc w:val="right"/>
              <w:ind w:right="100"/>
              <w:spacing w:after="0" w:line="153" w:lineRule="exact"/>
              <w:rPr>
                <w:sz w:val="20"/>
                <w:szCs w:val="20"/>
                <w:color w:val="auto"/>
              </w:rPr>
            </w:pPr>
            <w:r>
              <w:rPr>
                <w:rFonts w:ascii="Arial" w:cs="Arial" w:eastAsia="Arial" w:hAnsi="Arial"/>
                <w:sz w:val="14"/>
                <w:szCs w:val="14"/>
                <w:b w:val="1"/>
                <w:bCs w:val="1"/>
                <w:color w:val="00497F"/>
              </w:rPr>
              <w:t>16,818.7</w:t>
            </w:r>
          </w:p>
        </w:tc>
        <w:tc>
          <w:tcPr>
            <w:tcW w:w="1120" w:type="dxa"/>
            <w:vAlign w:val="bottom"/>
            <w:tcBorders>
              <w:bottom w:val="single" w:sz="8" w:color="auto"/>
            </w:tcBorders>
          </w:tcPr>
          <w:p>
            <w:pPr>
              <w:jc w:val="right"/>
              <w:ind w:right="111"/>
              <w:spacing w:after="0" w:line="153" w:lineRule="exact"/>
              <w:rPr>
                <w:sz w:val="20"/>
                <w:szCs w:val="20"/>
                <w:color w:val="auto"/>
              </w:rPr>
            </w:pPr>
            <w:r>
              <w:rPr>
                <w:rFonts w:ascii="Arial" w:cs="Arial" w:eastAsia="Arial" w:hAnsi="Arial"/>
                <w:sz w:val="14"/>
                <w:szCs w:val="14"/>
                <w:b w:val="1"/>
                <w:bCs w:val="1"/>
                <w:color w:val="00497F"/>
              </w:rPr>
              <w:t>16,785.6</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16,654.7</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111"/>
              <w:spacing w:after="0" w:line="153" w:lineRule="exact"/>
              <w:rPr>
                <w:sz w:val="20"/>
                <w:szCs w:val="20"/>
                <w:color w:val="auto"/>
              </w:rPr>
            </w:pPr>
            <w:r>
              <w:rPr>
                <w:rFonts w:ascii="Arial" w:cs="Arial" w:eastAsia="Arial" w:hAnsi="Arial"/>
                <w:sz w:val="14"/>
                <w:szCs w:val="14"/>
                <w:color w:val="auto"/>
              </w:rPr>
              <w:t>164.0</w:t>
            </w: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1.0 %</w:t>
            </w:r>
          </w:p>
        </w:tc>
        <w:tc>
          <w:tcPr>
            <w:tcW w:w="6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line="153" w:lineRule="exact"/>
              <w:rPr>
                <w:sz w:val="20"/>
                <w:szCs w:val="20"/>
                <w:color w:val="auto"/>
              </w:rPr>
            </w:pPr>
            <w:r>
              <w:rPr>
                <w:rFonts w:ascii="Arial" w:cs="Arial" w:eastAsia="Arial" w:hAnsi="Arial"/>
                <w:sz w:val="14"/>
                <w:szCs w:val="14"/>
                <w:color w:val="auto"/>
              </w:rPr>
              <w:t>16,667.2</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Specialty Membership (included in</w:t>
            </w: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00" w:type="dxa"/>
            <w:vAlign w:val="bottom"/>
            <w:vMerge w:val="continue"/>
          </w:tcPr>
          <w:p>
            <w:pPr>
              <w:spacing w:after="0"/>
              <w:rPr>
                <w:sz w:val="18"/>
                <w:szCs w:val="18"/>
                <w:color w:val="auto"/>
              </w:rPr>
            </w:pPr>
          </w:p>
        </w:tc>
        <w:tc>
          <w:tcPr>
            <w:tcW w:w="104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20"/>
                <w:szCs w:val="20"/>
                <w:color w:val="auto"/>
              </w:rPr>
            </w:pPr>
            <w:r>
              <w:rPr>
                <w:rFonts w:ascii="Arial" w:cs="Arial" w:eastAsia="Arial" w:hAnsi="Arial"/>
                <w:sz w:val="14"/>
                <w:szCs w:val="14"/>
                <w:b w:val="1"/>
                <w:bCs w:val="1"/>
                <w:color w:val="auto"/>
              </w:rPr>
              <w:t>Group and Specialty segment):</w:t>
            </w:r>
          </w:p>
        </w:tc>
        <w:tc>
          <w:tcPr>
            <w:tcW w:w="1040" w:type="dxa"/>
            <w:vAlign w:val="bottom"/>
            <w:tcBorders>
              <w:lef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Dental—fully-insured (F)</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2,627.4</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2,618.8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2,642.9</w:t>
            </w:r>
          </w:p>
        </w:tc>
        <w:tc>
          <w:tcPr>
            <w:tcW w:w="10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(15.5)</w:t>
            </w:r>
          </w:p>
        </w:tc>
        <w:tc>
          <w:tcPr>
            <w:tcW w:w="940" w:type="dxa"/>
            <w:vAlign w:val="bottom"/>
          </w:tcPr>
          <w:p>
            <w:pPr>
              <w:jc w:val="right"/>
              <w:spacing w:after="0"/>
              <w:rPr>
                <w:sz w:val="20"/>
                <w:szCs w:val="20"/>
                <w:color w:val="auto"/>
              </w:rPr>
            </w:pPr>
            <w:r>
              <w:rPr>
                <w:rFonts w:ascii="Arial" w:cs="Arial" w:eastAsia="Arial" w:hAnsi="Arial"/>
                <w:sz w:val="14"/>
                <w:szCs w:val="14"/>
                <w:color w:val="auto"/>
              </w:rPr>
              <w:t>-0.6 %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2,646.4</w:t>
            </w: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Dental—ASO</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282.4</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281.0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276.8</w:t>
            </w:r>
          </w:p>
        </w:tc>
        <w:tc>
          <w:tcPr>
            <w:tcW w:w="10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5.6</w:t>
            </w: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Vision</w:t>
            </w:r>
          </w:p>
        </w:tc>
        <w:tc>
          <w:tcPr>
            <w:tcW w:w="1120" w:type="dxa"/>
            <w:vAlign w:val="bottom"/>
            <w:tcBorders>
              <w:left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2,013.8</w:t>
            </w: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00497F"/>
              </w:rPr>
              <w:t>2,016.3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2,076.9</w:t>
            </w:r>
          </w:p>
        </w:tc>
        <w:tc>
          <w:tcPr>
            <w:tcW w:w="10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(63.1)</w:t>
            </w:r>
          </w:p>
        </w:tc>
        <w:tc>
          <w:tcPr>
            <w:tcW w:w="940" w:type="dxa"/>
            <w:vAlign w:val="bottom"/>
          </w:tcPr>
          <w:p>
            <w:pPr>
              <w:jc w:val="right"/>
              <w:spacing w:after="0"/>
              <w:rPr>
                <w:sz w:val="20"/>
                <w:szCs w:val="20"/>
                <w:color w:val="auto"/>
              </w:rPr>
            </w:pPr>
            <w:r>
              <w:rPr>
                <w:rFonts w:ascii="Arial" w:cs="Arial" w:eastAsia="Arial" w:hAnsi="Arial"/>
                <w:sz w:val="14"/>
                <w:szCs w:val="14"/>
                <w:color w:val="auto"/>
              </w:rPr>
              <w:t>-3.0 %</w:t>
            </w:r>
          </w:p>
        </w:tc>
        <w:tc>
          <w:tcPr>
            <w:tcW w:w="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2,082.5</w:t>
            </w: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Other supplemental benefits (G)</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402.0</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400.5</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414.8</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(12.8)</w:t>
            </w: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20"/>
                <w:szCs w:val="20"/>
                <w:color w:val="auto"/>
              </w:rPr>
            </w:pPr>
            <w:r>
              <w:rPr>
                <w:rFonts w:ascii="Arial" w:cs="Arial" w:eastAsia="Arial" w:hAnsi="Arial"/>
                <w:sz w:val="14"/>
                <w:szCs w:val="14"/>
                <w:b w:val="1"/>
                <w:bCs w:val="1"/>
                <w:color w:val="auto"/>
              </w:rPr>
              <w:t>Total Specialty Membership</w:t>
            </w:r>
          </w:p>
        </w:tc>
        <w:tc>
          <w:tcPr>
            <w:tcW w:w="1120" w:type="dxa"/>
            <w:vAlign w:val="bottom"/>
            <w:tcBorders>
              <w:left w:val="single" w:sz="8" w:color="auto"/>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00497F"/>
              </w:rPr>
              <w:t>5,325.6</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0497F"/>
              </w:rPr>
              <w:t>5,316.6</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5,411.4</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(85.8)</w:t>
            </w:r>
          </w:p>
        </w:tc>
        <w:tc>
          <w:tcPr>
            <w:tcW w:w="940" w:type="dxa"/>
            <w:vAlign w:val="bottom"/>
          </w:tcPr>
          <w:p>
            <w:pPr>
              <w:jc w:val="right"/>
              <w:spacing w:after="0"/>
              <w:rPr>
                <w:sz w:val="20"/>
                <w:szCs w:val="20"/>
                <w:color w:val="auto"/>
              </w:rPr>
            </w:pPr>
            <w:r>
              <w:rPr>
                <w:rFonts w:ascii="Arial" w:cs="Arial" w:eastAsia="Arial" w:hAnsi="Arial"/>
                <w:sz w:val="14"/>
                <w:szCs w:val="14"/>
                <w:color w:val="auto"/>
              </w:rPr>
              <w:t>-1.6 %</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5,425.9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500" w:type="dxa"/>
            <w:vAlign w:val="bottom"/>
            <w:tcBorders>
              <w:right w:val="single" w:sz="8" w:color="auto"/>
            </w:tcBorders>
          </w:tcPr>
          <w:p>
            <w:pPr>
              <w:spacing w:after="0"/>
              <w:rPr>
                <w:sz w:val="5"/>
                <w:szCs w:val="5"/>
                <w:color w:val="auto"/>
              </w:rPr>
            </w:pPr>
          </w:p>
        </w:tc>
        <w:tc>
          <w:tcPr>
            <w:tcW w:w="104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Member Mix</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8"/>
              </w:rPr>
              <w:t>Member Mix</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00497F"/>
              </w:rPr>
              <w:t>September 30,</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September 30,</w:t>
            </w:r>
          </w:p>
        </w:tc>
        <w:tc>
          <w:tcPr>
            <w:tcW w:w="11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040" w:type="dxa"/>
            <w:vAlign w:val="bottom"/>
            <w:tcBorders>
              <w:left w:val="single" w:sz="8" w:color="auto"/>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September</w:t>
            </w:r>
          </w:p>
        </w:tc>
        <w:tc>
          <w:tcPr>
            <w:tcW w:w="1120" w:type="dxa"/>
            <w:vAlign w:val="bottom"/>
            <w:gridSpan w:val="2"/>
            <w:vMerge w:val="continue"/>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color w:val="auto"/>
              </w:rPr>
              <w:t>September 30,</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1040" w:type="dxa"/>
            <w:vAlign w:val="bottom"/>
            <w:tcBorders>
              <w:left w:val="single" w:sz="8" w:color="auto"/>
              <w:bottom w:val="single" w:sz="8" w:color="auto"/>
              <w:right w:val="single" w:sz="8" w:color="auto"/>
            </w:tcBorders>
          </w:tcPr>
          <w:p>
            <w:pPr>
              <w:jc w:val="right"/>
              <w:ind w:right="311"/>
              <w:spacing w:after="0"/>
              <w:rPr>
                <w:sz w:val="20"/>
                <w:szCs w:val="20"/>
                <w:color w:val="auto"/>
              </w:rPr>
            </w:pPr>
            <w:r>
              <w:rPr>
                <w:rFonts w:ascii="Arial" w:cs="Arial" w:eastAsia="Arial" w:hAnsi="Arial"/>
                <w:sz w:val="14"/>
                <w:szCs w:val="14"/>
                <w:b w:val="1"/>
                <w:bCs w:val="1"/>
                <w:color w:val="00497F"/>
              </w:rPr>
              <w:t>2020</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30, 2020</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line="127" w:lineRule="exact"/>
              <w:rPr>
                <w:sz w:val="20"/>
                <w:szCs w:val="20"/>
                <w:color w:val="auto"/>
              </w:rPr>
            </w:pPr>
            <w:r>
              <w:rPr>
                <w:rFonts w:ascii="Arial" w:cs="Arial" w:eastAsia="Arial" w:hAnsi="Arial"/>
                <w:sz w:val="14"/>
                <w:szCs w:val="14"/>
                <w:color w:val="auto"/>
              </w:rPr>
              <w:t>Individual Medicare Advantage</w:t>
            </w:r>
          </w:p>
        </w:tc>
        <w:tc>
          <w:tcPr>
            <w:tcW w:w="104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500" w:type="dxa"/>
            <w:vAlign w:val="bottom"/>
          </w:tcPr>
          <w:p>
            <w:pPr>
              <w:spacing w:after="0"/>
              <w:rPr>
                <w:sz w:val="20"/>
                <w:szCs w:val="20"/>
                <w:color w:val="auto"/>
              </w:rPr>
            </w:pPr>
            <w:r>
              <w:rPr>
                <w:rFonts w:ascii="Arial" w:cs="Arial" w:eastAsia="Arial" w:hAnsi="Arial"/>
                <w:sz w:val="14"/>
                <w:szCs w:val="14"/>
                <w:color w:val="auto"/>
              </w:rPr>
              <w:t>Membership</w:t>
            </w:r>
          </w:p>
        </w:tc>
        <w:tc>
          <w:tcPr>
            <w:tcW w:w="104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HMO</w:t>
            </w:r>
          </w:p>
        </w:tc>
        <w:tc>
          <w:tcPr>
            <w:tcW w:w="1040" w:type="dxa"/>
            <w:vAlign w:val="bottom"/>
            <w:tcBorders>
              <w:left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2,332.2</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59 %</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2,103.8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PPO</w:t>
            </w:r>
          </w:p>
        </w:tc>
        <w:tc>
          <w:tcPr>
            <w:tcW w:w="1040" w:type="dxa"/>
            <w:vAlign w:val="bottom"/>
            <w:tcBorders>
              <w:left w:val="single" w:sz="8" w:color="auto"/>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1,602.9</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20"/>
                <w:szCs w:val="20"/>
                <w:color w:val="auto"/>
              </w:rPr>
            </w:pPr>
            <w:r>
              <w:rPr>
                <w:rFonts w:ascii="Arial" w:cs="Arial" w:eastAsia="Arial" w:hAnsi="Arial"/>
                <w:sz w:val="14"/>
                <w:szCs w:val="14"/>
                <w:b w:val="1"/>
                <w:bCs w:val="1"/>
                <w:color w:val="auto"/>
              </w:rPr>
              <w:t>Total Individual Medicare Advantage</w:t>
            </w:r>
          </w:p>
        </w:tc>
        <w:tc>
          <w:tcPr>
            <w:tcW w:w="1040" w:type="dxa"/>
            <w:vAlign w:val="bottom"/>
            <w:tcBorders>
              <w:left w:val="single" w:sz="8" w:color="auto"/>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3,935.1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3,552.5</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line="127" w:lineRule="exact"/>
              <w:rPr>
                <w:sz w:val="20"/>
                <w:szCs w:val="20"/>
                <w:color w:val="auto"/>
              </w:rPr>
            </w:pPr>
            <w:r>
              <w:rPr>
                <w:rFonts w:ascii="Arial" w:cs="Arial" w:eastAsia="Arial" w:hAnsi="Arial"/>
                <w:sz w:val="14"/>
                <w:szCs w:val="14"/>
                <w:color w:val="auto"/>
              </w:rPr>
              <w:t>Individual Medicare Advantage</w:t>
            </w:r>
          </w:p>
        </w:tc>
        <w:tc>
          <w:tcPr>
            <w:tcW w:w="104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500" w:type="dxa"/>
            <w:vAlign w:val="bottom"/>
          </w:tcPr>
          <w:p>
            <w:pPr>
              <w:spacing w:after="0"/>
              <w:rPr>
                <w:sz w:val="20"/>
                <w:szCs w:val="20"/>
                <w:color w:val="auto"/>
              </w:rPr>
            </w:pPr>
            <w:r>
              <w:rPr>
                <w:rFonts w:ascii="Arial" w:cs="Arial" w:eastAsia="Arial" w:hAnsi="Arial"/>
                <w:sz w:val="14"/>
                <w:szCs w:val="14"/>
                <w:color w:val="auto"/>
              </w:rPr>
              <w:t>Membership</w:t>
            </w:r>
          </w:p>
        </w:tc>
        <w:tc>
          <w:tcPr>
            <w:tcW w:w="104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80"/>
              <w:spacing w:after="0"/>
              <w:rPr>
                <w:sz w:val="20"/>
                <w:szCs w:val="20"/>
                <w:color w:val="auto"/>
              </w:rPr>
            </w:pPr>
            <w:r>
              <w:rPr>
                <w:rFonts w:ascii="Arial" w:cs="Arial" w:eastAsia="Arial" w:hAnsi="Arial"/>
                <w:sz w:val="14"/>
                <w:szCs w:val="14"/>
                <w:color w:val="auto"/>
              </w:rPr>
              <w:t>Shared Risk (H)</w:t>
            </w:r>
          </w:p>
        </w:tc>
        <w:tc>
          <w:tcPr>
            <w:tcW w:w="1040" w:type="dxa"/>
            <w:vAlign w:val="bottom"/>
            <w:tcBorders>
              <w:left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1,213.4</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31 %</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1,093.8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Path to Risk (I)</w:t>
            </w:r>
          </w:p>
        </w:tc>
        <w:tc>
          <w:tcPr>
            <w:tcW w:w="1040" w:type="dxa"/>
            <w:vAlign w:val="bottom"/>
            <w:tcBorders>
              <w:left w:val="single" w:sz="8" w:color="auto"/>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1,392.5</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1,246.8</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80"/>
              <w:spacing w:after="0"/>
              <w:rPr>
                <w:sz w:val="20"/>
                <w:szCs w:val="20"/>
                <w:color w:val="auto"/>
              </w:rPr>
            </w:pPr>
            <w:r>
              <w:rPr>
                <w:rFonts w:ascii="Arial" w:cs="Arial" w:eastAsia="Arial" w:hAnsi="Arial"/>
                <w:sz w:val="14"/>
                <w:szCs w:val="14"/>
                <w:color w:val="auto"/>
              </w:rPr>
              <w:t>Total Value-based</w:t>
            </w:r>
          </w:p>
        </w:tc>
        <w:tc>
          <w:tcPr>
            <w:tcW w:w="1040" w:type="dxa"/>
            <w:vAlign w:val="bottom"/>
            <w:tcBorders>
              <w:left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2,605.9</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66 %</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2,340.6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180"/>
              <w:spacing w:after="0"/>
              <w:rPr>
                <w:sz w:val="20"/>
                <w:szCs w:val="20"/>
                <w:color w:val="auto"/>
              </w:rPr>
            </w:pPr>
            <w:r>
              <w:rPr>
                <w:rFonts w:ascii="Arial" w:cs="Arial" w:eastAsia="Arial" w:hAnsi="Arial"/>
                <w:sz w:val="14"/>
                <w:szCs w:val="14"/>
                <w:color w:val="auto"/>
              </w:rPr>
              <w:t>Other</w:t>
            </w:r>
          </w:p>
        </w:tc>
        <w:tc>
          <w:tcPr>
            <w:tcW w:w="1040" w:type="dxa"/>
            <w:vAlign w:val="bottom"/>
            <w:tcBorders>
              <w:left w:val="single" w:sz="8" w:color="auto"/>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1,329.2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1,211.9</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20"/>
                <w:szCs w:val="20"/>
                <w:color w:val="auto"/>
              </w:rPr>
            </w:pPr>
            <w:r>
              <w:rPr>
                <w:rFonts w:ascii="Arial" w:cs="Arial" w:eastAsia="Arial" w:hAnsi="Arial"/>
                <w:sz w:val="14"/>
                <w:szCs w:val="14"/>
                <w:b w:val="1"/>
                <w:bCs w:val="1"/>
                <w:color w:val="auto"/>
              </w:rPr>
              <w:t>Total Individual Medicare Advantage</w:t>
            </w:r>
          </w:p>
        </w:tc>
        <w:tc>
          <w:tcPr>
            <w:tcW w:w="1040" w:type="dxa"/>
            <w:vAlign w:val="bottom"/>
            <w:tcBorders>
              <w:left w:val="single" w:sz="8" w:color="auto"/>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00497F"/>
              </w:rPr>
              <w:t>3,935.1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3,552.5</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hanging="3"/>
        <w:spacing w:after="0" w:line="546" w:lineRule="auto"/>
        <w:rPr>
          <w:sz w:val="20"/>
          <w:szCs w:val="20"/>
          <w:color w:val="auto"/>
        </w:rPr>
      </w:pPr>
      <w:r>
        <w:rPr>
          <w:rFonts w:ascii="Arial" w:cs="Arial" w:eastAsia="Arial" w:hAnsi="Arial"/>
          <w:sz w:val="13"/>
          <w:szCs w:val="13"/>
          <w:b w:val="1"/>
          <w:bCs w:val="1"/>
          <w:color w:val="auto"/>
        </w:rPr>
        <w:t>Year To Date Change Amount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-121285</wp:posOffset>
            </wp:positionV>
            <wp:extent cx="974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40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-440690</wp:posOffset>
            </wp:positionV>
            <wp:extent cx="982345" cy="130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2345" cy="130810"/>
                    </a:xfrm>
                    <a:prstGeom prst="rect">
                      <a:avLst/>
                    </a:prstGeom>
                    <a:noFill/>
                  </pic:spPr>
                </pic:pic>
              </a:graphicData>
            </a:graphic>
          </wp:anchor>
        </w:drawing>
      </w:r>
    </w:p>
    <w:p>
      <w:pPr>
        <w:spacing w:after="0" w:line="16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4"/>
          <w:szCs w:val="14"/>
          <w:color w:val="auto"/>
        </w:rPr>
        <w:t>347.9</w:t>
      </w:r>
      <w:r>
        <w:rPr>
          <w:sz w:val="20"/>
          <w:szCs w:val="20"/>
          <w:color w:val="auto"/>
        </w:rPr>
        <w:tab/>
      </w:r>
      <w:r>
        <w:rPr>
          <w:rFonts w:ascii="Arial" w:cs="Arial" w:eastAsia="Arial" w:hAnsi="Arial"/>
          <w:sz w:val="13"/>
          <w:szCs w:val="13"/>
          <w:color w:val="auto"/>
        </w:rPr>
        <w:t>9.7 %</w:t>
      </w:r>
    </w:p>
    <w:p>
      <w:pPr>
        <w:spacing w:after="0" w:line="19" w:lineRule="exact"/>
        <w:rPr>
          <w:sz w:val="20"/>
          <w:szCs w:val="20"/>
          <w:color w:val="auto"/>
        </w:rPr>
      </w:pPr>
    </w:p>
    <w:p>
      <w:pPr>
        <w:jc w:val="right"/>
        <w:spacing w:after="0"/>
        <w:tabs>
          <w:tab w:leader="none" w:pos="400" w:val="left"/>
        </w:tabs>
        <w:rPr>
          <w:sz w:val="20"/>
          <w:szCs w:val="20"/>
          <w:color w:val="auto"/>
        </w:rPr>
      </w:pPr>
      <w:r>
        <w:rPr>
          <w:rFonts w:ascii="Arial" w:cs="Arial" w:eastAsia="Arial" w:hAnsi="Arial"/>
          <w:sz w:val="14"/>
          <w:szCs w:val="14"/>
          <w:color w:val="auto"/>
        </w:rPr>
        <w:t>86.7</w:t>
      </w:r>
      <w:r>
        <w:rPr>
          <w:sz w:val="20"/>
          <w:szCs w:val="20"/>
          <w:color w:val="auto"/>
        </w:rPr>
        <w:tab/>
      </w:r>
      <w:r>
        <w:rPr>
          <w:rFonts w:ascii="Arial" w:cs="Arial" w:eastAsia="Arial" w:hAnsi="Arial"/>
          <w:sz w:val="13"/>
          <w:szCs w:val="13"/>
          <w:color w:val="auto"/>
        </w:rPr>
        <w:t>16.5 %</w:t>
      </w:r>
    </w:p>
    <w:p>
      <w:pPr>
        <w:spacing w:after="0" w:line="19"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(473.0)</w:t>
      </w:r>
      <w:r>
        <w:rPr>
          <w:sz w:val="20"/>
          <w:szCs w:val="20"/>
          <w:color w:val="auto"/>
        </w:rPr>
        <w:tab/>
      </w:r>
      <w:r>
        <w:rPr>
          <w:rFonts w:ascii="Arial" w:cs="Arial" w:eastAsia="Arial" w:hAnsi="Arial"/>
          <w:sz w:val="13"/>
          <w:szCs w:val="13"/>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(38.4)</w:t>
      </w:r>
      <w:r>
        <w:rPr>
          <w:sz w:val="20"/>
          <w:szCs w:val="20"/>
          <w:color w:val="auto"/>
        </w:rPr>
        <w:tab/>
      </w:r>
      <w:r>
        <w:rPr>
          <w:rFonts w:ascii="Arial" w:cs="Arial" w:eastAsia="Arial" w:hAnsi="Arial"/>
          <w:sz w:val="13"/>
          <w:szCs w:val="13"/>
          <w:color w:val="auto"/>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400" w:val="left"/>
        </w:tabs>
        <w:rPr>
          <w:sz w:val="20"/>
          <w:szCs w:val="20"/>
          <w:color w:val="auto"/>
        </w:rPr>
      </w:pPr>
      <w:r>
        <w:rPr>
          <w:rFonts w:ascii="Arial" w:cs="Arial" w:eastAsia="Arial" w:hAnsi="Arial"/>
          <w:sz w:val="14"/>
          <w:szCs w:val="14"/>
          <w:color w:val="auto"/>
        </w:rPr>
        <w:t>261.1</w:t>
      </w:r>
      <w:r>
        <w:rPr>
          <w:sz w:val="20"/>
          <w:szCs w:val="20"/>
          <w:color w:val="auto"/>
        </w:rPr>
        <w:tab/>
      </w:r>
      <w:r>
        <w:rPr>
          <w:rFonts w:ascii="Arial" w:cs="Arial" w:eastAsia="Arial" w:hAnsi="Arial"/>
          <w:sz w:val="13"/>
          <w:szCs w:val="13"/>
          <w:color w:val="auto"/>
        </w:rPr>
        <w:t>55.7 %</w:t>
      </w:r>
    </w:p>
    <w:p>
      <w:pPr>
        <w:spacing w:after="0" w:line="19" w:lineRule="exact"/>
        <w:rPr>
          <w:sz w:val="20"/>
          <w:szCs w:val="20"/>
          <w:color w:val="auto"/>
        </w:rPr>
      </w:pPr>
    </w:p>
    <w:p>
      <w:pPr>
        <w:jc w:val="right"/>
        <w:spacing w:after="0"/>
        <w:tabs>
          <w:tab w:leader="none" w:pos="400" w:val="left"/>
        </w:tabs>
        <w:rPr>
          <w:sz w:val="20"/>
          <w:szCs w:val="20"/>
          <w:color w:val="auto"/>
        </w:rPr>
      </w:pPr>
      <w:r>
        <w:rPr>
          <w:rFonts w:ascii="Arial" w:cs="Arial" w:eastAsia="Arial" w:hAnsi="Arial"/>
          <w:sz w:val="14"/>
          <w:szCs w:val="14"/>
          <w:color w:val="auto"/>
        </w:rPr>
        <w:t>32.9</w:t>
      </w:r>
      <w:r>
        <w:rPr>
          <w:sz w:val="20"/>
          <w:szCs w:val="20"/>
          <w:color w:val="auto"/>
        </w:rPr>
        <w:tab/>
      </w:r>
      <w:r>
        <w:rPr>
          <w:rFonts w:ascii="Arial" w:cs="Arial" w:eastAsia="Arial" w:hAnsi="Arial"/>
          <w:sz w:val="13"/>
          <w:szCs w:val="13"/>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4"/>
          <w:szCs w:val="14"/>
          <w:color w:val="auto"/>
        </w:rPr>
        <w:t>255.6</w:t>
      </w:r>
      <w:r>
        <w:rPr>
          <w:sz w:val="20"/>
          <w:szCs w:val="20"/>
          <w:color w:val="auto"/>
        </w:rPr>
        <w:tab/>
      </w:r>
      <w:r>
        <w:rPr>
          <w:rFonts w:ascii="Arial" w:cs="Arial" w:eastAsia="Arial" w:hAnsi="Arial"/>
          <w:sz w:val="13"/>
          <w:szCs w:val="13"/>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180"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(109.1)</w:t>
      </w:r>
      <w:r>
        <w:rPr>
          <w:sz w:val="20"/>
          <w:szCs w:val="20"/>
          <w:color w:val="auto"/>
        </w:rPr>
        <w:tab/>
      </w:r>
      <w:r>
        <w:rPr>
          <w:rFonts w:ascii="Arial" w:cs="Arial" w:eastAsia="Arial" w:hAnsi="Arial"/>
          <w:sz w:val="13"/>
          <w:szCs w:val="13"/>
          <w:color w:val="auto"/>
        </w:rPr>
        <w:t>-12.0 %</w:t>
      </w:r>
    </w:p>
    <w:p>
      <w:pPr>
        <w:spacing w:after="0" w:line="19"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(27.1)</w:t>
      </w:r>
      <w:r>
        <w:rPr>
          <w:sz w:val="20"/>
          <w:szCs w:val="20"/>
          <w:color w:val="auto"/>
        </w:rPr>
        <w:tab/>
      </w:r>
      <w:r>
        <w:rPr>
          <w:rFonts w:ascii="Arial" w:cs="Arial" w:eastAsia="Arial" w:hAnsi="Arial"/>
          <w:sz w:val="13"/>
          <w:szCs w:val="13"/>
          <w:color w:val="auto"/>
        </w:rPr>
        <w:t>-5.1 %</w:t>
      </w:r>
    </w:p>
    <w:p>
      <w:pPr>
        <w:spacing w:after="0" w:line="1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(104.1)</w:t>
      </w:r>
      <w:r>
        <w:rPr>
          <w:sz w:val="20"/>
          <w:szCs w:val="20"/>
          <w:color w:val="auto"/>
        </w:rPr>
        <w:tab/>
      </w:r>
      <w:r>
        <w:rPr>
          <w:rFonts w:ascii="Arial" w:cs="Arial" w:eastAsia="Arial" w:hAnsi="Arial"/>
          <w:sz w:val="13"/>
          <w:szCs w:val="13"/>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jc w:val="right"/>
        <w:spacing w:after="0"/>
        <w:tabs>
          <w:tab w:leader="none" w:pos="320" w:val="left"/>
        </w:tabs>
        <w:rPr>
          <w:sz w:val="20"/>
          <w:szCs w:val="20"/>
          <w:color w:val="auto"/>
        </w:rPr>
      </w:pPr>
      <w:r>
        <w:rPr>
          <w:rFonts w:ascii="Arial" w:cs="Arial" w:eastAsia="Arial" w:hAnsi="Arial"/>
          <w:sz w:val="14"/>
          <w:szCs w:val="14"/>
          <w:color w:val="auto"/>
        </w:rPr>
        <w:t>151.5</w:t>
      </w:r>
      <w:r>
        <w:rPr>
          <w:sz w:val="20"/>
          <w:szCs w:val="20"/>
          <w:color w:val="auto"/>
        </w:rPr>
        <w:tab/>
      </w:r>
      <w:r>
        <w:rPr>
          <w:rFonts w:ascii="Arial" w:cs="Arial" w:eastAsia="Arial" w:hAnsi="Arial"/>
          <w:sz w:val="19"/>
          <w:szCs w:val="19"/>
          <w:color w:val="auto"/>
          <w:vertAlign w:val="subscript"/>
        </w:rPr>
        <w:t>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-15875</wp:posOffset>
            </wp:positionV>
            <wp:extent cx="450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021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7620</wp:posOffset>
            </wp:positionV>
            <wp:extent cx="4502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(19.0)</w:t>
      </w:r>
      <w:r>
        <w:rPr>
          <w:sz w:val="20"/>
          <w:szCs w:val="20"/>
          <w:color w:val="auto"/>
        </w:rPr>
        <w:tab/>
      </w:r>
      <w:r>
        <w:rPr>
          <w:rFonts w:ascii="Arial" w:cs="Arial" w:eastAsia="Arial" w:hAnsi="Arial"/>
          <w:sz w:val="13"/>
          <w:szCs w:val="13"/>
          <w:color w:val="auto"/>
        </w:rPr>
        <w:t>-0.7 %</w:t>
      </w:r>
    </w:p>
    <w:p>
      <w:pPr>
        <w:spacing w:after="0" w:line="1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3"/>
          <w:szCs w:val="13"/>
          <w:color w:val="auto"/>
        </w:rPr>
        <w:t>1.3 %</w:t>
      </w:r>
    </w:p>
    <w:p>
      <w:pPr>
        <w:spacing w:after="0" w:line="19"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(68.7)</w:t>
      </w:r>
      <w:r>
        <w:rPr>
          <w:sz w:val="20"/>
          <w:szCs w:val="20"/>
          <w:color w:val="auto"/>
        </w:rPr>
        <w:tab/>
      </w:r>
      <w:r>
        <w:rPr>
          <w:rFonts w:ascii="Arial" w:cs="Arial" w:eastAsia="Arial" w:hAnsi="Arial"/>
          <w:sz w:val="13"/>
          <w:szCs w:val="13"/>
          <w:color w:val="auto"/>
        </w:rPr>
        <w:t>-3.3 %</w:t>
      </w:r>
    </w:p>
    <w:p>
      <w:pPr>
        <w:spacing w:after="0" w:line="19"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(16.1)</w:t>
      </w:r>
      <w:r>
        <w:rPr>
          <w:sz w:val="20"/>
          <w:szCs w:val="20"/>
          <w:color w:val="auto"/>
        </w:rPr>
        <w:tab/>
      </w:r>
      <w:r>
        <w:rPr>
          <w:rFonts w:ascii="Arial" w:cs="Arial" w:eastAsia="Arial" w:hAnsi="Arial"/>
          <w:sz w:val="13"/>
          <w:szCs w:val="13"/>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1270</wp:posOffset>
            </wp:positionV>
            <wp:extent cx="450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jc w:val="right"/>
        <w:spacing w:after="0" w:line="232" w:lineRule="auto"/>
        <w:tabs>
          <w:tab w:leader="none" w:pos="380" w:val="left"/>
        </w:tabs>
        <w:rPr>
          <w:sz w:val="20"/>
          <w:szCs w:val="20"/>
          <w:color w:val="auto"/>
        </w:rPr>
      </w:pPr>
      <w:r>
        <w:rPr>
          <w:rFonts w:ascii="Arial" w:cs="Arial" w:eastAsia="Arial" w:hAnsi="Arial"/>
          <w:sz w:val="14"/>
          <w:szCs w:val="14"/>
          <w:color w:val="auto"/>
        </w:rPr>
        <w:t>(100.3)</w:t>
      </w:r>
      <w:r>
        <w:rPr>
          <w:sz w:val="20"/>
          <w:szCs w:val="20"/>
          <w:color w:val="auto"/>
        </w:rPr>
        <w:tab/>
      </w:r>
      <w:r>
        <w:rPr>
          <w:rFonts w:ascii="Arial" w:cs="Arial" w:eastAsia="Arial" w:hAnsi="Arial"/>
          <w:sz w:val="20"/>
          <w:szCs w:val="20"/>
          <w:color w:val="auto"/>
          <w:vertAlign w:val="subscript"/>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-16510</wp:posOffset>
            </wp:positionV>
            <wp:extent cx="4502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021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7620</wp:posOffset>
            </wp:positionV>
            <wp:extent cx="4502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2906" w:lineRule="exact"/>
        <w:rPr>
          <w:sz w:val="20"/>
          <w:szCs w:val="20"/>
          <w:color w:val="auto"/>
        </w:rPr>
      </w:pPr>
    </w:p>
    <w:p>
      <w:pPr>
        <w:sectPr>
          <w:pgSz w:w="11900" w:h="16838" w:orient="portrait"/>
          <w:cols w:equalWidth="0" w:num="2">
            <w:col w:w="9060" w:space="160"/>
            <w:col w:w="1420"/>
          </w:cols>
          <w:pgMar w:left="320" w:top="378" w:right="939" w:bottom="1440" w:gutter="0" w:footer="0" w:header="0"/>
        </w:sectPr>
      </w:pP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640"/>
          </w:cols>
          <w:pgMar w:left="320" w:top="378" w:right="9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Premiums and Services Revenue Detail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Dollars in millions, except per member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23495</wp:posOffset>
            </wp:positionV>
            <wp:extent cx="1710690" cy="343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0690" cy="343535"/>
                    </a:xfrm>
                    <a:prstGeom prst="rect">
                      <a:avLst/>
                    </a:prstGeom>
                    <a:noFill/>
                  </pic:spPr>
                </pic:pic>
              </a:graphicData>
            </a:graphic>
          </wp:anchor>
        </w:drawing>
      </w:r>
    </w:p>
    <w:p>
      <w:pPr>
        <w:spacing w:after="0" w:line="222"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For the three months ended September</w:t>
      </w:r>
    </w:p>
    <w:p>
      <w:pPr>
        <w:jc w:val="center"/>
        <w:ind w:left="2920"/>
        <w:spacing w:after="0"/>
        <w:rPr>
          <w:sz w:val="20"/>
          <w:szCs w:val="20"/>
          <w:color w:val="auto"/>
        </w:rPr>
      </w:pPr>
      <w:r>
        <w:rPr>
          <w:rFonts w:ascii="Arial" w:cs="Arial" w:eastAsia="Arial" w:hAnsi="Arial"/>
          <w:sz w:val="14"/>
          <w:szCs w:val="14"/>
          <w:b w:val="1"/>
          <w:bCs w:val="1"/>
          <w:color w:val="auto"/>
        </w:rPr>
        <w:t>30,</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b w:val="1"/>
                <w:bCs w:val="1"/>
                <w:color w:val="auto"/>
              </w:rPr>
              <w:t>Premiums and Services Revenue</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right w:val="single" w:sz="8" w:color="auto"/>
            </w:tcBorders>
          </w:tcPr>
          <w:p>
            <w:pPr>
              <w:jc w:val="right"/>
              <w:ind w:right="463"/>
              <w:spacing w:after="0"/>
              <w:rPr>
                <w:sz w:val="20"/>
                <w:szCs w:val="20"/>
                <w:color w:val="auto"/>
              </w:rPr>
            </w:pPr>
            <w:r>
              <w:rPr>
                <w:rFonts w:ascii="Arial" w:cs="Arial" w:eastAsia="Arial" w:hAnsi="Arial"/>
                <w:sz w:val="14"/>
                <w:szCs w:val="14"/>
                <w:b w:val="1"/>
                <w:bCs w:val="1"/>
                <w:color w:val="366092"/>
              </w:rPr>
              <w:t>2020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1"/>
        </w:trPr>
        <w:tc>
          <w:tcPr>
            <w:tcW w:w="2920" w:type="dxa"/>
            <w:vAlign w:val="bottom"/>
            <w:tcBorders>
              <w:right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Retail</w:t>
            </w:r>
          </w:p>
        </w:tc>
        <w:tc>
          <w:tcPr>
            <w:tcW w:w="3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Individual Medicare Advantage</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366092"/>
                <w:w w:val="95"/>
              </w:rPr>
              <w:t>$</w:t>
            </w: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12,949</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10,752</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Group Medicare Advantage</w:t>
            </w:r>
          </w:p>
        </w:tc>
        <w:tc>
          <w:tcPr>
            <w:tcW w:w="300" w:type="dxa"/>
            <w:vAlign w:val="bottom"/>
          </w:tcPr>
          <w:p>
            <w:pPr>
              <w:spacing w:after="0"/>
              <w:rPr>
                <w:sz w:val="17"/>
                <w:szCs w:val="17"/>
                <w:color w:val="auto"/>
              </w:rPr>
            </w:pP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1,880</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1,609</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Medicare stand-alone PDP</w:t>
            </w:r>
          </w:p>
        </w:tc>
        <w:tc>
          <w:tcPr>
            <w:tcW w:w="300" w:type="dxa"/>
            <w:vAlign w:val="bottom"/>
          </w:tcPr>
          <w:p>
            <w:pPr>
              <w:spacing w:after="0"/>
              <w:rPr>
                <w:sz w:val="17"/>
                <w:szCs w:val="17"/>
                <w:color w:val="auto"/>
              </w:rPr>
            </w:pP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622</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781</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State-based contracts (E)</w:t>
            </w:r>
          </w:p>
        </w:tc>
        <w:tc>
          <w:tcPr>
            <w:tcW w:w="300" w:type="dxa"/>
            <w:vAlign w:val="bottom"/>
          </w:tcPr>
          <w:p>
            <w:pPr>
              <w:spacing w:after="0"/>
              <w:rPr>
                <w:sz w:val="17"/>
                <w:szCs w:val="17"/>
                <w:color w:val="auto"/>
              </w:rPr>
            </w:pP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1,081</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742</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Medicare Supplement</w:t>
            </w:r>
          </w:p>
        </w:tc>
        <w:tc>
          <w:tcPr>
            <w:tcW w:w="300" w:type="dxa"/>
            <w:vAlign w:val="bottom"/>
          </w:tcPr>
          <w:p>
            <w:pPr>
              <w:spacing w:after="0"/>
              <w:rPr>
                <w:sz w:val="17"/>
                <w:szCs w:val="17"/>
                <w:color w:val="auto"/>
              </w:rPr>
            </w:pP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177</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Other services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2"/>
        </w:trPr>
        <w:tc>
          <w:tcPr>
            <w:tcW w:w="2920" w:type="dxa"/>
            <w:vAlign w:val="bottom"/>
            <w:tcBorders>
              <w:right w:val="single" w:sz="8" w:color="auto"/>
            </w:tcBorders>
          </w:tcPr>
          <w:p>
            <w:pPr>
              <w:ind w:left="600"/>
              <w:spacing w:after="0"/>
              <w:rPr>
                <w:sz w:val="20"/>
                <w:szCs w:val="20"/>
                <w:color w:val="auto"/>
              </w:rPr>
            </w:pPr>
            <w:r>
              <w:rPr>
                <w:rFonts w:ascii="Arial" w:cs="Arial" w:eastAsia="Arial" w:hAnsi="Arial"/>
                <w:sz w:val="15"/>
                <w:szCs w:val="15"/>
                <w:b w:val="1"/>
                <w:bCs w:val="1"/>
                <w:color w:val="auto"/>
              </w:rPr>
              <w:t>Total Retail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16,713</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14,038</w:t>
            </w:r>
          </w:p>
        </w:tc>
        <w:tc>
          <w:tcPr>
            <w:tcW w:w="0" w:type="dxa"/>
            <w:vAlign w:val="bottom"/>
          </w:tcPr>
          <w:p>
            <w:pPr>
              <w:spacing w:after="0"/>
              <w:rPr>
                <w:sz w:val="1"/>
                <w:szCs w:val="1"/>
                <w:color w:val="auto"/>
              </w:rPr>
            </w:pPr>
          </w:p>
        </w:tc>
      </w:tr>
      <w:tr>
        <w:trPr>
          <w:trHeight w:val="184"/>
        </w:trPr>
        <w:tc>
          <w:tcPr>
            <w:tcW w:w="292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Group and Specialty</w:t>
            </w:r>
          </w:p>
        </w:tc>
        <w:tc>
          <w:tcPr>
            <w:tcW w:w="300" w:type="dxa"/>
            <w:vAlign w:val="bottom"/>
          </w:tcPr>
          <w:p>
            <w:pPr>
              <w:spacing w:after="0"/>
              <w:rPr>
                <w:sz w:val="16"/>
                <w:szCs w:val="16"/>
                <w:color w:val="auto"/>
              </w:rPr>
            </w:pPr>
          </w:p>
        </w:tc>
        <w:tc>
          <w:tcPr>
            <w:tcW w:w="104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b w:val="1"/>
                <w:bCs w:val="1"/>
                <w:color w:val="366092"/>
              </w:rPr>
              <w:t>1,169</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Fully-insured commercial medical</w:t>
            </w:r>
          </w:p>
        </w:tc>
        <w:tc>
          <w:tcPr>
            <w:tcW w:w="300" w:type="dxa"/>
            <w:vAlign w:val="bottom"/>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Specialty (J)</w:t>
            </w:r>
          </w:p>
        </w:tc>
        <w:tc>
          <w:tcPr>
            <w:tcW w:w="300" w:type="dxa"/>
            <w:vAlign w:val="bottom"/>
          </w:tcPr>
          <w:p>
            <w:pPr>
              <w:spacing w:after="0"/>
              <w:rPr>
                <w:sz w:val="17"/>
                <w:szCs w:val="17"/>
                <w:color w:val="auto"/>
              </w:rPr>
            </w:pP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424</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75"/>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Commercial ASO &amp; other services</w:t>
            </w: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b w:val="1"/>
                <w:bCs w:val="1"/>
                <w:color w:val="366092"/>
              </w:rPr>
              <w:t>76</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(D)</w:t>
            </w:r>
          </w:p>
        </w:tc>
        <w:tc>
          <w:tcPr>
            <w:tcW w:w="300" w:type="dxa"/>
            <w:vAlign w:val="bottom"/>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Military services (K)</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2"/>
        </w:trPr>
        <w:tc>
          <w:tcPr>
            <w:tcW w:w="2920" w:type="dxa"/>
            <w:vAlign w:val="bottom"/>
            <w:tcBorders>
              <w:right w:val="single" w:sz="8" w:color="auto"/>
            </w:tcBorders>
          </w:tcPr>
          <w:p>
            <w:pPr>
              <w:ind w:left="600"/>
              <w:spacing w:after="0"/>
              <w:rPr>
                <w:sz w:val="20"/>
                <w:szCs w:val="20"/>
                <w:color w:val="auto"/>
              </w:rPr>
            </w:pPr>
            <w:r>
              <w:rPr>
                <w:rFonts w:ascii="Arial" w:cs="Arial" w:eastAsia="Arial" w:hAnsi="Arial"/>
                <w:sz w:val="15"/>
                <w:szCs w:val="15"/>
                <w:b w:val="1"/>
                <w:bCs w:val="1"/>
                <w:color w:val="auto"/>
              </w:rPr>
              <w:t>Total Group and Specialty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1,791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1,882</w:t>
            </w:r>
          </w:p>
        </w:tc>
        <w:tc>
          <w:tcPr>
            <w:tcW w:w="0" w:type="dxa"/>
            <w:vAlign w:val="bottom"/>
          </w:tcPr>
          <w:p>
            <w:pPr>
              <w:spacing w:after="0"/>
              <w:rPr>
                <w:sz w:val="1"/>
                <w:szCs w:val="1"/>
                <w:color w:val="auto"/>
              </w:rPr>
            </w:pPr>
          </w:p>
        </w:tc>
      </w:tr>
      <w:tr>
        <w:trPr>
          <w:trHeight w:val="184"/>
        </w:trPr>
        <w:tc>
          <w:tcPr>
            <w:tcW w:w="292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Healthcare Services</w:t>
            </w:r>
          </w:p>
        </w:tc>
        <w:tc>
          <w:tcPr>
            <w:tcW w:w="300" w:type="dxa"/>
            <w:vAlign w:val="bottom"/>
          </w:tcPr>
          <w:p>
            <w:pPr>
              <w:spacing w:after="0"/>
              <w:rPr>
                <w:sz w:val="16"/>
                <w:szCs w:val="16"/>
                <w:color w:val="auto"/>
              </w:rPr>
            </w:pPr>
          </w:p>
        </w:tc>
        <w:tc>
          <w:tcPr>
            <w:tcW w:w="104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b w:val="1"/>
                <w:bCs w:val="1"/>
                <w:color w:val="366092"/>
              </w:rPr>
              <w:t>6,315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Pharmacy solutions</w:t>
            </w:r>
          </w:p>
        </w:tc>
        <w:tc>
          <w:tcPr>
            <w:tcW w:w="300" w:type="dxa"/>
            <w:vAlign w:val="bottom"/>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5,726</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Provider services</w:t>
            </w:r>
          </w:p>
        </w:tc>
        <w:tc>
          <w:tcPr>
            <w:tcW w:w="300" w:type="dxa"/>
            <w:vAlign w:val="bottom"/>
          </w:tcPr>
          <w:p>
            <w:pPr>
              <w:spacing w:after="0"/>
              <w:rPr>
                <w:sz w:val="17"/>
                <w:szCs w:val="17"/>
                <w:color w:val="auto"/>
              </w:rPr>
            </w:pPr>
          </w:p>
        </w:tc>
        <w:tc>
          <w:tcPr>
            <w:tcW w:w="1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654</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20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Clinical programs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160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04"/>
        </w:trPr>
        <w:tc>
          <w:tcPr>
            <w:tcW w:w="2920" w:type="dxa"/>
            <w:vAlign w:val="bottom"/>
            <w:tcBorders>
              <w:right w:val="single" w:sz="8" w:color="auto"/>
            </w:tcBorders>
          </w:tcPr>
          <w:p>
            <w:pPr>
              <w:ind w:left="600"/>
              <w:spacing w:after="0"/>
              <w:rPr>
                <w:sz w:val="20"/>
                <w:szCs w:val="20"/>
                <w:color w:val="auto"/>
              </w:rPr>
            </w:pPr>
            <w:r>
              <w:rPr>
                <w:rFonts w:ascii="Arial" w:cs="Arial" w:eastAsia="Arial" w:hAnsi="Arial"/>
                <w:sz w:val="15"/>
                <w:szCs w:val="15"/>
                <w:b w:val="1"/>
                <w:bCs w:val="1"/>
                <w:color w:val="auto"/>
              </w:rPr>
              <w:t>Total Healthcare Services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7,129</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40" w:type="dxa"/>
            <w:vAlign w:val="bottom"/>
            <w:tcBorders>
              <w:top w:val="single" w:sz="8" w:color="auto"/>
              <w:right w:val="single" w:sz="8" w:color="auto"/>
            </w:tcBorders>
            <w:gridSpan w:val="3"/>
          </w:tcPr>
          <w:p>
            <w:pPr>
              <w:jc w:val="center"/>
              <w:ind w:right="244"/>
              <w:spacing w:after="0" w:line="168" w:lineRule="exact"/>
              <w:rPr>
                <w:sz w:val="20"/>
                <w:szCs w:val="20"/>
                <w:color w:val="auto"/>
              </w:rPr>
            </w:pPr>
            <w:r>
              <w:rPr>
                <w:rFonts w:ascii="Arial" w:cs="Arial" w:eastAsia="Arial" w:hAnsi="Arial"/>
                <w:sz w:val="15"/>
                <w:szCs w:val="15"/>
                <w:b w:val="1"/>
                <w:bCs w:val="1"/>
                <w:color w:val="auto"/>
              </w:rPr>
              <w:t>Per Member per Month (L)</w:t>
            </w:r>
          </w:p>
        </w:tc>
      </w:tr>
      <w:tr>
        <w:trPr>
          <w:trHeight w:val="155"/>
        </w:trPr>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940" w:type="dxa"/>
            <w:vAlign w:val="bottom"/>
            <w:tcBorders>
              <w:right w:val="single" w:sz="8" w:color="auto"/>
            </w:tcBorders>
            <w:gridSpan w:val="4"/>
          </w:tcPr>
          <w:p>
            <w:pPr>
              <w:jc w:val="center"/>
              <w:spacing w:after="0" w:line="155" w:lineRule="exact"/>
              <w:rPr>
                <w:sz w:val="20"/>
                <w:szCs w:val="20"/>
                <w:color w:val="auto"/>
              </w:rPr>
            </w:pPr>
            <w:r>
              <w:rPr>
                <w:rFonts w:ascii="Arial" w:cs="Arial" w:eastAsia="Arial" w:hAnsi="Arial"/>
                <w:sz w:val="15"/>
                <w:szCs w:val="15"/>
                <w:b w:val="1"/>
                <w:bCs w:val="1"/>
                <w:color w:val="auto"/>
              </w:rPr>
              <w:t>For the three months ended September</w:t>
            </w:r>
          </w:p>
        </w:tc>
      </w:tr>
      <w:tr>
        <w:trPr>
          <w:trHeight w:val="204"/>
        </w:trPr>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744"/>
              <w:spacing w:after="0"/>
              <w:rPr>
                <w:sz w:val="20"/>
                <w:szCs w:val="20"/>
                <w:color w:val="auto"/>
              </w:rPr>
            </w:pPr>
            <w:r>
              <w:rPr>
                <w:rFonts w:ascii="Arial" w:cs="Arial" w:eastAsia="Arial" w:hAnsi="Arial"/>
                <w:sz w:val="15"/>
                <w:szCs w:val="15"/>
                <w:b w:val="1"/>
                <w:bCs w:val="1"/>
                <w:color w:val="auto"/>
                <w:w w:val="95"/>
              </w:rPr>
              <w:t>30,</w:t>
            </w:r>
          </w:p>
        </w:tc>
        <w:tc>
          <w:tcPr>
            <w:tcW w:w="1140" w:type="dxa"/>
            <w:vAlign w:val="bottom"/>
            <w:tcBorders>
              <w:bottom w:val="single" w:sz="8" w:color="auto"/>
              <w:right w:val="single" w:sz="8" w:color="auto"/>
            </w:tcBorders>
          </w:tcPr>
          <w:p>
            <w:pPr>
              <w:spacing w:after="0"/>
              <w:rPr>
                <w:sz w:val="17"/>
                <w:szCs w:val="17"/>
                <w:color w:val="auto"/>
              </w:rPr>
            </w:pPr>
          </w:p>
        </w:tc>
      </w:tr>
      <w:tr>
        <w:trPr>
          <w:trHeight w:val="164"/>
        </w:trPr>
        <w:tc>
          <w:tcPr>
            <w:tcW w:w="220" w:type="dxa"/>
            <w:vAlign w:val="bottom"/>
          </w:tcPr>
          <w:p>
            <w:pPr>
              <w:spacing w:after="0"/>
              <w:rPr>
                <w:sz w:val="14"/>
                <w:szCs w:val="14"/>
                <w:color w:val="auto"/>
              </w:rPr>
            </w:pPr>
          </w:p>
        </w:tc>
        <w:tc>
          <w:tcPr>
            <w:tcW w:w="980" w:type="dxa"/>
            <w:vAlign w:val="bottom"/>
          </w:tcPr>
          <w:p>
            <w:pPr>
              <w:jc w:val="right"/>
              <w:ind w:right="344"/>
              <w:spacing w:after="0"/>
              <w:rPr>
                <w:sz w:val="20"/>
                <w:szCs w:val="20"/>
                <w:color w:val="auto"/>
              </w:rPr>
            </w:pPr>
            <w:r>
              <w:rPr>
                <w:rFonts w:ascii="Arial" w:cs="Arial" w:eastAsia="Arial" w:hAnsi="Arial"/>
                <w:sz w:val="14"/>
                <w:szCs w:val="14"/>
                <w:color w:val="auto"/>
              </w:rPr>
              <w:t>Dollar</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Percentage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220" w:type="dxa"/>
            <w:vAlign w:val="bottom"/>
          </w:tcPr>
          <w:p>
            <w:pPr>
              <w:spacing w:after="0"/>
              <w:rPr>
                <w:sz w:val="16"/>
                <w:szCs w:val="16"/>
                <w:color w:val="auto"/>
              </w:rPr>
            </w:pPr>
          </w:p>
        </w:tc>
        <w:tc>
          <w:tcPr>
            <w:tcW w:w="980" w:type="dxa"/>
            <w:vAlign w:val="bottom"/>
          </w:tcPr>
          <w:p>
            <w:pPr>
              <w:jc w:val="right"/>
              <w:ind w:right="284"/>
              <w:spacing w:after="0"/>
              <w:rPr>
                <w:sz w:val="20"/>
                <w:szCs w:val="20"/>
                <w:color w:val="auto"/>
              </w:rPr>
            </w:pPr>
            <w:r>
              <w:rPr>
                <w:rFonts w:ascii="Arial" w:cs="Arial" w:eastAsia="Arial" w:hAnsi="Arial"/>
                <w:sz w:val="14"/>
                <w:szCs w:val="14"/>
                <w:color w:val="auto"/>
              </w:rPr>
              <w:t>Change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Change</w:t>
            </w:r>
          </w:p>
        </w:tc>
        <w:tc>
          <w:tcPr>
            <w:tcW w:w="300" w:type="dxa"/>
            <w:vAlign w:val="bottom"/>
          </w:tcPr>
          <w:p>
            <w:pPr>
              <w:spacing w:after="0"/>
              <w:rPr>
                <w:sz w:val="16"/>
                <w:szCs w:val="16"/>
                <w:color w:val="auto"/>
              </w:rPr>
            </w:pPr>
          </w:p>
        </w:tc>
        <w:tc>
          <w:tcPr>
            <w:tcW w:w="1120" w:type="dxa"/>
            <w:vAlign w:val="bottom"/>
          </w:tcPr>
          <w:p>
            <w:pPr>
              <w:jc w:val="right"/>
              <w:ind w:right="464"/>
              <w:spacing w:after="0"/>
              <w:rPr>
                <w:sz w:val="20"/>
                <w:szCs w:val="20"/>
                <w:color w:val="auto"/>
              </w:rPr>
            </w:pPr>
            <w:r>
              <w:rPr>
                <w:rFonts w:ascii="Arial" w:cs="Arial" w:eastAsia="Arial" w:hAnsi="Arial"/>
                <w:sz w:val="14"/>
                <w:szCs w:val="14"/>
                <w:b w:val="1"/>
                <w:bCs w:val="1"/>
                <w:color w:val="366092"/>
              </w:rPr>
              <w:t>2020</w:t>
            </w:r>
          </w:p>
        </w:tc>
        <w:tc>
          <w:tcPr>
            <w:tcW w:w="38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color w:val="auto"/>
              </w:rPr>
              <w:t>2019</w:t>
            </w:r>
          </w:p>
        </w:tc>
      </w:tr>
      <w:tr>
        <w:trPr>
          <w:trHeight w:val="593"/>
        </w:trPr>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2,197</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20.4 %</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b w:val="1"/>
                <w:bCs w:val="1"/>
                <w:color w:val="366092"/>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366092"/>
              </w:rPr>
              <w:t>1,102</w:t>
            </w:r>
          </w:p>
        </w:tc>
        <w:tc>
          <w:tcPr>
            <w:tcW w:w="38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1,015</w:t>
            </w:r>
          </w:p>
        </w:tc>
      </w:tr>
      <w:tr>
        <w:trPr>
          <w:trHeight w:val="206"/>
        </w:trPr>
        <w:tc>
          <w:tcPr>
            <w:tcW w:w="2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271</w:t>
            </w:r>
          </w:p>
        </w:tc>
        <w:tc>
          <w:tcPr>
            <w:tcW w:w="1340" w:type="dxa"/>
            <w:vAlign w:val="bottom"/>
          </w:tcPr>
          <w:p>
            <w:pPr>
              <w:jc w:val="right"/>
              <w:spacing w:after="0"/>
              <w:rPr>
                <w:sz w:val="20"/>
                <w:szCs w:val="20"/>
                <w:color w:val="auto"/>
              </w:rPr>
            </w:pPr>
            <w:r>
              <w:rPr>
                <w:rFonts w:ascii="Arial" w:cs="Arial" w:eastAsia="Arial" w:hAnsi="Arial"/>
                <w:sz w:val="15"/>
                <w:szCs w:val="15"/>
                <w:color w:val="auto"/>
              </w:rPr>
              <w:t>16.8 %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366092"/>
              </w:rPr>
              <w:t>1,026</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1,026</w:t>
            </w:r>
          </w:p>
        </w:tc>
      </w:tr>
      <w:tr>
        <w:trPr>
          <w:trHeight w:val="206"/>
        </w:trPr>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w:t>
            </w:r>
          </w:p>
        </w:tc>
        <w:tc>
          <w:tcPr>
            <w:tcW w:w="1340" w:type="dxa"/>
            <w:vAlign w:val="bottom"/>
          </w:tcPr>
          <w:p>
            <w:pPr>
              <w:jc w:val="right"/>
              <w:spacing w:after="0"/>
              <w:rPr>
                <w:sz w:val="20"/>
                <w:szCs w:val="20"/>
                <w:color w:val="auto"/>
              </w:rPr>
            </w:pPr>
            <w:r>
              <w:rPr>
                <w:rFonts w:ascii="Arial" w:cs="Arial" w:eastAsia="Arial" w:hAnsi="Arial"/>
                <w:sz w:val="15"/>
                <w:szCs w:val="15"/>
                <w:color w:val="auto"/>
              </w:rPr>
              <w:t>-20.4 %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366092"/>
              </w:rPr>
              <w:t>53</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59</w:t>
            </w:r>
          </w:p>
        </w:tc>
      </w:tr>
      <w:tr>
        <w:trPr>
          <w:trHeight w:val="206"/>
        </w:trPr>
        <w:tc>
          <w:tcPr>
            <w:tcW w:w="2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339</w:t>
            </w:r>
          </w:p>
        </w:tc>
        <w:tc>
          <w:tcPr>
            <w:tcW w:w="1340" w:type="dxa"/>
            <w:vAlign w:val="bottom"/>
          </w:tcPr>
          <w:p>
            <w:pPr>
              <w:jc w:val="right"/>
              <w:spacing w:after="0"/>
              <w:rPr>
                <w:sz w:val="20"/>
                <w:szCs w:val="20"/>
                <w:color w:val="auto"/>
              </w:rPr>
            </w:pPr>
            <w:r>
              <w:rPr>
                <w:rFonts w:ascii="Arial" w:cs="Arial" w:eastAsia="Arial" w:hAnsi="Arial"/>
                <w:sz w:val="15"/>
                <w:szCs w:val="15"/>
                <w:color w:val="auto"/>
              </w:rPr>
              <w:t>45.7 %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366092"/>
              </w:rPr>
              <w:t>503</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528</w:t>
            </w:r>
          </w:p>
        </w:tc>
      </w:tr>
      <w:tr>
        <w:trPr>
          <w:trHeight w:val="206"/>
        </w:trPr>
        <w:tc>
          <w:tcPr>
            <w:tcW w:w="2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27</w:t>
            </w:r>
          </w:p>
        </w:tc>
        <w:tc>
          <w:tcPr>
            <w:tcW w:w="1340" w:type="dxa"/>
            <w:vAlign w:val="bottom"/>
          </w:tcPr>
          <w:p>
            <w:pPr>
              <w:jc w:val="right"/>
              <w:spacing w:after="0"/>
              <w:rPr>
                <w:sz w:val="20"/>
                <w:szCs w:val="20"/>
                <w:color w:val="auto"/>
              </w:rPr>
            </w:pPr>
            <w:r>
              <w:rPr>
                <w:rFonts w:ascii="Arial" w:cs="Arial" w:eastAsia="Arial" w:hAnsi="Arial"/>
                <w:sz w:val="15"/>
                <w:szCs w:val="15"/>
                <w:color w:val="auto"/>
              </w:rPr>
              <w:t>18.0 %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366092"/>
              </w:rPr>
              <w:t>179</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177</w:t>
            </w:r>
          </w:p>
        </w:tc>
      </w:tr>
      <w:tr>
        <w:trPr>
          <w:trHeight w:val="209"/>
        </w:trPr>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2,675</w:t>
            </w:r>
          </w:p>
        </w:tc>
        <w:tc>
          <w:tcPr>
            <w:tcW w:w="1340" w:type="dxa"/>
            <w:vAlign w:val="bottom"/>
          </w:tcPr>
          <w:p>
            <w:pPr>
              <w:jc w:val="right"/>
              <w:spacing w:after="0"/>
              <w:rPr>
                <w:sz w:val="20"/>
                <w:szCs w:val="20"/>
                <w:color w:val="auto"/>
              </w:rPr>
            </w:pPr>
            <w:r>
              <w:rPr>
                <w:rFonts w:ascii="Arial" w:cs="Arial" w:eastAsia="Arial" w:hAnsi="Arial"/>
                <w:sz w:val="15"/>
                <w:szCs w:val="15"/>
                <w:color w:val="auto"/>
              </w:rPr>
              <w:t>19.1 %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3"/>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(109)</w:t>
            </w:r>
          </w:p>
        </w:tc>
        <w:tc>
          <w:tcPr>
            <w:tcW w:w="1340" w:type="dxa"/>
            <w:vAlign w:val="bottom"/>
          </w:tcPr>
          <w:p>
            <w:pPr>
              <w:jc w:val="right"/>
              <w:spacing w:after="0"/>
              <w:rPr>
                <w:sz w:val="20"/>
                <w:szCs w:val="20"/>
                <w:color w:val="auto"/>
              </w:rPr>
            </w:pPr>
            <w:r>
              <w:rPr>
                <w:rFonts w:ascii="Arial" w:cs="Arial" w:eastAsia="Arial" w:hAnsi="Arial"/>
                <w:sz w:val="15"/>
                <w:szCs w:val="15"/>
                <w:color w:val="auto"/>
              </w:rPr>
              <w:t>-8.5 %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366092"/>
              </w:rPr>
              <w:t>485</w:t>
            </w:r>
          </w:p>
        </w:tc>
        <w:tc>
          <w:tcPr>
            <w:tcW w:w="38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457</w:t>
            </w:r>
          </w:p>
        </w:tc>
      </w:tr>
      <w:tr>
        <w:trPr>
          <w:trHeight w:val="206"/>
        </w:trPr>
        <w:tc>
          <w:tcPr>
            <w:tcW w:w="2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24</w:t>
            </w:r>
          </w:p>
        </w:tc>
        <w:tc>
          <w:tcPr>
            <w:tcW w:w="1340" w:type="dxa"/>
            <w:vAlign w:val="bottom"/>
          </w:tcPr>
          <w:p>
            <w:pPr>
              <w:jc w:val="right"/>
              <w:spacing w:after="0"/>
              <w:rPr>
                <w:sz w:val="20"/>
                <w:szCs w:val="20"/>
                <w:color w:val="auto"/>
              </w:rPr>
            </w:pPr>
            <w:r>
              <w:rPr>
                <w:rFonts w:ascii="Arial" w:cs="Arial" w:eastAsia="Arial" w:hAnsi="Arial"/>
                <w:sz w:val="15"/>
                <w:szCs w:val="15"/>
                <w:color w:val="auto"/>
              </w:rPr>
              <w:t>6.0 %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366092"/>
              </w:rPr>
              <w:t>28</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26</w:t>
            </w:r>
          </w:p>
        </w:tc>
      </w:tr>
    </w:tbl>
    <w:p>
      <w:pPr>
        <w:spacing w:after="0" w:line="175" w:lineRule="exact"/>
        <w:rPr>
          <w:sz w:val="20"/>
          <w:szCs w:val="20"/>
          <w:color w:val="auto"/>
        </w:rPr>
      </w:pPr>
    </w:p>
    <w:p>
      <w:pPr>
        <w:ind w:left="2080" w:hanging="1100"/>
        <w:spacing w:after="0"/>
        <w:tabs>
          <w:tab w:leader="none" w:pos="2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-8.4 %</w:t>
      </w:r>
    </w:p>
    <w:p>
      <w:pPr>
        <w:spacing w:after="0" w:line="34" w:lineRule="exact"/>
        <w:rPr>
          <w:sz w:val="20"/>
          <w:szCs w:val="20"/>
          <w:color w:val="auto"/>
        </w:rPr>
      </w:pPr>
    </w:p>
    <w:p>
      <w:pPr>
        <w:ind w:left="2140" w:hanging="1100"/>
        <w:spacing w:after="0"/>
        <w:tabs>
          <w:tab w:leader="none" w:pos="21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61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27" w:lineRule="exact"/>
        <w:rPr>
          <w:sz w:val="20"/>
          <w:szCs w:val="20"/>
          <w:color w:val="auto"/>
        </w:rPr>
      </w:pPr>
    </w:p>
    <w:p>
      <w:pPr>
        <w:ind w:left="2080" w:hanging="1186"/>
        <w:spacing w:after="0"/>
        <w:tabs>
          <w:tab w:leader="none" w:pos="20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613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220" w:lineRule="exact"/>
        <w:rPr>
          <w:sz w:val="20"/>
          <w:szCs w:val="20"/>
          <w:color w:val="auto"/>
        </w:rPr>
      </w:pPr>
    </w:p>
    <w:p>
      <w:pPr>
        <w:ind w:left="2040" w:hanging="1172"/>
        <w:spacing w:after="0"/>
        <w:tabs>
          <w:tab w:leader="none" w:pos="20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10.3 %</w:t>
      </w:r>
    </w:p>
    <w:p>
      <w:pPr>
        <w:spacing w:after="0" w:line="33" w:lineRule="exact"/>
        <w:rPr>
          <w:rFonts w:ascii="Arial" w:cs="Arial" w:eastAsia="Arial" w:hAnsi="Arial"/>
          <w:sz w:val="15"/>
          <w:szCs w:val="15"/>
          <w:color w:val="auto"/>
        </w:rPr>
      </w:pPr>
    </w:p>
    <w:p>
      <w:pPr>
        <w:ind w:left="2080" w:hanging="1186"/>
        <w:spacing w:after="0"/>
        <w:tabs>
          <w:tab w:leader="none" w:pos="20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-5.9 %</w:t>
      </w:r>
    </w:p>
    <w:p>
      <w:pPr>
        <w:spacing w:after="0" w:line="34" w:lineRule="exact"/>
        <w:rPr>
          <w:sz w:val="20"/>
          <w:szCs w:val="20"/>
          <w:color w:val="auto"/>
        </w:rPr>
      </w:pPr>
    </w:p>
    <w:p>
      <w:pPr>
        <w:ind w:left="2000" w:hanging="1106"/>
        <w:spacing w:after="0"/>
        <w:tabs>
          <w:tab w:leader="none" w:pos="2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-11.6 %</w:t>
      </w:r>
    </w:p>
    <w:p>
      <w:pPr>
        <w:spacing w:after="0" w:line="46"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5"/>
          <w:szCs w:val="15"/>
          <w:color w:val="auto"/>
        </w:rPr>
        <w:t>5278.0 %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61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13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761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5600" w:space="80"/>
            <w:col w:w="5580"/>
          </w:cols>
          <w:pgMar w:left="320" w:top="87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320" w:top="876" w:right="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Premiums and Services Revenue Detail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Dollars in millions, except per member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23495</wp:posOffset>
            </wp:positionV>
            <wp:extent cx="1670050" cy="294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70050" cy="294640"/>
                    </a:xfrm>
                    <a:prstGeom prst="rect">
                      <a:avLst/>
                    </a:prstGeom>
                    <a:noFill/>
                  </pic:spPr>
                </pic:pic>
              </a:graphicData>
            </a:graphic>
          </wp:anchor>
        </w:drawing>
      </w:r>
    </w:p>
    <w:p>
      <w:pPr>
        <w:spacing w:after="0" w:line="145" w:lineRule="exact"/>
        <w:rPr>
          <w:sz w:val="20"/>
          <w:szCs w:val="20"/>
          <w:color w:val="auto"/>
        </w:rPr>
      </w:pPr>
    </w:p>
    <w:p>
      <w:pPr>
        <w:jc w:val="center"/>
        <w:ind w:left="3140"/>
        <w:spacing w:after="0"/>
        <w:rPr>
          <w:sz w:val="20"/>
          <w:szCs w:val="20"/>
          <w:color w:val="auto"/>
        </w:rPr>
      </w:pPr>
      <w:r>
        <w:rPr>
          <w:rFonts w:ascii="Arial" w:cs="Arial" w:eastAsia="Arial" w:hAnsi="Arial"/>
          <w:sz w:val="14"/>
          <w:szCs w:val="14"/>
          <w:b w:val="1"/>
          <w:bCs w:val="1"/>
          <w:color w:val="auto"/>
        </w:rPr>
        <w:t>For the nine months ended September</w:t>
      </w:r>
    </w:p>
    <w:p>
      <w:pPr>
        <w:jc w:val="center"/>
        <w:ind w:left="3140"/>
        <w:spacing w:after="0"/>
        <w:rPr>
          <w:sz w:val="20"/>
          <w:szCs w:val="20"/>
          <w:color w:val="auto"/>
        </w:rPr>
      </w:pPr>
      <w:r>
        <w:rPr>
          <w:rFonts w:ascii="Arial" w:cs="Arial" w:eastAsia="Arial" w:hAnsi="Arial"/>
          <w:sz w:val="14"/>
          <w:szCs w:val="14"/>
          <w:b w:val="1"/>
          <w:bCs w:val="1"/>
          <w:color w:val="auto"/>
        </w:rPr>
        <w:t>30,</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314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b w:val="1"/>
                <w:bCs w:val="1"/>
                <w:color w:val="auto"/>
              </w:rPr>
              <w:t>Premiums and Services Revenue</w:t>
            </w: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right w:val="single" w:sz="8" w:color="auto"/>
            </w:tcBorders>
          </w:tcPr>
          <w:p>
            <w:pPr>
              <w:jc w:val="right"/>
              <w:ind w:right="443"/>
              <w:spacing w:after="0"/>
              <w:rPr>
                <w:sz w:val="20"/>
                <w:szCs w:val="20"/>
                <w:color w:val="auto"/>
              </w:rPr>
            </w:pPr>
            <w:r>
              <w:rPr>
                <w:rFonts w:ascii="Arial" w:cs="Arial" w:eastAsia="Arial" w:hAnsi="Arial"/>
                <w:sz w:val="14"/>
                <w:szCs w:val="14"/>
                <w:b w:val="1"/>
                <w:bCs w:val="1"/>
                <w:color w:val="366092"/>
              </w:rPr>
              <w:t>2020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1"/>
        </w:trPr>
        <w:tc>
          <w:tcPr>
            <w:tcW w:w="3140" w:type="dxa"/>
            <w:vAlign w:val="bottom"/>
            <w:tcBorders>
              <w:right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Retail</w:t>
            </w:r>
          </w:p>
        </w:tc>
        <w:tc>
          <w:tcPr>
            <w:tcW w:w="2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Individual Medicare Advantage</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366092"/>
                <w:w w:val="95"/>
              </w:rPr>
              <w:t>$</w:t>
            </w: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38,748</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32,254</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Group Medicare Advantage</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5,867</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4,867</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Medicare stand-alone PDP</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2,108</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2,408</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State-based contracts (E)</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3,104</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2,143</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Medicare Supplement</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509</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Other services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14</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2"/>
        </w:trPr>
        <w:tc>
          <w:tcPr>
            <w:tcW w:w="3140" w:type="dxa"/>
            <w:vAlign w:val="bottom"/>
            <w:tcBorders>
              <w:right w:val="single" w:sz="8" w:color="auto"/>
            </w:tcBorders>
          </w:tcPr>
          <w:p>
            <w:pPr>
              <w:ind w:left="600"/>
              <w:spacing w:after="0"/>
              <w:rPr>
                <w:sz w:val="20"/>
                <w:szCs w:val="20"/>
                <w:color w:val="auto"/>
              </w:rPr>
            </w:pPr>
            <w:r>
              <w:rPr>
                <w:rFonts w:ascii="Arial" w:cs="Arial" w:eastAsia="Arial" w:hAnsi="Arial"/>
                <w:sz w:val="15"/>
                <w:szCs w:val="15"/>
                <w:b w:val="1"/>
                <w:bCs w:val="1"/>
                <w:color w:val="auto"/>
              </w:rPr>
              <w:t>Total Retail</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50,350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42,120</w:t>
            </w:r>
          </w:p>
        </w:tc>
        <w:tc>
          <w:tcPr>
            <w:tcW w:w="0" w:type="dxa"/>
            <w:vAlign w:val="bottom"/>
          </w:tcPr>
          <w:p>
            <w:pPr>
              <w:spacing w:after="0"/>
              <w:rPr>
                <w:sz w:val="1"/>
                <w:szCs w:val="1"/>
                <w:color w:val="auto"/>
              </w:rPr>
            </w:pPr>
          </w:p>
        </w:tc>
      </w:tr>
      <w:tr>
        <w:trPr>
          <w:trHeight w:val="184"/>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Group and Specialty</w:t>
            </w: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b w:val="1"/>
                <w:bCs w:val="1"/>
                <w:color w:val="366092"/>
              </w:rPr>
              <w:t>3,606</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Fully-insured commercial medical</w:t>
            </w:r>
          </w:p>
        </w:tc>
        <w:tc>
          <w:tcPr>
            <w:tcW w:w="280" w:type="dxa"/>
            <w:vAlign w:val="bottom"/>
          </w:tcPr>
          <w:p>
            <w:pPr>
              <w:spacing w:after="0"/>
              <w:rPr>
                <w:sz w:val="17"/>
                <w:szCs w:val="17"/>
                <w:color w:val="auto"/>
              </w:rPr>
            </w:pPr>
          </w:p>
        </w:tc>
        <w:tc>
          <w:tcPr>
            <w:tcW w:w="1020" w:type="dxa"/>
            <w:vAlign w:val="bottom"/>
            <w:tcBorders>
              <w:right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3,873</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Specialty (J)</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1,278</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1,160</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Commercial ASO &amp; other services (D)</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235</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Military services (K)</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363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202"/>
        </w:trPr>
        <w:tc>
          <w:tcPr>
            <w:tcW w:w="3140" w:type="dxa"/>
            <w:vAlign w:val="bottom"/>
            <w:tcBorders>
              <w:right w:val="single" w:sz="8" w:color="auto"/>
            </w:tcBorders>
          </w:tcPr>
          <w:p>
            <w:pPr>
              <w:ind w:left="600"/>
              <w:spacing w:after="0"/>
              <w:rPr>
                <w:sz w:val="20"/>
                <w:szCs w:val="20"/>
                <w:color w:val="auto"/>
              </w:rPr>
            </w:pPr>
            <w:r>
              <w:rPr>
                <w:rFonts w:ascii="Arial" w:cs="Arial" w:eastAsia="Arial" w:hAnsi="Arial"/>
                <w:sz w:val="15"/>
                <w:szCs w:val="15"/>
                <w:b w:val="1"/>
                <w:bCs w:val="1"/>
                <w:color w:val="auto"/>
              </w:rPr>
              <w:t>Total Group and Specialty</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366092"/>
              </w:rPr>
              <w:t>5,482</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5,633</w:t>
            </w:r>
          </w:p>
        </w:tc>
        <w:tc>
          <w:tcPr>
            <w:tcW w:w="0" w:type="dxa"/>
            <w:vAlign w:val="bottom"/>
          </w:tcPr>
          <w:p>
            <w:pPr>
              <w:spacing w:after="0"/>
              <w:rPr>
                <w:sz w:val="1"/>
                <w:szCs w:val="1"/>
                <w:color w:val="auto"/>
              </w:rPr>
            </w:pPr>
          </w:p>
        </w:tc>
      </w:tr>
      <w:tr>
        <w:trPr>
          <w:trHeight w:val="184"/>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Healthcare Services</w:t>
            </w:r>
          </w:p>
        </w:tc>
        <w:tc>
          <w:tcPr>
            <w:tcW w:w="28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b w:val="1"/>
                <w:bCs w:val="1"/>
                <w:color w:val="00497F"/>
              </w:rPr>
              <w:t>18,700</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Pharmacy solutions</w:t>
            </w:r>
          </w:p>
        </w:tc>
        <w:tc>
          <w:tcPr>
            <w:tcW w:w="280" w:type="dxa"/>
            <w:vAlign w:val="bottom"/>
          </w:tcPr>
          <w:p>
            <w:pPr>
              <w:spacing w:after="0"/>
              <w:rPr>
                <w:sz w:val="17"/>
                <w:szCs w:val="17"/>
                <w:color w:val="auto"/>
              </w:rPr>
            </w:pPr>
          </w:p>
        </w:tc>
        <w:tc>
          <w:tcPr>
            <w:tcW w:w="1020" w:type="dxa"/>
            <w:vAlign w:val="bottom"/>
            <w:tcBorders>
              <w:right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16,469</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Provider services</w:t>
            </w:r>
          </w:p>
        </w:tc>
        <w:tc>
          <w:tcPr>
            <w:tcW w:w="280" w:type="dxa"/>
            <w:vAlign w:val="bottom"/>
          </w:tcPr>
          <w:p>
            <w:pPr>
              <w:spacing w:after="0"/>
              <w:rPr>
                <w:sz w:val="17"/>
                <w:szCs w:val="17"/>
                <w:color w:val="auto"/>
              </w:rPr>
            </w:pPr>
          </w:p>
        </w:tc>
        <w:tc>
          <w:tcPr>
            <w:tcW w:w="102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b w:val="1"/>
                <w:bCs w:val="1"/>
                <w:color w:val="00497F"/>
              </w:rPr>
              <w:t>1,960</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2,057</w:t>
            </w:r>
          </w:p>
        </w:tc>
        <w:tc>
          <w:tcPr>
            <w:tcW w:w="0" w:type="dxa"/>
            <w:vAlign w:val="bottom"/>
          </w:tcPr>
          <w:p>
            <w:pPr>
              <w:spacing w:after="0"/>
              <w:rPr>
                <w:sz w:val="1"/>
                <w:szCs w:val="1"/>
                <w:color w:val="auto"/>
              </w:rPr>
            </w:pPr>
          </w:p>
        </w:tc>
      </w:tr>
      <w:tr>
        <w:trPr>
          <w:trHeight w:val="206"/>
        </w:trPr>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Clinical programs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00497F"/>
              </w:rPr>
              <w:t>495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04"/>
        </w:trPr>
        <w:tc>
          <w:tcPr>
            <w:tcW w:w="3140" w:type="dxa"/>
            <w:vAlign w:val="bottom"/>
            <w:tcBorders>
              <w:right w:val="single" w:sz="8" w:color="auto"/>
            </w:tcBorders>
          </w:tcPr>
          <w:p>
            <w:pPr>
              <w:ind w:left="600"/>
              <w:spacing w:after="0"/>
              <w:rPr>
                <w:sz w:val="20"/>
                <w:szCs w:val="20"/>
                <w:color w:val="auto"/>
              </w:rPr>
            </w:pPr>
            <w:r>
              <w:rPr>
                <w:rFonts w:ascii="Arial" w:cs="Arial" w:eastAsia="Arial" w:hAnsi="Arial"/>
                <w:sz w:val="15"/>
                <w:szCs w:val="15"/>
                <w:b w:val="1"/>
                <w:bCs w:val="1"/>
                <w:color w:val="auto"/>
              </w:rPr>
              <w:t>Total Healthcare Services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00497F"/>
              </w:rPr>
              <w:t>21,155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340" w:type="dxa"/>
            <w:vAlign w:val="bottom"/>
            <w:tcBorders>
              <w:top w:val="single" w:sz="8" w:color="auto"/>
              <w:right w:val="single" w:sz="8" w:color="auto"/>
            </w:tcBorders>
            <w:gridSpan w:val="3"/>
          </w:tcPr>
          <w:p>
            <w:pPr>
              <w:jc w:val="right"/>
              <w:ind w:right="384"/>
              <w:spacing w:after="0" w:line="155" w:lineRule="exact"/>
              <w:rPr>
                <w:sz w:val="20"/>
                <w:szCs w:val="20"/>
                <w:color w:val="auto"/>
              </w:rPr>
            </w:pPr>
            <w:r>
              <w:rPr>
                <w:rFonts w:ascii="Arial" w:cs="Arial" w:eastAsia="Arial" w:hAnsi="Arial"/>
                <w:sz w:val="14"/>
                <w:szCs w:val="14"/>
                <w:b w:val="1"/>
                <w:bCs w:val="1"/>
                <w:color w:val="auto"/>
              </w:rPr>
              <w:t>Per Member per Month (L)</w:t>
            </w:r>
          </w:p>
        </w:tc>
      </w:tr>
      <w:tr>
        <w:trPr>
          <w:trHeight w:val="129"/>
        </w:trPr>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9"/>
              </w:rPr>
              <w:t>For the nine months ended September</w:t>
            </w:r>
          </w:p>
        </w:tc>
      </w:tr>
      <w:tr>
        <w:trPr>
          <w:trHeight w:val="168"/>
        </w:trPr>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rPr>
              <w:t>30,</w:t>
            </w:r>
          </w:p>
        </w:tc>
        <w:tc>
          <w:tcPr>
            <w:tcW w:w="1020" w:type="dxa"/>
            <w:vAlign w:val="bottom"/>
            <w:tcBorders>
              <w:bottom w:val="single" w:sz="8" w:color="auto"/>
              <w:right w:val="single" w:sz="8" w:color="auto"/>
            </w:tcBorders>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1040" w:type="dxa"/>
            <w:vAlign w:val="bottom"/>
          </w:tcPr>
          <w:p>
            <w:pPr>
              <w:jc w:val="right"/>
              <w:ind w:right="384"/>
              <w:spacing w:after="0"/>
              <w:rPr>
                <w:sz w:val="20"/>
                <w:szCs w:val="20"/>
                <w:color w:val="auto"/>
              </w:rPr>
            </w:pPr>
            <w:r>
              <w:rPr>
                <w:rFonts w:ascii="Arial" w:cs="Arial" w:eastAsia="Arial" w:hAnsi="Arial"/>
                <w:sz w:val="14"/>
                <w:szCs w:val="14"/>
                <w:color w:val="auto"/>
              </w:rPr>
              <w:t>Dollar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Percentage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240" w:type="dxa"/>
            <w:vAlign w:val="bottom"/>
          </w:tcPr>
          <w:p>
            <w:pPr>
              <w:spacing w:after="0"/>
              <w:rPr>
                <w:sz w:val="16"/>
                <w:szCs w:val="16"/>
                <w:color w:val="auto"/>
              </w:rPr>
            </w:pPr>
          </w:p>
        </w:tc>
        <w:tc>
          <w:tcPr>
            <w:tcW w:w="1040" w:type="dxa"/>
            <w:vAlign w:val="bottom"/>
          </w:tcPr>
          <w:p>
            <w:pPr>
              <w:jc w:val="right"/>
              <w:ind w:right="324"/>
              <w:spacing w:after="0"/>
              <w:rPr>
                <w:sz w:val="20"/>
                <w:szCs w:val="20"/>
                <w:color w:val="auto"/>
              </w:rPr>
            </w:pPr>
            <w:r>
              <w:rPr>
                <w:rFonts w:ascii="Arial" w:cs="Arial" w:eastAsia="Arial" w:hAnsi="Arial"/>
                <w:sz w:val="14"/>
                <w:szCs w:val="14"/>
                <w:color w:val="auto"/>
              </w:rPr>
              <w:t>Change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Change</w:t>
            </w:r>
          </w:p>
        </w:tc>
        <w:tc>
          <w:tcPr>
            <w:tcW w:w="280" w:type="dxa"/>
            <w:vAlign w:val="bottom"/>
          </w:tcPr>
          <w:p>
            <w:pPr>
              <w:spacing w:after="0"/>
              <w:rPr>
                <w:sz w:val="16"/>
                <w:szCs w:val="16"/>
                <w:color w:val="auto"/>
              </w:rPr>
            </w:pPr>
          </w:p>
        </w:tc>
        <w:tc>
          <w:tcPr>
            <w:tcW w:w="980" w:type="dxa"/>
            <w:vAlign w:val="bottom"/>
          </w:tcPr>
          <w:p>
            <w:pPr>
              <w:jc w:val="right"/>
              <w:ind w:right="385"/>
              <w:spacing w:after="0"/>
              <w:rPr>
                <w:sz w:val="20"/>
                <w:szCs w:val="20"/>
                <w:color w:val="auto"/>
              </w:rPr>
            </w:pPr>
            <w:r>
              <w:rPr>
                <w:rFonts w:ascii="Arial" w:cs="Arial" w:eastAsia="Arial" w:hAnsi="Arial"/>
                <w:sz w:val="14"/>
                <w:szCs w:val="14"/>
                <w:b w:val="1"/>
                <w:bCs w:val="1"/>
                <w:color w:val="366092"/>
              </w:rPr>
              <w:t>2020</w:t>
            </w:r>
          </w:p>
        </w:tc>
        <w:tc>
          <w:tcPr>
            <w:tcW w:w="340" w:type="dxa"/>
            <w:vAlign w:val="bottom"/>
          </w:tcPr>
          <w:p>
            <w:pPr>
              <w:spacing w:after="0"/>
              <w:rPr>
                <w:sz w:val="16"/>
                <w:szCs w:val="16"/>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color w:val="auto"/>
              </w:rPr>
              <w:t>2019</w:t>
            </w:r>
          </w:p>
        </w:tc>
      </w:tr>
      <w:tr>
        <w:trPr>
          <w:trHeight w:val="593"/>
        </w:trPr>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6,494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20.1 %</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366092"/>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366092"/>
              </w:rPr>
              <w:t>1,113</w:t>
            </w:r>
          </w:p>
        </w:tc>
        <w:tc>
          <w:tcPr>
            <w:tcW w:w="34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1,032</w:t>
            </w:r>
          </w:p>
        </w:tc>
      </w:tr>
      <w:tr>
        <w:trPr>
          <w:trHeight w:val="206"/>
        </w:trPr>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1,000</w:t>
            </w:r>
          </w:p>
        </w:tc>
        <w:tc>
          <w:tcPr>
            <w:tcW w:w="1440" w:type="dxa"/>
            <w:vAlign w:val="bottom"/>
          </w:tcPr>
          <w:p>
            <w:pPr>
              <w:jc w:val="right"/>
              <w:spacing w:after="0"/>
              <w:rPr>
                <w:sz w:val="20"/>
                <w:szCs w:val="20"/>
                <w:color w:val="auto"/>
              </w:rPr>
            </w:pPr>
            <w:r>
              <w:rPr>
                <w:rFonts w:ascii="Arial" w:cs="Arial" w:eastAsia="Arial" w:hAnsi="Arial"/>
                <w:sz w:val="15"/>
                <w:szCs w:val="15"/>
                <w:color w:val="auto"/>
              </w:rPr>
              <w:t>20.5 %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366092"/>
              </w:rPr>
              <w:t>1,073</w:t>
            </w:r>
          </w:p>
        </w:tc>
        <w:tc>
          <w:tcPr>
            <w:tcW w:w="3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1,041</w:t>
            </w:r>
          </w:p>
        </w:tc>
      </w:tr>
      <w:tr>
        <w:trPr>
          <w:trHeight w:val="206"/>
        </w:trPr>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(300)</w:t>
            </w:r>
          </w:p>
        </w:tc>
        <w:tc>
          <w:tcPr>
            <w:tcW w:w="1440" w:type="dxa"/>
            <w:vAlign w:val="bottom"/>
          </w:tcPr>
          <w:p>
            <w:pPr>
              <w:jc w:val="right"/>
              <w:spacing w:after="0"/>
              <w:rPr>
                <w:sz w:val="20"/>
                <w:szCs w:val="20"/>
                <w:color w:val="auto"/>
              </w:rPr>
            </w:pPr>
            <w:r>
              <w:rPr>
                <w:rFonts w:ascii="Arial" w:cs="Arial" w:eastAsia="Arial" w:hAnsi="Arial"/>
                <w:sz w:val="15"/>
                <w:szCs w:val="15"/>
                <w:color w:val="auto"/>
              </w:rPr>
              <w:t>-12.5 %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366092"/>
              </w:rPr>
              <w:t>60</w:t>
            </w:r>
          </w:p>
        </w:tc>
        <w:tc>
          <w:tcPr>
            <w:tcW w:w="3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60</w:t>
            </w:r>
          </w:p>
        </w:tc>
      </w:tr>
      <w:tr>
        <w:trPr>
          <w:trHeight w:val="206"/>
        </w:trPr>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961</w:t>
            </w:r>
          </w:p>
        </w:tc>
        <w:tc>
          <w:tcPr>
            <w:tcW w:w="1440" w:type="dxa"/>
            <w:vAlign w:val="bottom"/>
          </w:tcPr>
          <w:p>
            <w:pPr>
              <w:jc w:val="right"/>
              <w:spacing w:after="0"/>
              <w:rPr>
                <w:sz w:val="20"/>
                <w:szCs w:val="20"/>
                <w:color w:val="auto"/>
              </w:rPr>
            </w:pPr>
            <w:r>
              <w:rPr>
                <w:rFonts w:ascii="Arial" w:cs="Arial" w:eastAsia="Arial" w:hAnsi="Arial"/>
                <w:sz w:val="15"/>
                <w:szCs w:val="15"/>
                <w:color w:val="auto"/>
              </w:rPr>
              <w:t>44.8 %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366092"/>
              </w:rPr>
              <w:t>517</w:t>
            </w:r>
          </w:p>
        </w:tc>
        <w:tc>
          <w:tcPr>
            <w:tcW w:w="3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521</w:t>
            </w:r>
          </w:p>
        </w:tc>
      </w:tr>
      <w:tr>
        <w:trPr>
          <w:trHeight w:val="206"/>
        </w:trPr>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w:t>
            </w:r>
          </w:p>
        </w:tc>
        <w:tc>
          <w:tcPr>
            <w:tcW w:w="1440" w:type="dxa"/>
            <w:vAlign w:val="bottom"/>
          </w:tcPr>
          <w:p>
            <w:pPr>
              <w:jc w:val="right"/>
              <w:spacing w:after="0"/>
              <w:rPr>
                <w:sz w:val="20"/>
                <w:szCs w:val="20"/>
                <w:color w:val="auto"/>
              </w:rPr>
            </w:pPr>
            <w:r>
              <w:rPr>
                <w:rFonts w:ascii="Arial" w:cs="Arial" w:eastAsia="Arial" w:hAnsi="Arial"/>
                <w:sz w:val="15"/>
                <w:szCs w:val="15"/>
                <w:color w:val="auto"/>
              </w:rPr>
              <w:t>17.3 %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366092"/>
              </w:rPr>
              <w:t>176</w:t>
            </w:r>
          </w:p>
        </w:tc>
        <w:tc>
          <w:tcPr>
            <w:tcW w:w="3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176</w:t>
            </w:r>
          </w:p>
        </w:tc>
      </w:tr>
      <w:tr>
        <w:trPr>
          <w:trHeight w:val="209"/>
        </w:trPr>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8,230</w:t>
            </w:r>
          </w:p>
        </w:tc>
        <w:tc>
          <w:tcPr>
            <w:tcW w:w="1440" w:type="dxa"/>
            <w:vAlign w:val="bottom"/>
          </w:tcPr>
          <w:p>
            <w:pPr>
              <w:jc w:val="right"/>
              <w:spacing w:after="0"/>
              <w:rPr>
                <w:sz w:val="20"/>
                <w:szCs w:val="20"/>
                <w:color w:val="auto"/>
              </w:rPr>
            </w:pPr>
            <w:r>
              <w:rPr>
                <w:rFonts w:ascii="Arial" w:cs="Arial" w:eastAsia="Arial" w:hAnsi="Arial"/>
                <w:sz w:val="15"/>
                <w:szCs w:val="15"/>
                <w:color w:val="auto"/>
              </w:rPr>
              <w:t>19.5 %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3"/>
        </w:trPr>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(267)</w:t>
            </w:r>
          </w:p>
        </w:tc>
        <w:tc>
          <w:tcPr>
            <w:tcW w:w="1440" w:type="dxa"/>
            <w:vAlign w:val="bottom"/>
          </w:tcPr>
          <w:p>
            <w:pPr>
              <w:jc w:val="right"/>
              <w:spacing w:after="0"/>
              <w:rPr>
                <w:sz w:val="20"/>
                <w:szCs w:val="20"/>
                <w:color w:val="auto"/>
              </w:rPr>
            </w:pPr>
            <w:r>
              <w:rPr>
                <w:rFonts w:ascii="Arial" w:cs="Arial" w:eastAsia="Arial" w:hAnsi="Arial"/>
                <w:sz w:val="15"/>
                <w:szCs w:val="15"/>
                <w:color w:val="auto"/>
              </w:rPr>
              <w:t>-6.9 %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366092"/>
              </w:rPr>
              <w:t>481</w:t>
            </w:r>
          </w:p>
        </w:tc>
        <w:tc>
          <w:tcPr>
            <w:tcW w:w="340" w:type="dxa"/>
            <w:vAlign w:val="bottom"/>
          </w:tcPr>
          <w:p>
            <w:pPr>
              <w:spacing w:after="0"/>
              <w:rPr>
                <w:sz w:val="24"/>
                <w:szCs w:val="24"/>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454</w:t>
            </w:r>
          </w:p>
        </w:tc>
      </w:tr>
      <w:tr>
        <w:trPr>
          <w:trHeight w:val="206"/>
        </w:trPr>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118</w:t>
            </w:r>
          </w:p>
        </w:tc>
        <w:tc>
          <w:tcPr>
            <w:tcW w:w="1440" w:type="dxa"/>
            <w:vAlign w:val="bottom"/>
          </w:tcPr>
          <w:p>
            <w:pPr>
              <w:jc w:val="right"/>
              <w:spacing w:after="0"/>
              <w:rPr>
                <w:sz w:val="20"/>
                <w:szCs w:val="20"/>
                <w:color w:val="auto"/>
              </w:rPr>
            </w:pPr>
            <w:r>
              <w:rPr>
                <w:rFonts w:ascii="Arial" w:cs="Arial" w:eastAsia="Arial" w:hAnsi="Arial"/>
                <w:sz w:val="15"/>
                <w:szCs w:val="15"/>
                <w:color w:val="auto"/>
              </w:rPr>
              <w:t>10.2 %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366092"/>
              </w:rPr>
              <w:t>28</w:t>
            </w:r>
          </w:p>
        </w:tc>
        <w:tc>
          <w:tcPr>
            <w:tcW w:w="3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25</w:t>
            </w:r>
          </w:p>
        </w:tc>
      </w:tr>
      <w:tr>
        <w:trPr>
          <w:trHeight w:val="206"/>
        </w:trPr>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w:t>
            </w:r>
          </w:p>
        </w:tc>
        <w:tc>
          <w:tcPr>
            <w:tcW w:w="1440" w:type="dxa"/>
            <w:vAlign w:val="bottom"/>
          </w:tcPr>
          <w:p>
            <w:pPr>
              <w:jc w:val="right"/>
              <w:spacing w:after="0"/>
              <w:rPr>
                <w:sz w:val="20"/>
                <w:szCs w:val="20"/>
                <w:color w:val="auto"/>
              </w:rPr>
            </w:pPr>
            <w:r>
              <w:rPr>
                <w:rFonts w:ascii="Arial" w:cs="Arial" w:eastAsia="Arial" w:hAnsi="Arial"/>
                <w:sz w:val="15"/>
                <w:szCs w:val="15"/>
                <w:color w:val="auto"/>
              </w:rPr>
              <w:t>-1.3 %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40" w:type="dxa"/>
            <w:vAlign w:val="bottom"/>
          </w:tcPr>
          <w:p>
            <w:pPr>
              <w:jc w:val="right"/>
              <w:spacing w:after="0"/>
              <w:rPr>
                <w:sz w:val="20"/>
                <w:szCs w:val="20"/>
                <w:color w:val="auto"/>
              </w:rPr>
            </w:pPr>
            <w:r>
              <w:rPr>
                <w:rFonts w:ascii="Arial" w:cs="Arial" w:eastAsia="Arial" w:hAnsi="Arial"/>
                <w:sz w:val="15"/>
                <w:szCs w:val="15"/>
                <w:color w:val="auto"/>
              </w:rPr>
              <w:t>0.3 %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9"/>
        </w:trPr>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w:t>
            </w:r>
          </w:p>
        </w:tc>
        <w:tc>
          <w:tcPr>
            <w:tcW w:w="1440" w:type="dxa"/>
            <w:vAlign w:val="bottom"/>
          </w:tcPr>
          <w:p>
            <w:pPr>
              <w:jc w:val="right"/>
              <w:spacing w:after="0"/>
              <w:rPr>
                <w:sz w:val="20"/>
                <w:szCs w:val="20"/>
                <w:color w:val="auto"/>
              </w:rPr>
            </w:pPr>
            <w:r>
              <w:rPr>
                <w:rFonts w:ascii="Arial" w:cs="Arial" w:eastAsia="Arial" w:hAnsi="Arial"/>
                <w:sz w:val="15"/>
                <w:szCs w:val="15"/>
                <w:color w:val="auto"/>
              </w:rPr>
              <w:t>-2.7 %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8" w:lineRule="exact"/>
        <w:rPr>
          <w:sz w:val="20"/>
          <w:szCs w:val="20"/>
          <w:color w:val="auto"/>
        </w:rPr>
      </w:pPr>
    </w:p>
    <w:p>
      <w:pPr>
        <w:ind w:left="820"/>
        <w:spacing w:after="0"/>
        <w:tabs>
          <w:tab w:leader="none" w:pos="2200" w:val="left"/>
        </w:tabs>
        <w:rPr>
          <w:sz w:val="20"/>
          <w:szCs w:val="20"/>
          <w:color w:val="auto"/>
        </w:rPr>
      </w:pPr>
      <w:r>
        <w:rPr>
          <w:rFonts w:ascii="Arial" w:cs="Arial" w:eastAsia="Arial" w:hAnsi="Arial"/>
          <w:sz w:val="15"/>
          <w:szCs w:val="15"/>
          <w:color w:val="auto"/>
        </w:rPr>
        <w:t>2,231</w:t>
      </w:r>
      <w:r>
        <w:rPr>
          <w:sz w:val="20"/>
          <w:szCs w:val="20"/>
          <w:color w:val="auto"/>
        </w:rPr>
        <w:tab/>
      </w:r>
      <w:r>
        <w:rPr>
          <w:rFonts w:ascii="Arial" w:cs="Arial" w:eastAsia="Arial" w:hAnsi="Arial"/>
          <w:sz w:val="15"/>
          <w:szCs w:val="15"/>
          <w:color w:val="auto"/>
        </w:rPr>
        <w:t>13.5 %</w:t>
      </w:r>
    </w:p>
    <w:p>
      <w:pPr>
        <w:spacing w:after="0" w:line="34" w:lineRule="exact"/>
        <w:rPr>
          <w:sz w:val="20"/>
          <w:szCs w:val="20"/>
          <w:color w:val="auto"/>
        </w:rPr>
      </w:pPr>
    </w:p>
    <w:p>
      <w:pPr>
        <w:ind w:left="2240" w:hanging="1261"/>
        <w:spacing w:after="0"/>
        <w:tabs>
          <w:tab w:leader="none" w:pos="22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-4.7 %</w:t>
      </w:r>
    </w:p>
    <w:p>
      <w:pPr>
        <w:spacing w:after="0" w:line="34" w:lineRule="exact"/>
        <w:rPr>
          <w:sz w:val="20"/>
          <w:szCs w:val="20"/>
          <w:color w:val="auto"/>
        </w:rPr>
      </w:pPr>
    </w:p>
    <w:p>
      <w:pPr>
        <w:ind w:left="2160" w:hanging="1181"/>
        <w:spacing w:after="0"/>
        <w:tabs>
          <w:tab w:leader="none" w:pos="21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-11.6 %</w:t>
      </w:r>
    </w:p>
    <w:p>
      <w:pPr>
        <w:spacing w:after="0" w:line="46" w:lineRule="exact"/>
        <w:rPr>
          <w:rFonts w:ascii="Arial" w:cs="Arial" w:eastAsia="Arial" w:hAnsi="Arial"/>
          <w:sz w:val="15"/>
          <w:szCs w:val="15"/>
          <w:color w:val="auto"/>
        </w:rPr>
      </w:pPr>
    </w:p>
    <w:p>
      <w:pPr>
        <w:ind w:left="820"/>
        <w:spacing w:after="0"/>
        <w:rPr>
          <w:rFonts w:ascii="Arial" w:cs="Arial" w:eastAsia="Arial" w:hAnsi="Arial"/>
          <w:sz w:val="15"/>
          <w:szCs w:val="15"/>
          <w:color w:val="auto"/>
        </w:rPr>
      </w:pPr>
      <w:r>
        <w:rPr>
          <w:rFonts w:ascii="Arial" w:cs="Arial" w:eastAsia="Arial" w:hAnsi="Arial"/>
          <w:sz w:val="15"/>
          <w:szCs w:val="15"/>
          <w:color w:val="auto"/>
        </w:rPr>
        <w:t>2,06910.8 %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-126365</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5760" w:space="80"/>
            <w:col w:w="5420"/>
          </w:cols>
          <w:pgMar w:left="320" w:top="876" w:right="3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60"/>
          </w:cols>
          <w:pgMar w:left="320" w:top="876" w:right="31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Healthcare Services Segment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20320</wp:posOffset>
            </wp:positionV>
            <wp:extent cx="1481455" cy="1710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1455" cy="1710690"/>
                    </a:xfrm>
                    <a:prstGeom prst="rect">
                      <a:avLst/>
                    </a:prstGeom>
                    <a:noFill/>
                  </pic:spPr>
                </pic:pic>
              </a:graphicData>
            </a:graphic>
          </wp:anchor>
        </w:drawing>
      </w:r>
    </w:p>
    <w:p>
      <w:pPr>
        <w:sectPr>
          <w:pgSz w:w="11900" w:h="16838" w:orient="portrait"/>
          <w:cols w:equalWidth="0" w:num="1">
            <w:col w:w="11200"/>
          </w:cols>
          <w:pgMar w:left="320" w:top="1069" w:right="37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Primary Care Providers: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Shared Risk (H)</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Proprietary</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Contracted</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Path to Risk (I)</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Total Value-based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Care Management Statistics:</w:t>
      </w:r>
    </w:p>
    <w:p>
      <w:pPr>
        <w:spacing w:after="0" w:line="46" w:lineRule="exact"/>
        <w:rPr>
          <w:sz w:val="20"/>
          <w:szCs w:val="20"/>
          <w:color w:val="auto"/>
        </w:rPr>
      </w:pPr>
    </w:p>
    <w:p>
      <w:pPr>
        <w:ind w:left="320" w:right="320"/>
        <w:spacing w:after="0" w:line="237" w:lineRule="auto"/>
        <w:rPr>
          <w:sz w:val="20"/>
          <w:szCs w:val="20"/>
          <w:color w:val="auto"/>
        </w:rPr>
      </w:pPr>
      <w:r>
        <w:rPr>
          <w:rFonts w:ascii="Arial" w:cs="Arial" w:eastAsia="Arial" w:hAnsi="Arial"/>
          <w:sz w:val="15"/>
          <w:szCs w:val="15"/>
          <w:color w:val="auto"/>
        </w:rPr>
        <w:t>Members enrolled in a Humana chronic care management program (M)</w:t>
      </w:r>
    </w:p>
    <w:p>
      <w:pPr>
        <w:spacing w:after="0" w:line="20" w:lineRule="exact"/>
        <w:rPr>
          <w:sz w:val="20"/>
          <w:szCs w:val="20"/>
          <w:color w:val="auto"/>
        </w:rPr>
      </w:pPr>
    </w:p>
    <w:p>
      <w:pPr>
        <w:ind w:left="320"/>
        <w:spacing w:after="0" w:line="229" w:lineRule="auto"/>
        <w:rPr>
          <w:sz w:val="20"/>
          <w:szCs w:val="20"/>
          <w:color w:val="auto"/>
        </w:rPr>
      </w:pPr>
      <w:r>
        <w:rPr>
          <w:rFonts w:ascii="Arial" w:cs="Arial" w:eastAsia="Arial" w:hAnsi="Arial"/>
          <w:sz w:val="15"/>
          <w:szCs w:val="15"/>
          <w:color w:val="auto"/>
        </w:rPr>
        <w:t>Number of high-risk discharges enrolled in a post-discharge care management program (N)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61"/>
        </w:trPr>
        <w:tc>
          <w:tcPr>
            <w:tcW w:w="1060" w:type="dxa"/>
            <w:vAlign w:val="bottom"/>
          </w:tcPr>
          <w:p>
            <w:pPr>
              <w:jc w:val="center"/>
              <w:ind w:right="51"/>
              <w:spacing w:after="0"/>
              <w:rPr>
                <w:sz w:val="20"/>
                <w:szCs w:val="20"/>
                <w:color w:val="auto"/>
              </w:rPr>
            </w:pPr>
            <w:r>
              <w:rPr>
                <w:rFonts w:ascii="Arial" w:cs="Arial" w:eastAsia="Arial" w:hAnsi="Arial"/>
                <w:sz w:val="14"/>
                <w:szCs w:val="14"/>
                <w:b w:val="1"/>
                <w:bCs w:val="1"/>
                <w:color w:val="366092"/>
                <w:w w:val="98"/>
              </w:rPr>
              <w:t>September 30,</w:t>
            </w:r>
          </w:p>
        </w:tc>
        <w:tc>
          <w:tcPr>
            <w:tcW w:w="1220" w:type="dxa"/>
            <w:vAlign w:val="bottom"/>
          </w:tcPr>
          <w:p>
            <w:pPr>
              <w:jc w:val="center"/>
              <w:ind w:right="11"/>
              <w:spacing w:after="0"/>
              <w:rPr>
                <w:sz w:val="20"/>
                <w:szCs w:val="20"/>
                <w:color w:val="auto"/>
              </w:rPr>
            </w:pPr>
            <w:r>
              <w:rPr>
                <w:rFonts w:ascii="Arial" w:cs="Arial" w:eastAsia="Arial" w:hAnsi="Arial"/>
                <w:sz w:val="14"/>
                <w:szCs w:val="14"/>
                <w:color w:val="auto"/>
                <w:w w:val="97"/>
              </w:rPr>
              <w:t>September 30,</w:t>
            </w:r>
          </w:p>
        </w:tc>
        <w:tc>
          <w:tcPr>
            <w:tcW w:w="1160" w:type="dxa"/>
            <w:vAlign w:val="bottom"/>
            <w:vMerge w:val="restart"/>
          </w:tcPr>
          <w:p>
            <w:pPr>
              <w:ind w:left="260"/>
              <w:spacing w:after="0"/>
              <w:rPr>
                <w:sz w:val="20"/>
                <w:szCs w:val="20"/>
                <w:color w:val="auto"/>
              </w:rPr>
            </w:pPr>
            <w:r>
              <w:rPr>
                <w:rFonts w:ascii="Arial" w:cs="Arial" w:eastAsia="Arial" w:hAnsi="Arial"/>
                <w:sz w:val="14"/>
                <w:szCs w:val="14"/>
                <w:color w:val="auto"/>
              </w:rPr>
              <w:t>Difference</w:t>
            </w:r>
          </w:p>
        </w:tc>
        <w:tc>
          <w:tcPr>
            <w:tcW w:w="940" w:type="dxa"/>
            <w:vAlign w:val="bottom"/>
            <w:vMerge w:val="restart"/>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December 31,</w:t>
            </w:r>
          </w:p>
        </w:tc>
        <w:tc>
          <w:tcPr>
            <w:tcW w:w="1160" w:type="dxa"/>
            <w:vAlign w:val="bottom"/>
            <w:vMerge w:val="restart"/>
          </w:tcPr>
          <w:p>
            <w:pPr>
              <w:ind w:left="260"/>
              <w:spacing w:after="0"/>
              <w:rPr>
                <w:sz w:val="20"/>
                <w:szCs w:val="20"/>
                <w:color w:val="auto"/>
              </w:rPr>
            </w:pPr>
            <w:r>
              <w:rPr>
                <w:rFonts w:ascii="Arial" w:cs="Arial" w:eastAsia="Arial" w:hAnsi="Arial"/>
                <w:sz w:val="14"/>
                <w:szCs w:val="14"/>
                <w:color w:val="auto"/>
              </w:rPr>
              <w:t>Difference</w:t>
            </w:r>
          </w:p>
        </w:tc>
        <w:tc>
          <w:tcPr>
            <w:tcW w:w="0" w:type="dxa"/>
            <w:vAlign w:val="bottom"/>
          </w:tcPr>
          <w:p>
            <w:pPr>
              <w:spacing w:after="0"/>
              <w:rPr>
                <w:sz w:val="1"/>
                <w:szCs w:val="1"/>
                <w:color w:val="auto"/>
              </w:rPr>
            </w:pPr>
          </w:p>
        </w:tc>
      </w:tr>
      <w:tr>
        <w:trPr>
          <w:trHeight w:val="168"/>
        </w:trPr>
        <w:tc>
          <w:tcPr>
            <w:tcW w:w="1060" w:type="dxa"/>
            <w:vAlign w:val="bottom"/>
          </w:tcPr>
          <w:p>
            <w:pPr>
              <w:jc w:val="right"/>
              <w:ind w:right="371"/>
              <w:spacing w:after="0"/>
              <w:rPr>
                <w:sz w:val="20"/>
                <w:szCs w:val="20"/>
                <w:color w:val="auto"/>
              </w:rPr>
            </w:pPr>
            <w:r>
              <w:rPr>
                <w:rFonts w:ascii="Arial" w:cs="Arial" w:eastAsia="Arial" w:hAnsi="Arial"/>
                <w:sz w:val="14"/>
                <w:szCs w:val="14"/>
                <w:b w:val="1"/>
                <w:bCs w:val="1"/>
                <w:color w:val="366092"/>
              </w:rPr>
              <w:t>2020</w:t>
            </w:r>
          </w:p>
        </w:tc>
        <w:tc>
          <w:tcPr>
            <w:tcW w:w="1220" w:type="dxa"/>
            <w:vAlign w:val="bottom"/>
          </w:tcPr>
          <w:p>
            <w:pPr>
              <w:jc w:val="right"/>
              <w:ind w:right="431"/>
              <w:spacing w:after="0"/>
              <w:rPr>
                <w:sz w:val="20"/>
                <w:szCs w:val="20"/>
                <w:color w:val="auto"/>
              </w:rPr>
            </w:pPr>
            <w:r>
              <w:rPr>
                <w:rFonts w:ascii="Arial" w:cs="Arial" w:eastAsia="Arial" w:hAnsi="Arial"/>
                <w:sz w:val="14"/>
                <w:szCs w:val="14"/>
                <w:color w:val="auto"/>
              </w:rPr>
              <w:t>2019</w:t>
            </w:r>
          </w:p>
        </w:tc>
        <w:tc>
          <w:tcPr>
            <w:tcW w:w="1160" w:type="dxa"/>
            <w:vAlign w:val="bottom"/>
            <w:tcBorders>
              <w:bottom w:val="single" w:sz="8" w:color="auto"/>
            </w:tcBorders>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jc w:val="right"/>
              <w:ind w:right="223"/>
              <w:spacing w:after="0"/>
              <w:rPr>
                <w:sz w:val="20"/>
                <w:szCs w:val="20"/>
                <w:color w:val="auto"/>
              </w:rPr>
            </w:pPr>
            <w:r>
              <w:rPr>
                <w:rFonts w:ascii="Arial" w:cs="Arial" w:eastAsia="Arial" w:hAnsi="Arial"/>
                <w:sz w:val="15"/>
                <w:szCs w:val="15"/>
                <w:b w:val="1"/>
                <w:bCs w:val="1"/>
                <w:color w:val="00497F"/>
              </w:rPr>
              <w:t>1,000</w:t>
            </w:r>
          </w:p>
        </w:tc>
        <w:tc>
          <w:tcPr>
            <w:tcW w:w="920" w:type="dxa"/>
            <w:vAlign w:val="bottom"/>
          </w:tcPr>
          <w:p>
            <w:pPr>
              <w:jc w:val="right"/>
              <w:spacing w:after="0"/>
              <w:rPr>
                <w:sz w:val="20"/>
                <w:szCs w:val="20"/>
                <w:color w:val="auto"/>
              </w:rPr>
            </w:pPr>
            <w:r>
              <w:rPr>
                <w:rFonts w:ascii="Arial" w:cs="Arial" w:eastAsia="Arial" w:hAnsi="Arial"/>
                <w:sz w:val="15"/>
                <w:szCs w:val="15"/>
                <w:color w:val="auto"/>
              </w:rPr>
              <w:t>1,100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w:t>
            </w:r>
          </w:p>
        </w:tc>
        <w:tc>
          <w:tcPr>
            <w:tcW w:w="940" w:type="dxa"/>
            <w:vAlign w:val="bottom"/>
          </w:tcPr>
          <w:p>
            <w:pPr>
              <w:jc w:val="right"/>
              <w:spacing w:after="0"/>
              <w:rPr>
                <w:sz w:val="20"/>
                <w:szCs w:val="20"/>
                <w:color w:val="auto"/>
              </w:rPr>
            </w:pPr>
            <w:r>
              <w:rPr>
                <w:rFonts w:ascii="Arial" w:cs="Arial" w:eastAsia="Arial" w:hAnsi="Arial"/>
                <w:sz w:val="15"/>
                <w:szCs w:val="15"/>
                <w:color w:val="auto"/>
              </w:rPr>
              <w:t>-9.1 %</w:t>
            </w:r>
          </w:p>
        </w:tc>
        <w:tc>
          <w:tcPr>
            <w:tcW w:w="1160" w:type="dxa"/>
            <w:vAlign w:val="bottom"/>
          </w:tcPr>
          <w:p>
            <w:pPr>
              <w:jc w:val="right"/>
              <w:spacing w:after="0"/>
              <w:rPr>
                <w:sz w:val="20"/>
                <w:szCs w:val="20"/>
                <w:color w:val="auto"/>
              </w:rPr>
            </w:pPr>
            <w:r>
              <w:rPr>
                <w:rFonts w:ascii="Arial" w:cs="Arial" w:eastAsia="Arial" w:hAnsi="Arial"/>
                <w:sz w:val="15"/>
                <w:szCs w:val="15"/>
                <w:color w:val="auto"/>
              </w:rPr>
              <w:t>1,200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w:t>
            </w:r>
          </w:p>
        </w:tc>
        <w:tc>
          <w:tcPr>
            <w:tcW w:w="920" w:type="dxa"/>
            <w:vAlign w:val="bottom"/>
          </w:tcPr>
          <w:p>
            <w:pPr>
              <w:jc w:val="right"/>
              <w:spacing w:after="0"/>
              <w:rPr>
                <w:sz w:val="20"/>
                <w:szCs w:val="20"/>
                <w:color w:val="auto"/>
              </w:rPr>
            </w:pPr>
            <w:r>
              <w:rPr>
                <w:rFonts w:ascii="Arial" w:cs="Arial" w:eastAsia="Arial" w:hAnsi="Arial"/>
                <w:sz w:val="15"/>
                <w:szCs w:val="15"/>
                <w:color w:val="auto"/>
              </w:rPr>
              <w:t>-16.7 %</w:t>
            </w:r>
          </w:p>
        </w:tc>
      </w:tr>
      <w:tr>
        <w:trPr>
          <w:trHeight w:val="206"/>
        </w:trPr>
        <w:tc>
          <w:tcPr>
            <w:tcW w:w="1420" w:type="dxa"/>
            <w:vAlign w:val="bottom"/>
          </w:tcPr>
          <w:p>
            <w:pPr>
              <w:jc w:val="right"/>
              <w:ind w:right="223"/>
              <w:spacing w:after="0"/>
              <w:rPr>
                <w:sz w:val="20"/>
                <w:szCs w:val="20"/>
                <w:color w:val="auto"/>
              </w:rPr>
            </w:pPr>
            <w:r>
              <w:rPr>
                <w:rFonts w:ascii="Arial" w:cs="Arial" w:eastAsia="Arial" w:hAnsi="Arial"/>
                <w:sz w:val="15"/>
                <w:szCs w:val="15"/>
                <w:b w:val="1"/>
                <w:bCs w:val="1"/>
                <w:color w:val="00497F"/>
              </w:rPr>
              <w:t>22,100</w:t>
            </w:r>
          </w:p>
        </w:tc>
        <w:tc>
          <w:tcPr>
            <w:tcW w:w="920" w:type="dxa"/>
            <w:vAlign w:val="bottom"/>
          </w:tcPr>
          <w:p>
            <w:pPr>
              <w:jc w:val="right"/>
              <w:spacing w:after="0"/>
              <w:rPr>
                <w:sz w:val="20"/>
                <w:szCs w:val="20"/>
                <w:color w:val="auto"/>
              </w:rPr>
            </w:pPr>
            <w:r>
              <w:rPr>
                <w:rFonts w:ascii="Arial" w:cs="Arial" w:eastAsia="Arial" w:hAnsi="Arial"/>
                <w:sz w:val="15"/>
                <w:szCs w:val="15"/>
                <w:color w:val="auto"/>
              </w:rPr>
              <w:t>18,500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3,600</w:t>
            </w:r>
          </w:p>
        </w:tc>
        <w:tc>
          <w:tcPr>
            <w:tcW w:w="940" w:type="dxa"/>
            <w:vAlign w:val="bottom"/>
          </w:tcPr>
          <w:p>
            <w:pPr>
              <w:jc w:val="right"/>
              <w:spacing w:after="0"/>
              <w:rPr>
                <w:sz w:val="20"/>
                <w:szCs w:val="20"/>
                <w:color w:val="auto"/>
              </w:rPr>
            </w:pPr>
            <w:r>
              <w:rPr>
                <w:rFonts w:ascii="Arial" w:cs="Arial" w:eastAsia="Arial" w:hAnsi="Arial"/>
                <w:sz w:val="15"/>
                <w:szCs w:val="15"/>
                <w:color w:val="auto"/>
              </w:rPr>
              <w:t>19.5 %</w:t>
            </w:r>
          </w:p>
        </w:tc>
        <w:tc>
          <w:tcPr>
            <w:tcW w:w="1160" w:type="dxa"/>
            <w:vAlign w:val="bottom"/>
          </w:tcPr>
          <w:p>
            <w:pPr>
              <w:jc w:val="right"/>
              <w:spacing w:after="0"/>
              <w:rPr>
                <w:sz w:val="20"/>
                <w:szCs w:val="20"/>
                <w:color w:val="auto"/>
              </w:rPr>
            </w:pPr>
            <w:r>
              <w:rPr>
                <w:rFonts w:ascii="Arial" w:cs="Arial" w:eastAsia="Arial" w:hAnsi="Arial"/>
                <w:sz w:val="15"/>
                <w:szCs w:val="15"/>
                <w:color w:val="auto"/>
              </w:rPr>
              <w:t>18,700</w:t>
            </w:r>
          </w:p>
        </w:tc>
        <w:tc>
          <w:tcPr>
            <w:tcW w:w="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3,400</w:t>
            </w:r>
          </w:p>
        </w:tc>
        <w:tc>
          <w:tcPr>
            <w:tcW w:w="920" w:type="dxa"/>
            <w:vAlign w:val="bottom"/>
          </w:tcPr>
          <w:p>
            <w:pPr>
              <w:jc w:val="right"/>
              <w:spacing w:after="0"/>
              <w:rPr>
                <w:sz w:val="20"/>
                <w:szCs w:val="20"/>
                <w:color w:val="auto"/>
              </w:rPr>
            </w:pPr>
            <w:r>
              <w:rPr>
                <w:rFonts w:ascii="Arial" w:cs="Arial" w:eastAsia="Arial" w:hAnsi="Arial"/>
                <w:sz w:val="15"/>
                <w:szCs w:val="15"/>
                <w:color w:val="auto"/>
              </w:rPr>
              <w:t>18.2 %</w:t>
            </w:r>
          </w:p>
        </w:tc>
      </w:tr>
      <w:tr>
        <w:trPr>
          <w:trHeight w:val="209"/>
        </w:trPr>
        <w:tc>
          <w:tcPr>
            <w:tcW w:w="1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00497F"/>
              </w:rPr>
              <w:t>43,900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40,600</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3,300</w:t>
            </w:r>
          </w:p>
        </w:tc>
        <w:tc>
          <w:tcPr>
            <w:tcW w:w="940" w:type="dxa"/>
            <w:vAlign w:val="bottom"/>
          </w:tcPr>
          <w:p>
            <w:pPr>
              <w:jc w:val="right"/>
              <w:spacing w:after="0"/>
              <w:rPr>
                <w:sz w:val="20"/>
                <w:szCs w:val="20"/>
                <w:color w:val="auto"/>
              </w:rPr>
            </w:pPr>
            <w:r>
              <w:rPr>
                <w:rFonts w:ascii="Arial" w:cs="Arial" w:eastAsia="Arial" w:hAnsi="Arial"/>
                <w:sz w:val="15"/>
                <w:szCs w:val="15"/>
                <w:color w:val="auto"/>
              </w:rPr>
              <w:t>8.1 %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42,000</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1,900</w:t>
            </w:r>
          </w:p>
        </w:tc>
        <w:tc>
          <w:tcPr>
            <w:tcW w:w="920" w:type="dxa"/>
            <w:vAlign w:val="bottom"/>
          </w:tcPr>
          <w:p>
            <w:pPr>
              <w:jc w:val="right"/>
              <w:spacing w:after="0"/>
              <w:rPr>
                <w:sz w:val="20"/>
                <w:szCs w:val="20"/>
                <w:color w:val="auto"/>
              </w:rPr>
            </w:pPr>
            <w:r>
              <w:rPr>
                <w:rFonts w:ascii="Arial" w:cs="Arial" w:eastAsia="Arial" w:hAnsi="Arial"/>
                <w:sz w:val="15"/>
                <w:szCs w:val="15"/>
                <w:color w:val="auto"/>
              </w:rPr>
              <w:t>4.5 %</w:t>
            </w:r>
          </w:p>
        </w:tc>
      </w:tr>
      <w:tr>
        <w:trPr>
          <w:trHeight w:val="201"/>
        </w:trPr>
        <w:tc>
          <w:tcPr>
            <w:tcW w:w="1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00497F"/>
              </w:rPr>
              <w:t>67,000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60,200</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6,800</w:t>
            </w:r>
          </w:p>
        </w:tc>
        <w:tc>
          <w:tcPr>
            <w:tcW w:w="940" w:type="dxa"/>
            <w:vAlign w:val="bottom"/>
          </w:tcPr>
          <w:p>
            <w:pPr>
              <w:jc w:val="right"/>
              <w:spacing w:after="0"/>
              <w:rPr>
                <w:sz w:val="20"/>
                <w:szCs w:val="20"/>
                <w:color w:val="auto"/>
              </w:rPr>
            </w:pPr>
            <w:r>
              <w:rPr>
                <w:rFonts w:ascii="Arial" w:cs="Arial" w:eastAsia="Arial" w:hAnsi="Arial"/>
                <w:sz w:val="15"/>
                <w:szCs w:val="15"/>
                <w:color w:val="auto"/>
              </w:rPr>
              <w:t>11.3 %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61,900</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5,100</w:t>
            </w:r>
          </w:p>
        </w:tc>
        <w:tc>
          <w:tcPr>
            <w:tcW w:w="920" w:type="dxa"/>
            <w:vAlign w:val="bottom"/>
          </w:tcPr>
          <w:p>
            <w:pPr>
              <w:jc w:val="right"/>
              <w:spacing w:after="0"/>
              <w:rPr>
                <w:sz w:val="20"/>
                <w:szCs w:val="20"/>
                <w:color w:val="auto"/>
              </w:rPr>
            </w:pPr>
            <w:r>
              <w:rPr>
                <w:rFonts w:ascii="Arial" w:cs="Arial" w:eastAsia="Arial" w:hAnsi="Arial"/>
                <w:sz w:val="15"/>
                <w:szCs w:val="15"/>
                <w:color w:val="auto"/>
              </w:rPr>
              <w:t>8.2 %</w:t>
            </w:r>
          </w:p>
        </w:tc>
      </w:tr>
      <w:tr>
        <w:trPr>
          <w:trHeight w:val="556"/>
        </w:trPr>
        <w:tc>
          <w:tcPr>
            <w:tcW w:w="1420" w:type="dxa"/>
            <w:vAlign w:val="bottom"/>
          </w:tcPr>
          <w:p>
            <w:pPr>
              <w:jc w:val="right"/>
              <w:ind w:right="223"/>
              <w:spacing w:after="0"/>
              <w:rPr>
                <w:sz w:val="20"/>
                <w:szCs w:val="20"/>
                <w:color w:val="auto"/>
              </w:rPr>
            </w:pPr>
            <w:r>
              <w:rPr>
                <w:rFonts w:ascii="Arial" w:cs="Arial" w:eastAsia="Arial" w:hAnsi="Arial"/>
                <w:sz w:val="15"/>
                <w:szCs w:val="15"/>
                <w:b w:val="1"/>
                <w:bCs w:val="1"/>
                <w:color w:val="00497F"/>
              </w:rPr>
              <w:t>917,200</w:t>
            </w:r>
          </w:p>
        </w:tc>
        <w:tc>
          <w:tcPr>
            <w:tcW w:w="920" w:type="dxa"/>
            <w:vAlign w:val="bottom"/>
          </w:tcPr>
          <w:p>
            <w:pPr>
              <w:jc w:val="right"/>
              <w:spacing w:after="0"/>
              <w:rPr>
                <w:sz w:val="20"/>
                <w:szCs w:val="20"/>
                <w:color w:val="auto"/>
              </w:rPr>
            </w:pPr>
            <w:r>
              <w:rPr>
                <w:rFonts w:ascii="Arial" w:cs="Arial" w:eastAsia="Arial" w:hAnsi="Arial"/>
                <w:sz w:val="15"/>
                <w:szCs w:val="15"/>
                <w:color w:val="auto"/>
              </w:rPr>
              <w:t>882,800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34,400</w:t>
            </w:r>
          </w:p>
        </w:tc>
        <w:tc>
          <w:tcPr>
            <w:tcW w:w="940" w:type="dxa"/>
            <w:vAlign w:val="bottom"/>
          </w:tcPr>
          <w:p>
            <w:pPr>
              <w:jc w:val="right"/>
              <w:spacing w:after="0"/>
              <w:rPr>
                <w:sz w:val="20"/>
                <w:szCs w:val="20"/>
                <w:color w:val="auto"/>
              </w:rPr>
            </w:pPr>
            <w:r>
              <w:rPr>
                <w:rFonts w:ascii="Arial" w:cs="Arial" w:eastAsia="Arial" w:hAnsi="Arial"/>
                <w:sz w:val="15"/>
                <w:szCs w:val="15"/>
                <w:color w:val="auto"/>
              </w:rPr>
              <w:t>3.9 %</w:t>
            </w:r>
          </w:p>
        </w:tc>
        <w:tc>
          <w:tcPr>
            <w:tcW w:w="1160" w:type="dxa"/>
            <w:vAlign w:val="bottom"/>
          </w:tcPr>
          <w:p>
            <w:pPr>
              <w:jc w:val="right"/>
              <w:spacing w:after="0"/>
              <w:rPr>
                <w:sz w:val="20"/>
                <w:szCs w:val="20"/>
                <w:color w:val="auto"/>
              </w:rPr>
            </w:pPr>
            <w:r>
              <w:rPr>
                <w:rFonts w:ascii="Arial" w:cs="Arial" w:eastAsia="Arial" w:hAnsi="Arial"/>
                <w:sz w:val="15"/>
                <w:szCs w:val="15"/>
                <w:color w:val="auto"/>
              </w:rPr>
              <w:t>868,800</w:t>
            </w:r>
          </w:p>
        </w:tc>
        <w:tc>
          <w:tcPr>
            <w:tcW w:w="8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48,400</w:t>
            </w:r>
          </w:p>
        </w:tc>
        <w:tc>
          <w:tcPr>
            <w:tcW w:w="920" w:type="dxa"/>
            <w:vAlign w:val="bottom"/>
          </w:tcPr>
          <w:p>
            <w:pPr>
              <w:jc w:val="right"/>
              <w:spacing w:after="0"/>
              <w:rPr>
                <w:sz w:val="20"/>
                <w:szCs w:val="20"/>
                <w:color w:val="auto"/>
              </w:rPr>
            </w:pPr>
            <w:r>
              <w:rPr>
                <w:rFonts w:ascii="Arial" w:cs="Arial" w:eastAsia="Arial" w:hAnsi="Arial"/>
                <w:sz w:val="15"/>
                <w:szCs w:val="15"/>
                <w:color w:val="auto"/>
              </w:rPr>
              <w:t>5.6 %</w:t>
            </w:r>
          </w:p>
        </w:tc>
      </w:tr>
      <w:tr>
        <w:trPr>
          <w:trHeight w:val="516"/>
        </w:trPr>
        <w:tc>
          <w:tcPr>
            <w:tcW w:w="1420" w:type="dxa"/>
            <w:vAlign w:val="bottom"/>
          </w:tcPr>
          <w:p>
            <w:pPr>
              <w:jc w:val="right"/>
              <w:ind w:right="223"/>
              <w:spacing w:after="0"/>
              <w:rPr>
                <w:sz w:val="20"/>
                <w:szCs w:val="20"/>
                <w:color w:val="auto"/>
              </w:rPr>
            </w:pPr>
            <w:r>
              <w:rPr>
                <w:rFonts w:ascii="Arial" w:cs="Arial" w:eastAsia="Arial" w:hAnsi="Arial"/>
                <w:sz w:val="15"/>
                <w:szCs w:val="15"/>
                <w:b w:val="1"/>
                <w:bCs w:val="1"/>
                <w:color w:val="00497F"/>
              </w:rPr>
              <w:t>68,900</w:t>
            </w:r>
          </w:p>
        </w:tc>
        <w:tc>
          <w:tcPr>
            <w:tcW w:w="920" w:type="dxa"/>
            <w:vAlign w:val="bottom"/>
          </w:tcPr>
          <w:p>
            <w:pPr>
              <w:jc w:val="right"/>
              <w:spacing w:after="0"/>
              <w:rPr>
                <w:sz w:val="20"/>
                <w:szCs w:val="20"/>
                <w:color w:val="auto"/>
              </w:rPr>
            </w:pPr>
            <w:r>
              <w:rPr>
                <w:rFonts w:ascii="Arial" w:cs="Arial" w:eastAsia="Arial" w:hAnsi="Arial"/>
                <w:sz w:val="15"/>
                <w:szCs w:val="15"/>
                <w:color w:val="auto"/>
              </w:rPr>
              <w:t>68,100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800</w:t>
            </w:r>
          </w:p>
        </w:tc>
        <w:tc>
          <w:tcPr>
            <w:tcW w:w="940" w:type="dxa"/>
            <w:vAlign w:val="bottom"/>
          </w:tcPr>
          <w:p>
            <w:pPr>
              <w:jc w:val="right"/>
              <w:spacing w:after="0"/>
              <w:rPr>
                <w:sz w:val="20"/>
                <w:szCs w:val="20"/>
                <w:color w:val="auto"/>
              </w:rPr>
            </w:pPr>
            <w:r>
              <w:rPr>
                <w:rFonts w:ascii="Arial" w:cs="Arial" w:eastAsia="Arial" w:hAnsi="Arial"/>
                <w:sz w:val="15"/>
                <w:szCs w:val="15"/>
                <w:color w:val="auto"/>
              </w:rPr>
              <w:t>1.2 %</w:t>
            </w:r>
          </w:p>
        </w:tc>
        <w:tc>
          <w:tcPr>
            <w:tcW w:w="1160" w:type="dxa"/>
            <w:vAlign w:val="bottom"/>
          </w:tcPr>
          <w:p>
            <w:pPr>
              <w:jc w:val="right"/>
              <w:spacing w:after="0"/>
              <w:rPr>
                <w:sz w:val="20"/>
                <w:szCs w:val="20"/>
                <w:color w:val="auto"/>
              </w:rPr>
            </w:pPr>
            <w:r>
              <w:rPr>
                <w:rFonts w:ascii="Arial" w:cs="Arial" w:eastAsia="Arial" w:hAnsi="Arial"/>
                <w:sz w:val="15"/>
                <w:szCs w:val="15"/>
                <w:color w:val="auto"/>
              </w:rPr>
              <w:t>61,500</w:t>
            </w:r>
          </w:p>
        </w:tc>
        <w:tc>
          <w:tcPr>
            <w:tcW w:w="8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7,400</w:t>
            </w:r>
          </w:p>
        </w:tc>
        <w:tc>
          <w:tcPr>
            <w:tcW w:w="920" w:type="dxa"/>
            <w:vAlign w:val="bottom"/>
          </w:tcPr>
          <w:p>
            <w:pPr>
              <w:jc w:val="right"/>
              <w:spacing w:after="0"/>
              <w:rPr>
                <w:sz w:val="20"/>
                <w:szCs w:val="20"/>
                <w:color w:val="auto"/>
              </w:rPr>
            </w:pPr>
            <w:r>
              <w:rPr>
                <w:rFonts w:ascii="Arial" w:cs="Arial" w:eastAsia="Arial" w:hAnsi="Arial"/>
                <w:sz w:val="15"/>
                <w:szCs w:val="15"/>
                <w:color w:val="auto"/>
              </w:rPr>
              <w:t>12.0 %</w:t>
            </w:r>
          </w:p>
        </w:tc>
      </w:tr>
    </w:tbl>
    <w:p>
      <w:pPr>
        <w:spacing w:after="0" w:line="200" w:lineRule="exact"/>
        <w:rPr>
          <w:sz w:val="20"/>
          <w:szCs w:val="20"/>
          <w:color w:val="auto"/>
        </w:rPr>
      </w:pPr>
    </w:p>
    <w:p>
      <w:pPr>
        <w:sectPr>
          <w:pgSz w:w="11900" w:h="16838" w:orient="portrait"/>
          <w:cols w:equalWidth="0" w:num="2">
            <w:col w:w="3340" w:space="20"/>
            <w:col w:w="7840"/>
          </w:cols>
          <w:pgMar w:left="320" w:top="1069" w:right="379" w:bottom="1440" w:gutter="0" w:footer="0" w:header="0"/>
          <w:type w:val="continuous"/>
        </w:sect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320" w:top="1069" w:right="3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Healthcare Services Segment Metrics (Continued)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Script volume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23495</wp:posOffset>
            </wp:positionV>
            <wp:extent cx="2832735" cy="256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32735" cy="2562225"/>
                    </a:xfrm>
                    <a:prstGeom prst="rect">
                      <a:avLst/>
                    </a:prstGeom>
                    <a:noFill/>
                  </pic:spPr>
                </pic:pic>
              </a:graphicData>
            </a:graphic>
          </wp:anchor>
        </w:drawing>
      </w:r>
    </w:p>
    <w:p>
      <w:pPr>
        <w:sectPr>
          <w:pgSz w:w="11900" w:h="16838" w:orient="portrait"/>
          <w:cols w:equalWidth="0" w:num="1">
            <w:col w:w="11340"/>
          </w:cols>
          <w:pgMar w:left="320" w:top="106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Pharmacy:</w:t>
      </w:r>
    </w:p>
    <w:p>
      <w:pPr>
        <w:spacing w:after="0" w:line="30" w:lineRule="exact"/>
        <w:rPr>
          <w:sz w:val="20"/>
          <w:szCs w:val="20"/>
          <w:color w:val="auto"/>
        </w:rPr>
      </w:pPr>
    </w:p>
    <w:p>
      <w:pPr>
        <w:ind w:left="120" w:right="260"/>
        <w:spacing w:after="0" w:line="237" w:lineRule="auto"/>
        <w:rPr>
          <w:sz w:val="20"/>
          <w:szCs w:val="20"/>
          <w:color w:val="auto"/>
        </w:rPr>
      </w:pPr>
      <w:r>
        <w:rPr>
          <w:rFonts w:ascii="Arial" w:cs="Arial" w:eastAsia="Arial" w:hAnsi="Arial"/>
          <w:sz w:val="15"/>
          <w:szCs w:val="15"/>
          <w:b w:val="1"/>
          <w:bCs w:val="1"/>
          <w:color w:val="auto"/>
        </w:rPr>
        <w:t>Generic Dispense Rate</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Retail</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Group</w:t>
      </w:r>
    </w:p>
    <w:p>
      <w:pPr>
        <w:ind w:left="420"/>
        <w:spacing w:after="0" w:line="215" w:lineRule="auto"/>
        <w:rPr>
          <w:sz w:val="20"/>
          <w:szCs w:val="20"/>
          <w:color w:val="auto"/>
        </w:rPr>
      </w:pPr>
      <w:r>
        <w:rPr>
          <w:rFonts w:ascii="Arial" w:cs="Arial" w:eastAsia="Arial" w:hAnsi="Arial"/>
          <w:sz w:val="15"/>
          <w:szCs w:val="15"/>
          <w:color w:val="auto"/>
        </w:rPr>
        <w:t>and</w:t>
      </w:r>
    </w:p>
    <w:p>
      <w:pPr>
        <w:ind w:left="420"/>
        <w:spacing w:after="0"/>
        <w:rPr>
          <w:sz w:val="20"/>
          <w:szCs w:val="20"/>
          <w:color w:val="auto"/>
        </w:rPr>
      </w:pPr>
      <w:r>
        <w:rPr>
          <w:rFonts w:ascii="Arial" w:cs="Arial" w:eastAsia="Arial" w:hAnsi="Arial"/>
          <w:sz w:val="15"/>
          <w:szCs w:val="15"/>
          <w:color w:val="auto"/>
        </w:rPr>
        <w:t>Specialty</w:t>
      </w:r>
    </w:p>
    <w:p>
      <w:pPr>
        <w:spacing w:after="0" w:line="16" w:lineRule="exact"/>
        <w:rPr>
          <w:sz w:val="20"/>
          <w:szCs w:val="20"/>
          <w:color w:val="auto"/>
        </w:rPr>
      </w:pPr>
    </w:p>
    <w:p>
      <w:pPr>
        <w:ind w:left="120" w:right="80"/>
        <w:spacing w:after="0" w:line="259" w:lineRule="auto"/>
        <w:rPr>
          <w:sz w:val="20"/>
          <w:szCs w:val="20"/>
          <w:color w:val="auto"/>
        </w:rPr>
      </w:pPr>
      <w:r>
        <w:rPr>
          <w:rFonts w:ascii="Arial" w:cs="Arial" w:eastAsia="Arial" w:hAnsi="Arial"/>
          <w:sz w:val="15"/>
          <w:szCs w:val="15"/>
          <w:b w:val="1"/>
          <w:bCs w:val="1"/>
          <w:color w:val="auto"/>
        </w:rPr>
        <w:t>Mail-Order Penetration</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Retail</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Group</w:t>
      </w:r>
    </w:p>
    <w:p>
      <w:pPr>
        <w:ind w:left="420"/>
        <w:spacing w:after="0" w:line="215" w:lineRule="auto"/>
        <w:rPr>
          <w:sz w:val="20"/>
          <w:szCs w:val="20"/>
          <w:color w:val="auto"/>
        </w:rPr>
      </w:pPr>
      <w:r>
        <w:rPr>
          <w:rFonts w:ascii="Arial" w:cs="Arial" w:eastAsia="Arial" w:hAnsi="Arial"/>
          <w:sz w:val="15"/>
          <w:szCs w:val="15"/>
          <w:color w:val="auto"/>
        </w:rPr>
        <w:t>and</w:t>
      </w:r>
    </w:p>
    <w:p>
      <w:pPr>
        <w:ind w:left="420"/>
        <w:spacing w:after="0"/>
        <w:rPr>
          <w:sz w:val="20"/>
          <w:szCs w:val="20"/>
          <w:color w:val="auto"/>
        </w:rPr>
      </w:pPr>
      <w:r>
        <w:rPr>
          <w:rFonts w:ascii="Arial" w:cs="Arial" w:eastAsia="Arial" w:hAnsi="Arial"/>
          <w:sz w:val="15"/>
          <w:szCs w:val="15"/>
          <w:color w:val="auto"/>
        </w:rPr>
        <w:t>Specialty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right="20"/>
        <w:spacing w:after="0" w:line="259" w:lineRule="auto"/>
        <w:rPr>
          <w:sz w:val="20"/>
          <w:szCs w:val="20"/>
          <w:color w:val="auto"/>
        </w:rPr>
      </w:pPr>
      <w:r>
        <w:rPr>
          <w:rFonts w:ascii="Arial" w:cs="Arial" w:eastAsia="Arial" w:hAnsi="Arial"/>
          <w:sz w:val="15"/>
          <w:szCs w:val="15"/>
          <w:b w:val="1"/>
          <w:bCs w:val="1"/>
          <w:color w:val="auto"/>
        </w:rPr>
        <w:t>Script volume (O)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140" w:type="dxa"/>
            <w:vAlign w:val="bottom"/>
            <w:vMerge w:val="restart"/>
          </w:tcPr>
          <w:p>
            <w:pPr>
              <w:jc w:val="center"/>
              <w:ind w:right="23"/>
              <w:spacing w:after="0"/>
              <w:rPr>
                <w:sz w:val="20"/>
                <w:szCs w:val="20"/>
                <w:color w:val="auto"/>
              </w:rPr>
            </w:pPr>
            <w:r>
              <w:rPr>
                <w:rFonts w:ascii="Arial" w:cs="Arial" w:eastAsia="Arial" w:hAnsi="Arial"/>
                <w:sz w:val="15"/>
                <w:szCs w:val="15"/>
                <w:b w:val="1"/>
                <w:bCs w:val="1"/>
                <w:color w:val="366092"/>
              </w:rPr>
              <w:t>For the three months ended</w:t>
            </w:r>
          </w:p>
        </w:tc>
        <w:tc>
          <w:tcPr>
            <w:tcW w:w="2300" w:type="dxa"/>
            <w:vAlign w:val="bottom"/>
            <w:vMerge w:val="restart"/>
          </w:tcPr>
          <w:p>
            <w:pPr>
              <w:jc w:val="center"/>
              <w:ind w:right="3"/>
              <w:spacing w:after="0"/>
              <w:rPr>
                <w:sz w:val="20"/>
                <w:szCs w:val="20"/>
                <w:color w:val="auto"/>
              </w:rPr>
            </w:pPr>
            <w:r>
              <w:rPr>
                <w:rFonts w:ascii="Arial" w:cs="Arial" w:eastAsia="Arial" w:hAnsi="Arial"/>
                <w:sz w:val="15"/>
                <w:szCs w:val="15"/>
                <w:b w:val="1"/>
                <w:bCs w:val="1"/>
                <w:color w:val="366092"/>
              </w:rPr>
              <w:t>For the three months ended</w:t>
            </w:r>
          </w:p>
        </w:tc>
        <w:tc>
          <w:tcPr>
            <w:tcW w:w="1780" w:type="dxa"/>
            <w:vAlign w:val="bottom"/>
            <w:gridSpan w:val="2"/>
          </w:tcPr>
          <w:p>
            <w:pPr>
              <w:jc w:val="center"/>
              <w:ind w:right="980"/>
              <w:spacing w:after="0"/>
              <w:rPr>
                <w:sz w:val="20"/>
                <w:szCs w:val="20"/>
                <w:color w:val="auto"/>
              </w:rPr>
            </w:pPr>
            <w:r>
              <w:rPr>
                <w:rFonts w:ascii="Arial" w:cs="Arial" w:eastAsia="Arial" w:hAnsi="Arial"/>
                <w:sz w:val="15"/>
                <w:szCs w:val="15"/>
                <w:color w:val="auto"/>
              </w:rPr>
              <w:t>Year-over-</w:t>
            </w: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140" w:type="dxa"/>
            <w:vAlign w:val="bottom"/>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1780" w:type="dxa"/>
            <w:vAlign w:val="bottom"/>
            <w:gridSpan w:val="2"/>
          </w:tcPr>
          <w:p>
            <w:pPr>
              <w:jc w:val="center"/>
              <w:ind w:right="980"/>
              <w:spacing w:after="0" w:line="140" w:lineRule="exact"/>
              <w:rPr>
                <w:sz w:val="20"/>
                <w:szCs w:val="20"/>
                <w:color w:val="auto"/>
              </w:rPr>
            </w:pPr>
            <w:r>
              <w:rPr>
                <w:rFonts w:ascii="Arial" w:cs="Arial" w:eastAsia="Arial" w:hAnsi="Arial"/>
                <w:sz w:val="15"/>
                <w:szCs w:val="15"/>
                <w:color w:val="auto"/>
              </w:rPr>
              <w:t>Year</w:t>
            </w:r>
          </w:p>
        </w:tc>
        <w:tc>
          <w:tcPr>
            <w:tcW w:w="2140" w:type="dxa"/>
            <w:vAlign w:val="bottom"/>
            <w:gridSpan w:val="2"/>
          </w:tcPr>
          <w:p>
            <w:pPr>
              <w:jc w:val="center"/>
              <w:ind w:right="80"/>
              <w:spacing w:after="0" w:line="140" w:lineRule="exact"/>
              <w:rPr>
                <w:sz w:val="20"/>
                <w:szCs w:val="20"/>
                <w:color w:val="auto"/>
              </w:rPr>
            </w:pPr>
            <w:r>
              <w:rPr>
                <w:rFonts w:ascii="Arial" w:cs="Arial" w:eastAsia="Arial" w:hAnsi="Arial"/>
                <w:sz w:val="15"/>
                <w:szCs w:val="15"/>
                <w:color w:val="auto"/>
              </w:rPr>
              <w:t>For the three months ended</w:t>
            </w:r>
          </w:p>
        </w:tc>
        <w:tc>
          <w:tcPr>
            <w:tcW w:w="820" w:type="dxa"/>
            <w:vAlign w:val="bottom"/>
          </w:tcPr>
          <w:p>
            <w:pPr>
              <w:ind w:left="40"/>
              <w:spacing w:after="0" w:line="140" w:lineRule="exact"/>
              <w:rPr>
                <w:sz w:val="20"/>
                <w:szCs w:val="20"/>
                <w:color w:val="auto"/>
              </w:rPr>
            </w:pPr>
            <w:r>
              <w:rPr>
                <w:rFonts w:ascii="Arial" w:cs="Arial" w:eastAsia="Arial" w:hAnsi="Arial"/>
                <w:sz w:val="15"/>
                <w:szCs w:val="15"/>
                <w:color w:val="auto"/>
              </w:rPr>
              <w:t>Sequential</w:t>
            </w:r>
          </w:p>
        </w:tc>
        <w:tc>
          <w:tcPr>
            <w:tcW w:w="0" w:type="dxa"/>
            <w:vAlign w:val="bottom"/>
          </w:tcPr>
          <w:p>
            <w:pPr>
              <w:spacing w:after="0"/>
              <w:rPr>
                <w:sz w:val="1"/>
                <w:szCs w:val="1"/>
                <w:color w:val="auto"/>
              </w:rPr>
            </w:pPr>
          </w:p>
        </w:tc>
      </w:tr>
      <w:tr>
        <w:trPr>
          <w:trHeight w:val="205"/>
        </w:trPr>
        <w:tc>
          <w:tcPr>
            <w:tcW w:w="2140" w:type="dxa"/>
            <w:vAlign w:val="bottom"/>
          </w:tcPr>
          <w:p>
            <w:pPr>
              <w:jc w:val="center"/>
              <w:ind w:right="23"/>
              <w:spacing w:after="0"/>
              <w:rPr>
                <w:sz w:val="20"/>
                <w:szCs w:val="20"/>
                <w:color w:val="auto"/>
              </w:rPr>
            </w:pPr>
            <w:r>
              <w:rPr>
                <w:rFonts w:ascii="Arial" w:cs="Arial" w:eastAsia="Arial" w:hAnsi="Arial"/>
                <w:sz w:val="15"/>
                <w:szCs w:val="15"/>
                <w:b w:val="1"/>
                <w:bCs w:val="1"/>
                <w:color w:val="366092"/>
              </w:rPr>
              <w:t>September 30, 2020</w:t>
            </w:r>
          </w:p>
        </w:tc>
        <w:tc>
          <w:tcPr>
            <w:tcW w:w="2300" w:type="dxa"/>
            <w:vAlign w:val="bottom"/>
          </w:tcPr>
          <w:p>
            <w:pPr>
              <w:jc w:val="center"/>
              <w:ind w:right="3"/>
              <w:spacing w:after="0"/>
              <w:rPr>
                <w:sz w:val="20"/>
                <w:szCs w:val="20"/>
                <w:color w:val="auto"/>
              </w:rPr>
            </w:pPr>
            <w:r>
              <w:rPr>
                <w:rFonts w:ascii="Arial" w:cs="Arial" w:eastAsia="Arial" w:hAnsi="Arial"/>
                <w:sz w:val="15"/>
                <w:szCs w:val="15"/>
                <w:b w:val="1"/>
                <w:bCs w:val="1"/>
                <w:color w:val="366092"/>
              </w:rPr>
              <w:t>September 30, 2019</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Difference</w:t>
            </w:r>
          </w:p>
        </w:tc>
        <w:tc>
          <w:tcPr>
            <w:tcW w:w="980" w:type="dxa"/>
            <w:vAlign w:val="bottom"/>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June 30, 2020</w:t>
            </w:r>
          </w:p>
        </w:tc>
        <w:tc>
          <w:tcPr>
            <w:tcW w:w="60" w:type="dxa"/>
            <w:vAlign w:val="bottom"/>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Difference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480" w:type="dxa"/>
            <w:vAlign w:val="bottom"/>
          </w:tcPr>
          <w:p>
            <w:pPr>
              <w:jc w:val="right"/>
              <w:ind w:right="663"/>
              <w:spacing w:after="0"/>
              <w:rPr>
                <w:sz w:val="20"/>
                <w:szCs w:val="20"/>
                <w:color w:val="auto"/>
              </w:rPr>
            </w:pPr>
            <w:r>
              <w:rPr>
                <w:rFonts w:ascii="Arial" w:cs="Arial" w:eastAsia="Arial" w:hAnsi="Arial"/>
                <w:sz w:val="15"/>
                <w:szCs w:val="15"/>
                <w:b w:val="1"/>
                <w:bCs w:val="1"/>
                <w:color w:val="00497F"/>
              </w:rPr>
              <w:t>91.5 %</w:t>
            </w: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91.7 %</w:t>
            </w:r>
          </w:p>
        </w:tc>
        <w:tc>
          <w:tcPr>
            <w:tcW w:w="840" w:type="dxa"/>
            <w:vAlign w:val="bottom"/>
          </w:tcPr>
          <w:p>
            <w:pPr>
              <w:jc w:val="right"/>
              <w:spacing w:after="0"/>
              <w:rPr>
                <w:sz w:val="20"/>
                <w:szCs w:val="20"/>
                <w:color w:val="auto"/>
              </w:rPr>
            </w:pPr>
            <w:r>
              <w:rPr>
                <w:rFonts w:ascii="Arial" w:cs="Arial" w:eastAsia="Arial" w:hAnsi="Arial"/>
                <w:sz w:val="15"/>
                <w:szCs w:val="15"/>
                <w:color w:val="auto"/>
              </w:rPr>
              <w:t>-0.2 %</w:t>
            </w:r>
          </w:p>
        </w:tc>
        <w:tc>
          <w:tcPr>
            <w:tcW w:w="940" w:type="dxa"/>
            <w:vAlign w:val="bottom"/>
          </w:tcPr>
          <w:p>
            <w:pPr>
              <w:spacing w:after="0"/>
              <w:rPr>
                <w:sz w:val="17"/>
                <w:szCs w:val="17"/>
                <w:color w:val="auto"/>
              </w:rPr>
            </w:pPr>
          </w:p>
        </w:tc>
        <w:tc>
          <w:tcPr>
            <w:tcW w:w="2140" w:type="dxa"/>
            <w:vAlign w:val="bottom"/>
          </w:tcPr>
          <w:p>
            <w:pPr>
              <w:jc w:val="right"/>
              <w:ind w:right="3"/>
              <w:spacing w:after="0"/>
              <w:rPr>
                <w:sz w:val="20"/>
                <w:szCs w:val="20"/>
                <w:color w:val="auto"/>
              </w:rPr>
            </w:pPr>
            <w:r>
              <w:rPr>
                <w:rFonts w:ascii="Arial" w:cs="Arial" w:eastAsia="Arial" w:hAnsi="Arial"/>
                <w:sz w:val="15"/>
                <w:szCs w:val="15"/>
                <w:color w:val="auto"/>
              </w:rPr>
              <w:t>91.4 %</w:t>
            </w:r>
          </w:p>
        </w:tc>
        <w:tc>
          <w:tcPr>
            <w:tcW w:w="860" w:type="dxa"/>
            <w:vAlign w:val="bottom"/>
          </w:tcPr>
          <w:p>
            <w:pPr>
              <w:jc w:val="right"/>
              <w:spacing w:after="0"/>
              <w:rPr>
                <w:sz w:val="20"/>
                <w:szCs w:val="20"/>
                <w:color w:val="auto"/>
              </w:rPr>
            </w:pPr>
            <w:r>
              <w:rPr>
                <w:rFonts w:ascii="Arial" w:cs="Arial" w:eastAsia="Arial" w:hAnsi="Arial"/>
                <w:sz w:val="15"/>
                <w:szCs w:val="15"/>
                <w:color w:val="auto"/>
              </w:rPr>
              <w:t>0.1 %</w:t>
            </w:r>
          </w:p>
        </w:tc>
        <w:tc>
          <w:tcPr>
            <w:tcW w:w="920" w:type="dxa"/>
            <w:vAlign w:val="bottom"/>
          </w:tcPr>
          <w:p>
            <w:pPr>
              <w:spacing w:after="0"/>
              <w:rPr>
                <w:sz w:val="17"/>
                <w:szCs w:val="17"/>
                <w:color w:val="auto"/>
              </w:rPr>
            </w:pPr>
          </w:p>
        </w:tc>
      </w:tr>
      <w:tr>
        <w:trPr>
          <w:trHeight w:val="516"/>
        </w:trPr>
        <w:tc>
          <w:tcPr>
            <w:tcW w:w="1480" w:type="dxa"/>
            <w:vAlign w:val="bottom"/>
          </w:tcPr>
          <w:p>
            <w:pPr>
              <w:jc w:val="right"/>
              <w:ind w:right="663"/>
              <w:spacing w:after="0"/>
              <w:rPr>
                <w:sz w:val="20"/>
                <w:szCs w:val="20"/>
                <w:color w:val="auto"/>
              </w:rPr>
            </w:pPr>
            <w:r>
              <w:rPr>
                <w:rFonts w:ascii="Arial" w:cs="Arial" w:eastAsia="Arial" w:hAnsi="Arial"/>
                <w:sz w:val="15"/>
                <w:szCs w:val="15"/>
                <w:b w:val="1"/>
                <w:bCs w:val="1"/>
                <w:color w:val="00497F"/>
              </w:rPr>
              <w:t>88.0 %</w:t>
            </w: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87.3 %</w:t>
            </w:r>
          </w:p>
        </w:tc>
        <w:tc>
          <w:tcPr>
            <w:tcW w:w="840" w:type="dxa"/>
            <w:vAlign w:val="bottom"/>
          </w:tcPr>
          <w:p>
            <w:pPr>
              <w:jc w:val="right"/>
              <w:spacing w:after="0"/>
              <w:rPr>
                <w:sz w:val="20"/>
                <w:szCs w:val="20"/>
                <w:color w:val="auto"/>
              </w:rPr>
            </w:pPr>
            <w:r>
              <w:rPr>
                <w:rFonts w:ascii="Arial" w:cs="Arial" w:eastAsia="Arial" w:hAnsi="Arial"/>
                <w:sz w:val="15"/>
                <w:szCs w:val="15"/>
                <w:color w:val="auto"/>
              </w:rPr>
              <w:t>0.7 %</w:t>
            </w:r>
          </w:p>
        </w:tc>
        <w:tc>
          <w:tcPr>
            <w:tcW w:w="940" w:type="dxa"/>
            <w:vAlign w:val="bottom"/>
          </w:tcPr>
          <w:p>
            <w:pPr>
              <w:spacing w:after="0"/>
              <w:rPr>
                <w:sz w:val="24"/>
                <w:szCs w:val="24"/>
                <w:color w:val="auto"/>
              </w:rPr>
            </w:pPr>
          </w:p>
        </w:tc>
        <w:tc>
          <w:tcPr>
            <w:tcW w:w="2140" w:type="dxa"/>
            <w:vAlign w:val="bottom"/>
          </w:tcPr>
          <w:p>
            <w:pPr>
              <w:jc w:val="right"/>
              <w:ind w:right="3"/>
              <w:spacing w:after="0"/>
              <w:rPr>
                <w:sz w:val="20"/>
                <w:szCs w:val="20"/>
                <w:color w:val="auto"/>
              </w:rPr>
            </w:pPr>
            <w:r>
              <w:rPr>
                <w:rFonts w:ascii="Arial" w:cs="Arial" w:eastAsia="Arial" w:hAnsi="Arial"/>
                <w:sz w:val="15"/>
                <w:szCs w:val="15"/>
                <w:color w:val="auto"/>
              </w:rPr>
              <w:t>87.6 %</w:t>
            </w:r>
          </w:p>
        </w:tc>
        <w:tc>
          <w:tcPr>
            <w:tcW w:w="860" w:type="dxa"/>
            <w:vAlign w:val="bottom"/>
          </w:tcPr>
          <w:p>
            <w:pPr>
              <w:jc w:val="right"/>
              <w:spacing w:after="0"/>
              <w:rPr>
                <w:sz w:val="20"/>
                <w:szCs w:val="20"/>
                <w:color w:val="auto"/>
              </w:rPr>
            </w:pPr>
            <w:r>
              <w:rPr>
                <w:rFonts w:ascii="Arial" w:cs="Arial" w:eastAsia="Arial" w:hAnsi="Arial"/>
                <w:sz w:val="15"/>
                <w:szCs w:val="15"/>
                <w:color w:val="auto"/>
              </w:rPr>
              <w:t>0.4 %</w:t>
            </w:r>
          </w:p>
        </w:tc>
        <w:tc>
          <w:tcPr>
            <w:tcW w:w="920" w:type="dxa"/>
            <w:vAlign w:val="bottom"/>
          </w:tcPr>
          <w:p>
            <w:pPr>
              <w:spacing w:after="0"/>
              <w:rPr>
                <w:sz w:val="24"/>
                <w:szCs w:val="24"/>
                <w:color w:val="auto"/>
              </w:rPr>
            </w:pPr>
          </w:p>
        </w:tc>
      </w:tr>
      <w:tr>
        <w:trPr>
          <w:trHeight w:val="567"/>
        </w:trPr>
        <w:tc>
          <w:tcPr>
            <w:tcW w:w="1480" w:type="dxa"/>
            <w:vAlign w:val="bottom"/>
          </w:tcPr>
          <w:p>
            <w:pPr>
              <w:jc w:val="right"/>
              <w:ind w:right="663"/>
              <w:spacing w:after="0"/>
              <w:rPr>
                <w:sz w:val="20"/>
                <w:szCs w:val="20"/>
                <w:color w:val="auto"/>
              </w:rPr>
            </w:pPr>
            <w:r>
              <w:rPr>
                <w:rFonts w:ascii="Arial" w:cs="Arial" w:eastAsia="Arial" w:hAnsi="Arial"/>
                <w:sz w:val="15"/>
                <w:szCs w:val="15"/>
                <w:b w:val="1"/>
                <w:bCs w:val="1"/>
                <w:color w:val="00497F"/>
              </w:rPr>
              <w:t>29.9 %</w:t>
            </w: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28.8 %</w:t>
            </w:r>
          </w:p>
        </w:tc>
        <w:tc>
          <w:tcPr>
            <w:tcW w:w="840" w:type="dxa"/>
            <w:vAlign w:val="bottom"/>
          </w:tcPr>
          <w:p>
            <w:pPr>
              <w:jc w:val="right"/>
              <w:spacing w:after="0"/>
              <w:rPr>
                <w:sz w:val="20"/>
                <w:szCs w:val="20"/>
                <w:color w:val="auto"/>
              </w:rPr>
            </w:pPr>
            <w:r>
              <w:rPr>
                <w:rFonts w:ascii="Arial" w:cs="Arial" w:eastAsia="Arial" w:hAnsi="Arial"/>
                <w:sz w:val="15"/>
                <w:szCs w:val="15"/>
                <w:color w:val="auto"/>
              </w:rPr>
              <w:t>1.1 %</w:t>
            </w:r>
          </w:p>
        </w:tc>
        <w:tc>
          <w:tcPr>
            <w:tcW w:w="940" w:type="dxa"/>
            <w:vAlign w:val="bottom"/>
          </w:tcPr>
          <w:p>
            <w:pPr>
              <w:spacing w:after="0"/>
              <w:rPr>
                <w:sz w:val="24"/>
                <w:szCs w:val="24"/>
                <w:color w:val="auto"/>
              </w:rPr>
            </w:pPr>
          </w:p>
        </w:tc>
        <w:tc>
          <w:tcPr>
            <w:tcW w:w="2140" w:type="dxa"/>
            <w:vAlign w:val="bottom"/>
          </w:tcPr>
          <w:p>
            <w:pPr>
              <w:jc w:val="right"/>
              <w:ind w:right="3"/>
              <w:spacing w:after="0"/>
              <w:rPr>
                <w:sz w:val="20"/>
                <w:szCs w:val="20"/>
                <w:color w:val="auto"/>
              </w:rPr>
            </w:pPr>
            <w:r>
              <w:rPr>
                <w:rFonts w:ascii="Arial" w:cs="Arial" w:eastAsia="Arial" w:hAnsi="Arial"/>
                <w:sz w:val="15"/>
                <w:szCs w:val="15"/>
                <w:color w:val="auto"/>
              </w:rPr>
              <w:t>29.8 %</w:t>
            </w:r>
          </w:p>
        </w:tc>
        <w:tc>
          <w:tcPr>
            <w:tcW w:w="860" w:type="dxa"/>
            <w:vAlign w:val="bottom"/>
          </w:tcPr>
          <w:p>
            <w:pPr>
              <w:jc w:val="right"/>
              <w:spacing w:after="0"/>
              <w:rPr>
                <w:sz w:val="20"/>
                <w:szCs w:val="20"/>
                <w:color w:val="auto"/>
              </w:rPr>
            </w:pPr>
            <w:r>
              <w:rPr>
                <w:rFonts w:ascii="Arial" w:cs="Arial" w:eastAsia="Arial" w:hAnsi="Arial"/>
                <w:sz w:val="15"/>
                <w:szCs w:val="15"/>
                <w:color w:val="auto"/>
              </w:rPr>
              <w:t>0.1 %</w:t>
            </w:r>
          </w:p>
        </w:tc>
        <w:tc>
          <w:tcPr>
            <w:tcW w:w="920" w:type="dxa"/>
            <w:vAlign w:val="bottom"/>
          </w:tcPr>
          <w:p>
            <w:pPr>
              <w:spacing w:after="0"/>
              <w:rPr>
                <w:sz w:val="24"/>
                <w:szCs w:val="24"/>
                <w:color w:val="auto"/>
              </w:rPr>
            </w:pPr>
          </w:p>
        </w:tc>
      </w:tr>
      <w:tr>
        <w:trPr>
          <w:trHeight w:val="516"/>
        </w:trPr>
        <w:tc>
          <w:tcPr>
            <w:tcW w:w="1480" w:type="dxa"/>
            <w:vAlign w:val="bottom"/>
          </w:tcPr>
          <w:p>
            <w:pPr>
              <w:jc w:val="right"/>
              <w:ind w:right="663"/>
              <w:spacing w:after="0"/>
              <w:rPr>
                <w:sz w:val="20"/>
                <w:szCs w:val="20"/>
                <w:color w:val="auto"/>
              </w:rPr>
            </w:pPr>
            <w:r>
              <w:rPr>
                <w:rFonts w:ascii="Arial" w:cs="Arial" w:eastAsia="Arial" w:hAnsi="Arial"/>
                <w:sz w:val="15"/>
                <w:szCs w:val="15"/>
                <w:b w:val="1"/>
                <w:bCs w:val="1"/>
                <w:color w:val="00497F"/>
              </w:rPr>
              <w:t>6.3 %</w:t>
            </w: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6.3 %</w:t>
            </w:r>
          </w:p>
        </w:tc>
        <w:tc>
          <w:tcPr>
            <w:tcW w:w="840" w:type="dxa"/>
            <w:vAlign w:val="bottom"/>
          </w:tcPr>
          <w:p>
            <w:pPr>
              <w:jc w:val="right"/>
              <w:spacing w:after="0"/>
              <w:rPr>
                <w:sz w:val="20"/>
                <w:szCs w:val="20"/>
                <w:color w:val="auto"/>
              </w:rPr>
            </w:pPr>
            <w:r>
              <w:rPr>
                <w:rFonts w:ascii="Arial" w:cs="Arial" w:eastAsia="Arial" w:hAnsi="Arial"/>
                <w:sz w:val="15"/>
                <w:szCs w:val="15"/>
                <w:color w:val="auto"/>
              </w:rPr>
              <w:t>— %</w:t>
            </w:r>
          </w:p>
        </w:tc>
        <w:tc>
          <w:tcPr>
            <w:tcW w:w="940" w:type="dxa"/>
            <w:vAlign w:val="bottom"/>
          </w:tcPr>
          <w:p>
            <w:pPr>
              <w:spacing w:after="0"/>
              <w:rPr>
                <w:sz w:val="24"/>
                <w:szCs w:val="24"/>
                <w:color w:val="auto"/>
              </w:rPr>
            </w:pPr>
          </w:p>
        </w:tc>
        <w:tc>
          <w:tcPr>
            <w:tcW w:w="2140" w:type="dxa"/>
            <w:vAlign w:val="bottom"/>
          </w:tcPr>
          <w:p>
            <w:pPr>
              <w:jc w:val="right"/>
              <w:ind w:right="3"/>
              <w:spacing w:after="0"/>
              <w:rPr>
                <w:sz w:val="20"/>
                <w:szCs w:val="20"/>
                <w:color w:val="auto"/>
              </w:rPr>
            </w:pPr>
            <w:r>
              <w:rPr>
                <w:rFonts w:ascii="Arial" w:cs="Arial" w:eastAsia="Arial" w:hAnsi="Arial"/>
                <w:sz w:val="15"/>
                <w:szCs w:val="15"/>
                <w:color w:val="auto"/>
              </w:rPr>
              <w:t>6.0 %</w:t>
            </w:r>
          </w:p>
        </w:tc>
        <w:tc>
          <w:tcPr>
            <w:tcW w:w="860" w:type="dxa"/>
            <w:vAlign w:val="bottom"/>
          </w:tcPr>
          <w:p>
            <w:pPr>
              <w:jc w:val="right"/>
              <w:spacing w:after="0"/>
              <w:rPr>
                <w:sz w:val="20"/>
                <w:szCs w:val="20"/>
                <w:color w:val="auto"/>
              </w:rPr>
            </w:pPr>
            <w:r>
              <w:rPr>
                <w:rFonts w:ascii="Arial" w:cs="Arial" w:eastAsia="Arial" w:hAnsi="Arial"/>
                <w:sz w:val="15"/>
                <w:szCs w:val="15"/>
                <w:color w:val="auto"/>
              </w:rPr>
              <w:t>0.3 %</w:t>
            </w:r>
          </w:p>
        </w:tc>
        <w:tc>
          <w:tcPr>
            <w:tcW w:w="920" w:type="dxa"/>
            <w:vAlign w:val="bottom"/>
          </w:tcPr>
          <w:p>
            <w:pPr>
              <w:spacing w:after="0"/>
              <w:rPr>
                <w:sz w:val="24"/>
                <w:szCs w:val="24"/>
                <w:color w:val="auto"/>
              </w:rPr>
            </w:pPr>
          </w:p>
        </w:tc>
      </w:tr>
      <w:tr>
        <w:trPr>
          <w:trHeight w:val="420"/>
        </w:trPr>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rPr>
              <w:t>Percentage</w:t>
            </w: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Percentage</w:t>
            </w:r>
          </w:p>
        </w:tc>
      </w:tr>
      <w:tr>
        <w:trPr>
          <w:trHeight w:val="192"/>
        </w:trPr>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Difference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Change</w:t>
            </w:r>
          </w:p>
        </w:tc>
        <w:tc>
          <w:tcPr>
            <w:tcW w:w="2140" w:type="dxa"/>
            <w:vAlign w:val="bottom"/>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Difference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Change</w:t>
            </w:r>
          </w:p>
        </w:tc>
      </w:tr>
      <w:tr>
        <w:trPr>
          <w:trHeight w:val="335"/>
        </w:trPr>
        <w:tc>
          <w:tcPr>
            <w:tcW w:w="1480" w:type="dxa"/>
            <w:vAlign w:val="bottom"/>
          </w:tcPr>
          <w:p>
            <w:pPr>
              <w:jc w:val="right"/>
              <w:ind w:right="843"/>
              <w:spacing w:after="0"/>
              <w:rPr>
                <w:sz w:val="20"/>
                <w:szCs w:val="20"/>
                <w:color w:val="auto"/>
              </w:rPr>
            </w:pPr>
            <w:r>
              <w:rPr>
                <w:rFonts w:ascii="Arial" w:cs="Arial" w:eastAsia="Arial" w:hAnsi="Arial"/>
                <w:sz w:val="15"/>
                <w:szCs w:val="15"/>
                <w:b w:val="1"/>
                <w:bCs w:val="1"/>
                <w:color w:val="00497F"/>
                <w:w w:val="99"/>
              </w:rPr>
              <w:t>119,400</w:t>
            </w:r>
          </w:p>
        </w:tc>
        <w:tc>
          <w:tcPr>
            <w:tcW w:w="1580" w:type="dxa"/>
            <w:vAlign w:val="bottom"/>
          </w:tcPr>
          <w:p>
            <w:pPr>
              <w:jc w:val="right"/>
              <w:ind w:right="203"/>
              <w:spacing w:after="0"/>
              <w:rPr>
                <w:sz w:val="20"/>
                <w:szCs w:val="20"/>
                <w:color w:val="auto"/>
              </w:rPr>
            </w:pPr>
            <w:r>
              <w:rPr>
                <w:rFonts w:ascii="Arial" w:cs="Arial" w:eastAsia="Arial" w:hAnsi="Arial"/>
                <w:sz w:val="15"/>
                <w:szCs w:val="15"/>
                <w:color w:val="auto"/>
              </w:rPr>
              <w:t>115,500</w:t>
            </w:r>
          </w:p>
        </w:tc>
        <w:tc>
          <w:tcPr>
            <w:tcW w:w="840" w:type="dxa"/>
            <w:vAlign w:val="bottom"/>
          </w:tcPr>
          <w:p>
            <w:pPr>
              <w:jc w:val="right"/>
              <w:ind w:right="144"/>
              <w:spacing w:after="0"/>
              <w:rPr>
                <w:sz w:val="20"/>
                <w:szCs w:val="20"/>
                <w:color w:val="auto"/>
              </w:rPr>
            </w:pPr>
            <w:r>
              <w:rPr>
                <w:rFonts w:ascii="Arial" w:cs="Arial" w:eastAsia="Arial" w:hAnsi="Arial"/>
                <w:sz w:val="15"/>
                <w:szCs w:val="15"/>
                <w:color w:val="auto"/>
              </w:rPr>
              <w:t>3,900</w:t>
            </w:r>
          </w:p>
        </w:tc>
        <w:tc>
          <w:tcPr>
            <w:tcW w:w="940" w:type="dxa"/>
            <w:vAlign w:val="bottom"/>
          </w:tcPr>
          <w:p>
            <w:pPr>
              <w:jc w:val="right"/>
              <w:spacing w:after="0"/>
              <w:rPr>
                <w:sz w:val="20"/>
                <w:szCs w:val="20"/>
                <w:color w:val="auto"/>
              </w:rPr>
            </w:pPr>
            <w:r>
              <w:rPr>
                <w:rFonts w:ascii="Arial" w:cs="Arial" w:eastAsia="Arial" w:hAnsi="Arial"/>
                <w:sz w:val="15"/>
                <w:szCs w:val="15"/>
                <w:color w:val="auto"/>
              </w:rPr>
              <w:t>3.4 %</w:t>
            </w:r>
          </w:p>
        </w:tc>
        <w:tc>
          <w:tcPr>
            <w:tcW w:w="2140" w:type="dxa"/>
            <w:vAlign w:val="bottom"/>
          </w:tcPr>
          <w:p>
            <w:pPr>
              <w:jc w:val="right"/>
              <w:ind w:right="183"/>
              <w:spacing w:after="0"/>
              <w:rPr>
                <w:sz w:val="20"/>
                <w:szCs w:val="20"/>
                <w:color w:val="auto"/>
              </w:rPr>
            </w:pPr>
            <w:r>
              <w:rPr>
                <w:rFonts w:ascii="Arial" w:cs="Arial" w:eastAsia="Arial" w:hAnsi="Arial"/>
                <w:sz w:val="15"/>
                <w:szCs w:val="15"/>
                <w:color w:val="auto"/>
              </w:rPr>
              <w:t>116,300</w:t>
            </w:r>
          </w:p>
        </w:tc>
        <w:tc>
          <w:tcPr>
            <w:tcW w:w="860" w:type="dxa"/>
            <w:vAlign w:val="bottom"/>
          </w:tcPr>
          <w:p>
            <w:pPr>
              <w:jc w:val="right"/>
              <w:ind w:right="164"/>
              <w:spacing w:after="0"/>
              <w:rPr>
                <w:sz w:val="20"/>
                <w:szCs w:val="20"/>
                <w:color w:val="auto"/>
              </w:rPr>
            </w:pPr>
            <w:r>
              <w:rPr>
                <w:rFonts w:ascii="Arial" w:cs="Arial" w:eastAsia="Arial" w:hAnsi="Arial"/>
                <w:sz w:val="15"/>
                <w:szCs w:val="15"/>
                <w:color w:val="auto"/>
              </w:rPr>
              <w:t>3,100</w:t>
            </w:r>
          </w:p>
        </w:tc>
        <w:tc>
          <w:tcPr>
            <w:tcW w:w="920" w:type="dxa"/>
            <w:vAlign w:val="bottom"/>
          </w:tcPr>
          <w:p>
            <w:pPr>
              <w:jc w:val="right"/>
              <w:spacing w:after="0"/>
              <w:rPr>
                <w:sz w:val="20"/>
                <w:szCs w:val="20"/>
                <w:color w:val="auto"/>
              </w:rPr>
            </w:pPr>
            <w:r>
              <w:rPr>
                <w:rFonts w:ascii="Arial" w:cs="Arial" w:eastAsia="Arial" w:hAnsi="Arial"/>
                <w:sz w:val="15"/>
                <w:szCs w:val="15"/>
                <w:color w:val="auto"/>
              </w:rPr>
              <w:t>2.7 %</w:t>
            </w:r>
          </w:p>
        </w:tc>
      </w:tr>
    </w:tbl>
    <w:p>
      <w:pPr>
        <w:spacing w:after="0" w:line="213" w:lineRule="exact"/>
        <w:rPr>
          <w:sz w:val="20"/>
          <w:szCs w:val="20"/>
          <w:color w:val="auto"/>
        </w:rPr>
      </w:pPr>
    </w:p>
    <w:p>
      <w:pPr>
        <w:sectPr>
          <w:pgSz w:w="11900" w:h="16838" w:orient="portrait"/>
          <w:cols w:equalWidth="0" w:num="2">
            <w:col w:w="1060" w:space="140"/>
            <w:col w:w="10140"/>
          </w:cols>
          <w:pgMar w:left="320" w:top="10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40"/>
          </w:cols>
          <w:pgMar w:left="320" w:top="1069" w:right="239" w:bottom="1440" w:gutter="0" w:footer="0" w:header="0"/>
          <w:type w:val="continuous"/>
        </w:sectPr>
      </w:pPr>
    </w:p>
    <w:bookmarkStart w:id="54" w:name="page55"/>
    <w:bookmarkEnd w:id="54"/>
    <w:p>
      <w:pPr>
        <w:spacing w:after="0" w:line="94" w:lineRule="exact"/>
        <w:rPr>
          <w:sz w:val="20"/>
          <w:szCs w:val="20"/>
          <w:color w:val="auto"/>
        </w:rPr>
      </w:pPr>
    </w:p>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Healthcare Services Segment Metrics (Continued)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Script volume in thousands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Pharmacy:</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Generic Dispense Rate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Retail</w:t>
      </w:r>
    </w:p>
    <w:p>
      <w:pPr>
        <w:spacing w:after="0" w:line="34"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Group and Specialty</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Mail-Order Penetration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Retail</w:t>
      </w:r>
    </w:p>
    <w:p>
      <w:pPr>
        <w:spacing w:after="0" w:line="34"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Group and Specialty</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Script volume (O)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8"/>
        </w:trPr>
        <w:tc>
          <w:tcPr>
            <w:tcW w:w="1800" w:type="dxa"/>
            <w:vAlign w:val="bottom"/>
            <w:tcBorders>
              <w:top w:val="single" w:sz="8" w:color="auto"/>
              <w:left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366092"/>
              </w:rPr>
              <w:t>For the nine months</w:t>
            </w:r>
          </w:p>
        </w:tc>
        <w:tc>
          <w:tcPr>
            <w:tcW w:w="1840" w:type="dxa"/>
            <w:vAlign w:val="bottom"/>
            <w:gridSpan w:val="2"/>
          </w:tcPr>
          <w:p>
            <w:pPr>
              <w:jc w:val="center"/>
              <w:ind w:right="100"/>
              <w:spacing w:after="0" w:line="168" w:lineRule="exact"/>
              <w:rPr>
                <w:sz w:val="20"/>
                <w:szCs w:val="20"/>
                <w:color w:val="auto"/>
              </w:rPr>
            </w:pPr>
            <w:r>
              <w:rPr>
                <w:rFonts w:ascii="Arial" w:cs="Arial" w:eastAsia="Arial" w:hAnsi="Arial"/>
                <w:sz w:val="15"/>
                <w:szCs w:val="15"/>
                <w:color w:val="auto"/>
              </w:rPr>
              <w:t>For the nine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5"/>
        </w:trPr>
        <w:tc>
          <w:tcPr>
            <w:tcW w:w="1800" w:type="dxa"/>
            <w:vAlign w:val="bottom"/>
            <w:tcBorders>
              <w:left w:val="single" w:sz="8" w:color="auto"/>
              <w:right w:val="single" w:sz="8" w:color="auto"/>
            </w:tcBorders>
          </w:tcPr>
          <w:p>
            <w:pPr>
              <w:jc w:val="center"/>
              <w:spacing w:after="0" w:line="155" w:lineRule="exact"/>
              <w:rPr>
                <w:sz w:val="20"/>
                <w:szCs w:val="20"/>
                <w:color w:val="auto"/>
              </w:rPr>
            </w:pPr>
            <w:r>
              <w:rPr>
                <w:rFonts w:ascii="Arial" w:cs="Arial" w:eastAsia="Arial" w:hAnsi="Arial"/>
                <w:sz w:val="15"/>
                <w:szCs w:val="15"/>
                <w:b w:val="1"/>
                <w:bCs w:val="1"/>
                <w:color w:val="366092"/>
              </w:rPr>
              <w:t>ended</w:t>
            </w:r>
          </w:p>
        </w:tc>
        <w:tc>
          <w:tcPr>
            <w:tcW w:w="184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months ended</w:t>
            </w:r>
          </w:p>
        </w:tc>
        <w:tc>
          <w:tcPr>
            <w:tcW w:w="1160" w:type="dxa"/>
            <w:vAlign w:val="bottom"/>
          </w:tcPr>
          <w:p>
            <w:pPr>
              <w:jc w:val="center"/>
              <w:spacing w:after="0" w:line="155" w:lineRule="exact"/>
              <w:rPr>
                <w:sz w:val="20"/>
                <w:szCs w:val="20"/>
                <w:color w:val="auto"/>
              </w:rPr>
            </w:pPr>
            <w:r>
              <w:rPr>
                <w:rFonts w:ascii="Arial" w:cs="Arial" w:eastAsia="Arial" w:hAnsi="Arial"/>
                <w:sz w:val="15"/>
                <w:szCs w:val="15"/>
                <w:color w:val="auto"/>
              </w:rPr>
              <w:t>Year-over-Year</w:t>
            </w:r>
          </w:p>
        </w:tc>
        <w:tc>
          <w:tcPr>
            <w:tcW w:w="980" w:type="dxa"/>
            <w:vAlign w:val="bottom"/>
          </w:tcPr>
          <w:p>
            <w:pPr>
              <w:spacing w:after="0"/>
              <w:rPr>
                <w:sz w:val="13"/>
                <w:szCs w:val="13"/>
                <w:color w:val="auto"/>
              </w:rPr>
            </w:pPr>
          </w:p>
        </w:tc>
      </w:tr>
      <w:tr>
        <w:trPr>
          <w:trHeight w:val="205"/>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366092"/>
              </w:rPr>
              <w:t>September 30, 2020</w:t>
            </w:r>
          </w:p>
        </w:tc>
        <w:tc>
          <w:tcPr>
            <w:tcW w:w="1840" w:type="dxa"/>
            <w:vAlign w:val="bottom"/>
            <w:gridSpan w:val="2"/>
          </w:tcPr>
          <w:p>
            <w:pPr>
              <w:jc w:val="center"/>
              <w:ind w:right="100"/>
              <w:spacing w:after="0"/>
              <w:rPr>
                <w:sz w:val="20"/>
                <w:szCs w:val="20"/>
                <w:color w:val="auto"/>
              </w:rPr>
            </w:pPr>
            <w:r>
              <w:rPr>
                <w:rFonts w:ascii="Arial" w:cs="Arial" w:eastAsia="Arial" w:hAnsi="Arial"/>
                <w:sz w:val="15"/>
                <w:szCs w:val="15"/>
                <w:color w:val="auto"/>
              </w:rPr>
              <w:t>September 30, 2019</w:t>
            </w:r>
          </w:p>
        </w:tc>
        <w:tc>
          <w:tcPr>
            <w:tcW w:w="1160" w:type="dxa"/>
            <w:vAlign w:val="bottom"/>
          </w:tcPr>
          <w:p>
            <w:pPr>
              <w:jc w:val="center"/>
              <w:spacing w:after="0"/>
              <w:rPr>
                <w:sz w:val="20"/>
                <w:szCs w:val="20"/>
                <w:color w:val="auto"/>
              </w:rPr>
            </w:pPr>
            <w:r>
              <w:rPr>
                <w:rFonts w:ascii="Arial" w:cs="Arial" w:eastAsia="Arial" w:hAnsi="Arial"/>
                <w:sz w:val="15"/>
                <w:szCs w:val="15"/>
                <w:color w:val="auto"/>
              </w:rPr>
              <w:t>Difference</w:t>
            </w:r>
          </w:p>
        </w:tc>
        <w:tc>
          <w:tcPr>
            <w:tcW w:w="980" w:type="dxa"/>
            <w:vAlign w:val="bottom"/>
          </w:tcPr>
          <w:p>
            <w:pPr>
              <w:spacing w:after="0"/>
              <w:rPr>
                <w:sz w:val="17"/>
                <w:szCs w:val="17"/>
                <w:color w:val="auto"/>
              </w:rPr>
            </w:pPr>
          </w:p>
        </w:tc>
      </w:tr>
      <w:tr>
        <w:trPr>
          <w:trHeight w:val="607"/>
        </w:trPr>
        <w:tc>
          <w:tcPr>
            <w:tcW w:w="180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00497F"/>
              </w:rPr>
              <w:t>91.7 %</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91.7 %</w:t>
            </w:r>
          </w:p>
        </w:tc>
        <w:tc>
          <w:tcPr>
            <w:tcW w:w="8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980" w:type="dxa"/>
            <w:vAlign w:val="bottom"/>
          </w:tcPr>
          <w:p>
            <w:pPr>
              <w:spacing w:after="0"/>
              <w:rPr>
                <w:sz w:val="24"/>
                <w:szCs w:val="24"/>
                <w:color w:val="auto"/>
              </w:rPr>
            </w:pPr>
          </w:p>
        </w:tc>
      </w:tr>
      <w:tr>
        <w:trPr>
          <w:trHeight w:val="206"/>
        </w:trPr>
        <w:tc>
          <w:tcPr>
            <w:tcW w:w="18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00497F"/>
              </w:rPr>
              <w:t>87.9 %</w:t>
            </w:r>
          </w:p>
        </w:tc>
        <w:tc>
          <w:tcPr>
            <w:tcW w:w="1760" w:type="dxa"/>
            <w:vAlign w:val="bottom"/>
          </w:tcPr>
          <w:p>
            <w:pPr>
              <w:jc w:val="right"/>
              <w:spacing w:after="0"/>
              <w:rPr>
                <w:sz w:val="20"/>
                <w:szCs w:val="20"/>
                <w:color w:val="auto"/>
              </w:rPr>
            </w:pPr>
            <w:r>
              <w:rPr>
                <w:rFonts w:ascii="Arial" w:cs="Arial" w:eastAsia="Arial" w:hAnsi="Arial"/>
                <w:sz w:val="15"/>
                <w:szCs w:val="15"/>
                <w:color w:val="auto"/>
              </w:rPr>
              <w:t>87.4 %</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0.5 %</w:t>
            </w:r>
          </w:p>
        </w:tc>
        <w:tc>
          <w:tcPr>
            <w:tcW w:w="980" w:type="dxa"/>
            <w:vAlign w:val="bottom"/>
          </w:tcPr>
          <w:p>
            <w:pPr>
              <w:spacing w:after="0"/>
              <w:rPr>
                <w:sz w:val="17"/>
                <w:szCs w:val="17"/>
                <w:color w:val="auto"/>
              </w:rPr>
            </w:pPr>
          </w:p>
        </w:tc>
      </w:tr>
      <w:tr>
        <w:trPr>
          <w:trHeight w:val="413"/>
        </w:trPr>
        <w:tc>
          <w:tcPr>
            <w:tcW w:w="18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00497F"/>
              </w:rPr>
              <w:t>29.6 %</w:t>
            </w:r>
          </w:p>
        </w:tc>
        <w:tc>
          <w:tcPr>
            <w:tcW w:w="1760" w:type="dxa"/>
            <w:vAlign w:val="bottom"/>
          </w:tcPr>
          <w:p>
            <w:pPr>
              <w:jc w:val="right"/>
              <w:spacing w:after="0"/>
              <w:rPr>
                <w:sz w:val="20"/>
                <w:szCs w:val="20"/>
                <w:color w:val="auto"/>
              </w:rPr>
            </w:pPr>
            <w:r>
              <w:rPr>
                <w:rFonts w:ascii="Arial" w:cs="Arial" w:eastAsia="Arial" w:hAnsi="Arial"/>
                <w:sz w:val="15"/>
                <w:szCs w:val="15"/>
                <w:color w:val="auto"/>
              </w:rPr>
              <w:t>28.7 %</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0.9 %</w:t>
            </w:r>
          </w:p>
        </w:tc>
        <w:tc>
          <w:tcPr>
            <w:tcW w:w="980" w:type="dxa"/>
            <w:vAlign w:val="bottom"/>
          </w:tcPr>
          <w:p>
            <w:pPr>
              <w:spacing w:after="0"/>
              <w:rPr>
                <w:sz w:val="24"/>
                <w:szCs w:val="24"/>
                <w:color w:val="auto"/>
              </w:rPr>
            </w:pPr>
          </w:p>
        </w:tc>
      </w:tr>
      <w:tr>
        <w:trPr>
          <w:trHeight w:val="206"/>
        </w:trPr>
        <w:tc>
          <w:tcPr>
            <w:tcW w:w="18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00497F"/>
              </w:rPr>
              <w:t>6.2 %</w:t>
            </w:r>
          </w:p>
        </w:tc>
        <w:tc>
          <w:tcPr>
            <w:tcW w:w="1760" w:type="dxa"/>
            <w:vAlign w:val="bottom"/>
          </w:tcPr>
          <w:p>
            <w:pPr>
              <w:jc w:val="right"/>
              <w:spacing w:after="0"/>
              <w:rPr>
                <w:sz w:val="20"/>
                <w:szCs w:val="20"/>
                <w:color w:val="auto"/>
              </w:rPr>
            </w:pPr>
            <w:r>
              <w:rPr>
                <w:rFonts w:ascii="Arial" w:cs="Arial" w:eastAsia="Arial" w:hAnsi="Arial"/>
                <w:sz w:val="15"/>
                <w:szCs w:val="15"/>
                <w:color w:val="auto"/>
              </w:rPr>
              <w:t>6.4 %</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-0.2 %</w:t>
            </w:r>
          </w:p>
        </w:tc>
        <w:tc>
          <w:tcPr>
            <w:tcW w:w="980" w:type="dxa"/>
            <w:vAlign w:val="bottom"/>
          </w:tcPr>
          <w:p>
            <w:pPr>
              <w:spacing w:after="0"/>
              <w:rPr>
                <w:sz w:val="17"/>
                <w:szCs w:val="17"/>
                <w:color w:val="auto"/>
              </w:rPr>
            </w:pPr>
          </w:p>
        </w:tc>
      </w:tr>
      <w:tr>
        <w:trPr>
          <w:trHeight w:val="175"/>
        </w:trPr>
        <w:tc>
          <w:tcPr>
            <w:tcW w:w="1800" w:type="dxa"/>
            <w:vAlign w:val="bottom"/>
            <w:tcBorders>
              <w:left w:val="single" w:sz="8" w:color="auto"/>
              <w:right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Percentage</w:t>
            </w:r>
          </w:p>
        </w:tc>
      </w:tr>
      <w:tr>
        <w:trPr>
          <w:trHeight w:val="192"/>
        </w:trPr>
        <w:tc>
          <w:tcPr>
            <w:tcW w:w="1800" w:type="dxa"/>
            <w:vAlign w:val="bottom"/>
            <w:tcBorders>
              <w:left w:val="single" w:sz="8" w:color="auto"/>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Difference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Change</w:t>
            </w:r>
          </w:p>
        </w:tc>
      </w:tr>
      <w:tr>
        <w:trPr>
          <w:trHeight w:val="196"/>
        </w:trPr>
        <w:tc>
          <w:tcPr>
            <w:tcW w:w="1800" w:type="dxa"/>
            <w:vAlign w:val="bottom"/>
            <w:tcBorders>
              <w:left w:val="single" w:sz="8" w:color="auto"/>
              <w:bottom w:val="single" w:sz="8" w:color="auto"/>
              <w:right w:val="single" w:sz="8" w:color="auto"/>
            </w:tcBorders>
          </w:tcPr>
          <w:p>
            <w:pPr>
              <w:jc w:val="right"/>
              <w:ind w:right="143"/>
              <w:spacing w:after="0"/>
              <w:rPr>
                <w:sz w:val="20"/>
                <w:szCs w:val="20"/>
                <w:color w:val="auto"/>
              </w:rPr>
            </w:pPr>
            <w:r>
              <w:rPr>
                <w:rFonts w:ascii="Arial" w:cs="Arial" w:eastAsia="Arial" w:hAnsi="Arial"/>
                <w:sz w:val="15"/>
                <w:szCs w:val="15"/>
                <w:b w:val="1"/>
                <w:bCs w:val="1"/>
                <w:color w:val="00497F"/>
              </w:rPr>
              <w:t>355,800</w:t>
            </w:r>
          </w:p>
        </w:tc>
        <w:tc>
          <w:tcPr>
            <w:tcW w:w="1760" w:type="dxa"/>
            <w:vAlign w:val="bottom"/>
          </w:tcPr>
          <w:p>
            <w:pPr>
              <w:jc w:val="right"/>
              <w:ind w:right="123"/>
              <w:spacing w:after="0"/>
              <w:rPr>
                <w:sz w:val="20"/>
                <w:szCs w:val="20"/>
                <w:color w:val="auto"/>
              </w:rPr>
            </w:pPr>
            <w:r>
              <w:rPr>
                <w:rFonts w:ascii="Arial" w:cs="Arial" w:eastAsia="Arial" w:hAnsi="Arial"/>
                <w:sz w:val="15"/>
                <w:szCs w:val="15"/>
                <w:color w:val="auto"/>
              </w:rPr>
              <w:t>338,600</w:t>
            </w:r>
          </w:p>
        </w:tc>
        <w:tc>
          <w:tcPr>
            <w:tcW w:w="80" w:type="dxa"/>
            <w:vAlign w:val="bottom"/>
          </w:tcPr>
          <w:p>
            <w:pPr>
              <w:spacing w:after="0"/>
              <w:rPr>
                <w:sz w:val="17"/>
                <w:szCs w:val="17"/>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17,200</w:t>
            </w:r>
          </w:p>
        </w:tc>
        <w:tc>
          <w:tcPr>
            <w:tcW w:w="980" w:type="dxa"/>
            <w:vAlign w:val="bottom"/>
          </w:tcPr>
          <w:p>
            <w:pPr>
              <w:jc w:val="right"/>
              <w:spacing w:after="0"/>
              <w:rPr>
                <w:sz w:val="20"/>
                <w:szCs w:val="20"/>
                <w:color w:val="auto"/>
              </w:rPr>
            </w:pPr>
            <w:r>
              <w:rPr>
                <w:rFonts w:ascii="Arial" w:cs="Arial" w:eastAsia="Arial" w:hAnsi="Arial"/>
                <w:sz w:val="15"/>
                <w:szCs w:val="15"/>
                <w:color w:val="auto"/>
              </w:rPr>
              <w:t>5.1 %</w:t>
            </w:r>
          </w:p>
        </w:tc>
      </w:tr>
    </w:tbl>
    <w:p>
      <w:pPr>
        <w:spacing w:after="0" w:line="200" w:lineRule="exact"/>
        <w:rPr>
          <w:sz w:val="20"/>
          <w:szCs w:val="20"/>
          <w:color w:val="auto"/>
        </w:rPr>
      </w:pPr>
    </w:p>
    <w:p>
      <w:pPr>
        <w:sectPr>
          <w:pgSz w:w="11900" w:h="16838" w:orient="portrait"/>
          <w:cols w:equalWidth="0" w:num="2">
            <w:col w:w="2060" w:space="720"/>
            <w:col w:w="7359"/>
          </w:cols>
          <w:pgMar w:left="320" w:top="1440" w:right="1440" w:bottom="1440" w:gutter="0" w:footer="0" w:header="0"/>
          <w:type w:val="continuous"/>
        </w:sectPr>
      </w:pPr>
    </w:p>
    <w:p>
      <w:pPr>
        <w:spacing w:after="0" w:line="29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139"/>
          </w:cols>
          <w:pgMar w:left="320" w:top="1440"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Detail of Benefits Payable Balance and Year-to-Date Changes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Dollars in millions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340" w:type="dxa"/>
            <w:vAlign w:val="bottom"/>
            <w:tcBorders>
              <w:right w:val="single" w:sz="8" w:color="auto"/>
            </w:tcBorders>
          </w:tcPr>
          <w:p>
            <w:pPr>
              <w:spacing w:after="0"/>
              <w:rPr>
                <w:sz w:val="15"/>
                <w:szCs w:val="15"/>
                <w:color w:val="auto"/>
              </w:rPr>
            </w:pPr>
          </w:p>
        </w:tc>
        <w:tc>
          <w:tcPr>
            <w:tcW w:w="20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For the nine months ended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For the</w:t>
            </w:r>
          </w:p>
        </w:tc>
        <w:tc>
          <w:tcPr>
            <w:tcW w:w="17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34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5"/>
                <w:szCs w:val="15"/>
                <w:color w:val="auto"/>
              </w:rPr>
              <w:t>nine months ended</w:t>
            </w:r>
          </w:p>
        </w:tc>
        <w:tc>
          <w:tcPr>
            <w:tcW w:w="1720" w:type="dxa"/>
            <w:vAlign w:val="bottom"/>
            <w:tcBorders>
              <w:right w:val="single" w:sz="8" w:color="auto"/>
            </w:tcBorders>
          </w:tcPr>
          <w:p>
            <w:pPr>
              <w:jc w:val="right"/>
              <w:ind w:right="143"/>
              <w:spacing w:after="0" w:line="140" w:lineRule="exact"/>
              <w:rPr>
                <w:sz w:val="20"/>
                <w:szCs w:val="20"/>
                <w:color w:val="auto"/>
              </w:rPr>
            </w:pPr>
            <w:r>
              <w:rPr>
                <w:rFonts w:ascii="Arial" w:cs="Arial" w:eastAsia="Arial" w:hAnsi="Arial"/>
                <w:sz w:val="15"/>
                <w:szCs w:val="15"/>
                <w:color w:val="auto"/>
              </w:rPr>
              <w:t>For the year ended</w:t>
            </w:r>
          </w:p>
        </w:tc>
        <w:tc>
          <w:tcPr>
            <w:tcW w:w="0" w:type="dxa"/>
            <w:vAlign w:val="bottom"/>
          </w:tcPr>
          <w:p>
            <w:pPr>
              <w:spacing w:after="0"/>
              <w:rPr>
                <w:sz w:val="1"/>
                <w:szCs w:val="1"/>
                <w:color w:val="auto"/>
              </w:rPr>
            </w:pPr>
          </w:p>
        </w:tc>
      </w:tr>
      <w:tr>
        <w:trPr>
          <w:trHeight w:val="205"/>
        </w:trPr>
        <w:tc>
          <w:tcPr>
            <w:tcW w:w="43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Year-to-date changes in benefits payable, excluding</w:t>
            </w:r>
          </w:p>
        </w:tc>
        <w:tc>
          <w:tcPr>
            <w:tcW w:w="2040" w:type="dxa"/>
            <w:vAlign w:val="bottom"/>
            <w:tcBorders>
              <w:bottom w:val="single" w:sz="8" w:color="auto"/>
              <w:right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September 30, 2020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September 30, 2019</w:t>
            </w:r>
          </w:p>
        </w:tc>
        <w:tc>
          <w:tcPr>
            <w:tcW w:w="1720" w:type="dxa"/>
            <w:vAlign w:val="bottom"/>
            <w:tcBorders>
              <w:bottom w:val="single" w:sz="8" w:color="auto"/>
              <w:right w:val="single" w:sz="8" w:color="auto"/>
            </w:tcBorders>
          </w:tcPr>
          <w:p>
            <w:pPr>
              <w:jc w:val="right"/>
              <w:ind w:right="103"/>
              <w:spacing w:after="0"/>
              <w:rPr>
                <w:sz w:val="20"/>
                <w:szCs w:val="20"/>
                <w:color w:val="auto"/>
              </w:rPr>
            </w:pPr>
            <w:r>
              <w:rPr>
                <w:rFonts w:ascii="Arial" w:cs="Arial" w:eastAsia="Arial" w:hAnsi="Arial"/>
                <w:sz w:val="15"/>
                <w:szCs w:val="15"/>
                <w:color w:val="auto"/>
              </w:rPr>
              <w:t>December 31, 2019</w:t>
            </w:r>
          </w:p>
        </w:tc>
        <w:tc>
          <w:tcPr>
            <w:tcW w:w="0" w:type="dxa"/>
            <w:vAlign w:val="bottom"/>
          </w:tcPr>
          <w:p>
            <w:pPr>
              <w:spacing w:after="0"/>
              <w:rPr>
                <w:sz w:val="1"/>
                <w:szCs w:val="1"/>
                <w:color w:val="auto"/>
              </w:rPr>
            </w:pPr>
          </w:p>
        </w:tc>
      </w:tr>
      <w:tr>
        <w:trPr>
          <w:trHeight w:val="149"/>
        </w:trPr>
        <w:tc>
          <w:tcPr>
            <w:tcW w:w="4340" w:type="dxa"/>
            <w:vAlign w:val="bottom"/>
            <w:tcBorders>
              <w:right w:val="single" w:sz="8" w:color="auto"/>
            </w:tcBorders>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34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military services</w:t>
            </w:r>
          </w:p>
        </w:tc>
        <w:tc>
          <w:tcPr>
            <w:tcW w:w="20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Balances at January 1</w:t>
            </w:r>
          </w:p>
        </w:tc>
        <w:tc>
          <w:tcPr>
            <w:tcW w:w="2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rPr>
              <w:t>$6,004</w:t>
            </w:r>
          </w:p>
        </w:tc>
        <w:tc>
          <w:tcPr>
            <w:tcW w:w="18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$4,862</w:t>
            </w:r>
          </w:p>
        </w:tc>
        <w:tc>
          <w:tcPr>
            <w:tcW w:w="17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$4,862</w:t>
            </w:r>
          </w:p>
        </w:tc>
        <w:tc>
          <w:tcPr>
            <w:tcW w:w="0" w:type="dxa"/>
            <w:vAlign w:val="bottom"/>
          </w:tcPr>
          <w:p>
            <w:pPr>
              <w:spacing w:after="0"/>
              <w:rPr>
                <w:sz w:val="1"/>
                <w:szCs w:val="1"/>
                <w:color w:val="auto"/>
              </w:rPr>
            </w:pPr>
          </w:p>
        </w:tc>
      </w:tr>
      <w:tr>
        <w:trPr>
          <w:trHeight w:val="206"/>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Less: Reinsurance recoverables (P)</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99"/>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Beginning balance, net of reinsurance recoverable</w:t>
            </w:r>
          </w:p>
        </w:tc>
        <w:tc>
          <w:tcPr>
            <w:tcW w:w="2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rPr>
              <w:t>5,936</w:t>
            </w:r>
          </w:p>
        </w:tc>
        <w:tc>
          <w:tcPr>
            <w:tcW w:w="18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4,767</w:t>
            </w:r>
          </w:p>
        </w:tc>
        <w:tc>
          <w:tcPr>
            <w:tcW w:w="17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4,767</w:t>
            </w:r>
          </w:p>
        </w:tc>
        <w:tc>
          <w:tcPr>
            <w:tcW w:w="0" w:type="dxa"/>
            <w:vAlign w:val="bottom"/>
          </w:tcPr>
          <w:p>
            <w:pPr>
              <w:spacing w:after="0"/>
              <w:rPr>
                <w:sz w:val="1"/>
                <w:szCs w:val="1"/>
                <w:color w:val="auto"/>
              </w:rPr>
            </w:pPr>
          </w:p>
        </w:tc>
      </w:tr>
      <w:tr>
        <w:trPr>
          <w:trHeight w:val="206"/>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Incurred related to:</w:t>
            </w:r>
          </w:p>
        </w:tc>
        <w:tc>
          <w:tcPr>
            <w:tcW w:w="20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4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Current year</w:t>
            </w:r>
          </w:p>
        </w:tc>
        <w:tc>
          <w:tcPr>
            <w:tcW w:w="20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rPr>
              <w:t>45,693</w:t>
            </w:r>
          </w:p>
        </w:tc>
        <w:tc>
          <w:tcPr>
            <w:tcW w:w="18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40,499</w:t>
            </w:r>
          </w:p>
        </w:tc>
        <w:tc>
          <w:tcPr>
            <w:tcW w:w="17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54,193</w:t>
            </w:r>
          </w:p>
        </w:tc>
        <w:tc>
          <w:tcPr>
            <w:tcW w:w="0" w:type="dxa"/>
            <w:vAlign w:val="bottom"/>
          </w:tcPr>
          <w:p>
            <w:pPr>
              <w:spacing w:after="0"/>
              <w:rPr>
                <w:sz w:val="1"/>
                <w:szCs w:val="1"/>
                <w:color w:val="auto"/>
              </w:rPr>
            </w:pPr>
          </w:p>
        </w:tc>
      </w:tr>
      <w:tr>
        <w:trPr>
          <w:trHeight w:val="206"/>
        </w:trPr>
        <w:tc>
          <w:tcPr>
            <w:tcW w:w="434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Prior years (Q)</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199"/>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Total incurred</w:t>
            </w:r>
          </w:p>
        </w:tc>
        <w:tc>
          <w:tcPr>
            <w:tcW w:w="2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45,415</w:t>
            </w:r>
          </w:p>
        </w:tc>
        <w:tc>
          <w:tcPr>
            <w:tcW w:w="18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40,168</w:t>
            </w:r>
          </w:p>
        </w:tc>
        <w:tc>
          <w:tcPr>
            <w:tcW w:w="17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53,857</w:t>
            </w:r>
          </w:p>
        </w:tc>
        <w:tc>
          <w:tcPr>
            <w:tcW w:w="0" w:type="dxa"/>
            <w:vAlign w:val="bottom"/>
          </w:tcPr>
          <w:p>
            <w:pPr>
              <w:spacing w:after="0"/>
              <w:rPr>
                <w:sz w:val="1"/>
                <w:szCs w:val="1"/>
                <w:color w:val="auto"/>
              </w:rPr>
            </w:pPr>
          </w:p>
        </w:tc>
      </w:tr>
      <w:tr>
        <w:trPr>
          <w:trHeight w:val="186"/>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Paid related to:</w:t>
            </w:r>
          </w:p>
        </w:tc>
        <w:tc>
          <w:tcPr>
            <w:tcW w:w="20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4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Current year</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(37,810)</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(34,625)</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(48,421)</w:t>
            </w:r>
          </w:p>
        </w:tc>
        <w:tc>
          <w:tcPr>
            <w:tcW w:w="0" w:type="dxa"/>
            <w:vAlign w:val="bottom"/>
          </w:tcPr>
          <w:p>
            <w:pPr>
              <w:spacing w:after="0"/>
              <w:rPr>
                <w:sz w:val="1"/>
                <w:szCs w:val="1"/>
                <w:color w:val="auto"/>
              </w:rPr>
            </w:pPr>
          </w:p>
        </w:tc>
      </w:tr>
      <w:tr>
        <w:trPr>
          <w:trHeight w:val="206"/>
        </w:trPr>
        <w:tc>
          <w:tcPr>
            <w:tcW w:w="4340" w:type="dxa"/>
            <w:vAlign w:val="bottom"/>
            <w:tcBorders>
              <w:right w:val="single" w:sz="8" w:color="auto"/>
            </w:tcBorders>
          </w:tcPr>
          <w:p>
            <w:pPr>
              <w:ind w:left="600"/>
              <w:spacing w:after="0"/>
              <w:rPr>
                <w:sz w:val="20"/>
                <w:szCs w:val="20"/>
                <w:color w:val="auto"/>
              </w:rPr>
            </w:pPr>
            <w:r>
              <w:rPr>
                <w:rFonts w:ascii="Arial" w:cs="Arial" w:eastAsia="Arial" w:hAnsi="Arial"/>
                <w:sz w:val="15"/>
                <w:szCs w:val="15"/>
                <w:color w:val="auto"/>
              </w:rPr>
              <w:t>Prior years</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(5,334)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(4,158)</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(4,267)</w:t>
            </w:r>
          </w:p>
        </w:tc>
        <w:tc>
          <w:tcPr>
            <w:tcW w:w="0" w:type="dxa"/>
            <w:vAlign w:val="bottom"/>
          </w:tcPr>
          <w:p>
            <w:pPr>
              <w:spacing w:after="0"/>
              <w:rPr>
                <w:sz w:val="1"/>
                <w:szCs w:val="1"/>
                <w:color w:val="auto"/>
              </w:rPr>
            </w:pPr>
          </w:p>
        </w:tc>
      </w:tr>
      <w:tr>
        <w:trPr>
          <w:trHeight w:val="199"/>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Total paid</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(43,144)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(38,783)</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(52,688)</w:t>
            </w:r>
          </w:p>
        </w:tc>
        <w:tc>
          <w:tcPr>
            <w:tcW w:w="0" w:type="dxa"/>
            <w:vAlign w:val="bottom"/>
          </w:tcPr>
          <w:p>
            <w:pPr>
              <w:spacing w:after="0"/>
              <w:rPr>
                <w:sz w:val="1"/>
                <w:szCs w:val="1"/>
                <w:color w:val="auto"/>
              </w:rPr>
            </w:pPr>
          </w:p>
        </w:tc>
      </w:tr>
      <w:tr>
        <w:trPr>
          <w:trHeight w:val="199"/>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Reinsurance recoverables (P)</w:t>
            </w:r>
          </w:p>
        </w:tc>
        <w:tc>
          <w:tcPr>
            <w:tcW w:w="2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w:t>
            </w:r>
          </w:p>
        </w:tc>
        <w:tc>
          <w:tcPr>
            <w:tcW w:w="18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68</w:t>
            </w:r>
          </w:p>
        </w:tc>
        <w:tc>
          <w:tcPr>
            <w:tcW w:w="17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2"/>
        </w:trPr>
        <w:tc>
          <w:tcPr>
            <w:tcW w:w="434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Ending balance</w:t>
            </w:r>
          </w:p>
        </w:tc>
        <w:tc>
          <w:tcPr>
            <w:tcW w:w="20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$8,208</w:t>
            </w:r>
          </w:p>
        </w:tc>
        <w:tc>
          <w:tcPr>
            <w:tcW w:w="18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$6,220</w:t>
            </w:r>
          </w:p>
        </w:tc>
        <w:tc>
          <w:tcPr>
            <w:tcW w:w="17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S-18</w:t>
      </w:r>
    </w:p>
    <w:p>
      <w:pPr>
        <w:sectPr>
          <w:pgSz w:w="11900" w:h="16838" w:orient="portrait"/>
          <w:cols w:equalWidth="0" w:num="1">
            <w:col w:w="10139"/>
          </w:cols>
          <w:pgMar w:left="320" w:top="876" w:right="1440" w:bottom="1440" w:gutter="0" w:footer="0" w:header="0"/>
        </w:sectPr>
      </w:pPr>
    </w:p>
    <w:bookmarkStart w:id="56" w:name="page57"/>
    <w:bookmarkEnd w:id="56"/>
    <w:p>
      <w:pPr>
        <w:spacing w:after="0"/>
        <w:rPr>
          <w:sz w:val="20"/>
          <w:szCs w:val="20"/>
          <w:color w:val="auto"/>
        </w:rPr>
      </w:pPr>
      <w:r>
        <w:rPr>
          <w:rFonts w:ascii="Arial" w:cs="Arial" w:eastAsia="Arial" w:hAnsi="Arial"/>
          <w:sz w:val="24"/>
          <w:szCs w:val="24"/>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Benefits Payable Statistics (Continued) (R)</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Days in Claims Payable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Arial" w:cs="Arial" w:eastAsia="Arial" w:hAnsi="Arial"/>
                <w:sz w:val="17"/>
                <w:szCs w:val="17"/>
                <w:b w:val="1"/>
                <w:bCs w:val="1"/>
                <w:color w:val="auto"/>
                <w:w w:val="99"/>
              </w:rPr>
              <w:t>Days in</w:t>
            </w:r>
          </w:p>
        </w:tc>
        <w:tc>
          <w:tcPr>
            <w:tcW w:w="98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9"/>
              </w:rPr>
              <w:t>Change</w:t>
            </w:r>
          </w:p>
        </w:tc>
        <w:tc>
          <w:tcPr>
            <w:tcW w:w="1340" w:type="dxa"/>
            <w:vAlign w:val="bottom"/>
            <w:gridSpan w:val="2"/>
            <w:vMerge w:val="restart"/>
          </w:tcPr>
          <w:p>
            <w:pPr>
              <w:jc w:val="right"/>
              <w:ind w:right="123"/>
              <w:spacing w:after="0"/>
              <w:rPr>
                <w:sz w:val="20"/>
                <w:szCs w:val="20"/>
                <w:color w:val="auto"/>
              </w:rPr>
            </w:pPr>
            <w:r>
              <w:rPr>
                <w:rFonts w:ascii="Arial" w:cs="Arial" w:eastAsia="Arial" w:hAnsi="Arial"/>
                <w:sz w:val="17"/>
                <w:szCs w:val="17"/>
                <w:b w:val="1"/>
                <w:bCs w:val="1"/>
                <w:color w:val="auto"/>
              </w:rPr>
              <w:t>Percentage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40" w:type="dxa"/>
            <w:vAlign w:val="bottom"/>
            <w:vMerge w:val="restart"/>
          </w:tcPr>
          <w:p>
            <w:pPr>
              <w:ind w:left="820"/>
              <w:spacing w:after="0"/>
              <w:rPr>
                <w:sz w:val="20"/>
                <w:szCs w:val="20"/>
                <w:color w:val="auto"/>
              </w:rPr>
            </w:pPr>
            <w:r>
              <w:rPr>
                <w:rFonts w:ascii="Arial" w:cs="Arial" w:eastAsia="Arial" w:hAnsi="Arial"/>
                <w:sz w:val="17"/>
                <w:szCs w:val="17"/>
                <w:b w:val="1"/>
                <w:bCs w:val="1"/>
                <w:color w:val="auto"/>
              </w:rPr>
              <w:t>Quarter Ended</w:t>
            </w:r>
          </w:p>
        </w:tc>
        <w:tc>
          <w:tcPr>
            <w:tcW w:w="1300" w:type="dxa"/>
            <w:vAlign w:val="bottom"/>
          </w:tcPr>
          <w:p>
            <w:pPr>
              <w:jc w:val="center"/>
              <w:ind w:right="19"/>
              <w:spacing w:after="0" w:line="167" w:lineRule="exact"/>
              <w:rPr>
                <w:sz w:val="20"/>
                <w:szCs w:val="20"/>
                <w:color w:val="auto"/>
              </w:rPr>
            </w:pPr>
            <w:r>
              <w:rPr>
                <w:rFonts w:ascii="Arial" w:cs="Arial" w:eastAsia="Arial" w:hAnsi="Arial"/>
                <w:sz w:val="17"/>
                <w:szCs w:val="17"/>
                <w:b w:val="1"/>
                <w:bCs w:val="1"/>
                <w:color w:val="auto"/>
              </w:rPr>
              <w:t>Claims</w:t>
            </w:r>
          </w:p>
        </w:tc>
        <w:tc>
          <w:tcPr>
            <w:tcW w:w="980" w:type="dxa"/>
            <w:vAlign w:val="bottom"/>
            <w:gridSpan w:val="2"/>
          </w:tcPr>
          <w:p>
            <w:pPr>
              <w:jc w:val="center"/>
              <w:ind w:right="40"/>
              <w:spacing w:after="0" w:line="167" w:lineRule="exact"/>
              <w:rPr>
                <w:sz w:val="20"/>
                <w:szCs w:val="20"/>
                <w:color w:val="auto"/>
              </w:rPr>
            </w:pPr>
            <w:r>
              <w:rPr>
                <w:rFonts w:ascii="Arial" w:cs="Arial" w:eastAsia="Arial" w:hAnsi="Arial"/>
                <w:sz w:val="17"/>
                <w:szCs w:val="17"/>
                <w:b w:val="1"/>
                <w:bCs w:val="1"/>
                <w:color w:val="auto"/>
              </w:rPr>
              <w:t>Last 4</w:t>
            </w:r>
          </w:p>
        </w:tc>
        <w:tc>
          <w:tcPr>
            <w:tcW w:w="13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840" w:type="dxa"/>
            <w:vAlign w:val="bottom"/>
            <w:vMerge w:val="continue"/>
          </w:tcPr>
          <w:p>
            <w:pPr>
              <w:spacing w:after="0"/>
              <w:rPr>
                <w:sz w:val="19"/>
                <w:szCs w:val="19"/>
                <w:color w:val="auto"/>
              </w:rPr>
            </w:pPr>
          </w:p>
        </w:tc>
        <w:tc>
          <w:tcPr>
            <w:tcW w:w="1300" w:type="dxa"/>
            <w:vAlign w:val="bottom"/>
          </w:tcPr>
          <w:p>
            <w:pPr>
              <w:jc w:val="center"/>
              <w:ind w:right="19"/>
              <w:spacing w:after="0"/>
              <w:rPr>
                <w:sz w:val="20"/>
                <w:szCs w:val="20"/>
                <w:color w:val="auto"/>
              </w:rPr>
            </w:pPr>
            <w:r>
              <w:rPr>
                <w:rFonts w:ascii="Arial" w:cs="Arial" w:eastAsia="Arial" w:hAnsi="Arial"/>
                <w:sz w:val="17"/>
                <w:szCs w:val="17"/>
                <w:b w:val="1"/>
                <w:bCs w:val="1"/>
                <w:color w:val="auto"/>
                <w:w w:val="99"/>
              </w:rPr>
              <w:t>Payable (DCP)</w:t>
            </w:r>
          </w:p>
        </w:tc>
        <w:tc>
          <w:tcPr>
            <w:tcW w:w="9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Quarters</w:t>
            </w:r>
          </w:p>
        </w:tc>
        <w:tc>
          <w:tcPr>
            <w:tcW w:w="1340" w:type="dxa"/>
            <w:vAlign w:val="bottom"/>
            <w:gridSpan w:val="2"/>
          </w:tcPr>
          <w:p>
            <w:pPr>
              <w:jc w:val="right"/>
              <w:ind w:right="263"/>
              <w:spacing w:after="0"/>
              <w:rPr>
                <w:sz w:val="20"/>
                <w:szCs w:val="20"/>
                <w:color w:val="auto"/>
              </w:rPr>
            </w:pPr>
            <w:r>
              <w:rPr>
                <w:rFonts w:ascii="Arial" w:cs="Arial" w:eastAsia="Arial" w:hAnsi="Arial"/>
                <w:sz w:val="17"/>
                <w:szCs w:val="17"/>
                <w:b w:val="1"/>
                <w:bCs w:val="1"/>
                <w:color w:val="auto"/>
              </w:rPr>
              <w:t>Change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840" w:type="dxa"/>
            <w:vAlign w:val="bottom"/>
          </w:tcPr>
          <w:p>
            <w:pPr>
              <w:jc w:val="right"/>
              <w:spacing w:after="0"/>
              <w:rPr>
                <w:sz w:val="20"/>
                <w:szCs w:val="20"/>
                <w:color w:val="auto"/>
              </w:rPr>
            </w:pPr>
            <w:r>
              <w:rPr>
                <w:rFonts w:ascii="Arial" w:cs="Arial" w:eastAsia="Arial" w:hAnsi="Arial"/>
                <w:sz w:val="15"/>
                <w:szCs w:val="15"/>
                <w:color w:val="auto"/>
              </w:rPr>
              <w:t>9/30/2019</w:t>
            </w:r>
          </w:p>
        </w:tc>
        <w:tc>
          <w:tcPr>
            <w:tcW w:w="1300" w:type="dxa"/>
            <w:vAlign w:val="bottom"/>
          </w:tcPr>
          <w:p>
            <w:pPr>
              <w:jc w:val="right"/>
              <w:ind w:right="79"/>
              <w:spacing w:after="0"/>
              <w:rPr>
                <w:sz w:val="20"/>
                <w:szCs w:val="20"/>
                <w:color w:val="auto"/>
              </w:rPr>
            </w:pPr>
            <w:r>
              <w:rPr>
                <w:rFonts w:ascii="Arial" w:cs="Arial" w:eastAsia="Arial" w:hAnsi="Arial"/>
                <w:sz w:val="15"/>
                <w:szCs w:val="15"/>
                <w:color w:val="auto"/>
              </w:rPr>
              <w:t>42.8</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c>
          <w:tcPr>
            <w:tcW w:w="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4.1 %</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40" w:type="dxa"/>
            <w:vAlign w:val="bottom"/>
          </w:tcPr>
          <w:p>
            <w:pPr>
              <w:jc w:val="right"/>
              <w:spacing w:after="0"/>
              <w:rPr>
                <w:sz w:val="20"/>
                <w:szCs w:val="20"/>
                <w:color w:val="auto"/>
              </w:rPr>
            </w:pPr>
            <w:r>
              <w:rPr>
                <w:rFonts w:ascii="Arial" w:cs="Arial" w:eastAsia="Arial" w:hAnsi="Arial"/>
                <w:sz w:val="15"/>
                <w:szCs w:val="15"/>
                <w:color w:val="auto"/>
              </w:rPr>
              <w:t>12/31/2019</w:t>
            </w:r>
          </w:p>
        </w:tc>
        <w:tc>
          <w:tcPr>
            <w:tcW w:w="1300" w:type="dxa"/>
            <w:vAlign w:val="bottom"/>
          </w:tcPr>
          <w:p>
            <w:pPr>
              <w:jc w:val="right"/>
              <w:ind w:right="79"/>
              <w:spacing w:after="0"/>
              <w:rPr>
                <w:sz w:val="20"/>
                <w:szCs w:val="20"/>
                <w:color w:val="auto"/>
              </w:rPr>
            </w:pPr>
            <w:r>
              <w:rPr>
                <w:rFonts w:ascii="Arial" w:cs="Arial" w:eastAsia="Arial" w:hAnsi="Arial"/>
                <w:sz w:val="15"/>
                <w:szCs w:val="15"/>
                <w:color w:val="auto"/>
              </w:rPr>
              <w:t>40.4</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1.3</w:t>
            </w:r>
          </w:p>
        </w:tc>
        <w:tc>
          <w:tcPr>
            <w:tcW w:w="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3.3 %</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jc w:val="right"/>
              <w:spacing w:after="0"/>
              <w:rPr>
                <w:sz w:val="20"/>
                <w:szCs w:val="20"/>
                <w:color w:val="auto"/>
              </w:rPr>
            </w:pPr>
            <w:r>
              <w:rPr>
                <w:rFonts w:ascii="Arial" w:cs="Arial" w:eastAsia="Arial" w:hAnsi="Arial"/>
                <w:sz w:val="15"/>
                <w:szCs w:val="15"/>
                <w:color w:val="auto"/>
              </w:rPr>
              <w:t>3/31/2020</w:t>
            </w:r>
          </w:p>
        </w:tc>
        <w:tc>
          <w:tcPr>
            <w:tcW w:w="1300" w:type="dxa"/>
            <w:vAlign w:val="bottom"/>
          </w:tcPr>
          <w:p>
            <w:pPr>
              <w:jc w:val="right"/>
              <w:ind w:right="79"/>
              <w:spacing w:after="0"/>
              <w:rPr>
                <w:sz w:val="20"/>
                <w:szCs w:val="20"/>
                <w:color w:val="auto"/>
              </w:rPr>
            </w:pPr>
            <w:r>
              <w:rPr>
                <w:rFonts w:ascii="Arial" w:cs="Arial" w:eastAsia="Arial" w:hAnsi="Arial"/>
                <w:sz w:val="15"/>
                <w:szCs w:val="15"/>
                <w:color w:val="auto"/>
              </w:rPr>
              <w:t>41.3</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1.1</w:t>
            </w:r>
          </w:p>
        </w:tc>
        <w:tc>
          <w:tcPr>
            <w:tcW w:w="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2.7 %</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6/30/2020</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color w:val="auto"/>
              </w:rPr>
              <w:t>51.2</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11.3</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28.3 %</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00497F"/>
              </w:rPr>
              <w:t>9/30/2020</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00497F"/>
              </w:rPr>
              <w:t>48.4</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00497F"/>
              </w:rPr>
              <w:t>5.6</w:t>
            </w: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00497F"/>
              </w:rPr>
              <w:t>13.1 %</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41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Change in Days in Claims Payable (S)</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5"/>
                <w:szCs w:val="15"/>
                <w:color w:val="auto"/>
              </w:rPr>
              <w:t>Last</w:t>
            </w:r>
          </w:p>
        </w:tc>
        <w:tc>
          <w:tcPr>
            <w:tcW w:w="0" w:type="dxa"/>
            <w:vAlign w:val="bottom"/>
          </w:tcPr>
          <w:p>
            <w:pPr>
              <w:spacing w:after="0"/>
              <w:rPr>
                <w:sz w:val="1"/>
                <w:szCs w:val="1"/>
                <w:color w:val="auto"/>
              </w:rPr>
            </w:pPr>
          </w:p>
        </w:tc>
      </w:tr>
      <w:tr>
        <w:trPr>
          <w:trHeight w:val="149"/>
        </w:trPr>
        <w:tc>
          <w:tcPr>
            <w:tcW w:w="41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restart"/>
          </w:tcPr>
          <w:p>
            <w:pPr>
              <w:jc w:val="center"/>
              <w:ind w:right="321"/>
              <w:spacing w:after="0"/>
              <w:rPr>
                <w:sz w:val="20"/>
                <w:szCs w:val="20"/>
                <w:color w:val="auto"/>
              </w:rPr>
            </w:pPr>
            <w:r>
              <w:rPr>
                <w:rFonts w:ascii="Arial" w:cs="Arial" w:eastAsia="Arial" w:hAnsi="Arial"/>
                <w:sz w:val="15"/>
                <w:szCs w:val="15"/>
                <w:color w:val="auto"/>
                <w:w w:val="99"/>
              </w:rPr>
              <w:t>1Q</w:t>
            </w:r>
          </w:p>
        </w:tc>
        <w:tc>
          <w:tcPr>
            <w:tcW w:w="740" w:type="dxa"/>
            <w:vAlign w:val="bottom"/>
            <w:vMerge w:val="restart"/>
          </w:tcPr>
          <w:p>
            <w:pPr>
              <w:jc w:val="center"/>
              <w:ind w:right="83"/>
              <w:spacing w:after="0"/>
              <w:rPr>
                <w:sz w:val="20"/>
                <w:szCs w:val="20"/>
                <w:color w:val="auto"/>
              </w:rPr>
            </w:pPr>
            <w:r>
              <w:rPr>
                <w:rFonts w:ascii="Arial" w:cs="Arial" w:eastAsia="Arial" w:hAnsi="Arial"/>
                <w:sz w:val="15"/>
                <w:szCs w:val="15"/>
                <w:color w:val="auto"/>
              </w:rPr>
              <w:t>2Q</w:t>
            </w:r>
          </w:p>
        </w:tc>
        <w:tc>
          <w:tcPr>
            <w:tcW w:w="84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5"/>
                <w:szCs w:val="15"/>
                <w:color w:val="auto"/>
                <w:w w:val="99"/>
              </w:rPr>
              <w:t>3Q</w:t>
            </w:r>
          </w:p>
        </w:tc>
        <w:tc>
          <w:tcPr>
            <w:tcW w:w="760" w:type="dxa"/>
            <w:vAlign w:val="bottom"/>
            <w:tcBorders>
              <w:right w:val="single" w:sz="8" w:color="auto"/>
            </w:tcBorders>
            <w:vMerge w:val="restart"/>
          </w:tcPr>
          <w:p>
            <w:pPr>
              <w:jc w:val="right"/>
              <w:ind w:right="163"/>
              <w:spacing w:after="0"/>
              <w:rPr>
                <w:sz w:val="20"/>
                <w:szCs w:val="20"/>
                <w:color w:val="auto"/>
              </w:rPr>
            </w:pPr>
            <w:r>
              <w:rPr>
                <w:rFonts w:ascii="Arial" w:cs="Arial" w:eastAsia="Arial" w:hAnsi="Arial"/>
                <w:sz w:val="15"/>
                <w:szCs w:val="15"/>
                <w:color w:val="auto"/>
              </w:rPr>
              <w:t>YTD</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w w:val="99"/>
              </w:rPr>
              <w:t>3Q</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5"/>
                <w:szCs w:val="15"/>
                <w:color w:val="auto"/>
              </w:rPr>
              <w:t>Twelve</w:t>
            </w:r>
          </w:p>
        </w:tc>
        <w:tc>
          <w:tcPr>
            <w:tcW w:w="0" w:type="dxa"/>
            <w:vAlign w:val="bottom"/>
          </w:tcPr>
          <w:p>
            <w:pPr>
              <w:spacing w:after="0"/>
              <w:rPr>
                <w:sz w:val="1"/>
                <w:szCs w:val="1"/>
                <w:color w:val="auto"/>
              </w:rPr>
            </w:pPr>
          </w:p>
        </w:tc>
      </w:tr>
      <w:tr>
        <w:trPr>
          <w:trHeight w:val="189"/>
        </w:trPr>
        <w:tc>
          <w:tcPr>
            <w:tcW w:w="28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DCP—beginning of period</w:t>
            </w:r>
          </w:p>
        </w:tc>
        <w:tc>
          <w:tcPr>
            <w:tcW w:w="1300" w:type="dxa"/>
            <w:vAlign w:val="bottom"/>
          </w:tcPr>
          <w:p>
            <w:pPr>
              <w:spacing w:after="0"/>
              <w:rPr>
                <w:sz w:val="16"/>
                <w:szCs w:val="16"/>
                <w:color w:val="auto"/>
              </w:rPr>
            </w:pPr>
          </w:p>
        </w:tc>
        <w:tc>
          <w:tcPr>
            <w:tcW w:w="1580" w:type="dxa"/>
            <w:vAlign w:val="bottom"/>
            <w:gridSpan w:val="3"/>
          </w:tcPr>
          <w:p>
            <w:pPr>
              <w:jc w:val="right"/>
              <w:ind w:right="241"/>
              <w:spacing w:after="0"/>
              <w:rPr>
                <w:sz w:val="20"/>
                <w:szCs w:val="20"/>
                <w:color w:val="auto"/>
              </w:rPr>
            </w:pPr>
            <w:r>
              <w:rPr>
                <w:rFonts w:ascii="Arial" w:cs="Arial" w:eastAsia="Arial" w:hAnsi="Arial"/>
                <w:sz w:val="15"/>
                <w:szCs w:val="15"/>
                <w:color w:val="auto"/>
              </w:rPr>
              <w:t>2020</w:t>
            </w:r>
          </w:p>
        </w:tc>
        <w:tc>
          <w:tcPr>
            <w:tcW w:w="740" w:type="dxa"/>
            <w:vAlign w:val="bottom"/>
          </w:tcPr>
          <w:p>
            <w:pPr>
              <w:jc w:val="right"/>
              <w:ind w:right="203"/>
              <w:spacing w:after="0"/>
              <w:rPr>
                <w:sz w:val="20"/>
                <w:szCs w:val="20"/>
                <w:color w:val="auto"/>
              </w:rPr>
            </w:pPr>
            <w:r>
              <w:rPr>
                <w:rFonts w:ascii="Arial" w:cs="Arial" w:eastAsia="Arial" w:hAnsi="Arial"/>
                <w:sz w:val="15"/>
                <w:szCs w:val="15"/>
                <w:color w:val="auto"/>
              </w:rPr>
              <w:t>2020</w:t>
            </w:r>
          </w:p>
        </w:tc>
        <w:tc>
          <w:tcPr>
            <w:tcW w:w="720" w:type="dxa"/>
            <w:vAlign w:val="bottom"/>
          </w:tcPr>
          <w:p>
            <w:pPr>
              <w:jc w:val="right"/>
              <w:ind w:right="143"/>
              <w:spacing w:after="0"/>
              <w:rPr>
                <w:sz w:val="20"/>
                <w:szCs w:val="20"/>
                <w:color w:val="auto"/>
              </w:rPr>
            </w:pPr>
            <w:r>
              <w:rPr>
                <w:rFonts w:ascii="Arial" w:cs="Arial" w:eastAsia="Arial" w:hAnsi="Arial"/>
                <w:sz w:val="15"/>
                <w:szCs w:val="15"/>
                <w:color w:val="auto"/>
              </w:rPr>
              <w:t>2020</w:t>
            </w:r>
          </w:p>
        </w:tc>
        <w:tc>
          <w:tcPr>
            <w:tcW w:w="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right"/>
              <w:ind w:right="143"/>
              <w:spacing w:after="0"/>
              <w:rPr>
                <w:sz w:val="20"/>
                <w:szCs w:val="20"/>
                <w:color w:val="auto"/>
              </w:rPr>
            </w:pPr>
            <w:r>
              <w:rPr>
                <w:rFonts w:ascii="Arial" w:cs="Arial" w:eastAsia="Arial" w:hAnsi="Arial"/>
                <w:sz w:val="15"/>
                <w:szCs w:val="15"/>
                <w:color w:val="auto"/>
              </w:rPr>
              <w:t>2020</w:t>
            </w:r>
          </w:p>
        </w:tc>
        <w:tc>
          <w:tcPr>
            <w:tcW w:w="840" w:type="dxa"/>
            <w:vAlign w:val="bottom"/>
          </w:tcPr>
          <w:p>
            <w:pPr>
              <w:jc w:val="right"/>
              <w:ind w:right="203"/>
              <w:spacing w:after="0"/>
              <w:rPr>
                <w:sz w:val="20"/>
                <w:szCs w:val="20"/>
                <w:color w:val="auto"/>
              </w:rPr>
            </w:pPr>
            <w:r>
              <w:rPr>
                <w:rFonts w:ascii="Arial" w:cs="Arial" w:eastAsia="Arial" w:hAnsi="Arial"/>
                <w:sz w:val="15"/>
                <w:szCs w:val="15"/>
                <w:color w:val="auto"/>
              </w:rPr>
              <w:t>2019</w:t>
            </w:r>
          </w:p>
        </w:tc>
        <w:tc>
          <w:tcPr>
            <w:tcW w:w="740" w:type="dxa"/>
            <w:vAlign w:val="bottom"/>
          </w:tcPr>
          <w:p>
            <w:pPr>
              <w:jc w:val="center"/>
              <w:spacing w:after="0"/>
              <w:rPr>
                <w:sz w:val="20"/>
                <w:szCs w:val="20"/>
                <w:color w:val="auto"/>
              </w:rPr>
            </w:pPr>
            <w:r>
              <w:rPr>
                <w:rFonts w:ascii="Arial" w:cs="Arial" w:eastAsia="Arial" w:hAnsi="Arial"/>
                <w:sz w:val="15"/>
                <w:szCs w:val="15"/>
                <w:color w:val="auto"/>
              </w:rPr>
              <w:t>Months</w:t>
            </w:r>
          </w:p>
        </w:tc>
        <w:tc>
          <w:tcPr>
            <w:tcW w:w="0" w:type="dxa"/>
            <w:vAlign w:val="bottom"/>
          </w:tcPr>
          <w:p>
            <w:pPr>
              <w:spacing w:after="0"/>
              <w:rPr>
                <w:sz w:val="1"/>
                <w:szCs w:val="1"/>
                <w:color w:val="auto"/>
              </w:rPr>
            </w:pPr>
          </w:p>
        </w:tc>
      </w:tr>
      <w:tr>
        <w:trPr>
          <w:trHeight w:val="200"/>
        </w:trPr>
        <w:tc>
          <w:tcPr>
            <w:tcW w:w="28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01"/>
              <w:spacing w:after="0"/>
              <w:rPr>
                <w:sz w:val="20"/>
                <w:szCs w:val="20"/>
                <w:color w:val="auto"/>
              </w:rPr>
            </w:pPr>
            <w:r>
              <w:rPr>
                <w:rFonts w:ascii="Arial" w:cs="Arial" w:eastAsia="Arial" w:hAnsi="Arial"/>
                <w:sz w:val="15"/>
                <w:szCs w:val="15"/>
                <w:color w:val="auto"/>
              </w:rPr>
              <w:t>40.4</w:t>
            </w:r>
          </w:p>
        </w:tc>
        <w:tc>
          <w:tcPr>
            <w:tcW w:w="7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41.3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120" w:type="dxa"/>
            <w:vAlign w:val="bottom"/>
            <w:tcBorders>
              <w:right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40.4</w:t>
            </w:r>
          </w:p>
        </w:tc>
        <w:tc>
          <w:tcPr>
            <w:tcW w:w="8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39.9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202"/>
        </w:trPr>
        <w:tc>
          <w:tcPr>
            <w:tcW w:w="2840" w:type="dxa"/>
            <w:vAlign w:val="bottom"/>
          </w:tcPr>
          <w:p>
            <w:pPr>
              <w:ind w:left="320"/>
              <w:spacing w:after="0"/>
              <w:rPr>
                <w:sz w:val="20"/>
                <w:szCs w:val="20"/>
                <w:color w:val="auto"/>
              </w:rPr>
            </w:pPr>
            <w:r>
              <w:rPr>
                <w:rFonts w:ascii="Arial" w:cs="Arial" w:eastAsia="Arial" w:hAnsi="Arial"/>
                <w:sz w:val="15"/>
                <w:szCs w:val="15"/>
                <w:color w:val="auto"/>
              </w:rPr>
              <w:t>Components of change in DCP:</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620"/>
              <w:spacing w:after="0"/>
              <w:rPr>
                <w:sz w:val="20"/>
                <w:szCs w:val="20"/>
                <w:color w:val="auto"/>
              </w:rPr>
            </w:pPr>
            <w:r>
              <w:rPr>
                <w:rFonts w:ascii="Arial" w:cs="Arial" w:eastAsia="Arial" w:hAnsi="Arial"/>
                <w:sz w:val="15"/>
                <w:szCs w:val="15"/>
                <w:color w:val="auto"/>
              </w:rPr>
              <w:t>Provider accruals (T)</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101"/>
              <w:spacing w:after="0"/>
              <w:rPr>
                <w:sz w:val="20"/>
                <w:szCs w:val="20"/>
                <w:color w:val="auto"/>
              </w:rPr>
            </w:pPr>
            <w:r>
              <w:rPr>
                <w:rFonts w:ascii="Arial" w:cs="Arial" w:eastAsia="Arial" w:hAnsi="Arial"/>
                <w:sz w:val="15"/>
                <w:szCs w:val="15"/>
                <w:color w:val="auto"/>
              </w:rPr>
              <w:t>0.2</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1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4.4</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0.1</w:t>
            </w:r>
          </w:p>
        </w:tc>
        <w:tc>
          <w:tcPr>
            <w:tcW w:w="74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6"/>
        </w:trPr>
        <w:tc>
          <w:tcPr>
            <w:tcW w:w="2840" w:type="dxa"/>
            <w:vAlign w:val="bottom"/>
          </w:tcPr>
          <w:p>
            <w:pPr>
              <w:ind w:left="800"/>
              <w:spacing w:after="0"/>
              <w:rPr>
                <w:sz w:val="20"/>
                <w:szCs w:val="20"/>
                <w:color w:val="auto"/>
              </w:rPr>
            </w:pPr>
            <w:r>
              <w:rPr>
                <w:rFonts w:ascii="Arial" w:cs="Arial" w:eastAsia="Arial" w:hAnsi="Arial"/>
                <w:sz w:val="15"/>
                <w:szCs w:val="15"/>
                <w:color w:val="auto"/>
              </w:rPr>
              <w:t>Medical fee-for-service (U)</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101"/>
              <w:spacing w:after="0"/>
              <w:rPr>
                <w:sz w:val="20"/>
                <w:szCs w:val="20"/>
                <w:color w:val="auto"/>
              </w:rPr>
            </w:pPr>
            <w:r>
              <w:rPr>
                <w:rFonts w:ascii="Arial" w:cs="Arial" w:eastAsia="Arial" w:hAnsi="Arial"/>
                <w:sz w:val="15"/>
                <w:szCs w:val="15"/>
                <w:color w:val="auto"/>
              </w:rPr>
              <w:t>0.6</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2.4</w:t>
            </w:r>
          </w:p>
        </w:tc>
        <w:tc>
          <w:tcPr>
            <w:tcW w:w="7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2.4</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2.2</w:t>
            </w:r>
          </w:p>
        </w:tc>
        <w:tc>
          <w:tcPr>
            <w:tcW w:w="74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6"/>
        </w:trPr>
        <w:tc>
          <w:tcPr>
            <w:tcW w:w="2840" w:type="dxa"/>
            <w:vAlign w:val="bottom"/>
          </w:tcPr>
          <w:p>
            <w:pPr>
              <w:ind w:left="620"/>
              <w:spacing w:after="0"/>
              <w:rPr>
                <w:sz w:val="20"/>
                <w:szCs w:val="20"/>
                <w:color w:val="auto"/>
              </w:rPr>
            </w:pPr>
            <w:r>
              <w:rPr>
                <w:rFonts w:ascii="Arial" w:cs="Arial" w:eastAsia="Arial" w:hAnsi="Arial"/>
                <w:sz w:val="15"/>
                <w:szCs w:val="15"/>
                <w:color w:val="auto"/>
              </w:rPr>
              <w:t>Pharmacy (V)</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101"/>
              <w:spacing w:after="0"/>
              <w:rPr>
                <w:sz w:val="20"/>
                <w:szCs w:val="20"/>
                <w:color w:val="auto"/>
              </w:rPr>
            </w:pPr>
            <w:r>
              <w:rPr>
                <w:rFonts w:ascii="Arial" w:cs="Arial" w:eastAsia="Arial" w:hAnsi="Arial"/>
                <w:sz w:val="15"/>
                <w:szCs w:val="15"/>
                <w:color w:val="auto"/>
              </w:rPr>
              <w:t>0.3</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(0.2)</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0.1</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6"/>
        </w:trPr>
        <w:tc>
          <w:tcPr>
            <w:tcW w:w="2840" w:type="dxa"/>
            <w:vAlign w:val="bottom"/>
          </w:tcPr>
          <w:p>
            <w:pPr>
              <w:ind w:left="620"/>
              <w:spacing w:after="0"/>
              <w:rPr>
                <w:sz w:val="20"/>
                <w:szCs w:val="20"/>
                <w:color w:val="auto"/>
              </w:rPr>
            </w:pPr>
            <w:r>
              <w:rPr>
                <w:rFonts w:ascii="Arial" w:cs="Arial" w:eastAsia="Arial" w:hAnsi="Arial"/>
                <w:sz w:val="15"/>
                <w:szCs w:val="15"/>
                <w:color w:val="auto"/>
              </w:rPr>
              <w:t>Processed claims inventory (W)</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61"/>
              <w:spacing w:after="0"/>
              <w:rPr>
                <w:sz w:val="20"/>
                <w:szCs w:val="20"/>
                <w:color w:val="auto"/>
              </w:rPr>
            </w:pPr>
            <w:r>
              <w:rPr>
                <w:rFonts w:ascii="Arial" w:cs="Arial" w:eastAsia="Arial" w:hAnsi="Arial"/>
                <w:sz w:val="15"/>
                <w:szCs w:val="15"/>
                <w:color w:val="auto"/>
              </w:rPr>
              <w:t>(0.1)</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72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1.2</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(0.4)</w:t>
            </w:r>
          </w:p>
        </w:tc>
        <w:tc>
          <w:tcPr>
            <w:tcW w:w="74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6"/>
        </w:trPr>
        <w:tc>
          <w:tcPr>
            <w:tcW w:w="2840" w:type="dxa"/>
            <w:vAlign w:val="bottom"/>
          </w:tcPr>
          <w:p>
            <w:pPr>
              <w:ind w:left="620"/>
              <w:spacing w:after="0"/>
              <w:rPr>
                <w:sz w:val="20"/>
                <w:szCs w:val="20"/>
                <w:color w:val="auto"/>
              </w:rPr>
            </w:pPr>
            <w:r>
              <w:rPr>
                <w:rFonts w:ascii="Arial" w:cs="Arial" w:eastAsia="Arial" w:hAnsi="Arial"/>
                <w:sz w:val="15"/>
                <w:szCs w:val="15"/>
                <w:color w:val="auto"/>
              </w:rPr>
              <w:t>Other (X)</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(0.1)</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7"/>
                <w:szCs w:val="17"/>
                <w:b w:val="1"/>
                <w:bCs w:val="1"/>
                <w:color w:val="auto"/>
              </w:rPr>
              <w:t>DCP—end of period</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41.3</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51.2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w:t>
            </w:r>
          </w:p>
        </w:tc>
        <w:tc>
          <w:tcPr>
            <w:tcW w:w="12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48.4</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Total change from beginning of period</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101"/>
              <w:spacing w:after="0"/>
              <w:rPr>
                <w:sz w:val="20"/>
                <w:szCs w:val="20"/>
                <w:color w:val="auto"/>
              </w:rPr>
            </w:pPr>
            <w:r>
              <w:rPr>
                <w:rFonts w:ascii="Arial" w:cs="Arial" w:eastAsia="Arial" w:hAnsi="Arial"/>
                <w:sz w:val="15"/>
                <w:szCs w:val="15"/>
                <w:color w:val="auto"/>
              </w:rPr>
              <w:t>0.9</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9.9</w:t>
            </w: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12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8.0</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2.9</w:t>
            </w:r>
          </w:p>
        </w:tc>
        <w:tc>
          <w:tcPr>
            <w:tcW w:w="74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S-19</w:t>
      </w:r>
    </w:p>
    <w:p>
      <w:pPr>
        <w:sectPr>
          <w:pgSz w:w="11900" w:h="16838" w:orient="portrait"/>
          <w:cols w:equalWidth="0" w:num="1">
            <w:col w:w="10139"/>
          </w:cols>
          <w:pgMar w:left="320" w:top="876" w:right="1440"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color w:val="auto"/>
        </w:rPr>
        <w:t>Humana Inc.</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Footnotes to Statistical Schedules and Supplementary Information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3Q20 Earnings Release</w:t>
      </w:r>
    </w:p>
    <w:p>
      <w:pPr>
        <w:spacing w:after="0" w:line="210" w:lineRule="exact"/>
        <w:rPr>
          <w:sz w:val="20"/>
          <w:szCs w:val="20"/>
          <w:color w:val="auto"/>
        </w:rPr>
      </w:pPr>
    </w:p>
    <w:p>
      <w:pPr>
        <w:ind w:left="800" w:hanging="333"/>
        <w:spacing w:after="0"/>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Put/call valuation adjustments associated with the company's non-consolidating minority interest investments.</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Net earnings associated with the company's non-consolidating minority interest investments.</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Medicaid and other category includes premiums associated with the company’s Medicaid business.</w:t>
      </w:r>
    </w:p>
    <w:p>
      <w:pPr>
        <w:ind w:left="780" w:right="620" w:hanging="313"/>
        <w:spacing w:after="0" w:line="230" w:lineRule="auto"/>
        <w:tabs>
          <w:tab w:leader="none" w:pos="79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ASO and other category is primarily comprised of Administrative Services Only (ASO) fees and other ancillary services fees, including military services unless separately disclosed.</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Medicaid Temporary Assistance for Needy Families (TANF), dual-eligible demonstration, and Long-Term Support Services (LTSS) from state-based contracts.</w:t>
      </w:r>
    </w:p>
    <w:p>
      <w:pPr>
        <w:ind w:left="780" w:right="220" w:hanging="313"/>
        <w:spacing w:after="0" w:line="230" w:lineRule="auto"/>
        <w:tabs>
          <w:tab w:leader="none" w:pos="801" w:val="left"/>
        </w:tabs>
        <w:numPr>
          <w:ilvl w:val="0"/>
          <w:numId w:val="68"/>
        </w:numPr>
        <w:rPr>
          <w:rFonts w:ascii="Arial" w:cs="Arial" w:eastAsia="Arial" w:hAnsi="Arial"/>
          <w:sz w:val="14"/>
          <w:szCs w:val="14"/>
          <w:color w:val="auto"/>
        </w:rPr>
      </w:pPr>
      <w:r>
        <w:rPr>
          <w:rFonts w:ascii="Arial" w:cs="Arial" w:eastAsia="Arial" w:hAnsi="Arial"/>
          <w:sz w:val="14"/>
          <w:szCs w:val="14"/>
          <w:color w:val="auto"/>
        </w:rPr>
        <w:t>Fully-insured dental membership as reported does not include Humana members that have a Medicare Advantage plan that includes an embedded dental benefit. Costs associated with these dental benefits, however, are recorded in the Group and Specialty segment earnings results.</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Other supplemental benefits include group life policies.</w:t>
      </w:r>
    </w:p>
    <w:p>
      <w:pPr>
        <w:ind w:left="780" w:hanging="313"/>
        <w:spacing w:after="0" w:line="230" w:lineRule="auto"/>
        <w:tabs>
          <w:tab w:leader="none" w:pos="79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1" w:lineRule="exact"/>
        <w:rPr>
          <w:rFonts w:ascii="Arial" w:cs="Arial" w:eastAsia="Arial" w:hAnsi="Arial"/>
          <w:sz w:val="14"/>
          <w:szCs w:val="14"/>
          <w:color w:val="auto"/>
        </w:rPr>
      </w:pPr>
    </w:p>
    <w:p>
      <w:pPr>
        <w:jc w:val="both"/>
        <w:ind w:left="780" w:hanging="313"/>
        <w:spacing w:after="0" w:line="230" w:lineRule="auto"/>
        <w:tabs>
          <w:tab w:leader="none" w:pos="781"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1" w:lineRule="exact"/>
        <w:rPr>
          <w:rFonts w:ascii="Arial" w:cs="Arial" w:eastAsia="Arial" w:hAnsi="Arial"/>
          <w:sz w:val="14"/>
          <w:szCs w:val="14"/>
          <w:color w:val="auto"/>
        </w:rPr>
      </w:pPr>
    </w:p>
    <w:p>
      <w:pPr>
        <w:ind w:left="780" w:right="40" w:hanging="313"/>
        <w:spacing w:after="0" w:line="230" w:lineRule="auto"/>
        <w:tabs>
          <w:tab w:leader="none" w:pos="811" w:val="left"/>
        </w:tabs>
        <w:numPr>
          <w:ilvl w:val="0"/>
          <w:numId w:val="68"/>
        </w:numPr>
        <w:rPr>
          <w:rFonts w:ascii="Arial" w:cs="Arial" w:eastAsia="Arial" w:hAnsi="Arial"/>
          <w:sz w:val="14"/>
          <w:szCs w:val="14"/>
          <w:color w:val="auto"/>
        </w:rPr>
      </w:pPr>
      <w:r>
        <w:rPr>
          <w:rFonts w:ascii="Arial" w:cs="Arial" w:eastAsia="Arial" w:hAnsi="Arial"/>
          <w:sz w:val="14"/>
          <w:szCs w:val="14"/>
          <w:color w:val="auto"/>
        </w:rPr>
        <w:t>Specialty per member per month is computed based on reported specialty premiums and average fully-insured specialty membership for the period. Included with specialty premiums are stop-loss ASO premiums.</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primarily reflect services revenues under the TRICARE East Region contract that generally are contracted on a per-member basis.</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Computed based on average membership for the period (i.e., monthly ending membership during the period divided by the number of months in the period).</w:t>
      </w:r>
    </w:p>
    <w:p>
      <w:pPr>
        <w:ind w:left="780" w:hanging="313"/>
        <w:spacing w:after="0" w:line="248" w:lineRule="auto"/>
        <w:tabs>
          <w:tab w:leader="none" w:pos="7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jc w:val="both"/>
        <w:ind w:left="780" w:right="60" w:hanging="313"/>
        <w:spacing w:after="0" w:line="248" w:lineRule="auto"/>
        <w:tabs>
          <w:tab w:leader="none" w:pos="79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Script volume is presented on an adjusted 30-day equivalent basis. This includes all scripts processed by the Humana pharmacy benefit manager (PBM).</w:t>
      </w:r>
    </w:p>
    <w:p>
      <w:pPr>
        <w:ind w:left="800" w:hanging="333"/>
        <w:spacing w:after="0" w:line="230" w:lineRule="auto"/>
        <w:tabs>
          <w:tab w:leader="none" w:pos="8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reinsurance recoverables associated with the company’s state-based Medicaid contract in Kentucky.</w:t>
      </w:r>
    </w:p>
    <w:p>
      <w:pPr>
        <w:ind w:left="780" w:right="80" w:hanging="313"/>
        <w:spacing w:after="0" w:line="230" w:lineRule="auto"/>
        <w:tabs>
          <w:tab w:leader="none" w:pos="798"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1" w:lineRule="exact"/>
        <w:rPr>
          <w:rFonts w:ascii="Arial" w:cs="Arial" w:eastAsia="Arial" w:hAnsi="Arial"/>
          <w:sz w:val="14"/>
          <w:szCs w:val="14"/>
          <w:color w:val="auto"/>
        </w:rPr>
      </w:pPr>
    </w:p>
    <w:p>
      <w:pPr>
        <w:ind w:left="780" w:right="320" w:hanging="313"/>
        <w:spacing w:after="0" w:line="230" w:lineRule="auto"/>
        <w:tabs>
          <w:tab w:leader="none" w:pos="803"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ind w:left="780" w:right="80" w:hanging="313"/>
        <w:spacing w:after="0" w:line="230" w:lineRule="auto"/>
        <w:tabs>
          <w:tab w:leader="none" w:pos="808" w:val="left"/>
        </w:tabs>
        <w:numPr>
          <w:ilvl w:val="0"/>
          <w:numId w:val="68"/>
        </w:numPr>
        <w:rPr>
          <w:rFonts w:ascii="Arial" w:cs="Arial" w:eastAsia="Arial" w:hAnsi="Arial"/>
          <w:sz w:val="14"/>
          <w:szCs w:val="14"/>
          <w:color w:val="auto"/>
        </w:rPr>
      </w:pPr>
      <w:r>
        <w:rPr>
          <w:rFonts w:ascii="Arial" w:cs="Arial" w:eastAsia="Arial" w:hAnsi="Arial"/>
          <w:sz w:val="14"/>
          <w:szCs w:val="14"/>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spacing w:after="0" w:line="1" w:lineRule="exact"/>
        <w:rPr>
          <w:rFonts w:ascii="Arial" w:cs="Arial" w:eastAsia="Arial" w:hAnsi="Arial"/>
          <w:sz w:val="14"/>
          <w:szCs w:val="14"/>
          <w:color w:val="auto"/>
        </w:rPr>
      </w:pPr>
    </w:p>
    <w:p>
      <w:pPr>
        <w:ind w:left="780" w:right="260" w:hanging="313"/>
        <w:spacing w:after="0" w:line="230" w:lineRule="auto"/>
        <w:tabs>
          <w:tab w:leader="none" w:pos="801"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Provider accruals represent portions of capitation payments set aside to pay future settlements for capitated providers. Related settlements generally happen over a 12-month period.</w:t>
      </w:r>
    </w:p>
    <w:p>
      <w:pPr>
        <w:ind w:left="780" w:hanging="313"/>
        <w:spacing w:after="0" w:line="230"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medical and specialty claims incurred but not reported (IBNR) for non-pharmacy fully-insured products.</w:t>
      </w:r>
    </w:p>
    <w:p>
      <w:pPr>
        <w:ind w:left="780" w:right="260" w:hanging="313"/>
        <w:spacing w:after="0" w:line="248" w:lineRule="auto"/>
        <w:tabs>
          <w:tab w:leader="none" w:pos="796"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ind w:left="780" w:right="180" w:hanging="313"/>
        <w:spacing w:after="0" w:line="230" w:lineRule="auto"/>
        <w:tabs>
          <w:tab w:leader="none" w:pos="795"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ind w:left="780" w:right="200" w:hanging="313"/>
        <w:spacing w:after="0" w:line="237" w:lineRule="auto"/>
        <w:tabs>
          <w:tab w:leader="none" w:pos="808"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S-20</w:t>
      </w:r>
    </w:p>
    <w:sectPr>
      <w:pgSz w:w="11900" w:h="16838" w:orient="portrait"/>
      <w:cols w:equalWidth="0" w:num="1">
        <w:col w:w="11240"/>
      </w:cols>
      <w:pgMar w:left="320" w:top="10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lvl w:ilvl="1">
      <w:lvlJc w:val="left"/>
      <w:lvlText w:val="◦"/>
      <w:numFmt w:val="bullet"/>
      <w:start w:val="1"/>
    </w:lvl>
  </w:abstractNum>
  <w:abstractNum w:abstractNumId="2">
    <w:nsid w:val="440BADFC"/>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
    <w:nsid w:val="5072367"/>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4">
    <w:nsid w:val="3804823E"/>
    <w:multiLevelType w:val="hybridMultilevel"/>
    <w:lvl w:ilvl="0">
      <w:lvlJc w:val="left"/>
      <w:lvlText w:val="(%1)"/>
      <w:numFmt w:val="lowerRoman"/>
    </w:lvl>
    <w:lvl w:ilvl="1">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lvl w:ilvl="1">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lvl w:ilvl="1">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lvl w:ilvl="1">
      <w:lvlJc w:val="left"/>
      <w:lvlText w:val="◦"/>
      <w:numFmt w:val="bullet"/>
      <w:start w:val="1"/>
    </w:lvl>
  </w:abstractNum>
  <w:abstractNum w:abstractNumId="28">
    <w:nsid w:val="32FFF902"/>
    <w:multiLevelType w:val="hybridMultilevel"/>
    <w:lvl w:ilvl="0">
      <w:lvlJc w:val="left"/>
      <w:lvlText w:val="•"/>
      <w:numFmt w:val="bullet"/>
      <w:start w:val="1"/>
    </w:lvl>
    <w:lvl w:ilvl="1">
      <w:lvlJc w:val="left"/>
      <w:lvlText w:val="◦"/>
      <w:numFmt w:val="bullet"/>
      <w:start w:val="1"/>
    </w:lvl>
  </w:abstractNum>
  <w:abstractNum w:abstractNumId="29">
    <w:nsid w:val="684A481A"/>
    <w:multiLevelType w:val="hybridMultilevel"/>
    <w:lvl w:ilvl="0">
      <w:lvlJc w:val="left"/>
      <w:lvlText w:val="•"/>
      <w:numFmt w:val="bullet"/>
      <w:start w:val="1"/>
    </w:lvl>
    <w:lvl w:ilvl="1">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lvl w:ilvl="1">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lvl w:ilvl="1">
      <w:lvlJc w:val="left"/>
      <w:lvlText w:val="◦"/>
      <w:numFmt w:val="bullet"/>
      <w:start w:val="1"/>
    </w:lvl>
  </w:abstractNum>
  <w:abstractNum w:abstractNumId="35">
    <w:nsid w:val="75C6C3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lvl w:ilvl="1">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lvl w:ilvl="1">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8">
    <w:nsid w:val="47398C89"/>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49">
    <w:nsid w:val="354FE9F9"/>
    <w:multiLevelType w:val="hybridMultilevel"/>
    <w:lvl w:ilvl="0">
      <w:lvlJc w:val="left"/>
      <w:lvlText w:val="(%1)"/>
      <w:numFmt w:val="lowerLetter"/>
      <w:start w:val="7"/>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1)"/>
      <w:numFmt w:val="lowerLetter"/>
      <w:start w:val="10"/>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7"/>
    </w:lvl>
  </w:abstractNum>
  <w:abstractNum w:abstractNumId="61">
    <w:nsid w:val="2F305DEF"/>
    <w:multiLevelType w:val="hybridMultilevel"/>
    <w:lvl w:ilvl="0">
      <w:lvlJc w:val="left"/>
      <w:lvlText w:val="1"/>
      <w:numFmt w:val="bullet"/>
      <w:start w:val="1"/>
    </w:lvl>
  </w:abstractNum>
  <w:abstractNum w:abstractNumId="62">
    <w:nsid w:val="25A70BF7"/>
    <w:multiLevelType w:val="hybridMultilevel"/>
    <w:lvl w:ilvl="0">
      <w:lvlJc w:val="left"/>
      <w:lvlText w:val="(%1)"/>
      <w:numFmt w:val="decimal"/>
      <w:start w:val="91"/>
    </w:lvl>
  </w:abstractNum>
  <w:abstractNum w:abstractNumId="63">
    <w:nsid w:val="1DBABF00"/>
    <w:multiLevelType w:val="hybridMultilevel"/>
    <w:lvl w:ilvl="0">
      <w:lvlJc w:val="left"/>
      <w:lvlText w:val="%1"/>
      <w:numFmt w:val="decimal"/>
      <w:start w:val="589"/>
    </w:lvl>
    <w:lvl w:ilvl="1">
      <w:lvlJc w:val="left"/>
      <w:lvlText w:val="(%2)"/>
      <w:numFmt w:val="decimal"/>
      <w:start w:val="41"/>
    </w:lvl>
  </w:abstractNum>
  <w:abstractNum w:abstractNumId="64">
    <w:nsid w:val="4AD084E9"/>
    <w:multiLevelType w:val="hybridMultilevel"/>
    <w:lvl w:ilvl="0">
      <w:lvlJc w:val="left"/>
      <w:lvlText w:val="(%1)"/>
      <w:numFmt w:val="decimal"/>
      <w:start w:val="21"/>
    </w:lvl>
  </w:abstractNum>
  <w:abstractNum w:abstractNumId="65">
    <w:nsid w:val="1F48EAA1"/>
    <w:multiLevelType w:val="hybridMultilevel"/>
    <w:lvl w:ilvl="0">
      <w:lvlJc w:val="left"/>
      <w:lvlText w:val="(%1)"/>
      <w:numFmt w:val="decimal"/>
      <w:start w:val="97"/>
    </w:lvl>
  </w:abstractNum>
  <w:abstractNum w:abstractNumId="66">
    <w:nsid w:val="1381823A"/>
    <w:multiLevelType w:val="hybridMultilevel"/>
    <w:lvl w:ilvl="0">
      <w:lvlJc w:val="left"/>
      <w:lvlText w:val="(%1)"/>
      <w:numFmt w:val="decimal"/>
      <w:start w:val="65"/>
    </w:lvl>
  </w:abstractNum>
  <w:abstractNum w:abstractNumId="67">
    <w:nsid w:val="5DB70AE5"/>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2020-11-03T05:54:15Z</dcterms:created>
  <dcterms:modified xsi:type="dcterms:W3CDTF">2020-11-03T05:54:15Z</dcterms:modified>
</cp:coreProperties>
</file>