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63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6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93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Rechtin James A.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HUMANA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E. MAIN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HUMANA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HUM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93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35,633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63,938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458.185</w:t>
            </w: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01/08/2031</w:t>
            </w: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73"/>
                <w:vertAlign w:val="sub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73"/>
              </w:rPr>
              <w:t>Humana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29,230</w:t>
            </w: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29,230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  <w:right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367.21</w:t>
            </w:r>
          </w:p>
        </w:tc>
        <w:tc>
          <w:tcPr>
            <w:tcW w:w="10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02/21/2031</w:t>
            </w: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74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74"/>
                <w:vertAlign w:val="superscript"/>
              </w:rPr>
              <w:t>Humana</w:t>
            </w: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15,772</w:t>
            </w: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15,772</w:t>
            </w: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Humana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2,183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2,183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-2653665</wp:posOffset>
            </wp:positionV>
            <wp:extent cx="29210" cy="26587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5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held in two revocable trust(s) for the benefit of reporting person and reporting person's spouse, with reporting person and spouse being sole trustees.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2019 Amended &amp; Restated Stock Incentive Plan. Incentive and Non-Qualified stock options granted to reporting person on 1/8/2024, vesting in three annual increments from 1/8/25 to 1/8/27.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2019 Amended &amp; Restated Stock Incentive Plan. Incentive and Non-Qualified stock options granted to reporting person on 2/21/2024, vesting in three annual increments from 2/21/25 to 2/21/27.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receive one share per restricted stock unit pursuant to the Company's 2019 Amended &amp; Restated Stock Incentive Plan. Each restricted stock unit represents a contingent right to receive one share of Humana Inc. common stock, exempt under Rule 16b-3(d)(1) &amp; (3).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to reporting person on 1/8/2024, 33% of the award is vesting on 1/8/25, 1/8/26, and 1/8/27.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49,687 restricted stock units representing a contingent right to receive one share of Humana Inc. common stock, exempt under Rule 16b-3(d)(1)&amp;(3) under the Company's 2019 Amended &amp; Restated and 2026 Stock Incentive Plans.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 A. Rechtin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05/05/2026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93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6065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2026-05-05T13:28:27Z</dcterms:created>
  <dcterms:modified xsi:type="dcterms:W3CDTF">2026-05-05T13:28:27Z</dcterms:modified>
</cp:coreProperties>
</file>