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2"/>
          <w:szCs w:val="22"/>
          <w:b w:val="1"/>
          <w:bCs w:val="1"/>
          <w:color w:val="auto"/>
        </w:rPr>
        <w:t>Pursuant to Section 13 or 15(d) of the</w:t>
      </w:r>
    </w:p>
    <w:p>
      <w:pPr>
        <w:jc w:val="center"/>
        <w:spacing w:after="0" w:line="230" w:lineRule="auto"/>
        <w:rPr>
          <w:sz w:val="20"/>
          <w:szCs w:val="20"/>
          <w:color w:val="auto"/>
        </w:rPr>
      </w:pPr>
      <w:r>
        <w:rPr>
          <w:rFonts w:ascii="Arial" w:cs="Arial" w:eastAsia="Arial" w:hAnsi="Arial"/>
          <w:sz w:val="22"/>
          <w:szCs w:val="22"/>
          <w:b w:val="1"/>
          <w:bCs w:val="1"/>
          <w:color w:val="auto"/>
        </w:rPr>
        <w:t>Securities Exchange Act of 1934</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October 15, 2019 (October 14,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4"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Humana Inc.</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4"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4100" w:type="dxa"/>
            <w:vAlign w:val="bottom"/>
            <w:tcBorders>
              <w:bottom w:val="single" w:sz="8" w:color="auto"/>
            </w:tcBorders>
          </w:tcPr>
          <w:p>
            <w:pPr>
              <w:jc w:val="center"/>
              <w:ind w:right="102"/>
              <w:spacing w:after="0"/>
              <w:rPr>
                <w:sz w:val="20"/>
                <w:szCs w:val="20"/>
                <w:color w:val="auto"/>
              </w:rPr>
            </w:pPr>
            <w:r>
              <w:rPr>
                <w:rFonts w:ascii="Arial" w:cs="Arial" w:eastAsia="Arial" w:hAnsi="Arial"/>
                <w:sz w:val="18"/>
                <w:szCs w:val="18"/>
                <w:b w:val="1"/>
                <w:bCs w:val="1"/>
                <w:color w:val="auto"/>
                <w:w w:val="91"/>
              </w:rPr>
              <w:t>Delaware</w:t>
            </w:r>
          </w:p>
        </w:tc>
        <w:tc>
          <w:tcPr>
            <w:tcW w:w="3520" w:type="dxa"/>
            <w:vAlign w:val="bottom"/>
            <w:tcBorders>
              <w:bottom w:val="single" w:sz="8" w:color="auto"/>
            </w:tcBorders>
          </w:tcPr>
          <w:p>
            <w:pPr>
              <w:ind w:left="1320"/>
              <w:spacing w:after="0"/>
              <w:rPr>
                <w:sz w:val="20"/>
                <w:szCs w:val="20"/>
                <w:color w:val="auto"/>
              </w:rPr>
            </w:pPr>
            <w:r>
              <w:rPr>
                <w:rFonts w:ascii="Arial" w:cs="Arial" w:eastAsia="Arial" w:hAnsi="Arial"/>
                <w:sz w:val="18"/>
                <w:szCs w:val="18"/>
                <w:b w:val="1"/>
                <w:bCs w:val="1"/>
                <w:color w:val="auto"/>
              </w:rPr>
              <w:t>001-05975</w:t>
            </w:r>
          </w:p>
        </w:tc>
        <w:tc>
          <w:tcPr>
            <w:tcW w:w="3800" w:type="dxa"/>
            <w:vAlign w:val="bottom"/>
            <w:tcBorders>
              <w:bottom w:val="single" w:sz="8" w:color="auto"/>
            </w:tcBorders>
          </w:tcPr>
          <w:p>
            <w:pPr>
              <w:jc w:val="center"/>
              <w:ind w:left="22"/>
              <w:spacing w:after="0"/>
              <w:rPr>
                <w:sz w:val="20"/>
                <w:szCs w:val="20"/>
                <w:color w:val="auto"/>
              </w:rPr>
            </w:pPr>
            <w:r>
              <w:rPr>
                <w:rFonts w:ascii="Arial" w:cs="Arial" w:eastAsia="Arial" w:hAnsi="Arial"/>
                <w:sz w:val="18"/>
                <w:szCs w:val="18"/>
                <w:b w:val="1"/>
                <w:bCs w:val="1"/>
                <w:color w:val="auto"/>
                <w:w w:val="89"/>
              </w:rPr>
              <w:t>61-0647538</w:t>
            </w:r>
          </w:p>
        </w:tc>
      </w:tr>
      <w:tr>
        <w:trPr>
          <w:trHeight w:val="133"/>
        </w:trPr>
        <w:tc>
          <w:tcPr>
            <w:tcW w:w="4100" w:type="dxa"/>
            <w:vAlign w:val="bottom"/>
          </w:tcPr>
          <w:p>
            <w:pPr>
              <w:jc w:val="center"/>
              <w:ind w:right="102"/>
              <w:spacing w:after="0" w:line="133" w:lineRule="exact"/>
              <w:rPr>
                <w:sz w:val="20"/>
                <w:szCs w:val="20"/>
                <w:color w:val="auto"/>
              </w:rPr>
            </w:pPr>
            <w:r>
              <w:rPr>
                <w:rFonts w:ascii="Arial" w:cs="Arial" w:eastAsia="Arial" w:hAnsi="Arial"/>
                <w:sz w:val="14"/>
                <w:szCs w:val="14"/>
                <w:b w:val="1"/>
                <w:bCs w:val="1"/>
                <w:color w:val="auto"/>
                <w:w w:val="94"/>
              </w:rPr>
              <w:t>(State or Other Jurisdiction</w:t>
            </w:r>
          </w:p>
        </w:tc>
        <w:tc>
          <w:tcPr>
            <w:tcW w:w="3520" w:type="dxa"/>
            <w:vAlign w:val="bottom"/>
          </w:tcPr>
          <w:p>
            <w:pPr>
              <w:ind w:left="1320"/>
              <w:spacing w:after="0" w:line="133" w:lineRule="exact"/>
              <w:rPr>
                <w:sz w:val="20"/>
                <w:szCs w:val="20"/>
                <w:color w:val="auto"/>
              </w:rPr>
            </w:pPr>
            <w:r>
              <w:rPr>
                <w:rFonts w:ascii="Arial" w:cs="Arial" w:eastAsia="Arial" w:hAnsi="Arial"/>
                <w:sz w:val="14"/>
                <w:szCs w:val="14"/>
                <w:b w:val="1"/>
                <w:bCs w:val="1"/>
                <w:color w:val="auto"/>
              </w:rPr>
              <w:t>(Commission</w:t>
            </w:r>
          </w:p>
        </w:tc>
        <w:tc>
          <w:tcPr>
            <w:tcW w:w="3800" w:type="dxa"/>
            <w:vAlign w:val="bottom"/>
          </w:tcPr>
          <w:p>
            <w:pPr>
              <w:jc w:val="center"/>
              <w:ind w:left="22"/>
              <w:spacing w:after="0" w:line="133"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4100" w:type="dxa"/>
            <w:vAlign w:val="bottom"/>
          </w:tcPr>
          <w:p>
            <w:pPr>
              <w:jc w:val="center"/>
              <w:ind w:right="102"/>
              <w:spacing w:after="0"/>
              <w:rPr>
                <w:sz w:val="20"/>
                <w:szCs w:val="20"/>
                <w:color w:val="auto"/>
              </w:rPr>
            </w:pPr>
            <w:r>
              <w:rPr>
                <w:rFonts w:ascii="Arial" w:cs="Arial" w:eastAsia="Arial" w:hAnsi="Arial"/>
                <w:sz w:val="14"/>
                <w:szCs w:val="14"/>
                <w:b w:val="1"/>
                <w:bCs w:val="1"/>
                <w:color w:val="auto"/>
                <w:w w:val="96"/>
              </w:rPr>
              <w:t>of Incorporation)</w:t>
            </w:r>
          </w:p>
        </w:tc>
        <w:tc>
          <w:tcPr>
            <w:tcW w:w="3520" w:type="dxa"/>
            <w:vAlign w:val="bottom"/>
          </w:tcPr>
          <w:p>
            <w:pPr>
              <w:ind w:left="1300"/>
              <w:spacing w:after="0"/>
              <w:rPr>
                <w:sz w:val="20"/>
                <w:szCs w:val="20"/>
                <w:color w:val="auto"/>
              </w:rPr>
            </w:pPr>
            <w:r>
              <w:rPr>
                <w:rFonts w:ascii="Arial" w:cs="Arial" w:eastAsia="Arial" w:hAnsi="Arial"/>
                <w:sz w:val="14"/>
                <w:szCs w:val="14"/>
                <w:b w:val="1"/>
                <w:bCs w:val="1"/>
                <w:color w:val="auto"/>
              </w:rPr>
              <w:t>File Number)</w:t>
            </w:r>
          </w:p>
        </w:tc>
        <w:tc>
          <w:tcPr>
            <w:tcW w:w="3800" w:type="dxa"/>
            <w:vAlign w:val="bottom"/>
          </w:tcPr>
          <w:p>
            <w:pPr>
              <w:jc w:val="center"/>
              <w:ind w:left="22"/>
              <w:spacing w:after="0"/>
              <w:rPr>
                <w:sz w:val="20"/>
                <w:szCs w:val="20"/>
                <w:color w:val="auto"/>
              </w:rPr>
            </w:pPr>
            <w:r>
              <w:rPr>
                <w:rFonts w:ascii="Arial" w:cs="Arial" w:eastAsia="Arial" w:hAnsi="Arial"/>
                <w:sz w:val="14"/>
                <w:szCs w:val="14"/>
                <w:b w:val="1"/>
                <w:bCs w:val="1"/>
                <w:color w:val="auto"/>
                <w:w w:val="96"/>
              </w:rPr>
              <w:t>Identification No.)</w:t>
            </w:r>
          </w:p>
        </w:tc>
      </w:tr>
    </w:tbl>
    <w:p>
      <w:pPr>
        <w:spacing w:after="0" w:line="273" w:lineRule="exact"/>
        <w:rPr>
          <w:sz w:val="24"/>
          <w:szCs w:val="24"/>
          <w:color w:val="auto"/>
        </w:rPr>
      </w:pPr>
    </w:p>
    <w:p>
      <w:pPr>
        <w:ind w:left="3700"/>
        <w:spacing w:after="0"/>
        <w:rPr>
          <w:sz w:val="20"/>
          <w:szCs w:val="20"/>
          <w:color w:val="auto"/>
        </w:rPr>
      </w:pPr>
      <w:r>
        <w:rPr>
          <w:rFonts w:ascii="Arial" w:cs="Arial" w:eastAsia="Arial" w:hAnsi="Arial"/>
          <w:sz w:val="20"/>
          <w:szCs w:val="20"/>
          <w:b w:val="1"/>
          <w:bCs w:val="1"/>
          <w:color w:val="auto"/>
        </w:rPr>
        <w:t>500 W. Main Street, Louisville, Kentucky 40202</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 and Zip Code)</w:t>
      </w:r>
    </w:p>
    <w:p>
      <w:pPr>
        <w:spacing w:after="0" w:line="147"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(502) 580-1000</w:t>
      </w:r>
    </w:p>
    <w:p>
      <w:pPr>
        <w:spacing w:after="0" w:line="2" w:lineRule="exact"/>
        <w:rPr>
          <w:sz w:val="24"/>
          <w:szCs w:val="24"/>
          <w:color w:val="auto"/>
        </w:rPr>
      </w:pPr>
    </w:p>
    <w:p>
      <w:pPr>
        <w:ind w:left="4060"/>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15" w:lineRule="exact"/>
        <w:rPr>
          <w:sz w:val="24"/>
          <w:szCs w:val="24"/>
          <w:color w:val="auto"/>
        </w:rPr>
      </w:pPr>
    </w:p>
    <w:p>
      <w:pPr>
        <w:ind w:left="366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93" w:lineRule="exact"/>
        <w:rPr>
          <w:sz w:val="24"/>
          <w:szCs w:val="24"/>
          <w:color w:val="auto"/>
        </w:rPr>
      </w:pPr>
    </w:p>
    <w:p>
      <w:pPr>
        <w:ind w:right="120"/>
        <w:spacing w:after="0" w:line="262"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75" w:lineRule="exact"/>
        <w:rPr>
          <w:sz w:val="24"/>
          <w:szCs w:val="24"/>
          <w:color w:val="auto"/>
        </w:rPr>
      </w:pPr>
    </w:p>
    <w:p>
      <w:pPr>
        <w:ind w:left="920" w:hanging="453"/>
        <w:spacing w:after="0"/>
        <w:tabs>
          <w:tab w:leader="none" w:pos="9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20" w:hanging="453"/>
        <w:spacing w:after="0"/>
        <w:tabs>
          <w:tab w:leader="none" w:pos="9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20" w:hanging="453"/>
        <w:spacing w:after="0"/>
        <w:tabs>
          <w:tab w:leader="none" w:pos="9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 pursuant to Rule 14d-2(b) under the Exchange Act (17 CFR 240.14d-2(b))</w:t>
      </w:r>
    </w:p>
    <w:p>
      <w:pPr>
        <w:spacing w:after="0" w:line="117" w:lineRule="exact"/>
        <w:rPr>
          <w:rFonts w:ascii="MS PGothic" w:cs="MS PGothic" w:eastAsia="MS PGothic" w:hAnsi="MS PGothic"/>
          <w:sz w:val="18"/>
          <w:szCs w:val="18"/>
          <w:color w:val="auto"/>
        </w:rPr>
      </w:pPr>
    </w:p>
    <w:p>
      <w:pPr>
        <w:ind w:left="40" w:right="2520" w:firstLine="427"/>
        <w:spacing w:after="0" w:line="333" w:lineRule="auto"/>
        <w:tabs>
          <w:tab w:leader="none" w:pos="931"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 pursuant to Rule 13e-4(c) under the Exchange Act (17 CFR 240.13e-4(c)) Securities registered pursuant to Section 12(b) of the Act:</w:t>
      </w:r>
    </w:p>
    <w:tbl>
      <w:tblPr>
        <w:tblLayout w:type="fixed"/>
        <w:tblInd w:w="70" w:type="dxa"/>
        <w:tblCellMar>
          <w:top w:w="0" w:type="dxa"/>
          <w:left w:w="0" w:type="dxa"/>
          <w:bottom w:w="0" w:type="dxa"/>
          <w:right w:w="0" w:type="dxa"/>
        </w:tblCellMar>
      </w:tblPr>
      <w:tr>
        <w:trPr>
          <w:trHeight w:val="190"/>
        </w:trPr>
        <w:tc>
          <w:tcPr>
            <w:tcW w:w="4260" w:type="dxa"/>
            <w:vAlign w:val="bottom"/>
            <w:tcBorders>
              <w:top w:val="single" w:sz="8" w:color="auto"/>
              <w:left w:val="single" w:sz="8" w:color="auto"/>
              <w:bottom w:val="single" w:sz="8" w:color="auto"/>
              <w:right w:val="single" w:sz="8" w:color="auto"/>
            </w:tcBorders>
          </w:tcPr>
          <w:p>
            <w:pPr>
              <w:jc w:val="center"/>
              <w:spacing w:after="0" w:line="190" w:lineRule="exact"/>
              <w:rPr>
                <w:sz w:val="20"/>
                <w:szCs w:val="20"/>
                <w:color w:val="auto"/>
              </w:rPr>
            </w:pPr>
            <w:r>
              <w:rPr>
                <w:rFonts w:ascii="Arial" w:cs="Arial" w:eastAsia="Arial" w:hAnsi="Arial"/>
                <w:sz w:val="18"/>
                <w:szCs w:val="18"/>
                <w:b w:val="1"/>
                <w:bCs w:val="1"/>
                <w:color w:val="auto"/>
                <w:w w:val="86"/>
              </w:rPr>
              <w:t>Title of each class</w:t>
            </w:r>
          </w:p>
        </w:tc>
        <w:tc>
          <w:tcPr>
            <w:tcW w:w="2780" w:type="dxa"/>
            <w:vAlign w:val="bottom"/>
            <w:tcBorders>
              <w:top w:val="single" w:sz="8" w:color="auto"/>
              <w:bottom w:val="single" w:sz="8" w:color="auto"/>
              <w:right w:val="single" w:sz="8" w:color="auto"/>
            </w:tcBorders>
          </w:tcPr>
          <w:p>
            <w:pPr>
              <w:jc w:val="center"/>
              <w:spacing w:after="0" w:line="190" w:lineRule="exact"/>
              <w:rPr>
                <w:sz w:val="20"/>
                <w:szCs w:val="20"/>
                <w:color w:val="auto"/>
              </w:rPr>
            </w:pPr>
            <w:r>
              <w:rPr>
                <w:rFonts w:ascii="Arial" w:cs="Arial" w:eastAsia="Arial" w:hAnsi="Arial"/>
                <w:sz w:val="18"/>
                <w:szCs w:val="18"/>
                <w:b w:val="1"/>
                <w:bCs w:val="1"/>
                <w:color w:val="auto"/>
                <w:w w:val="91"/>
              </w:rPr>
              <w:t>Trading Symbol(s)</w:t>
            </w:r>
          </w:p>
        </w:tc>
        <w:tc>
          <w:tcPr>
            <w:tcW w:w="4280" w:type="dxa"/>
            <w:vAlign w:val="bottom"/>
            <w:tcBorders>
              <w:top w:val="single" w:sz="8" w:color="auto"/>
              <w:bottom w:val="single" w:sz="8" w:color="auto"/>
              <w:right w:val="single" w:sz="8" w:color="auto"/>
            </w:tcBorders>
          </w:tcPr>
          <w:p>
            <w:pPr>
              <w:jc w:val="center"/>
              <w:spacing w:after="0" w:line="190" w:lineRule="exact"/>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10"/>
        </w:trPr>
        <w:tc>
          <w:tcPr>
            <w:tcW w:w="4260" w:type="dxa"/>
            <w:vAlign w:val="bottom"/>
            <w:tcBorders>
              <w:left w:val="single" w:sz="8" w:color="auto"/>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89"/>
              </w:rPr>
              <w:t>Common Stock</w:t>
            </w:r>
          </w:p>
        </w:tc>
        <w:tc>
          <w:tcPr>
            <w:tcW w:w="278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rPr>
              <w:t>HUM</w:t>
            </w:r>
          </w:p>
        </w:tc>
        <w:tc>
          <w:tcPr>
            <w:tcW w:w="428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1"/>
              </w:rPr>
              <w:t>New York Stock Exchange LLC</w:t>
            </w:r>
          </w:p>
        </w:tc>
      </w:tr>
    </w:tbl>
    <w:p>
      <w:pPr>
        <w:spacing w:after="0" w:line="94" w:lineRule="exact"/>
        <w:rPr>
          <w:sz w:val="24"/>
          <w:szCs w:val="24"/>
          <w:color w:val="auto"/>
        </w:rPr>
      </w:pPr>
    </w:p>
    <w:p>
      <w:pPr>
        <w:ind w:right="320"/>
        <w:spacing w:after="0" w:line="262"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4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44" w:lineRule="exact"/>
        <w:rPr>
          <w:sz w:val="24"/>
          <w:szCs w:val="24"/>
          <w:color w:val="auto"/>
        </w:rPr>
      </w:pPr>
    </w:p>
    <w:p>
      <w:pPr>
        <w:ind w:right="140"/>
        <w:spacing w:after="0" w:line="21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1" w:name="page2"/>
    <w:bookmarkEnd w:id="1"/>
    <w:p>
      <w:pPr>
        <w:spacing w:after="0"/>
        <w:tabs>
          <w:tab w:leader="none" w:pos="1320" w:val="left"/>
        </w:tabs>
        <w:rPr>
          <w:sz w:val="20"/>
          <w:szCs w:val="20"/>
          <w:color w:val="auto"/>
        </w:rPr>
      </w:pPr>
      <w:r>
        <w:rPr>
          <w:rFonts w:ascii="Arial" w:cs="Arial" w:eastAsia="Arial" w:hAnsi="Arial"/>
          <w:sz w:val="20"/>
          <w:szCs w:val="20"/>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20"/>
          <w:szCs w:val="20"/>
          <w:b w:val="1"/>
          <w:bCs w:val="1"/>
          <w:color w:val="auto"/>
        </w:rPr>
        <w:t>Certain Officers; Compensatory Arrangements of Certain Officers.</w:t>
      </w:r>
    </w:p>
    <w:p>
      <w:pPr>
        <w:spacing w:after="0" w:line="186" w:lineRule="exact"/>
        <w:rPr>
          <w:sz w:val="20"/>
          <w:szCs w:val="20"/>
          <w:color w:val="auto"/>
        </w:rPr>
      </w:pPr>
    </w:p>
    <w:p>
      <w:pPr>
        <w:ind w:left="880" w:hanging="872"/>
        <w:spacing w:after="0"/>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October 14, 2019, Karen B. DeSalvo, MD, a member of the Board of Directors of Humana Inc. (the “Company”), notified the</w:t>
      </w:r>
    </w:p>
    <w:p>
      <w:pPr>
        <w:spacing w:after="0" w:line="77"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Company of her intention to resign from the Company’s Board of Directors (the “Board”), effective October 15, 2019. Dr. DeSalvo has indicated that her departure from the Board was not the result of any disagreement with management or the Board, but was in order to avoid the appearance of any conflict of interest in connection with her plan to pursue a new executive opportunity.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375920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2" w:name="page3"/>
    <w:bookmarkEnd w:id="2"/>
    <w:p>
      <w:pPr>
        <w:jc w:val="center"/>
        <w:ind w:right="-339"/>
        <w:spacing w:after="0"/>
        <w:rPr>
          <w:sz w:val="20"/>
          <w:szCs w:val="20"/>
          <w:color w:val="auto"/>
        </w:rPr>
      </w:pPr>
      <w:r>
        <w:rPr>
          <w:rFonts w:ascii="Arial" w:cs="Arial" w:eastAsia="Arial" w:hAnsi="Arial"/>
          <w:sz w:val="20"/>
          <w:szCs w:val="20"/>
          <w:b w:val="1"/>
          <w:bCs w:val="1"/>
          <w:color w:val="auto"/>
        </w:rPr>
        <w:t>SIGNATURES</w:t>
      </w:r>
    </w:p>
    <w:p>
      <w:pPr>
        <w:spacing w:after="0" w:line="304" w:lineRule="exact"/>
        <w:rPr>
          <w:sz w:val="20"/>
          <w:szCs w:val="20"/>
          <w:color w:val="auto"/>
        </w:rPr>
      </w:pPr>
    </w:p>
    <w:p>
      <w:pPr>
        <w:ind w:right="80" w:firstLine="648"/>
        <w:spacing w:after="0" w:line="246"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35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HUMANA INC.</w:t>
      </w:r>
    </w:p>
    <w:p>
      <w:pPr>
        <w:spacing w:after="0" w:line="212"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b w:val="1"/>
          <w:bCs w:val="1"/>
          <w:color w:val="auto"/>
        </w:rPr>
        <w:t>BY:</w:t>
      </w:r>
      <w:r>
        <w:rPr>
          <w:sz w:val="20"/>
          <w:szCs w:val="20"/>
          <w:color w:val="auto"/>
        </w:rPr>
        <w:tab/>
      </w:r>
      <w:r>
        <w:rPr>
          <w:rFonts w:ascii="Arial" w:cs="Arial" w:eastAsia="Arial" w:hAnsi="Arial"/>
          <w:sz w:val="18"/>
          <w:szCs w:val="18"/>
          <w:b w:val="1"/>
          <w:bCs w:val="1"/>
          <w:u w:val="single" w:color="auto"/>
          <w:color w:val="auto"/>
        </w:rPr>
        <w:t>/s/ Cynthia H. Zipperle</w:t>
      </w:r>
    </w:p>
    <w:p>
      <w:pPr>
        <w:spacing w:after="0" w:line="11" w:lineRule="exact"/>
        <w:rPr>
          <w:sz w:val="20"/>
          <w:szCs w:val="20"/>
          <w:color w:val="auto"/>
        </w:rPr>
      </w:pPr>
    </w:p>
    <w:p>
      <w:pPr>
        <w:ind w:left="6220"/>
        <w:spacing w:after="0"/>
        <w:rPr>
          <w:sz w:val="20"/>
          <w:szCs w:val="20"/>
          <w:color w:val="auto"/>
        </w:rPr>
      </w:pPr>
      <w:r>
        <w:rPr>
          <w:rFonts w:ascii="Arial" w:cs="Arial" w:eastAsia="Arial" w:hAnsi="Arial"/>
          <w:sz w:val="18"/>
          <w:szCs w:val="18"/>
          <w:b w:val="1"/>
          <w:bCs w:val="1"/>
          <w:color w:val="auto"/>
        </w:rPr>
        <w:t>Cynthia H. Zipperle</w:t>
      </w:r>
    </w:p>
    <w:p>
      <w:pPr>
        <w:ind w:left="6220"/>
        <w:spacing w:after="0"/>
        <w:rPr>
          <w:sz w:val="20"/>
          <w:szCs w:val="20"/>
          <w:color w:val="auto"/>
        </w:rPr>
      </w:pPr>
      <w:r>
        <w:rPr>
          <w:rFonts w:ascii="Arial" w:cs="Arial" w:eastAsia="Arial" w:hAnsi="Arial"/>
          <w:sz w:val="16"/>
          <w:szCs w:val="16"/>
          <w:b w:val="1"/>
          <w:bCs w:val="1"/>
          <w:color w:val="auto"/>
        </w:rPr>
        <w:t>Senior Vice President, Chief Accounting Officer and Controller</w:t>
      </w:r>
    </w:p>
    <w:p>
      <w:pPr>
        <w:spacing w:after="0" w:line="19" w:lineRule="exact"/>
        <w:rPr>
          <w:sz w:val="20"/>
          <w:szCs w:val="20"/>
          <w:color w:val="auto"/>
        </w:rPr>
      </w:pPr>
    </w:p>
    <w:p>
      <w:pPr>
        <w:ind w:left="6220"/>
        <w:spacing w:after="0"/>
        <w:rPr>
          <w:sz w:val="20"/>
          <w:szCs w:val="20"/>
          <w:color w:val="auto"/>
        </w:rPr>
      </w:pPr>
      <w:r>
        <w:rPr>
          <w:rFonts w:ascii="Arial" w:cs="Arial" w:eastAsia="Arial" w:hAnsi="Arial"/>
          <w:sz w:val="18"/>
          <w:szCs w:val="18"/>
          <w:b w:val="1"/>
          <w:bCs w:val="1"/>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tabs>
          <w:tab w:leader="none" w:pos="720" w:val="left"/>
        </w:tabs>
        <w:rPr>
          <w:sz w:val="20"/>
          <w:szCs w:val="20"/>
          <w:color w:val="auto"/>
        </w:rPr>
      </w:pPr>
      <w:r>
        <w:rPr>
          <w:rFonts w:ascii="Arial" w:cs="Arial" w:eastAsia="Arial" w:hAnsi="Arial"/>
          <w:sz w:val="20"/>
          <w:szCs w:val="20"/>
          <w:color w:val="auto"/>
        </w:rPr>
        <w:t>Dated:</w:t>
      </w:r>
      <w:r>
        <w:rPr>
          <w:sz w:val="20"/>
          <w:szCs w:val="20"/>
          <w:color w:val="auto"/>
        </w:rPr>
        <w:tab/>
      </w:r>
      <w:r>
        <w:rPr>
          <w:rFonts w:ascii="Arial" w:cs="Arial" w:eastAsia="Arial" w:hAnsi="Arial"/>
          <w:sz w:val="16"/>
          <w:szCs w:val="16"/>
          <w:color w:val="auto"/>
        </w:rPr>
        <w:t>October 15, 2019</w:t>
      </w:r>
    </w:p>
    <w:sectPr>
      <w:pgSz w:w="11900" w:h="16838" w:orient="portrait"/>
      <w:cols w:equalWidth="0" w:num="1">
        <w:col w:w="11080"/>
      </w:cols>
      <w:pgMar w:left="240" w:top="115"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2019-12-04T21:14:01Z</dcterms:created>
  <dcterms:modified xsi:type="dcterms:W3CDTF">2019-12-04T21:14:01Z</dcterms:modified>
</cp:coreProperties>
</file>