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w:t>
      </w:r>
    </w:p>
    <w:p>
      <w:pPr>
        <w:spacing w:after="0" w:line="8"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83"/>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8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944"/>
          </w:cols>
          <w:pgMar w:left="436" w:top="200" w:right="519" w:bottom="1440" w:gutter="0" w:footer="0" w:header="0"/>
        </w:sectPr>
      </w:pPr>
    </w:p>
    <w:p>
      <w:pPr>
        <w:spacing w:after="0" w:line="90" w:lineRule="exact"/>
        <w:rPr>
          <w:sz w:val="24"/>
          <w:szCs w:val="24"/>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Preliminary Proxy Statement</w:t>
      </w:r>
    </w:p>
    <w:p>
      <w:pPr>
        <w:spacing w:after="0" w:line="70" w:lineRule="exact"/>
        <w:rPr>
          <w:sz w:val="24"/>
          <w:szCs w:val="24"/>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sz w:val="24"/>
          <w:szCs w:val="24"/>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Additional Materials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CONFIDENTIAL, FOR USE OF THE COMMISSION ONLY (AS</w:t>
      </w:r>
    </w:p>
    <w:p>
      <w:pPr>
        <w:spacing w:after="0" w:line="8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PERMITTED BY RULE 14A-6(E)(2))</w:t>
      </w:r>
    </w:p>
    <w:p>
      <w:pPr>
        <w:spacing w:after="0" w:line="250" w:lineRule="exact"/>
        <w:rPr>
          <w:sz w:val="24"/>
          <w:szCs w:val="24"/>
          <w:color w:val="auto"/>
        </w:rPr>
      </w:pPr>
    </w:p>
    <w:p>
      <w:pPr>
        <w:sectPr>
          <w:pgSz w:w="11900" w:h="16838" w:orient="portrait"/>
          <w:cols w:equalWidth="0" w:num="2">
            <w:col w:w="5024" w:space="720"/>
            <w:col w:w="5200"/>
          </w:cols>
          <w:pgMar w:left="436" w:top="200" w:right="519" w:bottom="1440" w:gutter="0" w:footer="0" w:header="0"/>
          <w:type w:val="continuous"/>
        </w:sect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§240.14a-12</w:t>
      </w:r>
    </w:p>
    <w:p>
      <w:pPr>
        <w:spacing w:after="0" w:line="3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3"/>
          <w:szCs w:val="43"/>
          <w:b w:val="1"/>
          <w:bCs w:val="1"/>
          <w:color w:val="auto"/>
        </w:rPr>
        <w:t>Humana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359410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ind w:left="330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0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3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6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36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24" w:hanging="424"/>
        <w:spacing w:after="0" w:line="282" w:lineRule="auto"/>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MS PGothic" w:cs="MS PGothic" w:eastAsia="MS PGothic" w:hAnsi="MS PGothic"/>
          <w:sz w:val="18"/>
          <w:szCs w:val="18"/>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-2896870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-2613660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-2193925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-1919605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-1636395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-710565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-436245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-153670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200" w:right="519" w:bottom="1440" w:gutter="0" w:footer="0" w:header="0"/>
          <w:type w:val="continuous"/>
        </w:sectPr>
      </w:pPr>
    </w:p>
    <w:bookmarkStart w:id="1" w:name="page2"/>
    <w:bookmarkEnd w:id="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March 7, 2025, Humana Inc. (the “Company”) made the following communication available to the Company’s employees: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have the right to vote on items being presented at our Annual Meeting of Stockholders (the “Annual Meeting”)</w:t>
      </w:r>
    </w:p>
    <w:p>
      <w:pPr>
        <w:spacing w:after="0" w:line="225"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Meeting is scheduled for April 17, 2025 at 1:00 p.m. Eastern Time, and will be held via a live audio webcast accessible at: www.virtualshareholdermeeting.com/HUM2025</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Exercise your voting privilege as a Humana stockholder</w:t>
      </w:r>
    </w:p>
    <w:p>
      <w:pPr>
        <w:spacing w:after="0" w:line="189"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Humana associates who participate in our Company’s Retirement Savings Plan 401(k) and have invested funds in the Humana Common Stock Fund have the right to vote on items being presented at this year’s Annual Meeting, scheduled for April 17, 2025. You may submit one vote for each share held in your Humana Common Stock account as of February 28, 2025, the record date for this Annual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documents do you need to vote?</w:t>
      </w:r>
    </w:p>
    <w:p>
      <w:pPr>
        <w:spacing w:after="0" w:line="121"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Every year, Humana produces a document - the proxy statement - that details all of the information the Company’s stockholders need in order to make informed votes. The proxy becomes available to stockholders and the public after Humana files it with the federal Securities and Exchange Commission on March 7, 2025. In order to vote, you must also receive an official “voting card.”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will you receive the proxy statement and voting card?</w:t>
      </w:r>
    </w:p>
    <w:p>
      <w:pPr>
        <w:spacing w:after="0" w:line="121"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Starting March 7, 2025, all stockholders who have (recently or in prior years) successfully submitted electronic requests for a proxy statement and voting card will then receive - via the e-mail address you designated during the online-registration process - a proxy statement and voting card. (Please watch for e-mail from </w:t>
      </w:r>
      <w:r>
        <w:rPr>
          <w:rFonts w:ascii="Times New Roman" w:cs="Times New Roman" w:eastAsia="Times New Roman" w:hAnsi="Times New Roman"/>
          <w:sz w:val="18"/>
          <w:szCs w:val="18"/>
          <w:u w:val="single" w:color="auto"/>
          <w:color w:val="auto"/>
        </w:rPr>
        <w:t>ID@ProxyVote.com</w:t>
      </w:r>
      <w:r>
        <w:rPr>
          <w:rFonts w:ascii="Times New Roman" w:cs="Times New Roman" w:eastAsia="Times New Roman" w:hAnsi="Times New Roman"/>
          <w:sz w:val="18"/>
          <w:szCs w:val="18"/>
          <w:color w:val="auto"/>
        </w:rPr>
        <w:t>.) If you did not sign up for electronic delivery of these materials, you’ll receive a “Notice and Access Card” in the mail at home regarding the 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can participants in the Humana Retirement Savings Plan vote?</w:t>
      </w:r>
    </w:p>
    <w:p>
      <w:pPr>
        <w:spacing w:after="0" w:line="121"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If you wish to vote, you may do so AFTER you receive your voting card. You then must vote BEFORE 11:59 p.m., EDT on Wednesday, April 9, 2025, through Humana’s Retirement Savings Plan Trustee - Charles Schwab - with Broadridge acting as tabulator. If your voting instructions are received by 11:59 p.m. EDT on Wednesday, April 9, 2025, the Trustee will submit a proxy that reflects your instructions. If you do not give voting instructions (or give them late), the Trustee will vote your interest in the Humana Common Stock Fund in the same proportion as the shares attributed to the Humana Retirement Savings Plan actually voted. Humana’s Annual Meeting will be held on April 17,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do you contact for answers to your stockholder-voting-process questions?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you have any questions, please contact Joseph M. Ruschell, Corporate Secretary via email at CorporateSecretary@humana.com.</w:t>
      </w:r>
    </w:p>
    <w:p>
      <w:pPr>
        <w:spacing w:after="0" w:line="3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March 7, 2025, the Company distributed the following “Notice Regarding the Availability of Proxy Materials” to its stockholders as of the record date of February 28, 2025.</w:t>
      </w:r>
    </w:p>
    <w:p>
      <w:pPr>
        <w:sectPr>
          <w:pgSz w:w="11900" w:h="16838" w:orient="portrait"/>
          <w:cols w:equalWidth="0" w:num="1">
            <w:col w:w="10960"/>
          </w:cols>
          <w:pgMar w:left="440" w:top="270" w:right="4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88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8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7"/>
          <w:szCs w:val="27"/>
          <w:color w:val="004878"/>
        </w:rPr>
        <w:t>You invested in HUMANA INC. and it’s time to vote!</w:t>
      </w:r>
    </w:p>
    <w:p>
      <w:pPr>
        <w:spacing w:after="0" w:line="27"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color w:val="004878"/>
        </w:rPr>
        <w:t xml:space="preserve">You have the right to vote on proposals being presented at the Annual Meeting. </w:t>
      </w:r>
      <w:r>
        <w:rPr>
          <w:rFonts w:ascii="Arial" w:cs="Arial" w:eastAsia="Arial" w:hAnsi="Arial"/>
          <w:sz w:val="18"/>
          <w:szCs w:val="18"/>
          <w:b w:val="1"/>
          <w:bCs w:val="1"/>
          <w:color w:val="004878"/>
        </w:rPr>
        <w:t>This is an important notice regarding the</w:t>
      </w:r>
      <w:r>
        <w:rPr>
          <w:rFonts w:ascii="Arial" w:cs="Arial" w:eastAsia="Arial" w:hAnsi="Arial"/>
          <w:sz w:val="18"/>
          <w:szCs w:val="18"/>
          <w:color w:val="004878"/>
        </w:rPr>
        <w:t xml:space="preserve"> </w:t>
      </w:r>
      <w:r>
        <w:rPr>
          <w:rFonts w:ascii="Arial" w:cs="Arial" w:eastAsia="Arial" w:hAnsi="Arial"/>
          <w:sz w:val="18"/>
          <w:szCs w:val="18"/>
          <w:b w:val="1"/>
          <w:bCs w:val="1"/>
          <w:color w:val="004878"/>
        </w:rPr>
        <w:t>availability of proxy materials for the stockholder meeting to be held on April 17, 2025.</w:t>
      </w:r>
    </w:p>
    <w:p>
      <w:pPr>
        <w:spacing w:after="0" w:line="187" w:lineRule="exact"/>
        <w:rPr>
          <w:sz w:val="20"/>
          <w:szCs w:val="20"/>
          <w:color w:val="auto"/>
        </w:rPr>
      </w:pPr>
    </w:p>
    <w:p>
      <w:pPr>
        <w:spacing w:after="0"/>
        <w:rPr>
          <w:sz w:val="20"/>
          <w:szCs w:val="20"/>
          <w:color w:val="auto"/>
        </w:rPr>
      </w:pPr>
      <w:r>
        <w:rPr>
          <w:rFonts w:ascii="Arial" w:cs="Arial" w:eastAsia="Arial" w:hAnsi="Arial"/>
          <w:sz w:val="27"/>
          <w:szCs w:val="27"/>
          <w:color w:val="004878"/>
        </w:rPr>
        <w:t>Get informed before you vote</w:t>
      </w:r>
    </w:p>
    <w:p>
      <w:pPr>
        <w:spacing w:after="0" w:line="27" w:lineRule="exact"/>
        <w:rPr>
          <w:sz w:val="20"/>
          <w:szCs w:val="20"/>
          <w:color w:val="auto"/>
        </w:rPr>
      </w:pPr>
    </w:p>
    <w:p>
      <w:pPr>
        <w:spacing w:after="0" w:line="239" w:lineRule="auto"/>
        <w:rPr>
          <w:sz w:val="20"/>
          <w:szCs w:val="20"/>
          <w:color w:val="auto"/>
        </w:rPr>
      </w:pPr>
      <w:r>
        <w:rPr>
          <w:rFonts w:ascii="Arial" w:cs="Arial" w:eastAsia="Arial" w:hAnsi="Arial"/>
          <w:sz w:val="18"/>
          <w:szCs w:val="18"/>
          <w:color w:val="004878"/>
        </w:rPr>
        <w:t>View the Notice and Proxy Statement and Annual Report online OR you can receive a free paper or email copy of the material(s) by requesting prior to April 3, 2025.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143510</wp:posOffset>
            </wp:positionV>
            <wp:extent cx="7029450" cy="2529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004878"/>
        </w:rPr>
        <w:t>*Please check the meeting materials for any special requirements for meeting attendance.</w:t>
      </w:r>
    </w:p>
    <w:p>
      <w:pPr>
        <w:sectPr>
          <w:pgSz w:w="11900" w:h="16838" w:orient="portrait"/>
          <w:cols w:equalWidth="0" w:num="1">
            <w:col w:w="10560"/>
          </w:cols>
          <w:pgMar w:left="660" w:top="1440" w:right="679" w:bottom="1440" w:gutter="0" w:footer="0" w:header="0"/>
        </w:sectPr>
      </w:pPr>
    </w:p>
    <w:bookmarkStart w:id="3" w:name="page4"/>
    <w:bookmarkEnd w:id="3"/>
    <w:p>
      <w:pPr>
        <w:ind w:left="100"/>
        <w:spacing w:after="0"/>
        <w:rPr>
          <w:sz w:val="20"/>
          <w:szCs w:val="20"/>
          <w:color w:val="auto"/>
        </w:rPr>
      </w:pPr>
      <w:r>
        <w:rPr>
          <w:rFonts w:ascii="Arial" w:cs="Arial" w:eastAsia="Arial" w:hAnsi="Arial"/>
          <w:sz w:val="27"/>
          <w:szCs w:val="27"/>
          <w:b w:val="1"/>
          <w:bCs w:val="1"/>
          <w:color w:val="007BB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207010</wp:posOffset>
            </wp:positionV>
            <wp:extent cx="699516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004878"/>
        </w:rPr>
        <w:t>THIS IS NOT A VOTABLE BALLOT</w:t>
      </w:r>
    </w:p>
    <w:p>
      <w:pPr>
        <w:spacing w:after="0" w:line="213" w:lineRule="exact"/>
        <w:rPr>
          <w:sz w:val="20"/>
          <w:szCs w:val="20"/>
          <w:color w:val="auto"/>
        </w:rPr>
      </w:pPr>
    </w:p>
    <w:p>
      <w:pPr>
        <w:ind w:left="140"/>
        <w:spacing w:after="0"/>
        <w:tabs>
          <w:tab w:leader="none" w:pos="5740" w:val="left"/>
        </w:tabs>
        <w:rPr>
          <w:sz w:val="20"/>
          <w:szCs w:val="20"/>
          <w:color w:val="auto"/>
        </w:rPr>
      </w:pPr>
      <w:r>
        <w:rPr>
          <w:rFonts w:ascii="Arial" w:cs="Arial" w:eastAsia="Arial" w:hAnsi="Arial"/>
          <w:sz w:val="18"/>
          <w:szCs w:val="18"/>
          <w:color w:val="004878"/>
        </w:rPr>
        <w:t>This is an overview of the proposals being presented at the</w:t>
      </w:r>
      <w:r>
        <w:rPr>
          <w:sz w:val="20"/>
          <w:szCs w:val="20"/>
          <w:color w:val="auto"/>
        </w:rPr>
        <w:tab/>
      </w:r>
      <w:r>
        <w:rPr>
          <w:rFonts w:ascii="Arial" w:cs="Arial" w:eastAsia="Arial" w:hAnsi="Arial"/>
          <w:sz w:val="18"/>
          <w:szCs w:val="18"/>
          <w:color w:val="004878"/>
        </w:rPr>
        <w:t xml:space="preserve">    </w:t>
      </w:r>
    </w:p>
    <w:p>
      <w:pPr>
        <w:spacing w:after="0" w:line="14" w:lineRule="exact"/>
        <w:rPr>
          <w:sz w:val="20"/>
          <w:szCs w:val="20"/>
          <w:color w:val="auto"/>
        </w:rPr>
      </w:pPr>
    </w:p>
    <w:p>
      <w:pPr>
        <w:ind w:left="140" w:right="3960"/>
        <w:spacing w:after="0" w:line="250" w:lineRule="auto"/>
        <w:rPr>
          <w:sz w:val="20"/>
          <w:szCs w:val="20"/>
          <w:color w:val="auto"/>
        </w:rPr>
      </w:pPr>
      <w:r>
        <w:rPr>
          <w:rFonts w:ascii="Arial" w:cs="Arial" w:eastAsia="Arial" w:hAnsi="Arial"/>
          <w:sz w:val="18"/>
          <w:szCs w:val="18"/>
          <w:color w:val="004878"/>
        </w:rPr>
        <w:t>upcoming stockholder meeting. Please follow the instructions on the reverse side to vote these important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004878"/>
        </w:rPr>
        <w:t>   Voting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4878"/>
        </w:rPr>
        <w:t>Board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04878"/>
        </w:rPr>
        <w:t>Recommends</w:t>
      </w:r>
    </w:p>
    <w:p>
      <w:pPr>
        <w:spacing w:after="0" w:line="37" w:lineRule="exact"/>
        <w:rPr>
          <w:sz w:val="20"/>
          <w:szCs w:val="20"/>
          <w:color w:val="auto"/>
        </w:rPr>
      </w:pPr>
    </w:p>
    <w:p>
      <w:pPr>
        <w:sectPr>
          <w:pgSz w:w="11900" w:h="16838" w:orient="portrait"/>
          <w:cols w:equalWidth="0" w:num="2">
            <w:col w:w="9220" w:space="720"/>
            <w:col w:w="1080"/>
          </w:cols>
          <w:pgMar w:left="440" w:top="259" w:right="439" w:bottom="1440" w:gutter="0" w:footer="0" w:header="0"/>
        </w:sectPr>
      </w:pPr>
    </w:p>
    <w:tbl>
      <w:tblPr>
        <w:tblLayout w:type="fixed"/>
        <w:tblInd w:w="0" w:type="dxa"/>
        <w:tblCellMar>
          <w:top w:w="0" w:type="dxa"/>
          <w:left w:w="0" w:type="dxa"/>
          <w:bottom w:w="0" w:type="dxa"/>
          <w:right w:w="0" w:type="dxa"/>
        </w:tblCellMar>
      </w:tblPr>
      <w:tr>
        <w:trPr>
          <w:trHeight w:val="237"/>
        </w:trPr>
        <w:tc>
          <w:tcPr>
            <w:tcW w:w="500" w:type="dxa"/>
            <w:vAlign w:val="bottom"/>
            <w:shd w:val="clear" w:color="auto" w:fill="F0EFF7"/>
          </w:tcPr>
          <w:p>
            <w:pPr>
              <w:spacing w:after="0"/>
              <w:rPr>
                <w:sz w:val="20"/>
                <w:szCs w:val="20"/>
                <w:color w:val="auto"/>
              </w:rPr>
            </w:pPr>
            <w:r>
              <w:rPr>
                <w:rFonts w:ascii="Arial" w:cs="Arial" w:eastAsia="Arial" w:hAnsi="Arial"/>
                <w:sz w:val="18"/>
                <w:szCs w:val="18"/>
                <w:color w:val="004878"/>
              </w:rPr>
              <w:t>   1.</w:t>
            </w:r>
          </w:p>
        </w:tc>
        <w:tc>
          <w:tcPr>
            <w:tcW w:w="9340" w:type="dxa"/>
            <w:vAlign w:val="bottom"/>
            <w:tcBorders>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Election of Directors</w:t>
            </w:r>
          </w:p>
        </w:tc>
        <w:tc>
          <w:tcPr>
            <w:tcW w:w="1180" w:type="dxa"/>
            <w:vAlign w:val="bottom"/>
            <w:shd w:val="clear" w:color="auto" w:fill="F0EFF7"/>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500" w:type="dxa"/>
            <w:vAlign w:val="bottom"/>
            <w:shd w:val="clear" w:color="auto" w:fill="F0EFF7"/>
          </w:tcPr>
          <w:p>
            <w:pPr>
              <w:spacing w:after="0"/>
              <w:rPr>
                <w:sz w:val="24"/>
                <w:szCs w:val="24"/>
                <w:color w:val="auto"/>
              </w:rPr>
            </w:pPr>
          </w:p>
        </w:tc>
        <w:tc>
          <w:tcPr>
            <w:tcW w:w="9340" w:type="dxa"/>
            <w:vAlign w:val="bottom"/>
            <w:tcBorders>
              <w:right w:val="single" w:sz="8" w:color="004878"/>
            </w:tcBorders>
            <w:shd w:val="clear" w:color="auto" w:fill="F0EFF7"/>
          </w:tcPr>
          <w:p>
            <w:pPr>
              <w:ind w:left="60"/>
              <w:spacing w:after="0"/>
              <w:rPr>
                <w:sz w:val="20"/>
                <w:szCs w:val="20"/>
                <w:color w:val="auto"/>
              </w:rPr>
            </w:pPr>
            <w:r>
              <w:rPr>
                <w:rFonts w:ascii="Arial" w:cs="Arial" w:eastAsia="Arial" w:hAnsi="Arial"/>
                <w:sz w:val="18"/>
                <w:szCs w:val="18"/>
                <w:b w:val="1"/>
                <w:bCs w:val="1"/>
                <w:color w:val="004878"/>
              </w:rPr>
              <w:t>Nominees:</w:t>
            </w:r>
          </w:p>
        </w:tc>
        <w:tc>
          <w:tcPr>
            <w:tcW w:w="1180" w:type="dxa"/>
            <w:vAlign w:val="bottom"/>
            <w:shd w:val="clear" w:color="auto" w:fill="F0EFF7"/>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00" w:type="dxa"/>
            <w:vAlign w:val="bottom"/>
            <w:tcBorders>
              <w:bottom w:val="single" w:sz="8" w:color="004878"/>
            </w:tcBorders>
            <w:shd w:val="clear" w:color="auto" w:fill="F0EFF7"/>
          </w:tcPr>
          <w:p>
            <w:pPr>
              <w:spacing w:after="0"/>
              <w:rPr>
                <w:sz w:val="20"/>
                <w:szCs w:val="20"/>
                <w:color w:val="auto"/>
              </w:rPr>
            </w:pPr>
            <w:r>
              <w:rPr>
                <w:rFonts w:ascii="Arial" w:cs="Arial" w:eastAsia="Arial" w:hAnsi="Arial"/>
                <w:sz w:val="18"/>
                <w:szCs w:val="18"/>
                <w:color w:val="004878"/>
              </w:rPr>
              <w:t>   1a.</w:t>
            </w:r>
          </w:p>
        </w:tc>
        <w:tc>
          <w:tcPr>
            <w:tcW w:w="9340" w:type="dxa"/>
            <w:vAlign w:val="bottom"/>
            <w:tcBorders>
              <w:bottom w:val="single" w:sz="8" w:color="004878"/>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Raquel C. Bono, M.D.</w:t>
            </w:r>
          </w:p>
        </w:tc>
        <w:tc>
          <w:tcPr>
            <w:tcW w:w="1180" w:type="dxa"/>
            <w:vAlign w:val="bottom"/>
            <w:tcBorders>
              <w:bottom w:val="single" w:sz="8" w:color="004878"/>
            </w:tcBorders>
            <w:shd w:val="clear" w:color="auto" w:fill="F0EFF7"/>
          </w:tcPr>
          <w:p>
            <w:pPr>
              <w:ind w:left="300"/>
              <w:spacing w:after="0"/>
              <w:rPr>
                <w:sz w:val="20"/>
                <w:szCs w:val="20"/>
                <w:color w:val="auto"/>
              </w:rPr>
            </w:pPr>
            <w:r>
              <w:rPr>
                <w:rFonts w:ascii="Arial" w:cs="Arial" w:eastAsia="Arial" w:hAnsi="Arial"/>
                <w:sz w:val="18"/>
                <w:szCs w:val="18"/>
                <w:b w:val="1"/>
                <w:bCs w:val="1"/>
                <w:color w:val="004878"/>
              </w:rPr>
              <w:t xml:space="preserve">  For</w:t>
            </w:r>
          </w:p>
        </w:tc>
        <w:tc>
          <w:tcPr>
            <w:tcW w:w="0" w:type="dxa"/>
            <w:vAlign w:val="bottom"/>
          </w:tcPr>
          <w:p>
            <w:pPr>
              <w:spacing w:after="0"/>
              <w:rPr>
                <w:sz w:val="1"/>
                <w:szCs w:val="1"/>
                <w:color w:val="auto"/>
              </w:rPr>
            </w:pPr>
          </w:p>
        </w:tc>
      </w:tr>
      <w:tr>
        <w:trPr>
          <w:trHeight w:val="277"/>
        </w:trPr>
        <w:tc>
          <w:tcPr>
            <w:tcW w:w="500" w:type="dxa"/>
            <w:vAlign w:val="bottom"/>
            <w:tcBorders>
              <w:bottom w:val="single" w:sz="8" w:color="004878"/>
            </w:tcBorders>
            <w:shd w:val="clear" w:color="auto" w:fill="F0EFF7"/>
          </w:tcPr>
          <w:p>
            <w:pPr>
              <w:spacing w:after="0"/>
              <w:rPr>
                <w:sz w:val="20"/>
                <w:szCs w:val="20"/>
                <w:color w:val="auto"/>
              </w:rPr>
            </w:pPr>
            <w:r>
              <w:rPr>
                <w:rFonts w:ascii="Arial" w:cs="Arial" w:eastAsia="Arial" w:hAnsi="Arial"/>
                <w:sz w:val="18"/>
                <w:szCs w:val="18"/>
                <w:color w:val="004878"/>
              </w:rPr>
              <w:t>   1b.</w:t>
            </w:r>
          </w:p>
        </w:tc>
        <w:tc>
          <w:tcPr>
            <w:tcW w:w="9340" w:type="dxa"/>
            <w:vAlign w:val="bottom"/>
            <w:tcBorders>
              <w:bottom w:val="single" w:sz="8" w:color="004878"/>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Frank A. D’Amelio</w:t>
            </w:r>
          </w:p>
        </w:tc>
        <w:tc>
          <w:tcPr>
            <w:tcW w:w="1180" w:type="dxa"/>
            <w:vAlign w:val="bottom"/>
            <w:tcBorders>
              <w:bottom w:val="single" w:sz="8" w:color="004878"/>
            </w:tcBorders>
            <w:shd w:val="clear" w:color="auto" w:fill="F0EFF7"/>
          </w:tcPr>
          <w:p>
            <w:pPr>
              <w:ind w:left="300"/>
              <w:spacing w:after="0"/>
              <w:rPr>
                <w:sz w:val="20"/>
                <w:szCs w:val="20"/>
                <w:color w:val="auto"/>
              </w:rPr>
            </w:pPr>
            <w:r>
              <w:rPr>
                <w:rFonts w:ascii="Arial" w:cs="Arial" w:eastAsia="Arial" w:hAnsi="Arial"/>
                <w:sz w:val="18"/>
                <w:szCs w:val="18"/>
                <w:b w:val="1"/>
                <w:bCs w:val="1"/>
                <w:color w:val="004878"/>
              </w:rPr>
              <w:t xml:space="preserve">  For</w:t>
            </w:r>
          </w:p>
        </w:tc>
        <w:tc>
          <w:tcPr>
            <w:tcW w:w="0" w:type="dxa"/>
            <w:vAlign w:val="bottom"/>
          </w:tcPr>
          <w:p>
            <w:pPr>
              <w:spacing w:after="0"/>
              <w:rPr>
                <w:sz w:val="1"/>
                <w:szCs w:val="1"/>
                <w:color w:val="auto"/>
              </w:rPr>
            </w:pPr>
          </w:p>
        </w:tc>
      </w:tr>
      <w:tr>
        <w:trPr>
          <w:trHeight w:val="277"/>
        </w:trPr>
        <w:tc>
          <w:tcPr>
            <w:tcW w:w="500" w:type="dxa"/>
            <w:vAlign w:val="bottom"/>
            <w:tcBorders>
              <w:bottom w:val="single" w:sz="8" w:color="004878"/>
            </w:tcBorders>
            <w:shd w:val="clear" w:color="auto" w:fill="F0EFF7"/>
          </w:tcPr>
          <w:p>
            <w:pPr>
              <w:spacing w:after="0"/>
              <w:rPr>
                <w:sz w:val="20"/>
                <w:szCs w:val="20"/>
                <w:color w:val="auto"/>
              </w:rPr>
            </w:pPr>
            <w:r>
              <w:rPr>
                <w:rFonts w:ascii="Arial" w:cs="Arial" w:eastAsia="Arial" w:hAnsi="Arial"/>
                <w:sz w:val="18"/>
                <w:szCs w:val="18"/>
                <w:color w:val="004878"/>
              </w:rPr>
              <w:t>   1c.</w:t>
            </w:r>
          </w:p>
        </w:tc>
        <w:tc>
          <w:tcPr>
            <w:tcW w:w="9340" w:type="dxa"/>
            <w:vAlign w:val="bottom"/>
            <w:tcBorders>
              <w:bottom w:val="single" w:sz="8" w:color="004878"/>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David T. Feinberg, M.D.</w:t>
            </w:r>
          </w:p>
        </w:tc>
        <w:tc>
          <w:tcPr>
            <w:tcW w:w="1180" w:type="dxa"/>
            <w:vAlign w:val="bottom"/>
            <w:tcBorders>
              <w:bottom w:val="single" w:sz="8" w:color="004878"/>
            </w:tcBorders>
            <w:shd w:val="clear" w:color="auto" w:fill="F0EFF7"/>
          </w:tcPr>
          <w:p>
            <w:pPr>
              <w:ind w:left="300"/>
              <w:spacing w:after="0"/>
              <w:rPr>
                <w:sz w:val="20"/>
                <w:szCs w:val="20"/>
                <w:color w:val="auto"/>
              </w:rPr>
            </w:pPr>
            <w:r>
              <w:rPr>
                <w:rFonts w:ascii="Arial" w:cs="Arial" w:eastAsia="Arial" w:hAnsi="Arial"/>
                <w:sz w:val="18"/>
                <w:szCs w:val="18"/>
                <w:b w:val="1"/>
                <w:bCs w:val="1"/>
                <w:color w:val="004878"/>
              </w:rPr>
              <w:t xml:space="preserve">  For</w:t>
            </w:r>
          </w:p>
        </w:tc>
        <w:tc>
          <w:tcPr>
            <w:tcW w:w="0" w:type="dxa"/>
            <w:vAlign w:val="bottom"/>
          </w:tcPr>
          <w:p>
            <w:pPr>
              <w:spacing w:after="0"/>
              <w:rPr>
                <w:sz w:val="1"/>
                <w:szCs w:val="1"/>
                <w:color w:val="auto"/>
              </w:rPr>
            </w:pPr>
          </w:p>
        </w:tc>
      </w:tr>
      <w:tr>
        <w:trPr>
          <w:trHeight w:val="277"/>
        </w:trPr>
        <w:tc>
          <w:tcPr>
            <w:tcW w:w="500" w:type="dxa"/>
            <w:vAlign w:val="bottom"/>
            <w:tcBorders>
              <w:bottom w:val="single" w:sz="8" w:color="004878"/>
            </w:tcBorders>
            <w:shd w:val="clear" w:color="auto" w:fill="F0EFF7"/>
          </w:tcPr>
          <w:p>
            <w:pPr>
              <w:spacing w:after="0"/>
              <w:rPr>
                <w:sz w:val="20"/>
                <w:szCs w:val="20"/>
                <w:color w:val="auto"/>
              </w:rPr>
            </w:pPr>
            <w:r>
              <w:rPr>
                <w:rFonts w:ascii="Arial" w:cs="Arial" w:eastAsia="Arial" w:hAnsi="Arial"/>
                <w:sz w:val="18"/>
                <w:szCs w:val="18"/>
                <w:color w:val="004878"/>
              </w:rPr>
              <w:t>   1d.</w:t>
            </w:r>
          </w:p>
        </w:tc>
        <w:tc>
          <w:tcPr>
            <w:tcW w:w="9340" w:type="dxa"/>
            <w:vAlign w:val="bottom"/>
            <w:tcBorders>
              <w:bottom w:val="single" w:sz="8" w:color="004878"/>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Wayne A. I. Frederick, M.D.</w:t>
            </w:r>
          </w:p>
        </w:tc>
        <w:tc>
          <w:tcPr>
            <w:tcW w:w="1180" w:type="dxa"/>
            <w:vAlign w:val="bottom"/>
            <w:tcBorders>
              <w:bottom w:val="single" w:sz="8" w:color="004878"/>
            </w:tcBorders>
            <w:shd w:val="clear" w:color="auto" w:fill="F0EFF7"/>
          </w:tcPr>
          <w:p>
            <w:pPr>
              <w:ind w:left="300"/>
              <w:spacing w:after="0"/>
              <w:rPr>
                <w:sz w:val="20"/>
                <w:szCs w:val="20"/>
                <w:color w:val="auto"/>
              </w:rPr>
            </w:pPr>
            <w:r>
              <w:rPr>
                <w:rFonts w:ascii="Arial" w:cs="Arial" w:eastAsia="Arial" w:hAnsi="Arial"/>
                <w:sz w:val="18"/>
                <w:szCs w:val="18"/>
                <w:b w:val="1"/>
                <w:bCs w:val="1"/>
                <w:color w:val="004878"/>
              </w:rPr>
              <w:t xml:space="preserve">  For</w:t>
            </w:r>
          </w:p>
        </w:tc>
        <w:tc>
          <w:tcPr>
            <w:tcW w:w="0" w:type="dxa"/>
            <w:vAlign w:val="bottom"/>
          </w:tcPr>
          <w:p>
            <w:pPr>
              <w:spacing w:after="0"/>
              <w:rPr>
                <w:sz w:val="1"/>
                <w:szCs w:val="1"/>
                <w:color w:val="auto"/>
              </w:rPr>
            </w:pPr>
          </w:p>
        </w:tc>
      </w:tr>
      <w:tr>
        <w:trPr>
          <w:trHeight w:val="277"/>
        </w:trPr>
        <w:tc>
          <w:tcPr>
            <w:tcW w:w="500" w:type="dxa"/>
            <w:vAlign w:val="bottom"/>
            <w:tcBorders>
              <w:bottom w:val="single" w:sz="8" w:color="004878"/>
            </w:tcBorders>
            <w:shd w:val="clear" w:color="auto" w:fill="F0EFF7"/>
          </w:tcPr>
          <w:p>
            <w:pPr>
              <w:spacing w:after="0"/>
              <w:rPr>
                <w:sz w:val="20"/>
                <w:szCs w:val="20"/>
                <w:color w:val="auto"/>
              </w:rPr>
            </w:pPr>
            <w:r>
              <w:rPr>
                <w:rFonts w:ascii="Arial" w:cs="Arial" w:eastAsia="Arial" w:hAnsi="Arial"/>
                <w:sz w:val="18"/>
                <w:szCs w:val="18"/>
                <w:color w:val="004878"/>
              </w:rPr>
              <w:t>   1e.</w:t>
            </w:r>
          </w:p>
        </w:tc>
        <w:tc>
          <w:tcPr>
            <w:tcW w:w="9340" w:type="dxa"/>
            <w:vAlign w:val="bottom"/>
            <w:tcBorders>
              <w:bottom w:val="single" w:sz="8" w:color="004878"/>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John W. Garratt</w:t>
            </w:r>
          </w:p>
        </w:tc>
        <w:tc>
          <w:tcPr>
            <w:tcW w:w="1180" w:type="dxa"/>
            <w:vAlign w:val="bottom"/>
            <w:tcBorders>
              <w:bottom w:val="single" w:sz="8" w:color="004878"/>
            </w:tcBorders>
            <w:shd w:val="clear" w:color="auto" w:fill="F0EFF7"/>
          </w:tcPr>
          <w:p>
            <w:pPr>
              <w:ind w:left="300"/>
              <w:spacing w:after="0"/>
              <w:rPr>
                <w:sz w:val="20"/>
                <w:szCs w:val="20"/>
                <w:color w:val="auto"/>
              </w:rPr>
            </w:pPr>
            <w:r>
              <w:rPr>
                <w:rFonts w:ascii="Arial" w:cs="Arial" w:eastAsia="Arial" w:hAnsi="Arial"/>
                <w:sz w:val="18"/>
                <w:szCs w:val="18"/>
                <w:b w:val="1"/>
                <w:bCs w:val="1"/>
                <w:color w:val="004878"/>
              </w:rPr>
              <w:t xml:space="preserve">  For</w:t>
            </w:r>
          </w:p>
        </w:tc>
        <w:tc>
          <w:tcPr>
            <w:tcW w:w="0" w:type="dxa"/>
            <w:vAlign w:val="bottom"/>
          </w:tcPr>
          <w:p>
            <w:pPr>
              <w:spacing w:after="0"/>
              <w:rPr>
                <w:sz w:val="1"/>
                <w:szCs w:val="1"/>
                <w:color w:val="auto"/>
              </w:rPr>
            </w:pPr>
          </w:p>
        </w:tc>
      </w:tr>
      <w:tr>
        <w:trPr>
          <w:trHeight w:val="277"/>
        </w:trPr>
        <w:tc>
          <w:tcPr>
            <w:tcW w:w="500" w:type="dxa"/>
            <w:vAlign w:val="bottom"/>
            <w:tcBorders>
              <w:bottom w:val="single" w:sz="8" w:color="004878"/>
            </w:tcBorders>
            <w:shd w:val="clear" w:color="auto" w:fill="F0EFF7"/>
          </w:tcPr>
          <w:p>
            <w:pPr>
              <w:spacing w:after="0"/>
              <w:rPr>
                <w:sz w:val="20"/>
                <w:szCs w:val="20"/>
                <w:color w:val="auto"/>
              </w:rPr>
            </w:pPr>
            <w:r>
              <w:rPr>
                <w:rFonts w:ascii="Arial" w:cs="Arial" w:eastAsia="Arial" w:hAnsi="Arial"/>
                <w:sz w:val="18"/>
                <w:szCs w:val="18"/>
                <w:color w:val="004878"/>
              </w:rPr>
              <w:t>   1f.</w:t>
            </w:r>
          </w:p>
        </w:tc>
        <w:tc>
          <w:tcPr>
            <w:tcW w:w="9340" w:type="dxa"/>
            <w:vAlign w:val="bottom"/>
            <w:tcBorders>
              <w:bottom w:val="single" w:sz="8" w:color="004878"/>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Kurt J. Hilzinger</w:t>
            </w:r>
          </w:p>
        </w:tc>
        <w:tc>
          <w:tcPr>
            <w:tcW w:w="1180" w:type="dxa"/>
            <w:vAlign w:val="bottom"/>
            <w:tcBorders>
              <w:bottom w:val="single" w:sz="8" w:color="004878"/>
            </w:tcBorders>
            <w:shd w:val="clear" w:color="auto" w:fill="F0EFF7"/>
          </w:tcPr>
          <w:p>
            <w:pPr>
              <w:ind w:left="300"/>
              <w:spacing w:after="0"/>
              <w:rPr>
                <w:sz w:val="20"/>
                <w:szCs w:val="20"/>
                <w:color w:val="auto"/>
              </w:rPr>
            </w:pPr>
            <w:r>
              <w:rPr>
                <w:rFonts w:ascii="Arial" w:cs="Arial" w:eastAsia="Arial" w:hAnsi="Arial"/>
                <w:sz w:val="18"/>
                <w:szCs w:val="18"/>
                <w:b w:val="1"/>
                <w:bCs w:val="1"/>
                <w:color w:val="004878"/>
              </w:rPr>
              <w:t xml:space="preserve">  For</w:t>
            </w:r>
          </w:p>
        </w:tc>
        <w:tc>
          <w:tcPr>
            <w:tcW w:w="0" w:type="dxa"/>
            <w:vAlign w:val="bottom"/>
          </w:tcPr>
          <w:p>
            <w:pPr>
              <w:spacing w:after="0"/>
              <w:rPr>
                <w:sz w:val="1"/>
                <w:szCs w:val="1"/>
                <w:color w:val="auto"/>
              </w:rPr>
            </w:pPr>
          </w:p>
        </w:tc>
      </w:tr>
      <w:tr>
        <w:trPr>
          <w:trHeight w:val="277"/>
        </w:trPr>
        <w:tc>
          <w:tcPr>
            <w:tcW w:w="500" w:type="dxa"/>
            <w:vAlign w:val="bottom"/>
            <w:tcBorders>
              <w:bottom w:val="single" w:sz="8" w:color="004878"/>
            </w:tcBorders>
            <w:shd w:val="clear" w:color="auto" w:fill="F0EFF7"/>
          </w:tcPr>
          <w:p>
            <w:pPr>
              <w:spacing w:after="0"/>
              <w:rPr>
                <w:sz w:val="20"/>
                <w:szCs w:val="20"/>
                <w:color w:val="auto"/>
              </w:rPr>
            </w:pPr>
            <w:r>
              <w:rPr>
                <w:rFonts w:ascii="Arial" w:cs="Arial" w:eastAsia="Arial" w:hAnsi="Arial"/>
                <w:sz w:val="18"/>
                <w:szCs w:val="18"/>
                <w:color w:val="004878"/>
              </w:rPr>
              <w:t>   1g.</w:t>
            </w:r>
          </w:p>
        </w:tc>
        <w:tc>
          <w:tcPr>
            <w:tcW w:w="9340" w:type="dxa"/>
            <w:vAlign w:val="bottom"/>
            <w:tcBorders>
              <w:bottom w:val="single" w:sz="8" w:color="004878"/>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Karen W. Katz</w:t>
            </w:r>
          </w:p>
        </w:tc>
        <w:tc>
          <w:tcPr>
            <w:tcW w:w="1180" w:type="dxa"/>
            <w:vAlign w:val="bottom"/>
            <w:tcBorders>
              <w:bottom w:val="single" w:sz="8" w:color="004878"/>
            </w:tcBorders>
            <w:shd w:val="clear" w:color="auto" w:fill="F0EFF7"/>
          </w:tcPr>
          <w:p>
            <w:pPr>
              <w:ind w:left="300"/>
              <w:spacing w:after="0"/>
              <w:rPr>
                <w:sz w:val="20"/>
                <w:szCs w:val="20"/>
                <w:color w:val="auto"/>
              </w:rPr>
            </w:pPr>
            <w:r>
              <w:rPr>
                <w:rFonts w:ascii="Arial" w:cs="Arial" w:eastAsia="Arial" w:hAnsi="Arial"/>
                <w:sz w:val="18"/>
                <w:szCs w:val="18"/>
                <w:b w:val="1"/>
                <w:bCs w:val="1"/>
                <w:color w:val="004878"/>
              </w:rPr>
              <w:t xml:space="preserve">  For</w:t>
            </w:r>
          </w:p>
        </w:tc>
        <w:tc>
          <w:tcPr>
            <w:tcW w:w="0" w:type="dxa"/>
            <w:vAlign w:val="bottom"/>
          </w:tcPr>
          <w:p>
            <w:pPr>
              <w:spacing w:after="0"/>
              <w:rPr>
                <w:sz w:val="1"/>
                <w:szCs w:val="1"/>
                <w:color w:val="auto"/>
              </w:rPr>
            </w:pPr>
          </w:p>
        </w:tc>
      </w:tr>
      <w:tr>
        <w:trPr>
          <w:trHeight w:val="277"/>
        </w:trPr>
        <w:tc>
          <w:tcPr>
            <w:tcW w:w="500" w:type="dxa"/>
            <w:vAlign w:val="bottom"/>
            <w:tcBorders>
              <w:bottom w:val="single" w:sz="8" w:color="004878"/>
            </w:tcBorders>
            <w:shd w:val="clear" w:color="auto" w:fill="F0EFF7"/>
          </w:tcPr>
          <w:p>
            <w:pPr>
              <w:spacing w:after="0"/>
              <w:rPr>
                <w:sz w:val="20"/>
                <w:szCs w:val="20"/>
                <w:color w:val="auto"/>
              </w:rPr>
            </w:pPr>
            <w:r>
              <w:rPr>
                <w:rFonts w:ascii="Arial" w:cs="Arial" w:eastAsia="Arial" w:hAnsi="Arial"/>
                <w:sz w:val="18"/>
                <w:szCs w:val="18"/>
                <w:color w:val="004878"/>
              </w:rPr>
              <w:t>   1h.</w:t>
            </w:r>
          </w:p>
        </w:tc>
        <w:tc>
          <w:tcPr>
            <w:tcW w:w="9340" w:type="dxa"/>
            <w:vAlign w:val="bottom"/>
            <w:tcBorders>
              <w:bottom w:val="single" w:sz="8" w:color="004878"/>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Marcy S. Klevorn</w:t>
            </w:r>
          </w:p>
        </w:tc>
        <w:tc>
          <w:tcPr>
            <w:tcW w:w="1180" w:type="dxa"/>
            <w:vAlign w:val="bottom"/>
            <w:tcBorders>
              <w:bottom w:val="single" w:sz="8" w:color="004878"/>
            </w:tcBorders>
            <w:shd w:val="clear" w:color="auto" w:fill="F0EFF7"/>
          </w:tcPr>
          <w:p>
            <w:pPr>
              <w:ind w:left="300"/>
              <w:spacing w:after="0"/>
              <w:rPr>
                <w:sz w:val="20"/>
                <w:szCs w:val="20"/>
                <w:color w:val="auto"/>
              </w:rPr>
            </w:pPr>
            <w:r>
              <w:rPr>
                <w:rFonts w:ascii="Arial" w:cs="Arial" w:eastAsia="Arial" w:hAnsi="Arial"/>
                <w:sz w:val="18"/>
                <w:szCs w:val="18"/>
                <w:b w:val="1"/>
                <w:bCs w:val="1"/>
                <w:color w:val="004878"/>
              </w:rPr>
              <w:t xml:space="preserve">  For</w:t>
            </w:r>
          </w:p>
        </w:tc>
        <w:tc>
          <w:tcPr>
            <w:tcW w:w="0" w:type="dxa"/>
            <w:vAlign w:val="bottom"/>
          </w:tcPr>
          <w:p>
            <w:pPr>
              <w:spacing w:after="0"/>
              <w:rPr>
                <w:sz w:val="1"/>
                <w:szCs w:val="1"/>
                <w:color w:val="auto"/>
              </w:rPr>
            </w:pPr>
          </w:p>
        </w:tc>
      </w:tr>
      <w:tr>
        <w:trPr>
          <w:trHeight w:val="277"/>
        </w:trPr>
        <w:tc>
          <w:tcPr>
            <w:tcW w:w="500" w:type="dxa"/>
            <w:vAlign w:val="bottom"/>
            <w:tcBorders>
              <w:bottom w:val="single" w:sz="8" w:color="004878"/>
            </w:tcBorders>
            <w:shd w:val="clear" w:color="auto" w:fill="F0EFF7"/>
          </w:tcPr>
          <w:p>
            <w:pPr>
              <w:spacing w:after="0"/>
              <w:rPr>
                <w:sz w:val="20"/>
                <w:szCs w:val="20"/>
                <w:color w:val="auto"/>
              </w:rPr>
            </w:pPr>
            <w:r>
              <w:rPr>
                <w:rFonts w:ascii="Arial" w:cs="Arial" w:eastAsia="Arial" w:hAnsi="Arial"/>
                <w:sz w:val="18"/>
                <w:szCs w:val="18"/>
                <w:color w:val="004878"/>
              </w:rPr>
              <w:t>   1i.</w:t>
            </w:r>
          </w:p>
        </w:tc>
        <w:tc>
          <w:tcPr>
            <w:tcW w:w="9340" w:type="dxa"/>
            <w:vAlign w:val="bottom"/>
            <w:tcBorders>
              <w:bottom w:val="single" w:sz="8" w:color="004878"/>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Jorge S. Mesquita</w:t>
            </w:r>
          </w:p>
        </w:tc>
        <w:tc>
          <w:tcPr>
            <w:tcW w:w="1180" w:type="dxa"/>
            <w:vAlign w:val="bottom"/>
            <w:tcBorders>
              <w:bottom w:val="single" w:sz="8" w:color="004878"/>
            </w:tcBorders>
            <w:shd w:val="clear" w:color="auto" w:fill="F0EFF7"/>
          </w:tcPr>
          <w:p>
            <w:pPr>
              <w:ind w:left="300"/>
              <w:spacing w:after="0"/>
              <w:rPr>
                <w:sz w:val="20"/>
                <w:szCs w:val="20"/>
                <w:color w:val="auto"/>
              </w:rPr>
            </w:pPr>
            <w:r>
              <w:rPr>
                <w:rFonts w:ascii="Arial" w:cs="Arial" w:eastAsia="Arial" w:hAnsi="Arial"/>
                <w:sz w:val="18"/>
                <w:szCs w:val="18"/>
                <w:b w:val="1"/>
                <w:bCs w:val="1"/>
                <w:color w:val="004878"/>
              </w:rPr>
              <w:t xml:space="preserve">  For</w:t>
            </w:r>
          </w:p>
        </w:tc>
        <w:tc>
          <w:tcPr>
            <w:tcW w:w="0" w:type="dxa"/>
            <w:vAlign w:val="bottom"/>
          </w:tcPr>
          <w:p>
            <w:pPr>
              <w:spacing w:after="0"/>
              <w:rPr>
                <w:sz w:val="1"/>
                <w:szCs w:val="1"/>
                <w:color w:val="auto"/>
              </w:rPr>
            </w:pPr>
          </w:p>
        </w:tc>
      </w:tr>
      <w:tr>
        <w:trPr>
          <w:trHeight w:val="277"/>
        </w:trPr>
        <w:tc>
          <w:tcPr>
            <w:tcW w:w="500" w:type="dxa"/>
            <w:vAlign w:val="bottom"/>
            <w:tcBorders>
              <w:bottom w:val="single" w:sz="8" w:color="004878"/>
            </w:tcBorders>
            <w:shd w:val="clear" w:color="auto" w:fill="F0EFF7"/>
          </w:tcPr>
          <w:p>
            <w:pPr>
              <w:spacing w:after="0"/>
              <w:rPr>
                <w:sz w:val="20"/>
                <w:szCs w:val="20"/>
                <w:color w:val="auto"/>
              </w:rPr>
            </w:pPr>
            <w:r>
              <w:rPr>
                <w:rFonts w:ascii="Arial" w:cs="Arial" w:eastAsia="Arial" w:hAnsi="Arial"/>
                <w:sz w:val="18"/>
                <w:szCs w:val="18"/>
                <w:color w:val="004878"/>
              </w:rPr>
              <w:t>   1j.</w:t>
            </w:r>
          </w:p>
        </w:tc>
        <w:tc>
          <w:tcPr>
            <w:tcW w:w="9340" w:type="dxa"/>
            <w:vAlign w:val="bottom"/>
            <w:tcBorders>
              <w:bottom w:val="single" w:sz="8" w:color="004878"/>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James A. Rechtin</w:t>
            </w:r>
          </w:p>
        </w:tc>
        <w:tc>
          <w:tcPr>
            <w:tcW w:w="1180" w:type="dxa"/>
            <w:vAlign w:val="bottom"/>
            <w:tcBorders>
              <w:bottom w:val="single" w:sz="8" w:color="004878"/>
            </w:tcBorders>
            <w:shd w:val="clear" w:color="auto" w:fill="F0EFF7"/>
          </w:tcPr>
          <w:p>
            <w:pPr>
              <w:ind w:left="300"/>
              <w:spacing w:after="0"/>
              <w:rPr>
                <w:sz w:val="20"/>
                <w:szCs w:val="20"/>
                <w:color w:val="auto"/>
              </w:rPr>
            </w:pPr>
            <w:r>
              <w:rPr>
                <w:rFonts w:ascii="Arial" w:cs="Arial" w:eastAsia="Arial" w:hAnsi="Arial"/>
                <w:sz w:val="18"/>
                <w:szCs w:val="18"/>
                <w:b w:val="1"/>
                <w:bCs w:val="1"/>
                <w:color w:val="004878"/>
              </w:rPr>
              <w:t xml:space="preserve">  For</w:t>
            </w:r>
          </w:p>
        </w:tc>
        <w:tc>
          <w:tcPr>
            <w:tcW w:w="0" w:type="dxa"/>
            <w:vAlign w:val="bottom"/>
          </w:tcPr>
          <w:p>
            <w:pPr>
              <w:spacing w:after="0"/>
              <w:rPr>
                <w:sz w:val="1"/>
                <w:szCs w:val="1"/>
                <w:color w:val="auto"/>
              </w:rPr>
            </w:pPr>
          </w:p>
        </w:tc>
      </w:tr>
      <w:tr>
        <w:trPr>
          <w:trHeight w:val="277"/>
        </w:trPr>
        <w:tc>
          <w:tcPr>
            <w:tcW w:w="500" w:type="dxa"/>
            <w:vAlign w:val="bottom"/>
            <w:tcBorders>
              <w:bottom w:val="single" w:sz="8" w:color="004878"/>
            </w:tcBorders>
            <w:shd w:val="clear" w:color="auto" w:fill="F0EFF7"/>
          </w:tcPr>
          <w:p>
            <w:pPr>
              <w:spacing w:after="0"/>
              <w:rPr>
                <w:sz w:val="20"/>
                <w:szCs w:val="20"/>
                <w:color w:val="auto"/>
              </w:rPr>
            </w:pPr>
            <w:r>
              <w:rPr>
                <w:rFonts w:ascii="Arial" w:cs="Arial" w:eastAsia="Arial" w:hAnsi="Arial"/>
                <w:sz w:val="18"/>
                <w:szCs w:val="18"/>
                <w:color w:val="004878"/>
              </w:rPr>
              <w:t>   1k.</w:t>
            </w:r>
          </w:p>
        </w:tc>
        <w:tc>
          <w:tcPr>
            <w:tcW w:w="9340" w:type="dxa"/>
            <w:vAlign w:val="bottom"/>
            <w:tcBorders>
              <w:bottom w:val="single" w:sz="8" w:color="004878"/>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Gordon Smith</w:t>
            </w:r>
          </w:p>
        </w:tc>
        <w:tc>
          <w:tcPr>
            <w:tcW w:w="1180" w:type="dxa"/>
            <w:vAlign w:val="bottom"/>
            <w:tcBorders>
              <w:bottom w:val="single" w:sz="8" w:color="004878"/>
            </w:tcBorders>
            <w:shd w:val="clear" w:color="auto" w:fill="F0EFF7"/>
          </w:tcPr>
          <w:p>
            <w:pPr>
              <w:ind w:left="300"/>
              <w:spacing w:after="0"/>
              <w:rPr>
                <w:sz w:val="20"/>
                <w:szCs w:val="20"/>
                <w:color w:val="auto"/>
              </w:rPr>
            </w:pPr>
            <w:r>
              <w:rPr>
                <w:rFonts w:ascii="Arial" w:cs="Arial" w:eastAsia="Arial" w:hAnsi="Arial"/>
                <w:sz w:val="18"/>
                <w:szCs w:val="18"/>
                <w:b w:val="1"/>
                <w:bCs w:val="1"/>
                <w:color w:val="004878"/>
              </w:rPr>
              <w:t xml:space="preserve">  For</w:t>
            </w:r>
          </w:p>
        </w:tc>
        <w:tc>
          <w:tcPr>
            <w:tcW w:w="0" w:type="dxa"/>
            <w:vAlign w:val="bottom"/>
          </w:tcPr>
          <w:p>
            <w:pPr>
              <w:spacing w:after="0"/>
              <w:rPr>
                <w:sz w:val="1"/>
                <w:szCs w:val="1"/>
                <w:color w:val="auto"/>
              </w:rPr>
            </w:pPr>
          </w:p>
        </w:tc>
      </w:tr>
      <w:tr>
        <w:trPr>
          <w:trHeight w:val="218"/>
        </w:trPr>
        <w:tc>
          <w:tcPr>
            <w:tcW w:w="500" w:type="dxa"/>
            <w:vAlign w:val="bottom"/>
            <w:shd w:val="clear" w:color="auto" w:fill="F0EFF7"/>
          </w:tcPr>
          <w:p>
            <w:pPr>
              <w:spacing w:after="0"/>
              <w:rPr>
                <w:sz w:val="20"/>
                <w:szCs w:val="20"/>
                <w:color w:val="auto"/>
              </w:rPr>
            </w:pPr>
            <w:r>
              <w:rPr>
                <w:rFonts w:ascii="Arial" w:cs="Arial" w:eastAsia="Arial" w:hAnsi="Arial"/>
                <w:sz w:val="18"/>
                <w:szCs w:val="18"/>
                <w:color w:val="004878"/>
              </w:rPr>
              <w:t>   2.</w:t>
            </w:r>
          </w:p>
        </w:tc>
        <w:tc>
          <w:tcPr>
            <w:tcW w:w="9340" w:type="dxa"/>
            <w:vAlign w:val="bottom"/>
            <w:tcBorders>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The ratification of the appointment of PricewaterhouseCoopers LLP as the Company’s independent registered</w:t>
            </w:r>
          </w:p>
        </w:tc>
        <w:tc>
          <w:tcPr>
            <w:tcW w:w="1180" w:type="dxa"/>
            <w:vAlign w:val="bottom"/>
            <w:vMerge w:val="restart"/>
            <w:shd w:val="clear" w:color="auto" w:fill="F0EFF7"/>
          </w:tcPr>
          <w:p>
            <w:pPr>
              <w:ind w:left="300"/>
              <w:spacing w:after="0"/>
              <w:rPr>
                <w:sz w:val="20"/>
                <w:szCs w:val="20"/>
                <w:color w:val="auto"/>
              </w:rPr>
            </w:pPr>
            <w:r>
              <w:rPr>
                <w:rFonts w:ascii="Arial" w:cs="Arial" w:eastAsia="Arial" w:hAnsi="Arial"/>
                <w:sz w:val="18"/>
                <w:szCs w:val="18"/>
                <w:b w:val="1"/>
                <w:bCs w:val="1"/>
                <w:color w:val="004878"/>
              </w:rPr>
              <w:t xml:space="preserve">  For</w:t>
            </w:r>
          </w:p>
        </w:tc>
        <w:tc>
          <w:tcPr>
            <w:tcW w:w="0" w:type="dxa"/>
            <w:vAlign w:val="bottom"/>
          </w:tcPr>
          <w:p>
            <w:pPr>
              <w:spacing w:after="0"/>
              <w:rPr>
                <w:sz w:val="1"/>
                <w:szCs w:val="1"/>
                <w:color w:val="auto"/>
              </w:rPr>
            </w:pPr>
          </w:p>
        </w:tc>
      </w:tr>
      <w:tr>
        <w:trPr>
          <w:trHeight w:val="275"/>
        </w:trPr>
        <w:tc>
          <w:tcPr>
            <w:tcW w:w="500" w:type="dxa"/>
            <w:vAlign w:val="bottom"/>
            <w:tcBorders>
              <w:bottom w:val="single" w:sz="8" w:color="F0EFF7"/>
            </w:tcBorders>
            <w:shd w:val="clear" w:color="auto" w:fill="F0EFF7"/>
          </w:tcPr>
          <w:p>
            <w:pPr>
              <w:spacing w:after="0"/>
              <w:rPr>
                <w:sz w:val="23"/>
                <w:szCs w:val="23"/>
                <w:color w:val="auto"/>
              </w:rPr>
            </w:pPr>
          </w:p>
        </w:tc>
        <w:tc>
          <w:tcPr>
            <w:tcW w:w="9340" w:type="dxa"/>
            <w:vAlign w:val="bottom"/>
            <w:tcBorders>
              <w:bottom w:val="single" w:sz="8" w:color="F0EFF7"/>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public accounting firm.</w:t>
            </w:r>
          </w:p>
        </w:tc>
        <w:tc>
          <w:tcPr>
            <w:tcW w:w="1180" w:type="dxa"/>
            <w:vAlign w:val="bottom"/>
            <w:tcBorders>
              <w:bottom w:val="single" w:sz="8" w:color="F0EFF7"/>
            </w:tcBorders>
            <w:vMerge w:val="continue"/>
            <w:shd w:val="clear" w:color="auto" w:fill="F0EFF7"/>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500" w:type="dxa"/>
            <w:vAlign w:val="bottom"/>
            <w:tcBorders>
              <w:top w:val="single" w:sz="8" w:color="004878"/>
            </w:tcBorders>
            <w:shd w:val="clear" w:color="auto" w:fill="F0EFF7"/>
          </w:tcPr>
          <w:p>
            <w:pPr>
              <w:spacing w:after="0"/>
              <w:rPr>
                <w:sz w:val="20"/>
                <w:szCs w:val="20"/>
                <w:color w:val="auto"/>
              </w:rPr>
            </w:pPr>
            <w:r>
              <w:rPr>
                <w:rFonts w:ascii="Arial" w:cs="Arial" w:eastAsia="Arial" w:hAnsi="Arial"/>
                <w:sz w:val="18"/>
                <w:szCs w:val="18"/>
                <w:color w:val="004878"/>
              </w:rPr>
              <w:t>   3.</w:t>
            </w:r>
          </w:p>
        </w:tc>
        <w:tc>
          <w:tcPr>
            <w:tcW w:w="9340" w:type="dxa"/>
            <w:vAlign w:val="bottom"/>
            <w:tcBorders>
              <w:top w:val="single" w:sz="8" w:color="004878"/>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Non-binding advisory vote for the approval of the compensation of the named executive officers as disclosed in the</w:t>
            </w:r>
          </w:p>
        </w:tc>
        <w:tc>
          <w:tcPr>
            <w:tcW w:w="1180" w:type="dxa"/>
            <w:vAlign w:val="bottom"/>
            <w:tcBorders>
              <w:top w:val="single" w:sz="8" w:color="004878"/>
            </w:tcBorders>
            <w:vMerge w:val="restart"/>
            <w:shd w:val="clear" w:color="auto" w:fill="F0EFF7"/>
          </w:tcPr>
          <w:p>
            <w:pPr>
              <w:ind w:left="300"/>
              <w:spacing w:after="0"/>
              <w:rPr>
                <w:sz w:val="20"/>
                <w:szCs w:val="20"/>
                <w:color w:val="auto"/>
              </w:rPr>
            </w:pPr>
            <w:r>
              <w:rPr>
                <w:rFonts w:ascii="Arial" w:cs="Arial" w:eastAsia="Arial" w:hAnsi="Arial"/>
                <w:sz w:val="18"/>
                <w:szCs w:val="18"/>
                <w:b w:val="1"/>
                <w:bCs w:val="1"/>
                <w:color w:val="004878"/>
              </w:rPr>
              <w:t xml:space="preserve">  For</w:t>
            </w:r>
          </w:p>
        </w:tc>
        <w:tc>
          <w:tcPr>
            <w:tcW w:w="0" w:type="dxa"/>
            <w:vAlign w:val="bottom"/>
          </w:tcPr>
          <w:p>
            <w:pPr>
              <w:spacing w:after="0"/>
              <w:rPr>
                <w:sz w:val="1"/>
                <w:szCs w:val="1"/>
                <w:color w:val="auto"/>
              </w:rPr>
            </w:pPr>
          </w:p>
        </w:tc>
      </w:tr>
      <w:tr>
        <w:trPr>
          <w:trHeight w:val="255"/>
        </w:trPr>
        <w:tc>
          <w:tcPr>
            <w:tcW w:w="500" w:type="dxa"/>
            <w:vAlign w:val="bottom"/>
            <w:tcBorders>
              <w:bottom w:val="single" w:sz="8" w:color="F0EFF7"/>
            </w:tcBorders>
            <w:shd w:val="clear" w:color="auto" w:fill="F0EFF7"/>
          </w:tcPr>
          <w:p>
            <w:pPr>
              <w:spacing w:after="0"/>
              <w:rPr>
                <w:sz w:val="22"/>
                <w:szCs w:val="22"/>
                <w:color w:val="auto"/>
              </w:rPr>
            </w:pPr>
          </w:p>
        </w:tc>
        <w:tc>
          <w:tcPr>
            <w:tcW w:w="9340" w:type="dxa"/>
            <w:vAlign w:val="bottom"/>
            <w:tcBorders>
              <w:bottom w:val="single" w:sz="8" w:color="F0EFF7"/>
              <w:right w:val="single" w:sz="8" w:color="004878"/>
            </w:tcBorders>
            <w:shd w:val="clear" w:color="auto" w:fill="F0EFF7"/>
          </w:tcPr>
          <w:p>
            <w:pPr>
              <w:ind w:left="60"/>
              <w:spacing w:after="0"/>
              <w:rPr>
                <w:sz w:val="20"/>
                <w:szCs w:val="20"/>
                <w:color w:val="auto"/>
              </w:rPr>
            </w:pPr>
            <w:r>
              <w:rPr>
                <w:rFonts w:ascii="Arial" w:cs="Arial" w:eastAsia="Arial" w:hAnsi="Arial"/>
                <w:sz w:val="18"/>
                <w:szCs w:val="18"/>
                <w:color w:val="004878"/>
              </w:rPr>
              <w:t>2025 proxy statement.</w:t>
            </w:r>
          </w:p>
        </w:tc>
        <w:tc>
          <w:tcPr>
            <w:tcW w:w="1180" w:type="dxa"/>
            <w:vAlign w:val="bottom"/>
            <w:tcBorders>
              <w:bottom w:val="single" w:sz="8" w:color="F0EFF7"/>
            </w:tcBorders>
            <w:vMerge w:val="continue"/>
            <w:shd w:val="clear" w:color="auto" w:fill="F0EFF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4878"/>
          </w:tcPr>
          <w:p>
            <w:pPr>
              <w:spacing w:after="0" w:line="20" w:lineRule="exact"/>
              <w:rPr>
                <w:sz w:val="1"/>
                <w:szCs w:val="1"/>
                <w:color w:val="auto"/>
              </w:rPr>
            </w:pPr>
          </w:p>
        </w:tc>
        <w:tc>
          <w:tcPr>
            <w:tcW w:w="9340" w:type="dxa"/>
            <w:vAlign w:val="bottom"/>
            <w:tcBorders>
              <w:right w:val="single" w:sz="8" w:color="004878"/>
            </w:tcBorders>
            <w:shd w:val="clear" w:color="auto" w:fill="004878"/>
          </w:tcPr>
          <w:p>
            <w:pPr>
              <w:spacing w:after="0" w:line="20" w:lineRule="exact"/>
              <w:rPr>
                <w:sz w:val="1"/>
                <w:szCs w:val="1"/>
                <w:color w:val="auto"/>
              </w:rPr>
            </w:pPr>
          </w:p>
        </w:tc>
        <w:tc>
          <w:tcPr>
            <w:tcW w:w="1180" w:type="dxa"/>
            <w:vAlign w:val="bottom"/>
            <w:shd w:val="clear" w:color="auto" w:fill="00487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-2717165</wp:posOffset>
            </wp:positionV>
            <wp:extent cx="6995160" cy="4997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49974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004878"/>
        </w:rPr>
        <w:t>   At their discretion, the Proxies are authorized to vote upon any other matters as may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2212340</wp:posOffset>
            </wp:positionV>
            <wp:extent cx="699516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Prefer to receive an email instead? While voting on www.ProxyVote.com, be sure to click “Delivery Settings”.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V62002-P24548</w:t>
      </w:r>
    </w:p>
    <w:sectPr>
      <w:pgSz w:w="11900" w:h="16838" w:orient="portrait"/>
      <w:cols w:equalWidth="0" w:num="1">
        <w:col w:w="11020"/>
      </w:cols>
      <w:pgMar w:left="440" w:top="2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2025-03-07T06:44:55Z</dcterms:created>
  <dcterms:modified xsi:type="dcterms:W3CDTF">2025-03-07T06:44:55Z</dcterms:modified>
</cp:coreProperties>
</file>