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1916430</wp:posOffset>
            </wp:positionH>
            <wp:positionV relativeFrom="paragraph">
              <wp:posOffset>120015</wp:posOffset>
            </wp:positionV>
            <wp:extent cx="3317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1916430</wp:posOffset>
            </wp:positionH>
            <wp:positionV relativeFrom="paragraph">
              <wp:posOffset>87630</wp:posOffset>
            </wp:positionV>
            <wp:extent cx="3317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December 3, 2024 (December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80645</wp:posOffset>
            </wp:positionV>
            <wp:extent cx="345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Humana Inc.</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53975</wp:posOffset>
            </wp:positionV>
            <wp:extent cx="3429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25"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001-5975</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61-0647538</w:t>
      </w:r>
    </w:p>
    <w:p>
      <w:pPr>
        <w:spacing w:after="0" w:line="43" w:lineRule="exact"/>
        <w:rPr>
          <w:sz w:val="24"/>
          <w:szCs w:val="24"/>
          <w:color w:val="auto"/>
        </w:rPr>
      </w:pPr>
    </w:p>
    <w:p>
      <w:pPr>
        <w:sectPr>
          <w:pgSz w:w="11900" w:h="16838" w:orient="portrait"/>
          <w:cols w:equalWidth="0" w:num="3">
            <w:col w:w="4560" w:space="720"/>
            <w:col w:w="2520" w:space="720"/>
            <w:col w:w="2720"/>
          </w:cols>
          <w:pgMar w:left="320" w:top="1440" w:right="3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400" w:space="720"/>
            <w:col w:w="3340"/>
          </w:cols>
          <w:pgMar w:left="320" w:top="1440"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West Main Street, Louisville, Kentucky 40202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(502) 580-1000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76200</wp:posOffset>
            </wp:positionV>
            <wp:extent cx="3454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8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0" w:type="dxa"/>
        <w:tblCellMar>
          <w:top w:w="0" w:type="dxa"/>
          <w:left w:w="0" w:type="dxa"/>
          <w:bottom w:w="0" w:type="dxa"/>
          <w:right w:w="0" w:type="dxa"/>
        </w:tblCellMar>
      </w:tblPr>
      <w:tr>
        <w:trPr>
          <w:trHeight w:val="162"/>
        </w:trPr>
        <w:tc>
          <w:tcPr>
            <w:tcW w:w="4240" w:type="dxa"/>
            <w:vAlign w:val="bottom"/>
            <w:tcBorders>
              <w:top w:val="single" w:sz="8" w:color="auto"/>
              <w:left w:val="single" w:sz="8" w:color="auto"/>
              <w:right w:val="single" w:sz="8" w:color="auto"/>
            </w:tcBorders>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6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22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4"/>
        </w:trPr>
        <w:tc>
          <w:tcPr>
            <w:tcW w:w="1580" w:type="dxa"/>
            <w:vAlign w:val="bottom"/>
            <w:tcBorders>
              <w:left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80" w:type="dxa"/>
            <w:vAlign w:val="bottom"/>
            <w:tcBorders>
              <w:top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4240" w:type="dxa"/>
            <w:vAlign w:val="bottom"/>
            <w:tcBorders>
              <w:left w:val="single" w:sz="8" w:color="auto"/>
              <w:bottom w:val="single" w:sz="8" w:color="auto"/>
              <w:right w:val="single" w:sz="8" w:color="auto"/>
            </w:tcBorders>
            <w:gridSpan w:val="3"/>
          </w:tcPr>
          <w:p>
            <w:pPr>
              <w:ind w:left="1560"/>
              <w:spacing w:after="0"/>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HUM</w:t>
            </w:r>
          </w:p>
        </w:tc>
        <w:tc>
          <w:tcPr>
            <w:tcW w:w="76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87"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955675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980" w:right="680" w:hanging="971"/>
        <w:spacing w:after="0" w:line="259"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(c) and (e)</w:t>
      </w:r>
    </w:p>
    <w:p>
      <w:pPr>
        <w:spacing w:after="0" w:line="233"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9"/>
          <w:szCs w:val="19"/>
          <w:color w:val="auto"/>
        </w:rPr>
        <w:t>On December 3, 2024, Humana Inc. (the “Company”) announced that in order to pursue personal and professional goals, Susan M. Diamond will be transitioning from her current role as Chief Financial Officer on January 10, 2025 (the “Transition Date”), after which she has agreed to serve in an advisory capacity to the Company through December 31, 2025 (the “Transition Period”). Ms. Diamond’s departure is not related to any disagreement with the Company, including with respect to the Company’s operations, policies or practices.</w:t>
      </w:r>
    </w:p>
    <w:p>
      <w:pPr>
        <w:spacing w:after="0" w:line="184" w:lineRule="exact"/>
        <w:rPr>
          <w:sz w:val="20"/>
          <w:szCs w:val="20"/>
          <w:color w:val="auto"/>
        </w:rPr>
      </w:pPr>
    </w:p>
    <w:p>
      <w:pPr>
        <w:jc w:val="both"/>
        <w:ind w:right="140" w:firstLine="648"/>
        <w:spacing w:after="0" w:line="254" w:lineRule="auto"/>
        <w:rPr>
          <w:sz w:val="20"/>
          <w:szCs w:val="20"/>
          <w:color w:val="auto"/>
        </w:rPr>
      </w:pPr>
      <w:r>
        <w:rPr>
          <w:rFonts w:ascii="Times New Roman" w:cs="Times New Roman" w:eastAsia="Times New Roman" w:hAnsi="Times New Roman"/>
          <w:sz w:val="20"/>
          <w:szCs w:val="20"/>
          <w:color w:val="auto"/>
        </w:rPr>
        <w:t>In connection with the transition, Ms. Diamond entered into an agreement with the Company (the “Agreement”), the material terms of which are summarized below. The payments and benefits to which Ms. Diamond is entitled under the Agreement are generally subject to Ms. Diamond’s compliance with the terms and conditions of the Agreement.</w:t>
      </w:r>
    </w:p>
    <w:p>
      <w:pPr>
        <w:spacing w:after="0" w:line="201" w:lineRule="exact"/>
        <w:rPr>
          <w:sz w:val="20"/>
          <w:szCs w:val="20"/>
          <w:color w:val="auto"/>
        </w:rPr>
      </w:pPr>
    </w:p>
    <w:p>
      <w:pPr>
        <w:ind w:right="200" w:firstLine="648"/>
        <w:spacing w:after="0" w:line="260" w:lineRule="auto"/>
        <w:rPr>
          <w:sz w:val="20"/>
          <w:szCs w:val="20"/>
          <w:color w:val="auto"/>
        </w:rPr>
      </w:pPr>
      <w:r>
        <w:rPr>
          <w:rFonts w:ascii="Times New Roman" w:cs="Times New Roman" w:eastAsia="Times New Roman" w:hAnsi="Times New Roman"/>
          <w:sz w:val="19"/>
          <w:szCs w:val="19"/>
          <w:color w:val="auto"/>
        </w:rPr>
        <w:t>Pursuant to the terms of the Agreement, Ms. Diamond agreed to continue to provide strategic advisory services after the Transition Date until December 31, 2025, and thereafter transition to the Company’s variable staffing pool (“VSP”) (temporary worker status) until</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9"/>
          <w:szCs w:val="19"/>
          <w:color w:val="auto"/>
        </w:rPr>
        <w:t>March 1, 2027 (the “VSP Period”). Until December 31, 2025, Ms. Diamond will continue to receive her current base salary, annual incentive plan opportunity and benefits. During the VSP Period, Ms. Diamond will not receive a salary, but will be paid an hourly rate for any work performed for the Company, including: (i) continuing to serve on the boards of various joint venture and minority investment companies in the Company’s investment portfolio, (ii) advising the Company’s business teams as requested regarding ongoing operational and regulatory matters, including participating in public policy matters, and (iii) serving as a strategic consultant to the Company to assist in the transition.</w:t>
      </w:r>
    </w:p>
    <w:p>
      <w:pPr>
        <w:spacing w:after="0" w:line="192" w:lineRule="exact"/>
        <w:rPr>
          <w:sz w:val="20"/>
          <w:szCs w:val="20"/>
          <w:color w:val="auto"/>
        </w:rPr>
      </w:pPr>
    </w:p>
    <w:p>
      <w:pPr>
        <w:jc w:val="both"/>
        <w:ind w:right="60" w:firstLine="648"/>
        <w:spacing w:after="0" w:line="247" w:lineRule="auto"/>
        <w:rPr>
          <w:sz w:val="20"/>
          <w:szCs w:val="20"/>
          <w:color w:val="auto"/>
        </w:rPr>
      </w:pPr>
      <w:r>
        <w:rPr>
          <w:rFonts w:ascii="Times New Roman" w:cs="Times New Roman" w:eastAsia="Times New Roman" w:hAnsi="Times New Roman"/>
          <w:sz w:val="20"/>
          <w:szCs w:val="20"/>
          <w:color w:val="auto"/>
        </w:rPr>
        <w:t>Under the Agreement, Ms. Diamond will not receive any additional compensation or benefits, other than continued vesting of equity in accordance with applicable provisions under the Company’s stock incentive plan, and other existing compensation and benefits programs generally available to the Company’s associates, including VSP associates.</w:t>
      </w:r>
    </w:p>
    <w:p>
      <w:pPr>
        <w:spacing w:after="0" w:line="194"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9"/>
          <w:szCs w:val="19"/>
          <w:color w:val="auto"/>
        </w:rPr>
        <w:t>At the end of the Transition Period, Ms. Diamond will receive, subject to her execution of a general release of claims and compliance with applicable non-compete and non-solicit covenants, benefits pursuant to Section 3 of the Company’s Executive Severance Policy.</w:t>
      </w:r>
    </w:p>
    <w:p>
      <w:pPr>
        <w:spacing w:after="0" w:line="151"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20"/>
          <w:szCs w:val="20"/>
          <w:color w:val="auto"/>
        </w:rPr>
        <w:t>On December 3, 2024, the Company also announced the appointment of Celeste Mellet, age 48, to serve as the Company’s Chief Financial Officer, effective as of January 11, 2025. See the attached press release for additional biographical information concerning Ms. Mellet.</w:t>
      </w:r>
    </w:p>
    <w:p>
      <w:pPr>
        <w:spacing w:after="0" w:line="181"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0"/>
          <w:szCs w:val="20"/>
          <w:color w:val="auto"/>
        </w:rPr>
        <w:t>There are no arrangements or understandings between Ms. Mellet and any other persons pursuant to which she will be appointed the Company’s Chief Financial Officer. There is no family relationship between Ms. Mellet and any director, executive officer, or person nominated or chosen by the Company to become a director or executive officer of the Company. The Company has not entered into any transactions with Ms. Mellet that would require disclosure pursuant to Item 404(a) of Regulation S−K under the Exchange Act.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terms of Ms. Mellet’s employment with the Company are described in an offer letter (the “Offer Letter”), which provides for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 salary of $975,000 and eligibility to participate at the 125% level in the Company’s short-term incentive plan under the same terms as</w:t>
      </w:r>
    </w:p>
    <w:p>
      <w:pPr>
        <w:spacing w:after="0"/>
        <w:rPr>
          <w:sz w:val="20"/>
          <w:szCs w:val="20"/>
          <w:color w:val="auto"/>
        </w:rPr>
      </w:pPr>
      <w:r>
        <w:rPr>
          <w:rFonts w:ascii="Times New Roman" w:cs="Times New Roman" w:eastAsia="Times New Roman" w:hAnsi="Times New Roman"/>
          <w:sz w:val="19"/>
          <w:szCs w:val="19"/>
          <w:color w:val="auto"/>
        </w:rPr>
        <w:t>other Company executive officers. Under the Offer Letter, upon commencement of her employment Ms. Mellet will receive an initial equity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award comprised of restricted stock units with a value equal to approximately $6,000,000 on the date of grant. In connection with the</w:t>
      </w:r>
    </w:p>
    <w:p>
      <w:pPr>
        <w:spacing w:after="0" w:line="231" w:lineRule="auto"/>
        <w:rPr>
          <w:sz w:val="20"/>
          <w:szCs w:val="20"/>
          <w:color w:val="auto"/>
        </w:rPr>
      </w:pPr>
      <w:r>
        <w:rPr>
          <w:rFonts w:ascii="Times New Roman" w:cs="Times New Roman" w:eastAsia="Times New Roman" w:hAnsi="Times New Roman"/>
          <w:sz w:val="20"/>
          <w:szCs w:val="20"/>
          <w:color w:val="auto"/>
        </w:rPr>
        <w:t>Company’s annual long-term incentive compensation program for 2025, Ms. Mellet will receive a total annual equity grant value of</w:t>
      </w:r>
    </w:p>
    <w:p>
      <w:pPr>
        <w:spacing w:after="0"/>
        <w:rPr>
          <w:sz w:val="20"/>
          <w:szCs w:val="20"/>
          <w:color w:val="auto"/>
        </w:rPr>
      </w:pPr>
      <w:r>
        <w:rPr>
          <w:rFonts w:ascii="Times New Roman" w:cs="Times New Roman" w:eastAsia="Times New Roman" w:hAnsi="Times New Roman"/>
          <w:sz w:val="20"/>
          <w:szCs w:val="20"/>
          <w:color w:val="auto"/>
        </w:rPr>
        <w:t>$4,000,000 (the “2025 Annual Grant”), made in the ordinary course of business in connection with the Company’s customary granting</w:t>
      </w:r>
    </w:p>
    <w:p>
      <w:pPr>
        <w:spacing w:after="0"/>
        <w:rPr>
          <w:sz w:val="20"/>
          <w:szCs w:val="20"/>
          <w:color w:val="auto"/>
        </w:rPr>
      </w:pPr>
      <w:r>
        <w:rPr>
          <w:rFonts w:ascii="Times New Roman" w:cs="Times New Roman" w:eastAsia="Times New Roman" w:hAnsi="Times New Roman"/>
          <w:sz w:val="20"/>
          <w:szCs w:val="20"/>
          <w:color w:val="auto"/>
        </w:rPr>
        <w:t>practices, and will include the same grant date, vesting schedule, and award mix (performance-based stock units, restricted stock units, and</w:t>
      </w:r>
    </w:p>
    <w:p>
      <w:pPr>
        <w:spacing w:after="0"/>
        <w:rPr>
          <w:sz w:val="20"/>
          <w:szCs w:val="20"/>
          <w:color w:val="auto"/>
        </w:rPr>
      </w:pPr>
      <w:r>
        <w:rPr>
          <w:rFonts w:ascii="Times New Roman" w:cs="Times New Roman" w:eastAsia="Times New Roman" w:hAnsi="Times New Roman"/>
          <w:sz w:val="20"/>
          <w:szCs w:val="20"/>
          <w:color w:val="auto"/>
        </w:rPr>
        <w:t>stock options) as approved by the Company’s Organization &amp; Compensation Committee for all of the Company’s executive officers. Ms.</w:t>
      </w:r>
    </w:p>
    <w:p>
      <w:pPr>
        <w:spacing w:after="0"/>
        <w:rPr>
          <w:sz w:val="20"/>
          <w:szCs w:val="20"/>
          <w:color w:val="auto"/>
        </w:rPr>
      </w:pPr>
      <w:r>
        <w:rPr>
          <w:rFonts w:ascii="Times New Roman" w:cs="Times New Roman" w:eastAsia="Times New Roman" w:hAnsi="Times New Roman"/>
          <w:sz w:val="20"/>
          <w:szCs w:val="20"/>
          <w:color w:val="auto"/>
        </w:rPr>
        <w:t>Mellet will also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19"/>
          <w:szCs w:val="19"/>
          <w:color w:val="auto"/>
        </w:rPr>
        <w:t>a cash sign-on payment (“Sign-On”) in the aggregate amount of $7,300,000, payable in three installments as follows: (1) the first installment of $6,000,000, within 45 days of Ms. Mellet’s first date of employment, (2) the second installment of $700,000, on or near the first anniversary of Ms. Mellet’s first date of employment, and (3) the third installment of $600,000, on or near the second anniversary of Ms. Mellet’s first date of employment. The Offer Letter provides for the repayment of some or all of the Sign-On if Ms. Mellet voluntarily leaves employment by the Company prior to completing certain service time requirements. These payments and grants to Ms. Mellet are intended to replace certain elements of compensation to which Ms. Mellet was entitled to or eligible for in connection with her prior employment.</w:t>
      </w:r>
    </w:p>
    <w:p>
      <w:pPr>
        <w:spacing w:after="0" w:line="200"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20"/>
          <w:szCs w:val="20"/>
          <w:color w:val="auto"/>
        </w:rPr>
        <w:t>The Offer Letter also describes Ms. Mellet’s participation in the Company’s Executive Severance Policy, Change in Control Policy, and other standard benefits and perquisites under the Company’s current policies and procedures, including health, dental and vision coverage, and a matching charitable contribution benefit of $30,000 annually.</w:t>
      </w:r>
    </w:p>
    <w:p>
      <w:pPr>
        <w:spacing w:after="0" w:line="215" w:lineRule="exact"/>
        <w:rPr>
          <w:sz w:val="20"/>
          <w:szCs w:val="20"/>
          <w:color w:val="auto"/>
        </w:rPr>
      </w:pPr>
    </w:p>
    <w:p>
      <w:pPr>
        <w:jc w:val="both"/>
        <w:ind w:right="100" w:firstLine="648"/>
        <w:spacing w:after="0" w:line="247" w:lineRule="auto"/>
        <w:rPr>
          <w:sz w:val="20"/>
          <w:szCs w:val="20"/>
          <w:color w:val="auto"/>
        </w:rPr>
      </w:pPr>
      <w:r>
        <w:rPr>
          <w:rFonts w:ascii="Times New Roman" w:cs="Times New Roman" w:eastAsia="Times New Roman" w:hAnsi="Times New Roman"/>
          <w:sz w:val="20"/>
          <w:szCs w:val="20"/>
          <w:color w:val="auto"/>
        </w:rPr>
        <w:t>The foregoing summaries of the Offer Letter and the Agreement do not purport to be complete and are qualified in their entirety by reference to the full text of the Agreement and the Offer Letter, as applicable, a copy of each of which is expected to be filed as an exhibit to the Company’s Annual Report on Form 10-K for the period ending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7.01 Regulation FD Disclosure.</w:t>
      </w:r>
    </w:p>
    <w:p>
      <w:pPr>
        <w:spacing w:after="0" w:line="247"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0"/>
          <w:szCs w:val="20"/>
          <w:color w:val="auto"/>
        </w:rPr>
        <w:t>Members of the Company’s senior management team are scheduled to meet with investors and analysts at various meetings between December 3, 2024 and December 31, 2024. During these meetings, the Company intends to reaffirm its guidance of at least $12.89 in diluted earnings per common share (“EPS”) or at least $16.00 in adjusted earnings per common share (“Adjusted EPS”), in each case for the year ending December 31, 2024 (“FY 2024”). This guidance is consistent with the guidance issued in Humana’s press release dated October 30, 2024.</w:t>
      </w:r>
    </w:p>
    <w:p>
      <w:pPr>
        <w:spacing w:after="0" w:line="205"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20"/>
          <w:szCs w:val="20"/>
          <w:color w:val="auto"/>
        </w:rPr>
        <w:t>The Company has included Adjusted EPS in this current report, a financial measure that is not in accordance with Generally Accepted Accounting Principles (“GAAP”). Management believes that this measure, when presented in conjunction with the comparable measure of GAAP EPS, provides a comprehensive perspective to more accurately compare and analyze the Company’s core operating performance over time. Consequently, management uses Adjusted EPS as a consistent and uniform indicator of the Company’s core business operations from period to period, as well as for planning and decision-making purposes and in determination of incentive compensation. Adjusted EPS should be considered in addition to, but not as a substitute for, or superior to, GAAP EPS. A reconciliation of GAAP EPS to Adjusted EPS follows:</w:t>
      </w:r>
    </w:p>
    <w:p>
      <w:pPr>
        <w:spacing w:after="0" w:line="236" w:lineRule="exact"/>
        <w:rPr>
          <w:sz w:val="20"/>
          <w:szCs w:val="20"/>
          <w:color w:val="auto"/>
        </w:rPr>
      </w:pPr>
    </w:p>
    <w:tbl>
      <w:tblPr>
        <w:tblLayout w:type="fixed"/>
        <w:tblInd w:w="470" w:type="dxa"/>
        <w:tblCellMar>
          <w:top w:w="0" w:type="dxa"/>
          <w:left w:w="0" w:type="dxa"/>
          <w:bottom w:w="0" w:type="dxa"/>
          <w:right w:w="0" w:type="dxa"/>
        </w:tblCellMar>
      </w:tblPr>
      <w:tr>
        <w:trPr>
          <w:trHeight w:val="280"/>
        </w:trPr>
        <w:tc>
          <w:tcPr>
            <w:tcW w:w="7640" w:type="dxa"/>
            <w:vAlign w:val="bottom"/>
            <w:tcBorders>
              <w:top w:val="single" w:sz="8" w:color="auto"/>
              <w:left w:val="single" w:sz="8" w:color="auto"/>
              <w:bottom w:val="single" w:sz="8" w:color="auto"/>
              <w:right w:val="single" w:sz="8" w:color="auto"/>
            </w:tcBorders>
          </w:tcPr>
          <w:p>
            <w:pPr>
              <w:ind w:left="2300"/>
              <w:spacing w:after="0"/>
              <w:rPr>
                <w:sz w:val="20"/>
                <w:szCs w:val="20"/>
                <w:color w:val="auto"/>
              </w:rPr>
            </w:pPr>
            <w:r>
              <w:rPr>
                <w:rFonts w:ascii="Times New Roman" w:cs="Times New Roman" w:eastAsia="Times New Roman" w:hAnsi="Times New Roman"/>
                <w:sz w:val="20"/>
                <w:szCs w:val="20"/>
                <w:b w:val="1"/>
                <w:bCs w:val="1"/>
                <w:color w:val="auto"/>
              </w:rPr>
              <w:t>Diluted earnings per common share</w:t>
            </w:r>
          </w:p>
        </w:tc>
        <w:tc>
          <w:tcPr>
            <w:tcW w:w="2740" w:type="dxa"/>
            <w:vAlign w:val="bottom"/>
            <w:tcBorders>
              <w:top w:val="single" w:sz="8" w:color="auto"/>
              <w:bottom w:val="single" w:sz="8" w:color="auto"/>
              <w:right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FY 2024 Guidance</w:t>
            </w:r>
          </w:p>
        </w:tc>
      </w:tr>
      <w:tr>
        <w:trPr>
          <w:trHeight w:val="263"/>
        </w:trPr>
        <w:tc>
          <w:tcPr>
            <w:tcW w:w="7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GAAP</w:t>
            </w:r>
          </w:p>
        </w:tc>
        <w:tc>
          <w:tcPr>
            <w:tcW w:w="2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approximately $12.89</w:t>
            </w:r>
          </w:p>
        </w:tc>
      </w:tr>
      <w:tr>
        <w:trPr>
          <w:trHeight w:val="263"/>
        </w:trPr>
        <w:tc>
          <w:tcPr>
            <w:tcW w:w="7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Amortization of identifiable intangibles</w:t>
            </w:r>
          </w:p>
        </w:tc>
        <w:tc>
          <w:tcPr>
            <w:tcW w:w="2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0.50</w:t>
            </w:r>
          </w:p>
        </w:tc>
      </w:tr>
      <w:tr>
        <w:trPr>
          <w:trHeight w:val="217"/>
        </w:trPr>
        <w:tc>
          <w:tcPr>
            <w:tcW w:w="7640" w:type="dxa"/>
            <w:vAlign w:val="bottom"/>
            <w:tcBorders>
              <w:left w:val="single" w:sz="8" w:color="auto"/>
              <w:right w:val="single" w:sz="8" w:color="auto"/>
            </w:tcBorders>
          </w:tcPr>
          <w:p>
            <w:pPr>
              <w:ind w:left="20"/>
              <w:spacing w:after="0" w:line="217" w:lineRule="exact"/>
              <w:rPr>
                <w:sz w:val="20"/>
                <w:szCs w:val="20"/>
                <w:color w:val="auto"/>
              </w:rPr>
            </w:pPr>
            <w:r>
              <w:rPr>
                <w:rFonts w:ascii="Times New Roman" w:cs="Times New Roman" w:eastAsia="Times New Roman" w:hAnsi="Times New Roman"/>
                <w:sz w:val="20"/>
                <w:szCs w:val="20"/>
                <w:color w:val="auto"/>
              </w:rPr>
              <w:t>Put/call valuation adjustments associated with Company's non-consolidating minority interest</w:t>
            </w:r>
          </w:p>
        </w:tc>
        <w:tc>
          <w:tcPr>
            <w:tcW w:w="2740" w:type="dxa"/>
            <w:vAlign w:val="bottom"/>
            <w:tcBorders>
              <w:right w:val="single" w:sz="8" w:color="auto"/>
            </w:tcBorders>
          </w:tcPr>
          <w:p>
            <w:pPr>
              <w:spacing w:after="0"/>
              <w:rPr>
                <w:sz w:val="18"/>
                <w:szCs w:val="18"/>
                <w:color w:val="auto"/>
              </w:rPr>
            </w:pPr>
          </w:p>
        </w:tc>
      </w:tr>
      <w:tr>
        <w:trPr>
          <w:trHeight w:val="276"/>
        </w:trPr>
        <w:tc>
          <w:tcPr>
            <w:tcW w:w="7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investments</w:t>
            </w:r>
          </w:p>
        </w:tc>
        <w:tc>
          <w:tcPr>
            <w:tcW w:w="2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64"/>
        </w:trPr>
        <w:tc>
          <w:tcPr>
            <w:tcW w:w="7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Impact of exit of employer group commercial medical products business</w:t>
            </w:r>
          </w:p>
        </w:tc>
        <w:tc>
          <w:tcPr>
            <w:tcW w:w="2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63"/>
        </w:trPr>
        <w:tc>
          <w:tcPr>
            <w:tcW w:w="7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Value creation initiatives</w:t>
            </w:r>
          </w:p>
        </w:tc>
        <w:tc>
          <w:tcPr>
            <w:tcW w:w="2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63"/>
        </w:trPr>
        <w:tc>
          <w:tcPr>
            <w:tcW w:w="7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Cumulative net tax impact of non-GAAP adjustments</w:t>
            </w:r>
          </w:p>
        </w:tc>
        <w:tc>
          <w:tcPr>
            <w:tcW w:w="2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(0.95)</w:t>
            </w:r>
          </w:p>
        </w:tc>
      </w:tr>
      <w:tr>
        <w:trPr>
          <w:trHeight w:val="264"/>
        </w:trPr>
        <w:tc>
          <w:tcPr>
            <w:tcW w:w="7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Adjusted (non-GAAP) – FY 2024 projected</w:t>
            </w:r>
          </w:p>
        </w:tc>
        <w:tc>
          <w:tcPr>
            <w:tcW w:w="2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approximately $16.00</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Cautionary Statement</w:t>
      </w:r>
    </w:p>
    <w:p>
      <w:pPr>
        <w:spacing w:after="0" w:line="233" w:lineRule="exact"/>
        <w:rPr>
          <w:sz w:val="20"/>
          <w:szCs w:val="20"/>
          <w:color w:val="auto"/>
        </w:rPr>
      </w:pPr>
    </w:p>
    <w:p>
      <w:pPr>
        <w:ind w:right="360" w:firstLine="648"/>
        <w:spacing w:after="0" w:line="239" w:lineRule="auto"/>
        <w:rPr>
          <w:sz w:val="20"/>
          <w:szCs w:val="20"/>
          <w:color w:val="auto"/>
        </w:rPr>
      </w:pPr>
      <w:r>
        <w:rPr>
          <w:rFonts w:ascii="Times New Roman" w:cs="Times New Roman" w:eastAsia="Times New Roman" w:hAnsi="Times New Roman"/>
          <w:sz w:val="20"/>
          <w:szCs w:val="20"/>
          <w:color w:val="auto"/>
        </w:rPr>
        <w:t>This Current Report on Form 8-K includes forward-looking statements within the meaning of the Private Securities Litigation Reform Act of 1995, generally including the words or phrases like “expects,” “believes,” “anticipates,” “intends,” “likely will result,” “estimates,” “projects” or variations of such words and similar expressions that are intended to identify such forward-looking statements. These forward-looking statements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20"/>
          <w:szCs w:val="20"/>
          <w:color w:val="auto"/>
        </w:rPr>
        <w:t>guarantees of future performance and are subject to risks, uncertainties, and assumptions, including, among other things, information set forth in the “Risk Factors” section of the Company’s SEC filings.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2" w:lineRule="exact"/>
        <w:rPr>
          <w:sz w:val="20"/>
          <w:szCs w:val="20"/>
          <w:color w:val="auto"/>
        </w:rPr>
      </w:pPr>
    </w:p>
    <w:p>
      <w:pPr>
        <w:ind w:left="300" w:hanging="292"/>
        <w:spacing w:after="0"/>
        <w:tabs>
          <w:tab w:leader="none" w:pos="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Exhibit</w:t>
      </w:r>
      <w:r>
        <w:rPr>
          <w:rFonts w:ascii="Times New Roman" w:cs="Times New Roman" w:eastAsia="Times New Roman" w:hAnsi="Times New Roman"/>
          <w:sz w:val="19"/>
          <w:szCs w:val="19"/>
          <w:color w:val="auto"/>
        </w:rPr>
        <w: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Exhibit No.</w:t>
            </w:r>
          </w:p>
        </w:tc>
        <w:tc>
          <w:tcPr>
            <w:tcW w:w="480" w:type="dxa"/>
            <w:vAlign w:val="bottom"/>
          </w:tcPr>
          <w:p>
            <w:pPr>
              <w:spacing w:after="0"/>
              <w:rPr>
                <w:sz w:val="19"/>
                <w:szCs w:val="19"/>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0000FF"/>
                <w:w w:val="96"/>
              </w:rPr>
              <w:t>99.</w:t>
            </w:r>
            <w:r>
              <w:rPr>
                <w:rFonts w:ascii="Times New Roman" w:cs="Times New Roman" w:eastAsia="Times New Roman" w:hAnsi="Times New Roman"/>
                <w:sz w:val="20"/>
                <w:szCs w:val="20"/>
                <w:u w:val="single" w:color="auto"/>
                <w:color w:val="0000FF"/>
                <w:w w:val="96"/>
              </w:rPr>
              <w:t>1</w:t>
            </w: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Press Release, CFO Transition</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973"/>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ind w:right="-4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445"/>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HUMANA INC.</w:t>
      </w:r>
    </w:p>
    <w:p>
      <w:pPr>
        <w:spacing w:after="0" w:line="297" w:lineRule="exact"/>
        <w:rPr>
          <w:sz w:val="20"/>
          <w:szCs w:val="20"/>
          <w:color w:val="auto"/>
        </w:rPr>
      </w:pPr>
    </w:p>
    <w:p>
      <w:pPr>
        <w:ind w:left="4800"/>
        <w:spacing w:after="0"/>
        <w:tabs>
          <w:tab w:leader="none" w:pos="5700" w:val="left"/>
        </w:tabs>
        <w:rPr>
          <w:sz w:val="20"/>
          <w:szCs w:val="20"/>
          <w:color w:val="auto"/>
        </w:rPr>
      </w:pPr>
      <w:r>
        <w:rPr>
          <w:rFonts w:ascii="Times New Roman" w:cs="Times New Roman" w:eastAsia="Times New Roman" w:hAnsi="Times New Roman"/>
          <w:sz w:val="20"/>
          <w:szCs w:val="20"/>
          <w:b w:val="1"/>
          <w:bCs w:val="1"/>
          <w:color w:val="auto"/>
        </w:rPr>
        <w:t>BY:</w:t>
      </w:r>
      <w:r>
        <w:rPr>
          <w:sz w:val="20"/>
          <w:szCs w:val="20"/>
          <w:color w:val="auto"/>
        </w:rPr>
        <w:tab/>
      </w:r>
      <w:r>
        <w:rPr>
          <w:rFonts w:ascii="Times New Roman" w:cs="Times New Roman" w:eastAsia="Times New Roman" w:hAnsi="Times New Roman"/>
          <w:sz w:val="20"/>
          <w:szCs w:val="20"/>
          <w:b w:val="1"/>
          <w:bCs w:val="1"/>
          <w:color w:val="auto"/>
        </w:rPr>
        <w:t>/s/ Joseph M. Ruschell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25400</wp:posOffset>
            </wp:positionV>
            <wp:extent cx="3514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Joseph M. Ruschell</w:t>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Vice President, Associate General Counsel &amp; Corporate</w:t>
      </w:r>
    </w:p>
    <w:p>
      <w:pPr>
        <w:ind w:left="5720"/>
        <w:spacing w:after="0"/>
        <w:rPr>
          <w:sz w:val="20"/>
          <w:szCs w:val="20"/>
          <w:color w:val="auto"/>
        </w:rPr>
      </w:pPr>
      <w:r>
        <w:rPr>
          <w:rFonts w:ascii="Times New Roman" w:cs="Times New Roman" w:eastAsia="Times New Roman" w:hAnsi="Times New Roman"/>
          <w:sz w:val="20"/>
          <w:szCs w:val="20"/>
          <w:b w:val="1"/>
          <w:bCs w:val="1"/>
          <w:color w:val="auto"/>
        </w:rPr>
        <w:t>Secretary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December 3, 2024</w:t>
      </w:r>
    </w:p>
    <w:p>
      <w:pPr>
        <w:sectPr>
          <w:pgSz w:w="11900" w:h="16838" w:orient="portrait"/>
          <w:cols w:equalWidth="0" w:num="1">
            <w:col w:w="10800"/>
          </w:cols>
          <w:pgMar w:left="320" w:top="1098" w:right="779" w:bottom="1440" w:gutter="0" w:footer="0" w:header="0"/>
        </w:sectPr>
      </w:pPr>
    </w:p>
    <w:bookmarkStart w:id="5" w:name="page6"/>
    <w:bookmarkEnd w:id="5"/>
    <w:p>
      <w:pPr>
        <w:ind w:left="60"/>
        <w:spacing w:after="0"/>
        <w:rPr>
          <w:sz w:val="20"/>
          <w:szCs w:val="20"/>
          <w:color w:val="auto"/>
        </w:rPr>
      </w:pPr>
      <w:r>
        <w:rPr>
          <w:rFonts w:ascii="Arial" w:cs="Arial" w:eastAsia="Arial" w:hAnsi="Arial"/>
          <w:sz w:val="27"/>
          <w:szCs w:val="27"/>
          <w:b w:val="1"/>
          <w:bCs w:val="1"/>
          <w:color w:val="auto"/>
        </w:rPr>
        <w:t xml:space="preserve">n e w s </w:t>
      </w:r>
      <w:r>
        <w:rPr>
          <w:rFonts w:ascii="Arial" w:cs="Arial" w:eastAsia="Arial" w:hAnsi="Arial"/>
          <w:sz w:val="27"/>
          <w:szCs w:val="27"/>
          <w:color w:val="auto"/>
        </w:rPr>
        <w:t>r e l e a 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MORE INFORMATION, CONTACT: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Murphy</w:t>
      </w:r>
    </w:p>
    <w:p>
      <w:pPr>
        <w:spacing w:after="0" w:line="211" w:lineRule="auto"/>
        <w:rPr>
          <w:sz w:val="20"/>
          <w:szCs w:val="20"/>
          <w:color w:val="auto"/>
        </w:rPr>
      </w:pPr>
      <w:r>
        <w:rPr>
          <w:rFonts w:ascii="Times New Roman" w:cs="Times New Roman" w:eastAsia="Times New Roman" w:hAnsi="Times New Roman"/>
          <w:sz w:val="20"/>
          <w:szCs w:val="20"/>
          <w:color w:val="auto"/>
        </w:rPr>
        <w:t>Humana 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-75565</wp:posOffset>
            </wp:positionV>
            <wp:extent cx="1714500"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4800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kmurphy26@humana.com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Lisa Stoner</w:t>
      </w:r>
    </w:p>
    <w:p>
      <w:pPr>
        <w:spacing w:after="0" w:line="211" w:lineRule="auto"/>
        <w:rPr>
          <w:sz w:val="20"/>
          <w:szCs w:val="20"/>
          <w:color w:val="auto"/>
        </w:rPr>
      </w:pPr>
      <w:r>
        <w:rPr>
          <w:rFonts w:ascii="Times New Roman" w:cs="Times New Roman" w:eastAsia="Times New Roman" w:hAnsi="Times New Roman"/>
          <w:sz w:val="20"/>
          <w:szCs w:val="20"/>
          <w:color w:val="auto"/>
        </w:rPr>
        <w:t>Investor Relations</w:t>
      </w:r>
    </w:p>
    <w:p>
      <w:pPr>
        <w:spacing w:after="0"/>
        <w:rPr>
          <w:sz w:val="20"/>
          <w:szCs w:val="20"/>
          <w:color w:val="auto"/>
        </w:rPr>
      </w:pPr>
      <w:r>
        <w:rPr>
          <w:rFonts w:ascii="Times New Roman" w:cs="Times New Roman" w:eastAsia="Times New Roman" w:hAnsi="Times New Roman"/>
          <w:sz w:val="20"/>
          <w:szCs w:val="20"/>
          <w:color w:val="auto"/>
        </w:rPr>
        <w:t>lstamper@humana.com</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Humana Announces CFO Transition</w:t>
      </w:r>
    </w:p>
    <w:p>
      <w:pPr>
        <w:spacing w:after="0" w:line="240" w:lineRule="exact"/>
        <w:rPr>
          <w:sz w:val="20"/>
          <w:szCs w:val="20"/>
          <w:color w:val="auto"/>
        </w:rPr>
      </w:pPr>
    </w:p>
    <w:p>
      <w:pPr>
        <w:jc w:val="both"/>
        <w:ind w:left="6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LOUISVILLE, Ky.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3, 2024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Leading health and well-being company Humana Inc. (NYSE: HUM) announced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today that Celeste Mellet will be appointed to succeed Susan Diamond as Chief Financial Officer (CFO), effective January 11, 2025. Diamond is stepping down after a successful 18-year career at Humana, including over three years as CFO, and will serve in an advisory role through the end of 2025 to ensure a smooth transition.</w:t>
      </w:r>
    </w:p>
    <w:p>
      <w:pPr>
        <w:spacing w:after="0" w:line="192" w:lineRule="exact"/>
        <w:rPr>
          <w:sz w:val="20"/>
          <w:szCs w:val="20"/>
          <w:color w:val="auto"/>
        </w:rPr>
      </w:pPr>
    </w:p>
    <w:p>
      <w:pPr>
        <w:jc w:val="both"/>
        <w:ind w:left="60"/>
        <w:spacing w:after="0" w:line="228" w:lineRule="auto"/>
        <w:rPr>
          <w:sz w:val="20"/>
          <w:szCs w:val="20"/>
          <w:color w:val="auto"/>
        </w:rPr>
      </w:pPr>
      <w:r>
        <w:rPr>
          <w:rFonts w:ascii="Times New Roman" w:cs="Times New Roman" w:eastAsia="Times New Roman" w:hAnsi="Times New Roman"/>
          <w:sz w:val="22"/>
          <w:szCs w:val="22"/>
          <w:color w:val="auto"/>
        </w:rPr>
        <w:t>“On behalf of the entire Board and management team, I want to extend my thanks to Susan for her leadership as CFO and in prior roles during her nearly two decades at Humana,” said Jim Rechtin, Humana’s President and Chief Executive Officer. “Susan’s contributions spanned across our Medicare, Home Solutions and finance teams and she was instrumental in helping navigate complex environments including COVID-19 and dynamic utilization trends. On a personal note, I’m grateful for her partnership as I transitioned into the CEO role. We appreciate her willingness to help ensure a smooth transition and are grateful that she has agreed to remain a resource to the company.”</w:t>
      </w:r>
    </w:p>
    <w:p>
      <w:pPr>
        <w:spacing w:after="0" w:line="192" w:lineRule="exact"/>
        <w:rPr>
          <w:sz w:val="20"/>
          <w:szCs w:val="20"/>
          <w:color w:val="auto"/>
        </w:rPr>
      </w:pPr>
    </w:p>
    <w:p>
      <w:pPr>
        <w:jc w:val="both"/>
        <w:ind w:left="60"/>
        <w:spacing w:after="0" w:line="226" w:lineRule="auto"/>
        <w:rPr>
          <w:sz w:val="20"/>
          <w:szCs w:val="20"/>
          <w:color w:val="auto"/>
        </w:rPr>
      </w:pPr>
      <w:r>
        <w:rPr>
          <w:rFonts w:ascii="Times New Roman" w:cs="Times New Roman" w:eastAsia="Times New Roman" w:hAnsi="Times New Roman"/>
          <w:sz w:val="22"/>
          <w:szCs w:val="22"/>
          <w:color w:val="auto"/>
        </w:rPr>
        <w:t>“It’s been an honor to work with such talented colleagues during my time at Humana. I am grateful for the opportunity to have served as CFO and help the company navigate a challenging period for the industry, as well as support Jim’s transition into the CEO role,” said Diamond. “As I prepare for the next chapter, both personally and professionally, and the company works to establish new forward-looking commitments, it became clear that this is the right time to initiate a CFO transition. It is important to have a leadership team that will be in place for the next several years to deliver against those commitments, and I look forward to helping set the team up for success.”</w:t>
      </w:r>
    </w:p>
    <w:p>
      <w:pPr>
        <w:spacing w:after="0" w:line="191" w:lineRule="exact"/>
        <w:rPr>
          <w:sz w:val="20"/>
          <w:szCs w:val="20"/>
          <w:color w:val="auto"/>
        </w:rPr>
      </w:pPr>
    </w:p>
    <w:p>
      <w:pPr>
        <w:jc w:val="both"/>
        <w:ind w:left="60"/>
        <w:spacing w:after="0" w:line="226" w:lineRule="auto"/>
        <w:rPr>
          <w:sz w:val="20"/>
          <w:szCs w:val="20"/>
          <w:color w:val="auto"/>
        </w:rPr>
      </w:pPr>
      <w:r>
        <w:rPr>
          <w:rFonts w:ascii="Times New Roman" w:cs="Times New Roman" w:eastAsia="Times New Roman" w:hAnsi="Times New Roman"/>
          <w:sz w:val="22"/>
          <w:szCs w:val="22"/>
          <w:color w:val="auto"/>
        </w:rPr>
        <w:t>Mellet currently serves as CFO of Global Infrastructure Partners (GIP), a leading infrastructure fund manager recently acquired by BlackRock. Prior to joining GIP, she was CFO, senior managing director and executive vice president of Evercore, responsible for the firm’s financial, strategy, tax, information technology and facilities functions. Before joining Evercore, Mellet was Fannie Mae’s executive vice president and CFO responsible for corporate strategy and financial management functions. Before her tenure at Fannie Mae, she spent more than 18 years at Morgan Stanley, last serving as global treasurer and previously head of investor, creditor and counterparty relations. Mellet was also previously an equity research analyst covering financial, media, and gaming and lodging.</w:t>
      </w:r>
    </w:p>
    <w:p>
      <w:pPr>
        <w:spacing w:after="0" w:line="195" w:lineRule="exact"/>
        <w:rPr>
          <w:sz w:val="20"/>
          <w:szCs w:val="20"/>
          <w:color w:val="auto"/>
        </w:rPr>
      </w:pPr>
    </w:p>
    <w:p>
      <w:pPr>
        <w:jc w:val="both"/>
        <w:ind w:left="60"/>
        <w:spacing w:after="0" w:line="230" w:lineRule="auto"/>
        <w:rPr>
          <w:sz w:val="20"/>
          <w:szCs w:val="20"/>
          <w:color w:val="auto"/>
        </w:rPr>
      </w:pPr>
      <w:r>
        <w:rPr>
          <w:rFonts w:ascii="Times New Roman" w:cs="Times New Roman" w:eastAsia="Times New Roman" w:hAnsi="Times New Roman"/>
          <w:sz w:val="22"/>
          <w:szCs w:val="22"/>
          <w:color w:val="auto"/>
        </w:rPr>
        <w:t>“Celeste is a highly accomplished CFO and brings first-hand experience navigating dynamic and highly regulated industries. She has a proven track record of working with cross-functional teams to drive improved performance throughout the complex organizations where she has served as a leader. I am excited to partner with Celeste as we execute against our strategy, unlock the earnings power of the business, and deliver long-term shareholder value,” said Rechtin.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00"/>
          </w:cols>
          <w:pgMar w:left="260" w:top="111" w:right="339" w:bottom="1440" w:gutter="0" w:footer="0" w:header="0"/>
        </w:sectPr>
      </w:pPr>
    </w:p>
    <w:bookmarkStart w:id="6" w:name="page7"/>
    <w:bookmarkEnd w:id="6"/>
    <w:p>
      <w:pPr>
        <w:spacing w:after="0"/>
        <w:rPr>
          <w:sz w:val="20"/>
          <w:szCs w:val="20"/>
          <w:color w:val="auto"/>
        </w:rPr>
      </w:pPr>
      <w:r>
        <w:rPr>
          <w:rFonts w:ascii="Arial" w:cs="Arial" w:eastAsia="Arial" w:hAnsi="Arial"/>
          <w:sz w:val="27"/>
          <w:szCs w:val="27"/>
          <w:b w:val="1"/>
          <w:bCs w:val="1"/>
          <w:color w:val="auto"/>
        </w:rPr>
        <w:t xml:space="preserve">n e w s </w:t>
      </w:r>
      <w:r>
        <w:rPr>
          <w:rFonts w:ascii="Arial" w:cs="Arial" w:eastAsia="Arial" w:hAnsi="Arial"/>
          <w:sz w:val="27"/>
          <w:szCs w:val="27"/>
          <w:color w:val="auto"/>
        </w:rPr>
        <w:t>r e l e a 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 am thrilled for the opportunity to join Humana,” said Mellet. “This is a leading company with clearly differentiated capabilities, a strong value proposition, and a compelling long-term outlook. I am excited to join this talented team as Humana enters its next chapter of growth and value creation.”</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Company reiterates its 2024 adjusted earnings per share (EPS) guidance of ‘at least $16.00’ and its 2025 adjusted EPS commentary of ‘at least in line with final 2024 results.’ Humana continues to target an Investor Day in May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Cautionary Statement</w:t>
      </w:r>
    </w:p>
    <w:p>
      <w:pPr>
        <w:spacing w:after="0" w:line="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“assumes,” “intends,” “likely will result,” “estimates,” “projects” or variations of such words and similar expressions are intended to identify such forward-looking statements.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These forward-looking statements are not guarantees of future performance and are subject to risks, uncertainties, and assumptions, including, among other things, information set forth in the “Risk Factors” section of the company’s SEC filings set forth below.</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Humana advises investors to read the following documents as filed by the company with the SEC for further discussion both of the risks it faces and its historical performance:</w:t>
      </w:r>
    </w:p>
    <w:p>
      <w:pPr>
        <w:spacing w:after="0" w:line="17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10-K for the year ended December 31, 2023;</w:t>
      </w:r>
    </w:p>
    <w:p>
      <w:pPr>
        <w:spacing w:after="0" w:line="14"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10-Q for the quarter ended March 31, 2024, June 30, 2024, and September 30, 2024; and</w:t>
      </w: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8-Ks filed during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Humana</w:t>
      </w:r>
    </w:p>
    <w:p>
      <w:pPr>
        <w:spacing w:after="0" w:line="1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Humana Inc. is committed to putting health first – for our teammates, our customers, and our company. Through our Humana insurance services, and our CenterWell health care services, we make it easier for the millions of people we serve to achieve their best health – delivering the care and service they need, when they need it. These efforts are leading to a better quality of life for people with Medicare, Medicaid, families, individuals, military service personnel, and communities at large. Learn more about what we offer at Humana.com and at CenterWell.com</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2024-12-03T07:12:17Z</dcterms:created>
  <dcterms:modified xsi:type="dcterms:W3CDTF">2024-12-03T07:12:17Z</dcterms:modified>
</cp:coreProperties>
</file>