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1620" w:right="2820" w:hanging="845"/>
        <w:spacing w:after="0" w:line="238" w:lineRule="auto"/>
        <w:tabs>
          <w:tab w:leader="none" w:pos="140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 (d)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1620" w:right="2820" w:hanging="845"/>
        <w:spacing w:after="0" w:line="238" w:lineRule="auto"/>
        <w:tabs>
          <w:tab w:leader="none" w:pos="140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105410</wp:posOffset>
            </wp:positionV>
            <wp:extent cx="396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HUMANA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50800</wp:posOffset>
            </wp:positionV>
            <wp:extent cx="396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99" w:lineRule="exact"/>
        <w:rPr>
          <w:sz w:val="24"/>
          <w:szCs w:val="24"/>
          <w:color w:val="auto"/>
        </w:rPr>
      </w:pPr>
    </w:p>
    <w:tbl>
      <w:tblPr>
        <w:tblLayout w:type="fixed"/>
        <w:tblInd w:w="34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2260" w:type="dxa"/>
            <w:vAlign w:val="bottom"/>
            <w:gridSpan w:val="2"/>
          </w:tcPr>
          <w:p>
            <w:pPr>
              <w:jc w:val="center"/>
              <w:ind w:right="40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4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61-0647538</w:t>
            </w:r>
          </w:p>
        </w:tc>
      </w:tr>
      <w:tr>
        <w:trPr>
          <w:trHeight w:val="190"/>
        </w:trPr>
        <w:tc>
          <w:tcPr>
            <w:tcW w:w="6480" w:type="dxa"/>
            <w:vAlign w:val="bottom"/>
            <w:gridSpan w:val="6"/>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94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5"/>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500 West Main Street</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4"/>
        </w:trPr>
        <w:tc>
          <w:tcPr>
            <w:tcW w:w="1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Louisville, Kentucky 40202</w:t>
            </w: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0"/>
        </w:trPr>
        <w:tc>
          <w:tcPr>
            <w:tcW w:w="1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0" w:type="dxa"/>
            <w:vAlign w:val="bottom"/>
            <w:gridSpan w:val="6"/>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3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(502) 580-1000</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9"/>
        </w:trPr>
        <w:tc>
          <w:tcPr>
            <w:tcW w:w="1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0" w:type="dxa"/>
            <w:vAlign w:val="bottom"/>
            <w:gridSpan w:val="6"/>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55"/>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0"/>
        </w:trPr>
        <w:tc>
          <w:tcPr>
            <w:tcW w:w="194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4"/>
        </w:trPr>
        <w:tc>
          <w:tcPr>
            <w:tcW w:w="4200" w:type="dxa"/>
            <w:vAlign w:val="bottom"/>
            <w:gridSpan w:val="3"/>
          </w:tcPr>
          <w:p>
            <w:pPr>
              <w:jc w:val="center"/>
              <w:ind w:left="656"/>
              <w:spacing w:after="0"/>
              <w:rPr>
                <w:sz w:val="20"/>
                <w:szCs w:val="20"/>
                <w:color w:val="auto"/>
              </w:rPr>
            </w:pPr>
            <w:r>
              <w:rPr>
                <w:rFonts w:ascii="Times New Roman" w:cs="Times New Roman" w:eastAsia="Times New Roman" w:hAnsi="Times New Roman"/>
                <w:sz w:val="18"/>
                <w:szCs w:val="18"/>
                <w:color w:val="auto"/>
              </w:rPr>
              <w:t>Common stock, $0.16 2/3 par value</w:t>
            </w:r>
          </w:p>
        </w:tc>
        <w:tc>
          <w:tcPr>
            <w:tcW w:w="580" w:type="dxa"/>
            <w:vAlign w:val="bottom"/>
          </w:tcPr>
          <w:p>
            <w:pPr>
              <w:spacing w:after="0"/>
              <w:rPr>
                <w:sz w:val="22"/>
                <w:szCs w:val="22"/>
                <w:color w:val="auto"/>
              </w:rPr>
            </w:pP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HUM</w:t>
            </w:r>
          </w:p>
        </w:tc>
        <w:tc>
          <w:tcPr>
            <w:tcW w:w="26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280" w:type="dxa"/>
        <w:tblCellMar>
          <w:top w:w="0" w:type="dxa"/>
          <w:left w:w="0" w:type="dxa"/>
          <w:bottom w:w="0" w:type="dxa"/>
          <w:right w:w="0" w:type="dxa"/>
        </w:tblCellMar>
      </w:tblPr>
      <w:tr>
        <w:trPr>
          <w:trHeight w:val="27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70"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340" w:right="2140"/>
        <w:spacing w:after="0" w:line="26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Class of Common Stock</w:t>
            </w:r>
          </w:p>
        </w:tc>
        <w:tc>
          <w:tcPr>
            <w:tcW w:w="634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Outstanding at June 30, 2022</w:t>
            </w:r>
          </w:p>
        </w:tc>
      </w:tr>
      <w:tr>
        <w:trPr>
          <w:trHeight w:val="253"/>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$0.16 2/3 par value</w:t>
            </w:r>
          </w:p>
        </w:tc>
        <w:tc>
          <w:tcPr>
            <w:tcW w:w="6340" w:type="dxa"/>
            <w:vAlign w:val="bottom"/>
          </w:tcPr>
          <w:p>
            <w:pPr>
              <w:jc w:val="center"/>
              <w:ind w:left="1339"/>
              <w:spacing w:after="0"/>
              <w:rPr>
                <w:sz w:val="20"/>
                <w:szCs w:val="20"/>
                <w:color w:val="auto"/>
              </w:rPr>
            </w:pPr>
            <w:r>
              <w:rPr>
                <w:rFonts w:ascii="Times New Roman" w:cs="Times New Roman" w:eastAsia="Times New Roman" w:hAnsi="Times New Roman"/>
                <w:sz w:val="18"/>
                <w:szCs w:val="18"/>
                <w:color w:val="auto"/>
              </w:rPr>
              <w:t>126,553,698 shares</w:t>
            </w:r>
          </w:p>
        </w:tc>
      </w:tr>
      <w:tr>
        <w:trPr>
          <w:trHeight w:val="628"/>
        </w:trPr>
        <w:tc>
          <w:tcPr>
            <w:tcW w:w="490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960" w:type="dxa"/>
            <w:vAlign w:val="bottom"/>
            <w:vMerge w:val="restart"/>
          </w:tcPr>
          <w:p>
            <w:pPr>
              <w:spacing w:after="0"/>
              <w:rPr>
                <w:sz w:val="2"/>
                <w:szCs w:val="2"/>
                <w:color w:val="auto"/>
              </w:rPr>
            </w:pPr>
          </w:p>
        </w:tc>
        <w:tc>
          <w:tcPr>
            <w:tcW w:w="208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4300" w:type="dxa"/>
            <w:vAlign w:val="bottom"/>
            <w:gridSpan w:val="9"/>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080" w:type="dxa"/>
            <w:vAlign w:val="bottom"/>
            <w:tcBorders>
              <w:bottom w:val="single" w:sz="8" w:color="auto"/>
            </w:tcBorders>
            <w:gridSpan w:val="8"/>
            <w:vMerge w:val="continue"/>
          </w:tcPr>
          <w:p>
            <w:pPr>
              <w:spacing w:after="0"/>
              <w:rPr>
                <w:sz w:val="14"/>
                <w:szCs w:val="14"/>
                <w:color w:val="auto"/>
              </w:rPr>
            </w:pPr>
          </w:p>
        </w:tc>
        <w:tc>
          <w:tcPr>
            <w:tcW w:w="4300" w:type="dxa"/>
            <w:vAlign w:val="bottom"/>
            <w:gridSpan w:val="9"/>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2022 and December 31, 2021</w:t>
            </w:r>
          </w:p>
        </w:tc>
        <w:tc>
          <w:tcPr>
            <w:tcW w:w="3740" w:type="dxa"/>
            <w:vAlign w:val="bottom"/>
            <w:gridSpan w:val="5"/>
          </w:tcPr>
          <w:p>
            <w:pPr>
              <w:spacing w:after="0"/>
              <w:rPr>
                <w:sz w:val="21"/>
                <w:szCs w:val="21"/>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w:t>
            </w:r>
          </w:p>
        </w:tc>
        <w:tc>
          <w:tcPr>
            <w:tcW w:w="5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58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June 30, 2022 and 2021</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w:t>
            </w:r>
          </w:p>
        </w:tc>
        <w:tc>
          <w:tcPr>
            <w:tcW w:w="5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74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June 30, 2022 and 2021</w:t>
            </w:r>
          </w:p>
        </w:tc>
        <w:tc>
          <w:tcPr>
            <w:tcW w:w="256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4"/>
                <w:szCs w:val="24"/>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w:t>
            </w:r>
          </w:p>
        </w:tc>
        <w:tc>
          <w:tcPr>
            <w:tcW w:w="5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920" w:type="dxa"/>
            <w:vAlign w:val="bottom"/>
            <w:tcBorders>
              <w:top w:val="single" w:sz="8" w:color="0000FF"/>
            </w:tcBorders>
            <w:gridSpan w:val="16"/>
          </w:tcPr>
          <w:p>
            <w:pPr>
              <w:spacing w:after="0" w:line="136" w:lineRule="exact"/>
              <w:rPr>
                <w:sz w:val="20"/>
                <w:szCs w:val="20"/>
                <w:color w:val="auto"/>
              </w:rPr>
            </w:pPr>
            <w:r>
              <w:rPr>
                <w:rFonts w:ascii="Times New Roman" w:cs="Times New Roman" w:eastAsia="Times New Roman" w:hAnsi="Times New Roman"/>
                <w:sz w:val="15"/>
                <w:szCs w:val="15"/>
                <w:color w:val="0000FF"/>
              </w:rPr>
              <w:t>June 30, 2022 and 2021</w:t>
            </w:r>
          </w:p>
        </w:tc>
        <w:tc>
          <w:tcPr>
            <w:tcW w:w="40" w:type="dxa"/>
            <w:vAlign w:val="bottom"/>
          </w:tcPr>
          <w:p>
            <w:pPr>
              <w:spacing w:after="0"/>
              <w:rPr>
                <w:sz w:val="11"/>
                <w:szCs w:val="11"/>
                <w:color w:val="auto"/>
              </w:rPr>
            </w:pPr>
          </w:p>
        </w:tc>
        <w:tc>
          <w:tcPr>
            <w:tcW w:w="100" w:type="dxa"/>
            <w:vAlign w:val="bottom"/>
            <w:tcBorders>
              <w:top w:val="single" w:sz="8" w:color="0000FF"/>
            </w:tcBorders>
            <w:gridSpan w:val="2"/>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gridSpan w:val="3"/>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780" w:type="dxa"/>
            <w:vAlign w:val="bottom"/>
            <w:gridSpan w:val="2"/>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w:t>
            </w:r>
          </w:p>
        </w:tc>
        <w:tc>
          <w:tcPr>
            <w:tcW w:w="5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16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June 30, 2022 and 2021</w:t>
            </w:r>
          </w:p>
        </w:tc>
        <w:tc>
          <w:tcPr>
            <w:tcW w:w="920" w:type="dxa"/>
            <w:vAlign w:val="bottom"/>
            <w:gridSpan w:val="3"/>
          </w:tcPr>
          <w:p>
            <w:pPr>
              <w:spacing w:after="0"/>
              <w:rPr>
                <w:sz w:val="13"/>
                <w:szCs w:val="13"/>
                <w:color w:val="auto"/>
              </w:rPr>
            </w:pPr>
          </w:p>
        </w:tc>
        <w:tc>
          <w:tcPr>
            <w:tcW w:w="3220" w:type="dxa"/>
            <w:vAlign w:val="bottom"/>
            <w:gridSpan w:val="3"/>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10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322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120" w:type="dxa"/>
            <w:vAlign w:val="bottom"/>
            <w:tcBorders>
              <w:top w:val="single" w:sz="8" w:color="0000FF"/>
            </w:tcBorders>
            <w:gridSpan w:val="6"/>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Borders>
              <w:top w:val="single" w:sz="8" w:color="0000FF"/>
            </w:tcBorders>
            <w:gridSpan w:val="4"/>
          </w:tcPr>
          <w:p>
            <w:pPr>
              <w:spacing w:after="0"/>
              <w:rPr>
                <w:sz w:val="22"/>
                <w:szCs w:val="22"/>
                <w:color w:val="auto"/>
              </w:rPr>
            </w:pPr>
          </w:p>
        </w:tc>
        <w:tc>
          <w:tcPr>
            <w:tcW w:w="3220" w:type="dxa"/>
            <w:vAlign w:val="bottom"/>
            <w:gridSpan w:val="3"/>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4400" w:type="dxa"/>
            <w:vAlign w:val="bottom"/>
            <w:gridSpan w:val="12"/>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340" w:type="dxa"/>
            <w:vAlign w:val="bottom"/>
            <w:gridSpan w:val="22"/>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20" w:type="dxa"/>
            <w:vAlign w:val="bottom"/>
            <w:gridSpan w:val="13"/>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340" w:type="dxa"/>
            <w:vAlign w:val="bottom"/>
            <w:gridSpan w:val="18"/>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900" w:type="dxa"/>
            <w:vAlign w:val="bottom"/>
            <w:gridSpan w:val="21"/>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2"/>
                <w:szCs w:val="22"/>
                <w:color w:val="auto"/>
              </w:rPr>
            </w:pPr>
          </w:p>
        </w:tc>
        <w:tc>
          <w:tcPr>
            <w:tcW w:w="8360" w:type="dxa"/>
            <w:vAlign w:val="bottom"/>
            <w:gridSpan w:val="23"/>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900" w:type="dxa"/>
            <w:vAlign w:val="bottom"/>
            <w:gridSpan w:val="25"/>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6"/>
        </w:trPr>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544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0" w:type="dxa"/>
            <w:vAlign w:val="bottom"/>
          </w:tcPr>
          <w:p>
            <w:pPr>
              <w:spacing w:after="0"/>
              <w:rPr>
                <w:sz w:val="1"/>
                <w:szCs w:val="1"/>
                <w:color w:val="auto"/>
              </w:rPr>
            </w:pPr>
          </w:p>
        </w:tc>
      </w:tr>
      <w:tr>
        <w:trPr>
          <w:trHeight w:val="249"/>
        </w:trPr>
        <w:tc>
          <w:tcPr>
            <w:tcW w:w="802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SSETS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0" w:type="dxa"/>
            <w:vAlign w:val="bottom"/>
          </w:tcPr>
          <w:p>
            <w:pPr>
              <w:spacing w:after="0"/>
              <w:rPr>
                <w:sz w:val="1"/>
                <w:szCs w:val="1"/>
                <w:color w:val="auto"/>
              </w:rPr>
            </w:pPr>
          </w:p>
        </w:tc>
      </w:tr>
      <w:tr>
        <w:trPr>
          <w:trHeight w:val="176"/>
        </w:trPr>
        <w:tc>
          <w:tcPr>
            <w:tcW w:w="80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Receivables, net of allowances of $72 in 2022</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$83 in 2021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assets held-for-sale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 held-for-sale</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IABILITIES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QUITY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payable and accrued expenses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 overdraft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Unearned revenues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liabilities held-for-sale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 held-for-sale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$1 par; 10,000,000 shares authorized; none issued</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$0.16 2/3 par; 300,000,000 shares authorized;</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198,666,598 shares issued at June 30, 2022 and 198,648,742 shares at December 31, 2021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at cost, 72,112,900 shares at June 30, 2022 and</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69,846,758 shares at December 31, 2021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per share results)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22,266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40,102</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5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41,313</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34,445</w:t>
            </w: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5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22,447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Humana</w:t>
            </w: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4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Humana</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gross unrealized investment (losses) gains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income taxes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change in unrealized investment (losses) gains, net of tax</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net realized gains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income taxes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reclassification adjustment, net of tax</w:t>
            </w:r>
          </w:p>
        </w:tc>
        <w:tc>
          <w:tcPr>
            <w:tcW w:w="8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equity method investments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Humana</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1660" w:type="dxa"/>
            <w:vAlign w:val="bottom"/>
            <w:gridSpan w:val="4"/>
            <w:vMerge w:val="restart"/>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60" w:type="dxa"/>
            <w:vAlign w:val="bottom"/>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Capital In</w:t>
            </w: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center"/>
              <w:ind w:right="7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9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Issued</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Excess of</w:t>
            </w:r>
          </w:p>
        </w:tc>
        <w:tc>
          <w:tcPr>
            <w:tcW w:w="16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10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Par Value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Income (loss)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 share amounts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198,649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15,342</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 to noncontrolling interest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and dividend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equivalents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2022</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198,667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24,511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15,510</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198,649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14,190</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 to noncontrolling interest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2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and dividend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equivalents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198,649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21,751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14,843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3" w:right="359" w:bottom="1440" w:gutter="0" w:footer="0" w:header="0"/>
        </w:sectPr>
      </w:pPr>
    </w:p>
    <w:bookmarkStart w:id="6" w:name="page7"/>
    <w:bookmarkEnd w:id="6"/>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2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Capital In</w:t>
            </w: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jc w:val="center"/>
              <w:ind w:right="11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9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Issued</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Excess of</w:t>
            </w:r>
          </w:p>
        </w:tc>
        <w:tc>
          <w:tcPr>
            <w:tcW w:w="100" w:type="dxa"/>
            <w:vAlign w:val="bottom"/>
          </w:tcPr>
          <w:p>
            <w:pPr>
              <w:spacing w:after="0"/>
              <w:rPr>
                <w:sz w:val="11"/>
                <w:szCs w:val="11"/>
                <w:color w:val="auto"/>
              </w:rPr>
            </w:pPr>
          </w:p>
        </w:tc>
        <w:tc>
          <w:tcPr>
            <w:tcW w:w="10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1"/>
                <w:szCs w:val="11"/>
                <w:color w:val="auto"/>
              </w:rPr>
            </w:pPr>
          </w:p>
        </w:tc>
        <w:tc>
          <w:tcPr>
            <w:tcW w:w="106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9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Income (loss)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(dollars in millions, share amounts in thousands)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16,103</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holders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and dividend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93"/>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equivalents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0" w:type="dxa"/>
            <w:vAlign w:val="bottom"/>
          </w:tcPr>
          <w:p>
            <w:pPr>
              <w:spacing w:after="0"/>
              <w:rPr>
                <w:sz w:val="1"/>
                <w:szCs w:val="1"/>
                <w:color w:val="auto"/>
              </w:rPr>
            </w:pPr>
          </w:p>
        </w:tc>
      </w:tr>
      <w:tr>
        <w:trPr>
          <w:trHeight w:val="21"/>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13,728</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 to noncontrolling</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holders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and dividend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3"/>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equivalents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544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9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4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2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196"/>
        </w:trPr>
        <w:tc>
          <w:tcPr>
            <w:tcW w:w="7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7"/>
                <w:szCs w:val="17"/>
                <w:color w:val="auto"/>
              </w:rPr>
            </w:pPr>
          </w:p>
        </w:tc>
      </w:tr>
      <w:tr>
        <w:trPr>
          <w:trHeight w:val="23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9"/>
                <w:szCs w:val="19"/>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175"/>
        </w:trPr>
        <w:tc>
          <w:tcPr>
            <w:tcW w:w="7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(gains) on investment securities, net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net losses (earnings)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on property and equipment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2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Changes in operating assets and liabilities, net of effect of</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businesses acquired:</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9"/>
        </w:trPr>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Receivables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9"/>
        </w:trPr>
        <w:tc>
          <w:tcPr>
            <w:tcW w:w="7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Benefits payable</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7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72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Unearned revenues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2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and cash equivalents acquired</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29"/>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23"/>
        </w:trPr>
        <w:tc>
          <w:tcPr>
            <w:tcW w:w="7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from contract deposits,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senior notes, net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proceeds from issuance of commercial paper,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issue costs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book overdraft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at end of period </w:t>
            </w:r>
            <w:r>
              <w:rPr>
                <w:rFonts w:ascii="Times New Roman" w:cs="Times New Roman" w:eastAsia="Times New Roman" w:hAnsi="Times New Roman"/>
                <w:sz w:val="16"/>
                <w:szCs w:val="16"/>
                <w:color w:val="auto"/>
              </w:rPr>
              <w:t>(1)</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r>
      <w:tr>
        <w:trPr>
          <w:trHeight w:val="21"/>
        </w:trPr>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$67 million of cash and cash equivalents classified as held-for-sale at June 30, 2022.</w:t>
      </w:r>
    </w:p>
    <w:p>
      <w:pPr>
        <w:sectPr>
          <w:pgSz w:w="11900" w:h="16838" w:orient="portrait"/>
          <w:cols w:equalWidth="0" w:num="1">
            <w:col w:w="10840"/>
          </w:cols>
          <w:pgMar w:left="320" w:top="1413"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13" w:right="739" w:bottom="1440" w:gutter="0" w:footer="0" w:header="0"/>
          <w:type w:val="continuous"/>
        </w:sectPr>
      </w:pPr>
    </w:p>
    <w:bookmarkStart w:id="8" w:name="page9"/>
    <w:bookmarkEnd w:id="8"/>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payments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payments, net</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businesses acquired in purchase transactions: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assets acquired, net of cash and cash equivalents acquired</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Fair value of liabilities assumed</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acquired businesses, net of cash and cash equivalents acquired</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44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EVENTS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generally accepted accounting principles for interim financial information and with the instructions to Form 10-Q and Article 10 of Regulation S-X. Accordingly, they do not include all of the disclosures normally required by accounting principles generally accepted in the United States of America, or GAAP, or those normally made in an Annual Report on Form 10-K. The year-end condensed consolidated balance sheet data was derived from audited financial statements, but does not include all disclosures required by GAAP. For further information, the reader of this Form 10-Q should refer to our Form 10-K for the year ended December 31, 2021, that was filed with the Securities and Exchange Commission, or the SEC, on February 17, 2022. We refer to the Form 10-K as the “2021 Form 10-K” in this document. References throughout this document to “we,” “us,” “our,” “Company,” and “Humana” mean Humana Inc. and its subsidiaries.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GAAP requires us to make estimates and assumptions that affect the amounts reported in the condensed consolidated financial statements and accompanying notes. The areas involving the most significant use of estimates are the estimation of benefits payable, the impact of risk adjustment provisions related to our Medicare contracts, the valuation and related impairment recognition of investment securities, and the valuation and related impairment recognition of long-lived assets, including goodwill and indefinite-lived intangible assets. These estimates are based on knowledge of current events and anticipated future events, and accordingly, actual results may ultimately differ materially from those estimates. Refer to Note 2 to the consolidated financial statements included in our 2021 Form 10-K for information on accounting policies that we consider in preparing our consolidated financial statements.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financial information has been prepared in accordance with our customary accounting practices and has not been audited. In our opinion, the information presented reflects all adjustments necessary for a fair statement of interim results. All such adjustments are of a normal and recurring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 Creation Initiatives</w:t>
      </w:r>
    </w:p>
    <w:p>
      <w:pPr>
        <w:spacing w:after="0" w:line="17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2022, in order to create capacity to fund growth and investment in our Medicare Advantage business and further expansion of our Healthcare Services capabilities in 2023, we committed to drive additional value for the enterprise through cost saving, productivity initiatives, and value acceleration from previous investments. As a result of these initiatives, during the second quarter of 2022, we recorded a charge of $203 million, primarily related to asset and software impairment and abandonment in the amount of $140 million. These charges are included within operating costs in the condensed consolidated statements of income for the three and six months ended June 30, 2022, and were recorded at the corporate level and not allocated to the segments. Included in this charge is $21 million in future severance payments in connection with the optimization of our workforce to increase speed, agility, and the pace at which Humana must work as a large, integrated healthcare organization. We expect this liability to be primarily paid within the next 12 months and classified it as a current liability, included in trade accounts payable and accrued expenses.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emergence and spread of the novel coronavirus, or COVID-19, beginning in the first quarter of 2020 has impacted our business. During periods of increased incidences of COVID-19, a reduction in non-COVID-19 hospital admissions for non-emergent and elective medical care have resulted in lower overall healthcare system utilization. At the same time, COVID-19 treatment and testing costs increased utilization. During the first half of 2022, we experienced lower overall utilization of the healthcare system than anticipated, as the reduction in COVID-19 utilization following the increased incidence associated with the Omicron variant outpaced the increase in non-COVID-19 utilization. The significant disruption in utilization during 2020 also impacted our ability to implement clinical initiatives to manage health care costs and chronic conditions of our members, and appropriately document their risk profiles, and, as such, significantly affected our 2021 revenue under the risk adjustment payment model for Medicare Advantage plans. Finally, changes in utilization patterns and actions taken in 2021 as a result of the COVID-19 pandemic, including the suspension of certain financial recovery programs for a period of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shifting the timing of claim payments and provider capitation surplus payments, impacted our claim reserve development and operating cash flows for 2021.</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revenues include premium and service revenues. Services revenues include administrative service fees that are recorded based upon established per member per month rates and the number of members for the month and are recognized as services are provided for the month. Additionally, service revenues include net patient service revenues that are recorded based upon established billing rates, less allowances for contractual adjustments, and are recognized as services are provided. For more information about our revenues, refer to Note 2 to the consolidated financial statements included in our 2021 Form 10-K for information on accounting policies that we consider in preparing our consolidated financial statements. See Note 14 for disaggregation of revenue by segment and type.</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2022, accounts receivable related to services were $490 million, including $178 million classified as held-for-sale at June 30, 2022. For the three and six months ended June 30, 2022, we had no material bad-debt expense and there were no material contract assets, contract liabilities or deferred contract costs recorded on the condensed consolidated balance sheet at June 30, 2022.</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services revenue recognized from performance obligations related to prior periods (for example, due to changes in transaction price), was not material. Further, services revenue expected to be recognized in any future year related to remaining performance obligations was not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2018, the FASB issued new guidance related to accounting for long-duration contracts of insurers which revises key elements of the measurement models and disclosure requirements for long-duration contracts issued by insurers, including the amortization of deferred contract acquisition costs and the measurement of liabilities for future policy benefits using current, rather than locked-in, assumptions. The new guidance, limited to our Medicare supplement product which represent less than 1% of consolidated premiums and services revenues, is effective for us beginning with annual and interim periods in 2023 and, using a modified retrospective approach, is to be applied to contracts in force on the basis of their existing carrying value amounts at the beginning of the earliest period presented. We are currently evaluating the impact on our results of operations, financial position and cash flows.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standards that apply to us or that are expected to have a material impact on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2022, we signed a definitive agreement with private investment firm Clayton, Dubilier &amp; Rice, or CD&amp;R, to divest a 60% interest in the Hospice and Personal Care divisions of Humana’s Kindred at Home subsidiary, or KAH Hospice, at an enterprise valuation of $3.4 billion. These divisions include patient-centered services for Hospice, Palliative, Community and Personal Care. Under the agreement, we will receive cash proceeds of approximately $2.8 billion, which includes a combination of debt repayments from KAH Hospice to Humana and equity proceeds from the 60% interest purchased by CD&amp;R. The transaction is expected to close in the third quarter of 2022 and is subject to customary state and federal regulatory approvals.</w:t>
      </w:r>
    </w:p>
    <w:p>
      <w:pPr>
        <w:spacing w:after="0" w:line="12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As of June 30, 2022, we classified KAH Hospice as held-for-sale and aggregated KAH Hospice’s assets and liabilities separately on the balance sheet. With the fair value exceeding the carrying value of KAH Hospice’s net assets, the resulting gain will be recognized upon closing of the transaction. The ultimate gain to be recognized will reflect considerations for costs to sell, changes in the carrying value of net assets and the related tax effect. The carrying value of the assets and liabilities of KAH Hospice classified as held-for-sale approximates fair value. The amount of goodwill included in the carrying value is based on the relative fair value of the Home Solutions reporting unit included within the Healthcare Services segment.</w:t>
      </w:r>
    </w:p>
    <w:p>
      <w:pPr>
        <w:spacing w:after="0" w:line="2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Humana Inc., our parent company, recognized a deferred tax liability of approximately $167 million for the excess of the book basis over the tax basis of its KAH Hospice subsidiary because realization of the liability in the foreseeable future was apparent with the classification as held-for-sale at June 30, 2022. Upon closing of the transaction, the deferred tax liability will be adjusted to reflect any changes to the excess of the book basis over tax basis of the KAH Hospice subsidiary.</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KAH Hospice revenues for the three and six months ended June 30, 2022 were $399 million and $781 million, respectively. KAH Hospice pretax earnings for the three and six months ended June 30, 2022 were $64 million and $126 million,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KAH Hospice classified as held-for-sale are as follows:</w:t>
      </w:r>
    </w:p>
    <w:p>
      <w:pPr>
        <w:spacing w:after="0" w:line="42"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3"/>
        </w:trPr>
        <w:tc>
          <w:tcPr>
            <w:tcW w:w="5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8"/>
                <w:szCs w:val="18"/>
                <w:color w:val="auto"/>
              </w:rPr>
            </w:pPr>
          </w:p>
        </w:tc>
      </w:tr>
      <w:tr>
        <w:trPr>
          <w:trHeight w:val="23"/>
        </w:trPr>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 of allowances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 held-for-sale</w:t>
            </w: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265</w:t>
            </w:r>
          </w:p>
        </w:tc>
      </w:tr>
      <w:tr>
        <w:trPr>
          <w:trHeight w:val="223"/>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w:t>
            </w:r>
          </w:p>
        </w:tc>
      </w:tr>
      <w:tr>
        <w:trPr>
          <w:trHeight w:val="229"/>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Long-term assets held-for-sale</w:t>
            </w: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3,327</w:t>
            </w:r>
          </w:p>
        </w:tc>
      </w:tr>
      <w:tr>
        <w:trPr>
          <w:trHeight w:val="223"/>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 held-for-sale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3,592</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30"/>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accounts payable and accrued expenses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 held-for-sale</w:t>
            </w: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w:t>
            </w:r>
          </w:p>
        </w:tc>
      </w:tr>
      <w:tr>
        <w:trPr>
          <w:trHeight w:val="223"/>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Long-term liabilities held-for-sale</w:t>
            </w: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274</w:t>
            </w:r>
          </w:p>
        </w:tc>
      </w:tr>
      <w:tr>
        <w:trPr>
          <w:trHeight w:val="223"/>
        </w:trPr>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held-for-sale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480</w:t>
            </w:r>
          </w:p>
        </w:tc>
      </w:tr>
      <w:tr>
        <w:trPr>
          <w:trHeight w:val="20"/>
        </w:trPr>
        <w:tc>
          <w:tcPr>
            <w:tcW w:w="5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17, 2021, we acquired the remaining 60% interest in Kindred at Home, or KAH, the nation’s largest home health and hospice provider, from TPG Capital, or TPG, and Welsh, Carson, Anderson &amp; Stowe, or WCAS, two private equity funds, or the Sponsors, for an enterprise value of $8.2 billion, which includes our equity value of $2.4 billion associated with our 40% minority ownership interest. We paid the approximate $5.8 billion transaction price (net of our existing equity stake) through a combination of debt financing, the assumption of existing KAH indebtedness and parent company cash.</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2022 and 2021, we acquired various health and wellness related businesses which, individually or in the aggregate, have not had a material impact on our results of operations, financial condition, or cash flows. The results of operations and financial condition of these businesses acquired in 2022 and 2021 have been included in our condensed consolidated statements of income and condensed consolidated balance sheets from the respective acquisition dates. Acquisition-related costs recognized in 2022 and 2021 were not material to our results of operations. For asset acquisitions, the goodwill acquired is partially amortizable as deductible expenses for tax purposes. The pro forma financial information assuming the acquisitions had occurred as of the beginning of the calendar year prior to the year of acquisition, as well as the revenues and earnings generated during the year of acquisition, were not material for disclosure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securities classified as current and long-term were as follows at June 30, 2022 and December 31, 2021,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0" w:type="dxa"/>
            <w:vAlign w:val="bottom"/>
          </w:tcPr>
          <w:p>
            <w:pPr>
              <w:jc w:val="center"/>
              <w:ind w:left="318"/>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Treasury and other U.S. government</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Treasury and agency obligations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Tax-exempt municipal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3"/>
          </w:tcPr>
          <w:p>
            <w:pPr>
              <w:ind w:left="860"/>
              <w:spacing w:after="0"/>
              <w:rPr>
                <w:sz w:val="20"/>
                <w:szCs w:val="20"/>
                <w:color w:val="auto"/>
              </w:rPr>
            </w:pPr>
            <w:r>
              <w:rPr>
                <w:rFonts w:ascii="Times New Roman" w:cs="Times New Roman" w:eastAsia="Times New Roman" w:hAnsi="Times New Roman"/>
                <w:sz w:val="18"/>
                <w:szCs w:val="18"/>
                <w:color w:val="auto"/>
              </w:rPr>
              <w:t>Total debt securities</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Treasury and other U.S. government</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Treasury and agency obligations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Tax-exempt municipal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3"/>
          </w:tcPr>
          <w:p>
            <w:pPr>
              <w:ind w:left="860"/>
              <w:spacing w:after="0"/>
              <w:rPr>
                <w:sz w:val="20"/>
                <w:szCs w:val="20"/>
                <w:color w:val="auto"/>
              </w:rPr>
            </w:pPr>
            <w:r>
              <w:rPr>
                <w:rFonts w:ascii="Times New Roman" w:cs="Times New Roman" w:eastAsia="Times New Roman" w:hAnsi="Times New Roman"/>
                <w:sz w:val="18"/>
                <w:szCs w:val="18"/>
                <w:color w:val="auto"/>
              </w:rPr>
              <w:t>Total debt securities</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of individual debt securities that have been in a continuous unrealized loss position for which no allowances for credit loss has been recorded were as follows at June 30, 2022 and December 31, 2021,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Treasury and other U.S.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government corporations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and agency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Tax-exempt municipal</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Treasury and other U.S.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government corporations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and agency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Tax-exempt municipal</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96% of our debt securities were investment-grade quality, with a weighted average credit rating of AA- by Standard &amp; Poor's Rating Service, or S&amp;P, at June 30, 2022. Most of the debt securities that were below investment-grade were rated BB, the higher end of the below investment-grade rating scale.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no individual state exceeding 1% of our total debt securities. Our investment policy limits investments in a single issuer and requires diversification among various asset types.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unrealized losses from all debt securities were generated from approximately 1,500 positions out of a total of approximately 1,830 positions at June 30, 2022. All issuers of debt securities we own that were trading at an unrealized loss at June 30, 2022 remain current on all contractual payments. After taking into account these and other factors previously described, we believe these unrealized losses primarily were caused by an increase in market interest rates in the current markets since the time these debt securities were purchased. At June 30, 2022, we did not intend to sell any debt securities with an unrealized loss position in accumulated other comprehensive income, and it is not likely that we will be required to sell these debt securities before recovery of their amortized cost basis. Additionally, we did not record any material credit allowances for debt securities that were in an unrealized loss position for the three and six months ended June 30, 2022 and 2021.</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(losses) gains related to investment securities and included within investment income was as follows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1731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35" w:lineRule="exact"/>
        <w:rPr>
          <w:sz w:val="20"/>
          <w:szCs w:val="20"/>
          <w:color w:val="auto"/>
        </w:rPr>
      </w:pPr>
    </w:p>
    <w:p>
      <w:pPr>
        <w:ind w:left="6180"/>
        <w:spacing w:after="0"/>
        <w:tabs>
          <w:tab w:leader="none" w:pos="75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33655</wp:posOffset>
            </wp:positionV>
            <wp:extent cx="1731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33655</wp:posOffset>
            </wp:positionV>
            <wp:extent cx="1765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33655</wp:posOffset>
            </wp:positionV>
            <wp:extent cx="1765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8260" w:space="720"/>
            <w:col w:w="22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gains on investment securities</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losses on investment securities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gains on equity securities</w:t>
            </w:r>
          </w:p>
        </w:tc>
        <w:tc>
          <w:tcPr>
            <w:tcW w:w="6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losses on equity securities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recognized (losses) gains on investment securities</w:t>
            </w: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gains and losses related to equity securities for the three and six months ended June 30, 2022 and 2021 was as follows:</w:t>
      </w:r>
    </w:p>
    <w:p>
      <w:pPr>
        <w:sectPr>
          <w:pgSz w:w="11900" w:h="16838" w:orient="portrait"/>
          <w:cols w:equalWidth="0" w:num="1">
            <w:col w:w="11240"/>
          </w:cols>
          <w:pgMar w:left="320" w:top="117" w:right="339" w:bottom="1440" w:gutter="0" w:footer="0" w:header="0"/>
          <w:type w:val="continuous"/>
        </w:sectPr>
      </w:pPr>
    </w:p>
    <w:p>
      <w:pPr>
        <w:spacing w:after="0" w:line="20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33" w:lineRule="exact"/>
        <w:rPr>
          <w:sz w:val="20"/>
          <w:szCs w:val="20"/>
          <w:color w:val="auto"/>
        </w:rPr>
      </w:pPr>
    </w:p>
    <w:tbl>
      <w:tblPr>
        <w:tblLayout w:type="fixed"/>
        <w:tblInd w:w="5540" w:type="dxa"/>
        <w:tblCellMar>
          <w:top w:w="0" w:type="dxa"/>
          <w:left w:w="0" w:type="dxa"/>
          <w:bottom w:w="0" w:type="dxa"/>
          <w:right w:w="0" w:type="dxa"/>
        </w:tblCellMar>
      </w:tblPr>
      <w:tr>
        <w:trPr>
          <w:trHeight w:val="210"/>
        </w:trPr>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900" w:type="dxa"/>
            <w:vAlign w:val="bottom"/>
          </w:tcPr>
          <w:p>
            <w:pPr>
              <w:spacing w:after="0"/>
              <w:rPr>
                <w:sz w:val="16"/>
                <w:szCs w:val="16"/>
                <w:color w:val="auto"/>
              </w:rPr>
            </w:pPr>
          </w:p>
        </w:tc>
        <w:tc>
          <w:tcPr>
            <w:tcW w:w="184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33655</wp:posOffset>
            </wp:positionV>
            <wp:extent cx="1739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33655</wp:posOffset>
            </wp:positionV>
            <wp:extent cx="17399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0" w:lineRule="exact"/>
        <w:rPr>
          <w:sz w:val="20"/>
          <w:szCs w:val="20"/>
          <w:color w:val="auto"/>
        </w:rPr>
      </w:pPr>
    </w:p>
    <w:p>
      <w:pPr>
        <w:sectPr>
          <w:pgSz w:w="11900" w:h="16838" w:orient="portrait"/>
          <w:cols w:equalWidth="0" w:num="2">
            <w:col w:w="8280" w:space="620"/>
            <w:col w:w="23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recognized on equity securities during the period</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losses recognized on equity securities sold during the period</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5"/>
        </w:trPr>
        <w:tc>
          <w:tcPr>
            <w:tcW w:w="55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(losses) gains recognized on equity securities still held at the</w:t>
            </w:r>
          </w:p>
        </w:tc>
        <w:tc>
          <w:tcPr>
            <w:tcW w:w="560" w:type="dxa"/>
            <w:vAlign w:val="bottom"/>
            <w:tcBorders>
              <w:top w:val="single" w:sz="8" w:color="auto"/>
            </w:tcBorders>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period</w:t>
            </w: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contractual maturities of debt securities available for sale at June 30, 2022, regardless of their balance sheet classification, are shown below. Expected maturities may differ from contractual maturities because borrowers may have the right to call or prepay obligations with or without call or prepayment penalties.</w:t>
      </w:r>
    </w:p>
    <w:p>
      <w:pPr>
        <w:spacing w:after="0" w:line="14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1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23"/>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debt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fair value measurements at June 30, 2022 and December 31, 2021, respectively, for financial assets measured at fair value on a recurring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60" w:type="dxa"/>
            <w:vAlign w:val="bottom"/>
          </w:tcPr>
          <w:p>
            <w:pPr>
              <w:spacing w:after="0"/>
              <w:rPr>
                <w:sz w:val="11"/>
                <w:szCs w:val="11"/>
                <w:color w:val="auto"/>
              </w:rPr>
            </w:pPr>
          </w:p>
        </w:tc>
        <w:tc>
          <w:tcPr>
            <w:tcW w:w="128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13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60" w:type="dxa"/>
            <w:vAlign w:val="bottom"/>
          </w:tcPr>
          <w:p>
            <w:pPr>
              <w:spacing w:after="0"/>
              <w:rPr>
                <w:sz w:val="12"/>
                <w:szCs w:val="12"/>
                <w:color w:val="auto"/>
              </w:rPr>
            </w:pPr>
          </w:p>
        </w:tc>
        <w:tc>
          <w:tcPr>
            <w:tcW w:w="128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2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and other U.S. government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U.S. Treasury and agency obligations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Tax-exempt municipal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debt securities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13,332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invested assets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U.S. Treasury and other U.S. government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U.S. Treasury and agency obligations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Tax-exempt municipal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debt securities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13,497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invested assets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Level 3 assets had a fair value of $102 million at June 30, 2022 , or 0.6% of our total invested assets. During the year ended June 30, 2022, the changes in the fair value of the assets measured using significant unobservable inputs (Level 3) were comprised of the following:</w:t>
      </w:r>
    </w:p>
    <w:p>
      <w:pPr>
        <w:spacing w:after="0" w:line="129"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5"/>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36"/>
        </w:trPr>
        <w:tc>
          <w:tcPr>
            <w:tcW w:w="4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jc w:val="center"/>
              <w:ind w:right="277"/>
              <w:spacing w:after="0" w:line="136" w:lineRule="exact"/>
              <w:rPr>
                <w:sz w:val="20"/>
                <w:szCs w:val="20"/>
                <w:color w:val="auto"/>
              </w:rPr>
            </w:pPr>
            <w:r>
              <w:rPr>
                <w:rFonts w:ascii="Times New Roman" w:cs="Times New Roman" w:eastAsia="Times New Roman" w:hAnsi="Times New Roman"/>
                <w:sz w:val="14"/>
                <w:szCs w:val="14"/>
                <w:b w:val="1"/>
                <w:bCs w:val="1"/>
                <w:color w:val="auto"/>
              </w:rPr>
              <w:t>Private</w:t>
            </w:r>
          </w:p>
        </w:tc>
      </w:tr>
      <w:tr>
        <w:trPr>
          <w:trHeight w:val="195"/>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Placements</w:t>
            </w:r>
          </w:p>
        </w:tc>
      </w:tr>
      <w:tr>
        <w:trPr>
          <w:trHeight w:val="195"/>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gains or losses:</w:t>
            </w: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Realized in earnings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Unrealized in other comprehensive income</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debt is recorded at carrying value in our consolidated balance sheets. The carrying value of our senior notes debt outstanding, net of unamortized debt issuance costs, was $9.8 billion at June 30, 2022 and $9.0 billion at December 31, 2021. The fair value of our senior notes debt was $9.4 billion at June 30, 2022 and $10.0 billion at December 31, 2021. The fair value of our senior notes debt is determined based on Level 2 inputs, including quoted market prices for the same or similar debt, or if no quoted market prices are available, on the current prices estimated to be available to us for debt with similar terms and remaining maturities. Carrying value approximates fair value for our term loans and commercial paper borrowings. The term loan and commercial paper borrowings were $3.0 billion as of June 30, 2022 and $3.5 billion as of December 31, 2021.</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Put and Call Options Measured at Fair Value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put and call options associated with our equity method investments are measured at fair value each period using a Monte Carlo simulation.</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April 27, 2021, with the signing of the definitive agreement to acquire the remaining 60% interest of KAH, the respective put and call options were terminated. As such, the $63 million put and $440 million call fair values as of March 31, 2021 were subsequently reduced to zero, resulting in $377 million in "Other (income) expense, net" in our consolidated statements of income for the quarter and period ended June 30, 2021.</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put and call options fair values associated with our Primary Care Organization strategic partnership with WCAS, which are exercisable at a fixed revenue exit multiple and provide a minimum return on WCAS' investment if exercised, are measured at fair value each reporting period. The put and call options fair values were $173 million and $13 million, respectively, at June 30, 2022. The put and call options fair values, derived from the Monte Carlo simulation, were $202 million and $13 million, respectively, at December 31, 2021.</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utilized in these Level 3 fair value measurements (and selected values) include the enterprise value, annualized volatility and credit spread. Enterprise value was derived from a discounted cash flow model, which utilized significant unobservable inputs for long-term revenue, to measure underlying cash flows, weighted average cost of capital and long term growth rate. The table below presents the assumptions used for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138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60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8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volatility</w:t>
            </w:r>
          </w:p>
        </w:tc>
        <w:tc>
          <w:tcPr>
            <w:tcW w:w="26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23.2% - 23.3%</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Credit spread</w:t>
            </w:r>
          </w:p>
        </w:tc>
        <w:tc>
          <w:tcPr>
            <w:tcW w:w="26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 - 1.6%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exit multiple</w:t>
            </w:r>
          </w:p>
        </w:tc>
        <w:tc>
          <w:tcPr>
            <w:tcW w:w="26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1.5x - 2.5x</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1.5x - 2.5x</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6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13.0 %</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growth rate</w:t>
            </w:r>
          </w:p>
        </w:tc>
        <w:tc>
          <w:tcPr>
            <w:tcW w:w="26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3.0 %</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Assets and Liabilities Measured at Fair Value</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subject to fair value adjustment only in certain circumstances. As disclosed in Note 3, “Acquisitions and Divestitures”, we completed our acquisition of KAH during the third quarter of 2021. The net assets acquired and resulting goodwill and other intangible assets were recorded at fair value primarily using Level 3 inputs. The net tangible assets including receivables and accrued liabilities were recorded at their carrying value which approximated their fair value due to their short term nature. The fair value of goodwill and other intangible assets were internally estimated based primarily on the income approach. 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revenue growth rates, the amount and timing of future cash flows, discount rates, contributory asset charges and future tax rates, among others. The excess purchase price over the fair value of assets and liabilities acquired is recorded as goodwill.</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the assets acquired and liabilities assumed in the KAH acquisition and other acquisitions in Note 3, there were no other material assets or liabilities measured at fair value on a recurring or nonrecurring basis during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MEDICARE PART 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cover prescription drug benefits in accordance with Medicare Part D under multiple contracts with the Centers for Medicare and Medicaid Services, or CMS, as described further in Note 2 to the consolidated financial statements included in our 2021 Form 10-K. The accompanying condensed consolidated balance sheets include the following amounts associated with Medicare Part D at June 30, 2022 and December 31, 2021. CMS subsidies/discounts in the table below include the reinsurance and low-income cost subsidies funded by CMS for which we assume no risk as well as brand name prescription drug discounts for Part D plan participants in the coverage gap funded by CMS and pharmaceutical manufacturers.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10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Risk</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CMS</w:t>
            </w:r>
          </w:p>
        </w:tc>
        <w:tc>
          <w:tcPr>
            <w:tcW w:w="380" w:type="dxa"/>
            <w:vAlign w:val="bottom"/>
          </w:tcPr>
          <w:p>
            <w:pPr>
              <w:spacing w:after="0"/>
              <w:rPr>
                <w:sz w:val="19"/>
                <w:szCs w:val="19"/>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Risk</w:t>
            </w:r>
          </w:p>
        </w:tc>
        <w:tc>
          <w:tcPr>
            <w:tcW w:w="280" w:type="dxa"/>
            <w:vAlign w:val="bottom"/>
          </w:tcPr>
          <w:p>
            <w:pPr>
              <w:spacing w:after="0"/>
              <w:rPr>
                <w:sz w:val="19"/>
                <w:szCs w:val="19"/>
                <w:color w:val="auto"/>
              </w:rPr>
            </w:pPr>
          </w:p>
        </w:tc>
        <w:tc>
          <w:tcPr>
            <w:tcW w:w="126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6"/>
              </w:rPr>
              <w:t>CMS</w:t>
            </w:r>
          </w:p>
        </w:tc>
      </w:tr>
      <w:tr>
        <w:trPr>
          <w:trHeight w:val="137"/>
        </w:trPr>
        <w:tc>
          <w:tcPr>
            <w:tcW w:w="4740" w:type="dxa"/>
            <w:vAlign w:val="bottom"/>
          </w:tcPr>
          <w:p>
            <w:pPr>
              <w:spacing w:after="0"/>
              <w:rPr>
                <w:sz w:val="11"/>
                <w:szCs w:val="11"/>
                <w:color w:val="auto"/>
              </w:rPr>
            </w:pPr>
          </w:p>
        </w:tc>
        <w:tc>
          <w:tcPr>
            <w:tcW w:w="1100" w:type="dxa"/>
            <w:vAlign w:val="bottom"/>
          </w:tcPr>
          <w:p>
            <w:pPr>
              <w:jc w:val="center"/>
              <w:ind w:left="341"/>
              <w:spacing w:after="0" w:line="137" w:lineRule="exact"/>
              <w:rPr>
                <w:sz w:val="20"/>
                <w:szCs w:val="20"/>
                <w:color w:val="auto"/>
              </w:rPr>
            </w:pPr>
            <w:r>
              <w:rPr>
                <w:rFonts w:ascii="Times New Roman" w:cs="Times New Roman" w:eastAsia="Times New Roman" w:hAnsi="Times New Roman"/>
                <w:sz w:val="14"/>
                <w:szCs w:val="14"/>
                <w:b w:val="1"/>
                <w:bCs w:val="1"/>
                <w:color w:val="auto"/>
              </w:rPr>
              <w:t>Corridor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Subsidies/</w:t>
            </w:r>
          </w:p>
        </w:tc>
        <w:tc>
          <w:tcPr>
            <w:tcW w:w="380" w:type="dxa"/>
            <w:vAlign w:val="bottom"/>
          </w:tcPr>
          <w:p>
            <w:pPr>
              <w:spacing w:after="0"/>
              <w:rPr>
                <w:sz w:val="11"/>
                <w:szCs w:val="11"/>
                <w:color w:val="auto"/>
              </w:rPr>
            </w:pPr>
          </w:p>
        </w:tc>
        <w:tc>
          <w:tcPr>
            <w:tcW w:w="12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Corridor</w:t>
            </w:r>
          </w:p>
        </w:tc>
        <w:tc>
          <w:tcPr>
            <w:tcW w:w="280" w:type="dxa"/>
            <w:vAlign w:val="bottom"/>
          </w:tcPr>
          <w:p>
            <w:pPr>
              <w:spacing w:after="0"/>
              <w:rPr>
                <w:sz w:val="11"/>
                <w:szCs w:val="11"/>
                <w:color w:val="auto"/>
              </w:rPr>
            </w:pPr>
          </w:p>
        </w:tc>
        <w:tc>
          <w:tcPr>
            <w:tcW w:w="1260" w:type="dxa"/>
            <w:vAlign w:val="bottom"/>
          </w:tcPr>
          <w:p>
            <w:pPr>
              <w:jc w:val="center"/>
              <w:ind w:right="195"/>
              <w:spacing w:after="0" w:line="137" w:lineRule="exact"/>
              <w:rPr>
                <w:sz w:val="20"/>
                <w:szCs w:val="20"/>
                <w:color w:val="auto"/>
              </w:rPr>
            </w:pPr>
            <w:r>
              <w:rPr>
                <w:rFonts w:ascii="Times New Roman" w:cs="Times New Roman" w:eastAsia="Times New Roman" w:hAnsi="Times New Roman"/>
                <w:sz w:val="14"/>
                <w:szCs w:val="14"/>
                <w:b w:val="1"/>
                <w:bCs w:val="1"/>
                <w:color w:val="auto"/>
              </w:rPr>
              <w:t>Subsidies/</w:t>
            </w:r>
          </w:p>
        </w:tc>
      </w:tr>
      <w:tr>
        <w:trPr>
          <w:trHeight w:val="190"/>
        </w:trPr>
        <w:tc>
          <w:tcPr>
            <w:tcW w:w="4740" w:type="dxa"/>
            <w:vAlign w:val="bottom"/>
          </w:tcPr>
          <w:p>
            <w:pPr>
              <w:spacing w:after="0"/>
              <w:rPr>
                <w:sz w:val="16"/>
                <w:szCs w:val="16"/>
                <w:color w:val="auto"/>
              </w:rPr>
            </w:pPr>
          </w:p>
        </w:tc>
        <w:tc>
          <w:tcPr>
            <w:tcW w:w="1100" w:type="dxa"/>
            <w:vAlign w:val="bottom"/>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8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Discounts</w:t>
            </w:r>
          </w:p>
        </w:tc>
      </w:tr>
      <w:tr>
        <w:trPr>
          <w:trHeight w:val="23"/>
        </w:trPr>
        <w:tc>
          <w:tcPr>
            <w:tcW w:w="4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accounts payable and accrued expenses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 asset (liability)</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long-term asset (liability)</w:t>
            </w:r>
          </w:p>
        </w:tc>
        <w:tc>
          <w:tcPr>
            <w:tcW w:w="1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(liability)</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for our reportable segments for the six months ended June 30, 2022 were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Group and Specialty</w:t>
            </w:r>
          </w:p>
        </w:tc>
        <w:tc>
          <w:tcPr>
            <w:tcW w:w="36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Held-for-sale</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our other intangible assets included in other long-term assets in the accompanying condensed consolidated balance sheets at June 30, 2022 and December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280" w:type="dxa"/>
            <w:vAlign w:val="bottom"/>
            <w:gridSpan w:val="2"/>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3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need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Indefinite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Medicare licenses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Indefinite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Customer contracts/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relationships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years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technology</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 years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Provider contracts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 years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Noncompetes and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 years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Held-for-sale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540" w:type="dxa"/>
            <w:vAlign w:val="bottom"/>
            <w:tcBorders>
              <w:top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other intangible</w:t>
            </w:r>
          </w:p>
        </w:tc>
        <w:tc>
          <w:tcPr>
            <w:tcW w:w="1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 years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amortization expense for other intangible assets was approximately $18 million and $15 million, respectively. For the six months ended June 30, 2022 and 2021, amortization expense for other intangible assets was approximately $36 million and $30 million, respectively. The following table presents our estimate of amortization expense remaining for 2022 and each of the five next succeeding years, excluding amortization expense on intangibles held-for-sale at June 30, 2022:</w:t>
      </w:r>
    </w:p>
    <w:p>
      <w:pPr>
        <w:spacing w:after="0" w:line="160" w:lineRule="exact"/>
        <w:rPr>
          <w:sz w:val="20"/>
          <w:szCs w:val="20"/>
          <w:color w:val="auto"/>
        </w:rPr>
      </w:pPr>
    </w:p>
    <w:tbl>
      <w:tblPr>
        <w:tblLayout w:type="fixed"/>
        <w:tblInd w:w="240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240" w:type="dxa"/>
            <w:vAlign w:val="bottom"/>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w w:val="99"/>
              </w:rPr>
              <w:t>For the years ending December 31,</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jc w:val="right"/>
              <w:ind w:right="43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240" w:type="dxa"/>
            <w:vAlign w:val="bottom"/>
          </w:tcPr>
          <w:p>
            <w:pPr>
              <w:jc w:val="right"/>
              <w:ind w:right="43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jc w:val="right"/>
              <w:ind w:right="4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240" w:type="dxa"/>
            <w:vAlign w:val="bottom"/>
          </w:tcPr>
          <w:p>
            <w:pPr>
              <w:jc w:val="right"/>
              <w:ind w:right="4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jc w:val="right"/>
              <w:ind w:right="4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5240" w:type="dxa"/>
            <w:vAlign w:val="bottom"/>
          </w:tcPr>
          <w:p>
            <w:pPr>
              <w:jc w:val="right"/>
              <w:ind w:right="433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BENEFITS PAYABLE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 consolidated basis, activity in benefits payable was as follows for the six months ended June 30, 2022 and 2021:</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7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8"/>
        </w:trPr>
        <w:tc>
          <w:tcPr>
            <w:tcW w:w="5020" w:type="dxa"/>
            <w:vAlign w:val="bottom"/>
          </w:tcPr>
          <w:p>
            <w:pPr>
              <w:spacing w:after="0"/>
              <w:rPr>
                <w:sz w:val="18"/>
                <w:szCs w:val="18"/>
                <w:color w:val="auto"/>
              </w:rPr>
            </w:pPr>
          </w:p>
        </w:tc>
        <w:tc>
          <w:tcPr>
            <w:tcW w:w="1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6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Pr>
          <w:p>
            <w:pPr>
              <w:spacing w:after="0"/>
              <w:rPr>
                <w:sz w:val="16"/>
                <w:szCs w:val="16"/>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period</w:t>
            </w:r>
          </w:p>
        </w:tc>
        <w:tc>
          <w:tcPr>
            <w:tcW w:w="1700" w:type="dxa"/>
            <w:vAlign w:val="bottom"/>
            <w:shd w:val="clear" w:color="auto" w:fill="CCEEFF"/>
          </w:tcPr>
          <w:p>
            <w:pPr>
              <w:jc w:val="right"/>
              <w:ind w:right="15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7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1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w:t>
            </w:r>
          </w:p>
        </w:tc>
      </w:tr>
      <w:tr>
        <w:trPr>
          <w:trHeight w:val="229"/>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5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incurred</w:t>
            </w:r>
          </w:p>
        </w:tc>
        <w:tc>
          <w:tcPr>
            <w:tcW w:w="1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34,445</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1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(27,556)</w:t>
            </w:r>
          </w:p>
        </w:tc>
      </w:tr>
      <w:tr>
        <w:trPr>
          <w:trHeight w:val="230"/>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3"/>
        </w:trPr>
        <w:tc>
          <w:tcPr>
            <w:tcW w:w="5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paid</w:t>
            </w:r>
          </w:p>
        </w:tc>
        <w:tc>
          <w:tcPr>
            <w:tcW w:w="1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end of period</w:t>
            </w:r>
          </w:p>
        </w:tc>
        <w:tc>
          <w:tcPr>
            <w:tcW w:w="1700" w:type="dxa"/>
            <w:vAlign w:val="bottom"/>
            <w:tcBorders>
              <w:bottom w:val="single" w:sz="8" w:color="auto"/>
            </w:tcBorders>
            <w:shd w:val="clear" w:color="auto" w:fill="CCEEFF"/>
          </w:tcPr>
          <w:p>
            <w:pPr>
              <w:jc w:val="right"/>
              <w:ind w:right="15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Amounts incurred related to prior periods vary from previously estimated liabilities as the claims ultimately are settled. Negative amounts reported for incurred related to prior years result from claims being ultimately settled for amounts less than originally estimated (favorable development).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Incurred and Paid Claims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information about incurred and paid claims development for our Retail and Group and Specialty segments as of June 30, 2022 and 2021, net of reinsurance, and the total estimate of benefits payable for claims incurred but not reported, or IBNR, included within the net incurred claims amounts.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Retail Segment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benefits payable for our Retail segment was as follows for the six months ended June 30, 2022 and 2021:</w:t>
      </w:r>
    </w:p>
    <w:p>
      <w:pPr>
        <w:spacing w:after="0" w:line="151"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6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8"/>
        </w:trPr>
        <w:tc>
          <w:tcPr>
            <w:tcW w:w="5040" w:type="dxa"/>
            <w:vAlign w:val="bottom"/>
          </w:tcPr>
          <w:p>
            <w:pPr>
              <w:spacing w:after="0"/>
              <w:rPr>
                <w:sz w:val="18"/>
                <w:szCs w:val="18"/>
                <w:color w:val="auto"/>
              </w:rPr>
            </w:pPr>
          </w:p>
        </w:tc>
        <w:tc>
          <w:tcPr>
            <w:tcW w:w="1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20" w:type="dxa"/>
            <w:vAlign w:val="bottom"/>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40" w:type="dxa"/>
            <w:vAlign w:val="bottom"/>
          </w:tcPr>
          <w:p>
            <w:pPr>
              <w:spacing w:after="0"/>
              <w:rPr>
                <w:sz w:val="16"/>
                <w:szCs w:val="16"/>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period</w:t>
            </w:r>
          </w:p>
        </w:tc>
        <w:tc>
          <w:tcPr>
            <w:tcW w:w="1620" w:type="dxa"/>
            <w:vAlign w:val="bottom"/>
            <w:shd w:val="clear" w:color="auto" w:fill="CCEEFF"/>
          </w:tcPr>
          <w:p>
            <w:pPr>
              <w:jc w:val="right"/>
              <w:ind w:right="14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1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32,986</w:t>
            </w: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5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incurred</w:t>
            </w:r>
          </w:p>
        </w:tc>
        <w:tc>
          <w:tcPr>
            <w:tcW w:w="1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32,367</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w:t>
            </w:r>
          </w:p>
        </w:tc>
      </w:tr>
      <w:tr>
        <w:trPr>
          <w:trHeight w:val="23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r>
      <w:tr>
        <w:trPr>
          <w:trHeight w:val="223"/>
        </w:trPr>
        <w:tc>
          <w:tcPr>
            <w:tcW w:w="5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paid</w:t>
            </w:r>
          </w:p>
        </w:tc>
        <w:tc>
          <w:tcPr>
            <w:tcW w:w="1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end of period</w:t>
            </w:r>
          </w:p>
        </w:tc>
        <w:tc>
          <w:tcPr>
            <w:tcW w:w="1620" w:type="dxa"/>
            <w:vAlign w:val="bottom"/>
            <w:tcBorders>
              <w:bottom w:val="single" w:sz="8" w:color="auto"/>
            </w:tcBorders>
            <w:shd w:val="clear" w:color="auto" w:fill="CCEEFF"/>
          </w:tcPr>
          <w:p>
            <w:pPr>
              <w:jc w:val="right"/>
              <w:ind w:right="14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2022, benefits payable for our Retail segment included IBNR of approximately $5.5 billion, primarily associated with claims incurred in 2022.</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Group and Specialty Segment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benefits payable for our Group and Specialty segment was as follows for the six months ended June 30, 2022 and 2021:</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7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8"/>
        </w:trPr>
        <w:tc>
          <w:tcPr>
            <w:tcW w:w="5040" w:type="dxa"/>
            <w:vAlign w:val="bottom"/>
          </w:tcPr>
          <w:p>
            <w:pPr>
              <w:spacing w:after="0"/>
              <w:rPr>
                <w:sz w:val="18"/>
                <w:szCs w:val="18"/>
                <w:color w:val="auto"/>
              </w:rPr>
            </w:pPr>
          </w:p>
        </w:tc>
        <w:tc>
          <w:tcPr>
            <w:tcW w:w="1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4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Pr>
          <w:p>
            <w:pPr>
              <w:spacing w:after="0"/>
              <w:rPr>
                <w:sz w:val="16"/>
                <w:szCs w:val="16"/>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period</w:t>
            </w:r>
          </w:p>
        </w:tc>
        <w:tc>
          <w:tcPr>
            <w:tcW w:w="170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30"/>
        </w:trPr>
        <w:tc>
          <w:tcPr>
            <w:tcW w:w="5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incurred</w:t>
            </w:r>
          </w:p>
        </w:tc>
        <w:tc>
          <w:tcPr>
            <w:tcW w:w="1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30"/>
        </w:trPr>
        <w:tc>
          <w:tcPr>
            <w:tcW w:w="5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1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5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paid</w:t>
            </w:r>
          </w:p>
        </w:tc>
        <w:tc>
          <w:tcPr>
            <w:tcW w:w="1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period</w:t>
            </w:r>
          </w:p>
        </w:tc>
        <w:tc>
          <w:tcPr>
            <w:tcW w:w="170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5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2022, benefits payable for our Group and Specialty segment included IBNR of approximately $488 million, primarily associated with claims incurred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 COMPUTATION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Detail supporting the computation of basic and diluted earnings per common share was as follows for the three and six months ended June 30, 2022 and 2021:</w:t>
      </w:r>
    </w:p>
    <w:p>
      <w:pPr>
        <w:spacing w:after="0" w:line="142" w:lineRule="exact"/>
        <w:rPr>
          <w:sz w:val="20"/>
          <w:szCs w:val="20"/>
          <w:color w:val="auto"/>
        </w:rPr>
      </w:pPr>
    </w:p>
    <w:tbl>
      <w:tblPr>
        <w:tblLayout w:type="fixed"/>
        <w:tblInd w:w="5660" w:type="dxa"/>
        <w:tblCellMar>
          <w:top w:w="0" w:type="dxa"/>
          <w:left w:w="0" w:type="dxa"/>
          <w:bottom w:w="0" w:type="dxa"/>
          <w:right w:w="0" w:type="dxa"/>
        </w:tblCellMar>
      </w:tblPr>
      <w:tr>
        <w:trPr>
          <w:trHeight w:val="190"/>
        </w:trPr>
        <w:tc>
          <w:tcPr>
            <w:tcW w:w="27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4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3549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4"/>
          <w:szCs w:val="14"/>
          <w:b w:val="1"/>
          <w:bCs w:val="1"/>
          <w:color w:val="auto"/>
        </w:rPr>
        <w:t>(dollars in millions, except per common share results; number of shares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outstanding shares of 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6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used to compute basic earnings per common share</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options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127,084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127,279</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Number of antidilutive stock options and restricted stock</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excluded from computation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8640" w:hanging="332"/>
        <w:spacing w:after="0" w:line="440" w:lineRule="auto"/>
        <w:tabs>
          <w:tab w:leader="none" w:pos="28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Dividends</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of dividend payments, excluding dividend equivalent rights for unvested stock awards, in 2021 and 2022 under our Board approved quarterly cash dividend policy:</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1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Record</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40" w:type="dxa"/>
            <w:vAlign w:val="bottom"/>
          </w:tcPr>
          <w:p>
            <w:pPr>
              <w:spacing w:after="0"/>
              <w:rPr>
                <w:sz w:val="13"/>
                <w:szCs w:val="13"/>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3"/>
                <w:szCs w:val="13"/>
                <w:color w:val="auto"/>
              </w:rPr>
            </w:pPr>
          </w:p>
        </w:tc>
        <w:tc>
          <w:tcPr>
            <w:tcW w:w="152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21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6"/>
                <w:szCs w:val="16"/>
                <w:color w:val="auto"/>
              </w:rPr>
            </w:pPr>
          </w:p>
        </w:tc>
        <w:tc>
          <w:tcPr>
            <w:tcW w:w="15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5"/>
        </w:trPr>
        <w:tc>
          <w:tcPr>
            <w:tcW w:w="2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2"/>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2021 payments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12/31/2020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3/31/2021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6/30/2021</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9/30/2021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2022 payments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12/31/2021</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1/28/2022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3/31/2022</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April 2022, the Board declared a cash dividend of $0.7875 per share payable on July 29, 2022 to stockholders of record on June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Declaration and payment of future quarterly dividends is at the discretion of our Board and may be adjusted as business needs or market conditions change.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purchase of our common stock shares. Under the share repurchase authorization, shares may be purchased from time to time at 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w:t>
      </w:r>
    </w:p>
    <w:p>
      <w:pPr>
        <w:spacing w:after="0" w:line="12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On February 18, 2021, the Board of Directors replaced the previous share repurchase authorization of up to $3 billion (of which approximately $250 million remained unused) with a new authorization for repurchases of up to $3 billion of our common shares exclusive of shares repurchased in connection with employee stock plans, expiring as of February 18, 2024.</w:t>
      </w:r>
    </w:p>
    <w:p>
      <w:pPr>
        <w:spacing w:after="0" w:line="6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January 11, 2022, we entered into separate accelerated stock repurchase agreements, the January 2022 ASR Agreements, with Mizuho Markets Americas LLC, or Mizuho, and Wells Fargo Bank, or Wells Fargo, to repurchase $1 billion of our common stock as part of the $3 billion repurchase program authorized by the Board of Directors on February 18, 2021. On January 12, 2022, in accordance with the January 2022 ASR Agreements, we made a payment of $1 billion ($500 million to Mizuho and $500 million to Wells Fargo) and received an initial delivery of 2.2 million shares of our common stock (1.08 million shares each from Mizuho and Wells Fargo). In January 2022, we recorded the payments to Mizuho and Wells Fargo as a reduction to stockholders’ equity, consisting of an $850 million increase in treasury stock, which reflects the value of the initial 2.2 million shares received upon initial settlement, and a $150 million decrease in capital in excess of par value, which reflects the value of stock held back by Mizuho and Wells Fargo pending final settlement of the January 2022 ASR Agreements. Upon final settlement of the January 2022 ASR Agreements with Mizuho and Wells Fargo on March 29, 2022 and March 30, 2022, respectively, we received an additional 0.1 million shares and 0.1 million shares, respectively, as determined by the average daily volume weighted-averages share price of our common stock during the term of the agreement, less a discount, of $410.96 and $411.66, respectively, bringing the total shares received under the January 2022 ASR Agreements to 2.4 million. In addition, upon settlement we reclassified the $150 million value of stock initially held back by Mizuho and Wells Fargo from capital in excess of par value to treasury stock. Our remaining repurchase authorization was $2 billion as of July 26, 2022.</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employee stock plans, we acquired 0.06 million common shares for $28 million and 0.09 million common shares for $33 million during the six months ended June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6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effective income tax rate was 38.1% and 30.5% for the three and six months ended June 30, 2022, respectively, and 23.7% and 22.7% for the three and six months ended June 30, 2021, respectively. The increase is primarily due to the impact of the $167 million deferred tax liability recognized by Humana Inc., our parent company, for the excess of the book basis over the tax basis of its KAH Hospice subsidiary because realization of the liability in the foreseeable future was apparent with the classification as held-for-sale at June 30, 2022, as further discussed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 of debt outstanding, net of unamortized debt issuance costs, was as follows at June 30, 2022 and December 31, 2021:</w:t>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1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tcPr>
          <w:p>
            <w:pPr>
              <w:spacing w:after="0"/>
              <w:rPr>
                <w:sz w:val="16"/>
                <w:szCs w:val="16"/>
                <w:color w:val="auto"/>
              </w:rPr>
            </w:pPr>
          </w:p>
        </w:tc>
      </w:tr>
      <w:tr>
        <w:trPr>
          <w:trHeight w:val="23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Short-term debt:</w:t>
            </w:r>
          </w:p>
        </w:tc>
        <w:tc>
          <w:tcPr>
            <w:tcW w:w="4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4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4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$600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3.150% due December 1, 2022</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$400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2.900% due December 15, 2022</w:t>
            </w:r>
          </w:p>
        </w:tc>
        <w:tc>
          <w:tcPr>
            <w:tcW w:w="1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senior notes</w:t>
            </w: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4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 billion, 0.650% due August 3, 2023</w:t>
            </w:r>
          </w:p>
        </w:tc>
        <w:tc>
          <w:tcPr>
            <w:tcW w:w="144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30"/>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$600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3.850% due October 1, 2024</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$600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4.500% due April 1, 2025</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$750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1.350% due February 3, 2027</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$600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3.950% due March 15, 2027</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$750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3.700% due March 23, 2029</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$500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3.125% due August 15, 2029</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$500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4.875% due April 1, 2030</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$750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2.150% due February 3, 2032</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$250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8.150% due June 15, 2038</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$400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4.625% due December 1, 2042</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$750 million,</w:t>
            </w: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4.950% due October 1, 2044</w:t>
            </w:r>
          </w:p>
        </w:tc>
        <w:tc>
          <w:tcPr>
            <w:tcW w:w="1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1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$400 million,</w:t>
            </w:r>
          </w:p>
        </w:tc>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4.800% due March 15, 2047</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1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w w:val="98"/>
              </w:rPr>
              <w:t>$500 million,</w:t>
            </w:r>
          </w:p>
        </w:tc>
        <w:tc>
          <w:tcPr>
            <w:tcW w:w="4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3.950% due August 15, 2049</w:t>
            </w: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senior notes</w:t>
            </w:r>
          </w:p>
        </w:tc>
        <w:tc>
          <w:tcPr>
            <w:tcW w:w="1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10"/>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loans:</w:t>
            </w:r>
          </w:p>
        </w:tc>
        <w:tc>
          <w:tcPr>
            <w:tcW w:w="4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 due October 29, 2023</w:t>
            </w:r>
          </w:p>
        </w:tc>
        <w:tc>
          <w:tcPr>
            <w:tcW w:w="1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5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Delayed draw term loan, due May 28, 2024</w:t>
            </w: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term loans</w:t>
            </w:r>
          </w:p>
        </w:tc>
        <w:tc>
          <w:tcPr>
            <w:tcW w:w="1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4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11,290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senior notes, which are unsecured, may be redeemed at our option at any time at 100% of the principal amount plus accrued interest and a specified make-whole amount. The 8.15% senior notes are subject to an interest rate adjustment if the debt ratings assigned to the notes are downgraded (or subsequently upgraded). In addition, our senior notes contain a change of control provision that may require us to purchase the notes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March 2022, we issued $750 million of 3.700% unsecured senior notes due March 23, 2029. Our net proceeds, reduced for the underwriters' discounts and commissions paid, were $744 million. We used the net proceeds for general corporate purposes, which included the repayment of existing indebtedness, including borrowings under our commercial paper program.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Delayed Draw Term Loan Credit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2021, we entered into a $500 million unsecured delayed draw term loan credit agreement. Under the term loan credit agreement, loans bear interest at either LIBOR plus a spread or the base rate plus a spread. The loans under the term loan credit agreement mature on the third anniversary of the funding date. The LIBOR spread, currently 125 basis points, varies depending on our credit ratings ranging from 100.0 to 162.5 basis points. The term loan credit agreement provides for the transition from LIBOR and does not require amendment in connection with such transition.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2021, we borrowed $500 million under the delayed draw term loan agreement, which was used, in combination with other debt financing, to fund the approximate $5.8 billion transaction price of Kindred at Home. The $500 million term loan will mature on May 28, 2024. The term loan credit agreement contains customary restrictive covenants and a financial covenant regarding maximum debt to capitalization of 60%, as well as customary events of default. We are in compliance with this financial covenant, with actual debt to capitalization of 45.3% as measured in accordance with the term loan credit agreement as of June 30, 2022.</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other customary relationships, including financial advisory and banking, with some parties to the term loan agreement.</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October 2021 Term Loan Agreement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29, 2021, we entered into a $2.0 billion term loan credit agreement, which we refer to as the October 2021 Term Loan Agreement, with certain lending banks and other financial institutions. Proceeds of the October 2021 Term Loan Agreement were applied to finance the repayment in full of the outstanding KAH debt.</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Loans under the October 2021 Term Loan Agreement bear interest at adjusted Term SOFR, as defined in the October 2021 Term Loan Agreement, or the base rate plus a spread. The applicable margin, currently 112.5 basis points, varies depending on our credit ratings ranging from 87.5 to 137.5 basis points. The loans under the October 2021 Term Loan Agreement will mature on October 29, 2023. The October 2021 Term Loan Agreement contains customary covenants, including a maximum debt to capitalization financial condition covenant regarding maximum debt to capitalization of 60%, as well as customary events of default. We are in compliance with this financial covenant, with actual debt to capitalization of 45.3% as measured in accordance with the term loan credit agreement as of June 30, 2022. We have other relationships, including financial advisory and banking, with some parties to the October 2021 Term Loan Agreement.</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 the time of the repayment in full of the KAH debt, there was $1.9 billion of outstanding debt thereunder and no prepayment penalty was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2021, we entered into a 5-year, $2.5 billion unsecured revolving credit agreement. Under the 5-year revolving credit agreement, at our option, we can borrow on either a competitive advance basis or a revolving credit basis. The revolving credit portion bears interest at either LIBOR plus a spread or the base rate plus a spread. The competitive advance portion of any borrowings will bear interest at market rates prevailing at the time of borrowing on either a fixed rate or a floating rate based on LIBOR, at our option. The revolving credit agreement provides for the transition from LIBOR and does not require amendment in connection with such transition.</w:t>
      </w:r>
    </w:p>
    <w:p>
      <w:pPr>
        <w:spacing w:after="0" w:line="19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In June 2022, we entered into a 364-day $1.5 billion unsecured revolving credit agreement (replacing the 364-day $1.5 billion unsecured revolving credit agreement entered into in June 2021, which expired in accordance with its terms). Under the 364-day revolving credit agreement, at our option, we can borrow on either a competitive advance basis or a revolving credit basis. The revolving credit portion bears interest at Term SOFR or the base rate plus a spread. The competitive advance portion of any borrowings will bear interest at market rates prevailing at the time of borrowing on either a fixed rate or a floating rate based Term SOFR, at our option.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LIBOR spread, currently 110.0 basis points under the 5-year revolving credit agreements and the SOFR spread, currently 115.0 basis points under the 364-day revolving credit agreement, varies depending on our credit ratings ranging from 91.0 to 140.0 basis points under the 5-year revolving credit agreement and from 94.0 to 135.0 basis points under the 364-day revolving credit agreement. We also pay an annual facility fee regardless of utilization. This facility fee, currently 15.0 basis points, under the 5-year revolving credit agreement and 10.0 basis points under the 364-day revolving agreement, varies depending on our credit ratings ranging from 9.0 to 22.5 basis points under the 5-year revolving credit agreement and from 6.0 to 15.0 basis points under the 364-day revolving credit agreement.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of the revolving credit agreements include standard provisions related to conditions of borrowing which could limit our ability to borrow additional funds. In addition, the credit agreements contain customary restrictive covenants and a financial covenant regarding maximum debt to capitalization of 60%, as well as customary events of default. We are in compliance with this financial covenant, with actual debt to capitalization of 45.3% as measured in accordance with the revolving credit agreements as of June 30, 2022. Upon our agreement with one or more financial institutions, we may expand the aggregate commitments under the revolving credit agreements by up to $750 million in the aggregate, to a maximum of $4.75 billion, across the 5-year and 364-day revolving credit agreements.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June 30, 2022, we had no borrowings and approximately $73 million of letters of credit outstanding under the revolving credit agreements, including those of KAH. Accordingly, as of June 30, 2022, we had $2.4 billion of remaining borrowing capacity under the 5-year revolving credit agreement and $1.5 billion of remaining borrowing capacity under the 364-day revolving credit agreement (which excludes the uncommitted $750 million of incremental loan facilities), none of which would be restricted by our financial covenant compliance requirement.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other customary relationships, including financial advisory and banking, with some parties to the revolving credit agreements.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w:t>
      </w:r>
    </w:p>
    <w:p>
      <w:pPr>
        <w:spacing w:after="0" w:line="162"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privately placed on a discount basis through certain broker dealers at any time. On February 10, 2022, we increased the size of our commercial paper program to permit the issuance of commercial paper notes in an aggregate principal amount not to exceed $4 billion compared to the prior amount not to exceed $2 billion. Amounts available under the program may be borrowed, repaid and re-borrowed from time to time. The net proceeds of issuances have been and are expected to be used for general corporate purposes. The maximum principal amount outstanding at any one time during the six months ended June 30, 2022 was $1.5 billion, with $541 million outstanding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compared to $955 million outstanding at December 31, 2021. The outstanding commercial paper at June 30, 2022 had a weighted average annual interest rate of 1.70%.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Short-term Borrowings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a member, through one subsidiary, of the Federal Home Loan Bank of Cincinnati, or FHLB. As a member we have the ability to obtain short-term cash advances, subject to certain minimum collateral requirements. At June 30, 2022 we had no outstanding short-term FHLB borrowings.</w:t>
      </w:r>
    </w:p>
    <w:p>
      <w:pPr>
        <w:spacing w:after="0" w:line="185" w:lineRule="exact"/>
        <w:rPr>
          <w:sz w:val="20"/>
          <w:szCs w:val="20"/>
          <w:color w:val="auto"/>
        </w:rPr>
      </w:pPr>
    </w:p>
    <w:p>
      <w:pPr>
        <w:ind w:left="340" w:right="6180" w:hanging="332"/>
        <w:spacing w:after="0" w:line="440" w:lineRule="auto"/>
        <w:tabs>
          <w:tab w:leader="none" w:pos="28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GUARANTEES AND CONTINGENCIES </w:t>
      </w:r>
      <w:r>
        <w:rPr>
          <w:rFonts w:ascii="Times New Roman" w:cs="Times New Roman" w:eastAsia="Times New Roman" w:hAnsi="Times New Roman"/>
          <w:sz w:val="18"/>
          <w:szCs w:val="18"/>
          <w:b w:val="1"/>
          <w:bCs w:val="1"/>
          <w:i w:val="1"/>
          <w:iCs w:val="1"/>
          <w:color w:val="auto"/>
        </w:rPr>
        <w:t>Government Contracts</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Medicare products, which accounted for approximately 81% of our total premiums and services revenue for the six months ended June 30, 2022, primarily consisted of products covered under the Medicare Advantage and Medicare Part D Prescription Drug Plan contracts with the federal government. These contracts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products have been renewed for 2023. Our product offerings under those contracts are subject to approval by CMS in the third quarter of 2022.</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CMS uses a risk-adjustment model which adjusts premiums paid to Medicare Advantage, or MA, plans according to health status of covered members. The risk-adjustment model, which CMS implemented pursuant to the Balanced Budget Act of 1997, or BBA, and the Benefits Improvement and Protection Act of 2000, or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MA plans must collect from providers and submit the necessary diagnosis code information to CMS within prescribed deadlines. The CMS risk-adjustment model uses the diagnosis data to calculate the risk-adjusted premium payment to MA plans, which CMS adjusts for coding pattern differences between the health plans and the government fee-for-service program. We generally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CMS and the Office of the Inspector General of Health and Human Services, or HHS-OIG, are continuing to perform audits of various companies’ selected MA contracts related to this risk adjustment diagnosis data. We refer to these audits as Risk-Adjustment Data Validation Audits, or RADV audits. RADV audits review medical records in an attempt to validate provider medical record documentation and coding practices which influence the calculation of premium payments to MA plans.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an MA contract, if any, the results of the RADV audit sample would be extrapolated to the entire MA contract after a comparison of the audit results to a similar audit of the government’s traditional fee-for-service Medicare program, or Medicare FFS. We refer to the process of accounting for errors in FFS claims as the "FFS Adjuster". This comparison of RADV audit results to the FFS error rate is necessary to determine the economic impact, if any, of RADV audit results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government used the Medicare FFS program data set, including any attendant errors that are present in that data set, to estimate the costs of various health status conditions and to set the resulting adjustments to MA plans’ payment rates in order to establish actuarial equivalence in payment rates as required under the Medicare statute. CMS already makes other adjustments to payment rates based on a comparison of coding pattern differences between MA plans and Medicare FFS data (such as for frequency of coding for certain diagnoses in MA plan data versus the Medicare FFS program dataset).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final RADV extrapolation methodology, including the first application of extrapolated audit results to determine audit settlements, is expected to be applied to CMS RADV contract level audits conducted for contract year 2011 and subsequent years. CMS is currently conducting RADV contract level audits for certain of our Medicare Advantage plans.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Estimated audit settlements are recorded as a reduction of premiums revenue in our consolidated statements of income, based upon available information. We perform internal contract level audits based on the RADV audit methodology prescribed by CMS. Included in these internal contract level audits is an audit of our Private Fee-For Service business which we used to represent a proxy of the FFS Adjuster which has not yet been finalized. We based our accrual of estimated audit settlements for each contract year on the results of these internal contract level audits and update our estimates as each audit is completed. Estimates derived from these results were not material to our results of operations, financial position, or cash flows. We report the results of these internal contract level audits to CMS, including identified overpayments, if any.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26, 2018, CMS issued a proposed rule and accompanying materials, which we refer to as the “Proposed Rule”, related to, among other things, the RADV audit methodology described above. If implemented, the Proposed Rule would use extrapolation in RADV audits applicable to payment year 2011 contract-level audits and all subsequent audits, without the application of a FFS Adjuster to audit findings. We believe that the Proposed Rule fails to address adequately the statutory requirement of actuarial equivalence, and have provided substantive comments to CMS on the Proposed Rule as part of the notice-and-comment rulemaking process. Whether, and to what extent, CMS finalizes the Proposed Rule, and any related regulatory, industry or company reactions, could have a material adverse effect on our results of operations, financial position, or cash flows.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work with CMS to ensure that MA plans are paid accurately and that payment model principles are in accordance with the requirements of the Social Security Act, which, if not implemented correctly could have a material adverse effect on our results of operations, financial position, or cash flows.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state-based Medicaid business, which accounted for approximately 6% of our total premiums and services revenue for the six months ended June 30, 2022 primarily consisted of serving members enrolled in Medicaid, and in certain circumstances members who qualify for both Medicaid and Medicare, under contracts with various states.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June 30, 2022, our military services business, which accounted for approximately 1% of our total premiums and services revenue for the six months ended June 30, 2022, primarily consisted of the TRICARE T2017 East Region contract. The T2017 East Region contract comprising 32 states and approximately 6 million TRICARE beneficiaries, under which delivery of health care services commenced on January 1, 2018. The T2017 East Region contract is a 5-year contract set to expire on December 31, 2022 and is subject to renewals on January 1 of each year during its term at the government's option.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of any of the contracts above or significant changes in these programs as a result of legislative or regulatory action, including reductions in premium payments to us, regulatory restrictions on profitability, including reviews by regulatory bodies that may compare our Medicare Advantage profitability to our non-Medicare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Advantage business profitability, or compare the profitability of various products within our Medicare Advantage business, and require that they remain within certain ranges of each other, or increases in member benefits or member eligibility criteria without corresponding increases in premium payments to us, may have a material adverse effect on our results of operations, financial position, and cash flows.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Certain Regulatory Matters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the Civil Division of the United States Department of Justice provided us with an information request in December 2014, concerning our Medicare Part C risk adjustment practices. The request relates to our oversight and submission of risk adjustment data generated by providers in our Medicare Advantage network, as well as to our business and compliance practices related to risk adjustment data generated by our providers and by us, including medical record reviews conducted as part of our data and payment accuracy compliance efforts, the use of health and well-being assessments, and our fraud detection efforts. We believe that this request for information is in connection with a wider review of Medicare Risk Adjustment generally that includes a number of Medicare Advantage plans, providers and vendors. We continue to cooperate with the Department of Justice. These matters are expected to result in additional qui tam litigation.</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19, 2016, an individual filed a qui tam suit captioned United States of America ex rel. Steven Scott v. Humana, Inc., in United States District Court, Central District of California, Western Division. The complaint alleges certain civil violations by us in connection with the actuarial equivalence of the plan benefits under Humana’s Basic PDP plan, a prescription drug plan offered by us under Medicare Part D. The action seeks damages and penalties on behalf of the United States under the False Claims Act. The court ordered the qui tam action unsealed on September 13, 2017, so that the relator could proceed, following notice from the U.S. Government that it was not intervening at that time. On January 29, 2018, the suit was transferred to the United States District Court, Western District of Kentucky, Louisville Division. We have substantially completed discovery with the relator who has pursued the matter on behalf of the united States following unsealing. On March 31, 2022, the Court denied the parties' Motions for Summary Judgement. We take seriously our obligations to comply with applicable CMS requirements and actuarial standards of practice, and continue to vigorously defend against these allegations.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Lawsuits and Regulatory Matters</w:t>
      </w:r>
    </w:p>
    <w:p>
      <w:pPr>
        <w:spacing w:after="0" w:line="173" w:lineRule="exact"/>
        <w:rPr>
          <w:sz w:val="20"/>
          <w:szCs w:val="20"/>
          <w:color w:val="auto"/>
        </w:rPr>
      </w:pPr>
    </w:p>
    <w:p>
      <w:pPr>
        <w:jc w:val="both"/>
        <w:ind w:firstLine="197"/>
        <w:spacing w:after="0" w:line="255" w:lineRule="auto"/>
        <w:rPr>
          <w:sz w:val="20"/>
          <w:szCs w:val="20"/>
          <w:color w:val="auto"/>
        </w:rPr>
      </w:pPr>
      <w:r>
        <w:rPr>
          <w:rFonts w:ascii="Times New Roman" w:cs="Times New Roman" w:eastAsia="Times New Roman" w:hAnsi="Times New Roman"/>
          <w:sz w:val="18"/>
          <w:szCs w:val="18"/>
          <w:color w:val="auto"/>
        </w:rPr>
        <w:t>Our current and past business practices are subject to review or other investigations by various state insurance and health care regulatory authorities and other state and federal regulatory authorities. These authorities regularly scrutinize the business practices of health insurance, health care delivery and benefits companies. These reviews focus on numerous facets of our business, including claims payment practices, statutory capital requirements, provider contracting, risk adjustment, competitive practices, commission payments, privacy issues, utilization management practices, pharmacy benefits, access to care, and sales practices, among others. Some of these reviews have historically resulted in fines imposed on us and some have required changes to some of our practices. We continue to be subject to these reviews, which could result in additional fines or other sanctions being imposed on us or additional changes in some of our practices.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are involved in various other lawsuits that arise, for the most part, in the ordinary course of our business operations, certain of which may be styled as class-action lawsuits. Among other matters, this litigation may include employment matters, claims of medical malpractice, bad faith, nonacceptance or termination of providers, anticompetitive practices, improper rate setting, provider contract rate and payment disputes, including disputes over reimbursement rates required by statute, disputes arising from competitive procurement process, general contractual matters, intellectual property matters, and challenges to subrogation practices. Under state guaranty assessment laws, including those related to state cooperative failures in the industry, we may be assessed (up to prescribed limits) for certain obligations to the policyholders and claimants of insolvent insurance companies that write the same line or lines of business as we do.</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government contractor, we may also be subject to false claims litigation, such as qui tam lawsuits brought by individuals who seek to sue on behalf of the government, alleging that the government contractor submitted false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claims to the government or related overpayments from the government, including, among other allegations, those resulting from coding and review practices under the Medicare risk adjustment model. Qui tam litigation is filed under seal to allow the government an opportunity to investigate and to decide if it wishes to intervene and assume control of the litigation. If the government does not intervene, the individual may continue to prosecute the action on his or her own, on behalf of the government. We also are subject to other allegations of nonperformance of contractual obligations to providers, members, and others, including failure to properly pay claims, improper policy terminations, challenges to our implementation of the Medicare Part D prescription drug program and other litigation.</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limited number of the claims asserted against us are subject to insurance coverage. Personal injury claims, claims for extra contractual damages, care delivery malpractice, and claims arising from medical benefit denials are covered by insurance from our wholly owned captive insurance subsidiary and excess carriers, except to the extent that claimants seek punitive damages, which may not be covered by insurance in certain states in which insurance coverage for punitive damages is not permitted. In addition, insurance coverage for all or certain forms of liability has become increasingly costly and may become unavailable or prohibitively expensive in the future.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record accruals for the contingencies discussed in the sections above to the extent that we conclude it is probable that a liability has been incurred and the amount of the loss can be reasonably estimated. No estimate of the possible loss or range of loss in excess of amounts accrued, if any, can be made at this time regarding the matters specifically described above because of the inherently unpredictable nature of legal proceedings, which also may be exacerbated by various factors, including: (i) the damages sought in the proceedings are unsubstantiated or indeterminate; (ii) discovery is not complete;</w:t>
      </w:r>
    </w:p>
    <w:p>
      <w:pPr>
        <w:spacing w:after="0" w:line="3" w:lineRule="exact"/>
        <w:rPr>
          <w:sz w:val="20"/>
          <w:szCs w:val="20"/>
          <w:color w:val="auto"/>
        </w:rPr>
      </w:pPr>
    </w:p>
    <w:p>
      <w:pPr>
        <w:ind w:firstLine="8"/>
        <w:spacing w:after="0" w:line="260"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is in its early stages; (iv) the matters present legal uncertainties; (v) there are significant facts in dispute; (vi) there are a large number of parties (including where it is uncertain how liability, if any, will be shared among multiple defendants); or (vii) there is a wide range of potential outcomes.</w:t>
      </w:r>
    </w:p>
    <w:p>
      <w:pPr>
        <w:spacing w:after="0" w:line="1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outcome of any current or future litigation or governmental or internal investigations, including the matters described above, cannot be accurately predicted, nor can we predict any resulting judgments, penalties, fines or other sanctions that may be imposed at the discretion of federal or state regulatory authorities or as a result of actions by third parties. Nevertheless, it is reasonably possible that any such outcome of litigation, judgments, penalties, fines or other sanctions could be substantial, and the outcome of these matters may have a material adverse effect on our results of operations, financial position, and cash flows, and may also affect our reputation.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including Temporary Assistance for Needy Families, or TANF, dual eligible demonstration,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 includes pharmacy, provider, and home services, along with other services and capabilities to promote wellness and advance population health. The operations of the recently acquired full ownership of Kindred at Home, as well as the company's strategic partnerships with WCAS to develop and operate senior-focused, payor-agnostic, primary care centers are also included in the Healthcare Services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Healthcare Services intersegment revenues primarily relate to managing prescription drug coverage for members of our other segments through Humana Pharmacy Solutions®, or HPS, and includes the operations of Humana Pharmacy, Inc., our mail order pharmacy business. These revenues consist of the prescription price (ingredient cost plus dispensing fee), including the portion to be settled with the member (co-share) or with the government (subsidies), plus any associated administrative fees. Services revenues related to the distribution of prescriptions by third party retail pharmacies in our networks are recognized when the claim is processed and product revenues from dispensing prescriptions from our mail order pharmacies are recorded when the prescription or product is shipped. Our pharmacy operations, which are responsible for designing pharmacy benefits, including defining member co-share responsibilities, determining formulary listings, contracting with retail pharmacies, confirming member eligibility, reviewing drug utilization, and processing claims, act as a principal in the arrangement on behalf of members in our other segments. As principal, our Healthcare Services segment reports revenues on a gross basis, including co-share amounts from members collected by third party retail pharmacies at the point of service.</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Healthcare Services intersegment revenues include revenues earned by certain owned providers derived from risk-based and non-risk-based managed care agreements with our health plans. Under risk based agreements, the provider receives a monthly capitated fee that varies depending on the demographics and health status of the member, for each member assigned to these owned providers by our health plans. The owned provider assumes the economic risk of funding the assigned members’ healthcare services. Under non risk-based agreements, our health plans retain the economic risk of funding the assigned members' healthcare services. Our Healthcare Services segment reports provider services revenues associated with risk-based agreements on a gross basis, whereby capitation fee revenue is recognized in the period in which the assigned members are entitled to receive healthcare services. Provider services revenues associated with non-risk-based agreements are presented net of associated healthcare costs.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present our condensed consolidated results of operations from the perspective of the health plans. As a result, the cost of providing benefits to our members, whether provided via a third party provider or internally through a stand-alone subsidiary, is classified as benefits expense and excludes the portion of the cost for which the health plans do not bear responsibility, including member co-share amounts and government subsidies of $4.8 billion and $4.4 billion for the three months ended June 30, 2022 and 2021, respectively. For the six months ended June 30, 2022 and 2021 these amounts were $8.8 billion and $8.0 billion, respectively. In addition, depreciation and amortization expense associated with certain businesses in our Healthcare Services segment delivering benefits to our members, primarily associated with our provider services and pharmacy operations, are included with benefits expense. The amount of this expense was $29 million and $26 million for the three months ended June 30, 2022 and 2021, respectively. For the six months ended June 30, 2022 and 2021, the amount of this expense was $59 million and $52 million, respectively.</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than those described previously, the accounting policies of each segment are the same and are described in Note 2 to the consolidated financial statements included in our 2021 Form 10-K. Transactions between reportable segments primarily consist of sales of services rendered by our Healthcare Services segment, primarily pharmacy, provider, and home solutions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 in the tables presenting segment results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segment results were as follows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Group and</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revenues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Medicare Advantage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stand-alone PDP</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Medicare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Fully-insured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Medicaid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premiums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 solutions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ASO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Pharmacy</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revenue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 (loss)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 (loss) attributable to Humana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Group and</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revenues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Medicare Advantage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stand-alone PDP</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Medicare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Fully-insured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Medicaid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premiums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 solutions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ASO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Pharmacy</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revenue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Group and</w:t>
            </w: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revenues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Medicare Advantage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stand-alone PDP</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Medicare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Fully-insured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Medicaid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premiums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Home solutions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ASO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Pharmacy solutions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revenue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47,632</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 (loss)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 (loss) attributable to Humana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Group and</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Revenues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Group Medicare Advantage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Medicare stand-alone PDP</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Medicare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0" w:type="dxa"/>
            <w:vAlign w:val="bottom"/>
          </w:tcPr>
          <w:p>
            <w:pPr>
              <w:spacing w:after="0"/>
              <w:rPr>
                <w:sz w:val="1"/>
                <w:szCs w:val="1"/>
                <w:color w:val="auto"/>
              </w:rPr>
            </w:pPr>
          </w:p>
        </w:tc>
      </w:tr>
      <w:tr>
        <w:trPr>
          <w:trHeight w:val="223"/>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Fully-insured</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Specialty</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Medicaid and 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premiums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40,102</w:t>
            </w:r>
          </w:p>
        </w:tc>
        <w:tc>
          <w:tcPr>
            <w:tcW w:w="0" w:type="dxa"/>
            <w:vAlign w:val="bottom"/>
          </w:tcPr>
          <w:p>
            <w:pPr>
              <w:spacing w:after="0"/>
              <w:rPr>
                <w:sz w:val="1"/>
                <w:szCs w:val="1"/>
                <w:color w:val="auto"/>
              </w:rPr>
            </w:pPr>
          </w:p>
        </w:tc>
      </w:tr>
      <w:tr>
        <w:trPr>
          <w:trHeight w:val="20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revenue: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Home solutions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services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ASO and other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Pharmacy solutions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services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external revenues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w:t>
            </w: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of Humana Inc. in this document present the Company’s financial position, results of operations and cash flows, and should be read in conjunction with the following discussion and analysis. References to “we,” “us,” “our,” “Company,” and “Humana” mean Humana Inc. and its subsidiaries. This discussion includes forward-looking statements within the meaning of the Private Securities Litigation Reform Act of 1995. When used in filings with the Securities and Exchange Commission, or SEC, in our press releases, investor presentations, and in oral statements made by or with the approval of one of our executive officers, the words or phrases like “believes,” “expects,” “anticipates,” “intends,” “likely will result,” “estimates,” “projects” or variations of such words and similar expressions are intended to identify such forward–looking statements. These forward–looking statements are not guarantees of future performance and are subject to risks, uncertainties and assumptions, including, among other things, information set forth in Item 1A. – Risk Factors in our 2021 Form 10-K, as modified by any changes to those risk factors included in this document and in other reports we filed subsequent to February 17, 2022, in each case incorporated by reference herein. In making these statements, we are not undertaking to address or update such forward-looking statements in future filings or communications regarding our business or results. In light of these risks, uncertainties and assumptions, the forward–looking events discussed in this document might not occur. There may also be other risks that we are unable to predict at this time. Any of these risks and uncertainties may cause actual results to differ materially from the results discussed in the forward– looking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Humana Inc., headquartered in Louisville, Kentucky,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 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 home care, behavioral health, pharmacy services, data analytics and wellness solutions, combine to produce a simplified experience that makes health care easier to navigate and more effective.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industry relies on two key statistics to measure performance. The benefit ratio, which is computed by taking</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total benefits expense as a percentage of premiums revenue, represents a statistic used to measure underwriting profitability. The operating cost ratio, which is computed by taking total operating costs, excluding depreciation and amortization, as a percentage of total revenue less investment income, represents a statistic used to measure administrative spending efficiency.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Kindred at Home Acquisition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17, 2021, we acquired the remaining 60% interest in Kindred at Home, or KAH, the nation’s largest home health and hospice provider, from TPG Capital, or TPG, and Welsh, Carson, Anderson &amp; Stowe, or WCAS, two private equity funds, or the Sponsors, for an enterprise value of $8.2 billion, which includes our equity value of $2.4 billion associated with our 40% minority ownership interest. We paid the approximate $5.8 billion transaction price (net of our existing equity stake) through a combination of debt financing, the assumption of existing KAH indebtedness and parent company cash.</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of Hospice and Personal Care Divisions</w:t>
      </w:r>
    </w:p>
    <w:p>
      <w:pPr>
        <w:spacing w:after="0" w:line="2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2022, we signed a definitive agreement with private investment firm Clayton, Dubilier &amp; Rice, or CD&amp;R, to divest a 60% interest in the Hospice and Personal Care divisions of Humana’s Kindred at Home subsidiary, or KAH Hospice, at an enterprise valuation of $3.4 billion. These divisions include patient-centered services for Hospice, Palliative, Community and Personal Care. Under the agreement, we will receive cash proceeds of approximately $2.8 billion, which includes a combination of debt repayments from KAH Hospice to Humana and equity proceeds from the 60% interest purchased by CD&amp;R.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is expected to close in the third quarter of 2022 and is subject to customary state and federal regulatory approvals.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 Creation Initiatives</w:t>
      </w:r>
    </w:p>
    <w:p>
      <w:pPr>
        <w:spacing w:after="0" w:line="17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2022, in order to create capacity to fund growth and investment in our Medicare Advantage business and further expansion of our Healthcare Services capabilities in 2023, we committed to drive additional value for the enterprise through cost saving, productivity initiatives, and value acceleration from previous investments. As a result of these initiatives, during the second quarter of 2022, we recorded a charge of $203 million, primarily related to asset and software impairment and abandonment in the amount of $140 million. These charges are included within operating costs in the condensed consolidated statements of income for the three and six months ended June 30, 2022, and were recorded at the corporate level and not allocated to the segments. Included in this charge is $21 million in future severance payments in connection with the optimization of our workforce to increase speed, agility, and the pace at which Humana must work as a large, integrated healthcare organization. We expect this liability to be primarily paid within the next 12 months and classified it as a current liability, included in trade accounts payable and accrued expenses. We anticipate additional charges in the remainder of the year across these same categories as additional cost saving, productivity initiatives, and value acceleration opportunities are identified.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emergence and spread of the novel coronavirus, or COVID-19, beginning in the first quarter of 2020 has impacted our business. During periods of increased incidences of COVID-19, a reduction in non-COVID-19 hospital admissions for non-emergent and elective medical care have resulted in lower overall healthcare system utilization. At the same time, COVID-19 treatment and testing costs increased utilization. During the first half of 2022, we experienced lower overall utilization of the healthcare system than anticipated, as the reduction in COVID-19 utilization following the increased incidence associated with the Omicron variant outpaced the increase in non-COVID-19 utilization. The significant disruption in utilization during 2020 also impacted our ability to implement clinical initiatives to manage health care costs and chronic conditions of our members, and appropriately document their risk profiles, and, as such, significantly affected our 2021 revenue under the risk adjustment payment model for Medicare Advantage plans. Finally, changes in utilization patterns and actions taken in 2021 as a result of the COVID-19 pandemic, including the suspension of certain financial recovery programs for a period of time and shifting the timing of claim payments and provider capitation surplus payments, impacted our claim reserve development and operating cash flows for 2021.</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including Temporary Assistance for Needy Families, or TANF, dual eligible demonstration,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 includes pharmacy, provider, and home services, along with other services and capabilities to promote wellness and advance population health. The operations of the recently acquired full ownership of Kindred at Home,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strategic partnerships with WCAS to develop and operate senior-focused, payor-agnostic, primary care centers are also included in the Healthcare Services segment.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results of each segment are measured by segment earnings, and for our Healthcare Services Segment, also include equity in net earnings from our equity method investees. Transactions between reportable segments primarily consist of sales of services rendered by our Healthcare Services segment, primarily pharmacy, provider, and home solutions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COVID-19 disrupted the pattern of our quarterly earnings and operating cash flows largely due to the temporary deferral of non-essential care which resulted in reductions in non-COVID-19 hospital admissions and lower overall healthcare system utilization during higher levels of COVID-19 hospital admissions. Likewise, during periods of increased incidences of COVID-19, COVID-19 treatment and testing costs increase. Similar impacts and seasonal disruptions from either higher or lower utilization are expected to persist as we respond to and recover from the COVID-19 global health crisis.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of the product offerings of our Retail segment is Medicare stand-alone prescription drug plans, or PDPs, under the Medicare Part D program. Our quarterly Retail segment earnings and operating cash flows are impacted by the Medicare Part D benefit design and changes in the composition of our membership. The Medicare Part D benefit design results in coverage that varies as a member’s cumulative out-of-pocket costs pass through successive stages of a member’s plan period, which begins annually on January 1 for renewals. These plan designs generally result in us sharing a greater portion of the responsibility for total prescription drug costs in the early stages and less in the latter stages. As a result, the PDP benefit ratio generally decreases as the year progresses. In addition, the number of low income senior members as well as year-over-year changes in the mix of membership in our standalone PDP products affects the quarterly benefit ratio pattern.</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Retail segment also experiences seasonality in the operating cost ratio as a result of costs incurred in the second half of the year associated with the Medicare marketing season.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Group and Specialty segment also experiences seasonality in the benefit ratio pattern. However, the effect is opposite of Medicare stand-alone PDP in the Retail segment, with the Group and Specialty segment’s benefit ratio increasing as fully-insured members progress through their annual deductible and maximum out-of-pocket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Highlights</w:t>
      </w:r>
    </w:p>
    <w:p>
      <w:pPr>
        <w:spacing w:after="0" w:line="175" w:lineRule="exact"/>
        <w:rPr>
          <w:sz w:val="20"/>
          <w:szCs w:val="20"/>
          <w:color w:val="auto"/>
        </w:rPr>
      </w:pPr>
    </w:p>
    <w:p>
      <w:pPr>
        <w:jc w:val="both"/>
        <w:ind w:left="660" w:hanging="328"/>
        <w:spacing w:after="0" w:line="27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strategy offers our members affordable health care combined with a positive consumer experience in growing markets. At the core of this strategy is our integrated care delivery model, which unites quality care, high member engagement, and sophisticated data analytics. Our approach to primary, physician-directed care for our members aims to provide quality care that is consistent, integrated, cost-effective, and member-focused, provided by both employed physicians and physicians with network contract arrangements. The model is designed to improve health outcomes and affordability for individuals and for the health system as a whole, while offering our members a simple, seamless healthcare experience. We believe this strategy is positioning us for long-term growth in both membership and earnings. We offer providers a continuum of opportunities to increase the integration of care and offer assistance to providers in transitioning from a fee-for-service to a value-based arrangement. These include performance bonuses, shared savings and shared risk relationships. At June 30, 2022, approximately 3,095,300 members, or 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of our individual Medicare Advantage members were in value-based relationships under our integrated care delivery model, as compared to 2,914,300 members, or 67%, at June 30, 2021.</w:t>
      </w:r>
    </w:p>
    <w:p>
      <w:pPr>
        <w:spacing w:after="0" w:line="108" w:lineRule="exact"/>
        <w:rPr>
          <w:sz w:val="20"/>
          <w:szCs w:val="20"/>
          <w:color w:val="auto"/>
        </w:rPr>
      </w:pP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income was $697 million, or $5.48 per diluted common share, and $588 million, or $4.55, for the three months ended June 30, 2022, and 2021, respectively. Net income was $1.6 billion, or $12.77 per diluted common share, and $1.4 billion, or $10.94 per diluted common share, for the six months ended June 30, 2022, and 2021, respectively. This comparison was significantly impacted by charges associated with productivity initiatives related to previously disclosed $1 billion value creation plan, tax provision related to the pending sale of Kindred at Home's Hospice and Personal Care divisions, put/call valuation adjustments associated with certain equity method investments, transaction and integration costs, as well as the change in the fair value of publicly-traded equity securities. The impact of these adjustments to our consolidated income before income taxes and equity in net earnings and diluted earnings per common share was as follows for the 2022 and 2021 quarter and period:</w:t>
      </w:r>
    </w:p>
    <w:p>
      <w:pPr>
        <w:spacing w:after="0" w:line="250"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6"/>
                <w:szCs w:val="16"/>
                <w:color w:val="auto"/>
              </w:rPr>
            </w:pPr>
          </w:p>
        </w:tc>
        <w:tc>
          <w:tcPr>
            <w:tcW w:w="224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4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Consolidated income before income taxes and equity in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175"/>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Charges associated with productivity initiatives related to the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previously disclosed $1 billion value creation plan</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Put/call valuation adjustments associated with company's non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consolidating minority interest investments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the fair value of publicly-traded equity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
        </w:trPr>
        <w:tc>
          <w:tcPr>
            <w:tcW w:w="49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456"/>
        </w:trPr>
        <w:tc>
          <w:tcPr>
            <w:tcW w:w="4920" w:type="dxa"/>
            <w:vAlign w:val="bottom"/>
          </w:tcPr>
          <w:p>
            <w:pPr>
              <w:spacing w:after="0"/>
              <w:rPr>
                <w:sz w:val="24"/>
                <w:szCs w:val="24"/>
                <w:color w:val="auto"/>
              </w:rPr>
            </w:pP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24"/>
                <w:szCs w:val="24"/>
                <w:color w:val="auto"/>
              </w:rPr>
            </w:pPr>
          </w:p>
        </w:tc>
        <w:tc>
          <w:tcPr>
            <w:tcW w:w="224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5"/>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Charges associated with productivity initiatives related to the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previously disclosed $1 billion value creation plan</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provision related to the pending sale of Kindred at Home's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and Personal Care divisions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Put/call valuation adjustments associated with company's non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consolidating minority interest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the fair value of publicly-traded equity securities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300" w:hanging="320"/>
        <w:spacing w:after="0" w:line="271" w:lineRule="auto"/>
        <w:tabs>
          <w:tab w:leader="none" w:pos="1303"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Excluding these adjustments, our improved comparisons of our results of operations were primarily impacted by our Healthcare Services segment, including the consolidation of Kindred at Home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In addition, the Health Care Reform Law established insurance industry assessments, including an annual health insurance industry fee. The annual health insurance industry fee, which was not deductible for income tax purposes and significantly increased our effective tax rate, was in effect for 2020, but was permanently repealed beginning in calendar year 2021.</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Health Care Reform Law and related regulations, as well as other current or future legislative, judicial or regulatory changes such as the Families First Coronavirus Response Act, or the Families First Act, the Coronavirus Aid, Relief, and Economic Security Act, or the CARES Act, and other legislative or regulatory action taken in response to COVID-19 including restrictions on our ability to manage our provider network or otherwise operate our business, or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or increases in regulation of our prescription drug benefit businesses, in the aggregate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for the discussion of our financial condition and results of operations that follows to assist in the understanding of our financial statements and related changes in certain key items in those financial statements from year to year, including the primary factors that accounted for those changes. Transactions between reportable segments primarily consist of sales of services rendered by our Healthcare Services segment, primarily pharmacy, provider, and home solutions services, to our Retail and Group and Specialty segment customers and are described in Note 14 to the condensed consolidated financial statements included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2022 and 2021</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primarily deals with our results of operations for the three months ended June 30, 2022, or the 2022 quarter, the three months ended June 30, 2021, or the 2021 quarter, the six months ended June 30, 2022, or the 2022 period, and the six months ended June 30, 2021, or the 2021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9"/>
          </w:tcPr>
          <w:p>
            <w:pPr>
              <w:ind w:left="1160"/>
              <w:spacing w:after="0"/>
              <w:rPr>
                <w:sz w:val="20"/>
                <w:szCs w:val="20"/>
                <w:color w:val="auto"/>
              </w:rPr>
            </w:pPr>
            <w:r>
              <w:rPr>
                <w:rFonts w:ascii="Times New Roman" w:cs="Times New Roman" w:eastAsia="Times New Roman" w:hAnsi="Times New Roman"/>
                <w:sz w:val="14"/>
                <w:szCs w:val="14"/>
                <w:b w:val="1"/>
                <w:bCs w:val="1"/>
                <w:color w:val="auto"/>
              </w:rPr>
              <w:t>(dollars in millions, except per common share results)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Group and Specialty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premiums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5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Group and Specialty</w:t>
            </w:r>
          </w:p>
        </w:tc>
        <w:tc>
          <w:tcPr>
            <w:tcW w:w="2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Healthcare Services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301.8 %</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services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174.7 %</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23,662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w:t>
            </w:r>
          </w:p>
        </w:tc>
        <w:tc>
          <w:tcPr>
            <w:tcW w:w="2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Benefit ratio </w:t>
            </w:r>
            <w:r>
              <w:rPr>
                <w:rFonts w:ascii="Times New Roman" w:cs="Times New Roman" w:eastAsia="Times New Roman" w:hAnsi="Times New Roman"/>
                <w:sz w:val="16"/>
                <w:szCs w:val="16"/>
                <w:color w:val="auto"/>
              </w:rPr>
              <w:t>(a)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85.8 %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cost ratio </w:t>
            </w:r>
            <w:r>
              <w:rPr>
                <w:rFonts w:ascii="Times New Roman" w:cs="Times New Roman" w:eastAsia="Times New Roman" w:hAnsi="Times New Roman"/>
                <w:sz w:val="16"/>
                <w:szCs w:val="16"/>
                <w:color w:val="auto"/>
              </w:rPr>
              <w:t>(b)</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80" w:type="dxa"/>
            <w:vAlign w:val="bottom"/>
          </w:tcPr>
          <w:p>
            <w:pPr>
              <w:spacing w:after="0"/>
              <w:rPr>
                <w:sz w:val="16"/>
                <w:szCs w:val="16"/>
                <w:color w:val="auto"/>
              </w:rPr>
            </w:pP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9"/>
          </w:tcPr>
          <w:p>
            <w:pPr>
              <w:ind w:left="1140"/>
              <w:spacing w:after="0"/>
              <w:rPr>
                <w:sz w:val="20"/>
                <w:szCs w:val="20"/>
                <w:color w:val="auto"/>
              </w:rPr>
            </w:pPr>
            <w:r>
              <w:rPr>
                <w:rFonts w:ascii="Times New Roman" w:cs="Times New Roman" w:eastAsia="Times New Roman" w:hAnsi="Times New Roman"/>
                <w:sz w:val="14"/>
                <w:szCs w:val="14"/>
                <w:b w:val="1"/>
                <w:bCs w:val="1"/>
                <w:color w:val="auto"/>
              </w:rPr>
              <w:t>(dollars in millions, except per common share results)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Group and Specialty</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premiums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Group and Specialty</w:t>
            </w: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Healthcare Services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297.1 %</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services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173.0 %</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47,632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(losses) earnings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Benefit ratio </w:t>
            </w:r>
            <w:r>
              <w:rPr>
                <w:rFonts w:ascii="Times New Roman" w:cs="Times New Roman" w:eastAsia="Times New Roman" w:hAnsi="Times New Roman"/>
                <w:sz w:val="16"/>
                <w:szCs w:val="16"/>
                <w:color w:val="auto"/>
              </w:rPr>
              <w: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cost ratio </w:t>
            </w:r>
            <w:r>
              <w:rPr>
                <w:rFonts w:ascii="Times New Roman" w:cs="Times New Roman" w:eastAsia="Times New Roman" w:hAnsi="Times New Roman"/>
                <w:sz w:val="16"/>
                <w:szCs w:val="16"/>
                <w:color w:val="auto"/>
              </w:rPr>
              <w:t>(b)</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benefits expense as a percentage of premiums revenue.</w:t>
      </w:r>
    </w:p>
    <w:p>
      <w:pPr>
        <w:spacing w:after="0" w:line="27" w:lineRule="exact"/>
        <w:rPr>
          <w:rFonts w:ascii="Times New Roman" w:cs="Times New Roman" w:eastAsia="Times New Roman" w:hAnsi="Times New Roman"/>
          <w:sz w:val="18"/>
          <w:szCs w:val="18"/>
          <w:color w:val="auto"/>
        </w:rPr>
      </w:pPr>
    </w:p>
    <w:p>
      <w:pPr>
        <w:ind w:left="340" w:right="4840" w:hanging="332"/>
        <w:spacing w:after="0" w:line="505"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operating costs as a percentage of total revenues less investment income. </w:t>
      </w:r>
      <w:r>
        <w:rPr>
          <w:rFonts w:ascii="Times New Roman" w:cs="Times New Roman" w:eastAsia="Times New Roman" w:hAnsi="Times New Roman"/>
          <w:sz w:val="18"/>
          <w:szCs w:val="18"/>
          <w:i w:val="1"/>
          <w:iCs w:val="1"/>
          <w:color w:val="auto"/>
        </w:rPr>
        <w:t>Premiums Revenue</w:t>
      </w:r>
    </w:p>
    <w:p>
      <w:pPr>
        <w:spacing w:after="0" w:line="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premiums increased $2.3 billion, or 11.5%, from $20.0 billion in the 2021 quarter to $22.3 billion in the 2022 quarter and increased $4.9 billion, or 12.1%, from $40.1 billion in the 2021 period to $45.0 billion in the 2022 period primarily due to individual Medicare Advantage and state-based contracts membership growth and higher per member individual Medicare Advantage premiums, partially offset by declining year-over-year membership associated with the group commercial medical products and a reduction in sequestration relief in the 2022 quarter compared to the 2021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services revenue increased $858 million, or 174.7%, from $491 million in the 2021 quarter to $1.3 billion in the 2022 quarter and increased $1.7 billion, or 173.0%, from $1.0 billion in the 2021 period to $2.6 billion in the 2022 period primarily due to the impact of Kindred at Home revenues from external customers.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income decreased $129 million, or 73.3%, from $176 million in the 2021 quarter to $47 million in the 2022 quarter and decreased $204 million, or 80.3%, from $254 million in the 2021 period to $50 million in the 2022 period primarily due to the decrease in the fair value of our publicly traded equity securities investments.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Benefit Expense</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Consolidated benefits expense increased $2.0 billion, or 11.4%, from $17.1 billion in the 2021 quarter to $19.1 billion in the 2022 quarter and increased $4.3 billion, or 12.4%, from $34.4 billion in the 2021 period to $38.7 billion in the 2022 period. The consolidated benefit ratio was unchanged at 85.8% for the 2021 quarter and 2022 quarter and increased 20 basis points from 85.9% for the 2021 period to 86.1% for the 2022 period primarily due to the lower favorable prior-period medical claims reserve development, offset by higher per member individual Medicare Advantage premiums and lower admissions per thousand, or APT, associated with the individual Medicare Advantage business in the current year. Further, the 2022 quarter and period ratios reflect a shift in line of business mix with continued growth in certain government programs, which carry a higher benefits expense ratio, combined with a decline in Medicare stand-alone PDP and Group and Specialty membership, which have a lower benefits expense ratio.</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Consolidated benefits expense included $37 million of favorable prior-period medical claims reserve development in the 2022 quarter and $164 million of favorable prior-period medical claims development in the 2021 quarter. Consolidated benefits expense included $397 million of favorable prior-period medical claims reserve development in the 2022 period and $719 million of favorable prior-period medical claims reserve development in the 2021 period. Prior-period medical claims reserve development decreased the consolidated benefit ratio by approximately 20 basis points in the 2022 quarter and decreased the consolidated benefit ratio by approximately 80 basis points in the 2021 quarter. Prior-period medical claims reserve development decreased the consolidated benefit ratio by approximately 90 basis points in the 2022 period and decreased the consolidated benefit ratio by approximately 180 basis points in the 2021 period.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Costs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segments incur both direct and shared indirect operating costs. We allocate the indirect costs shared by the segments primarily as a function of revenues. As a result, the profitability of each segment is interdependent.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Consolidated operating costs increased $1.1 billion, or 50.0%, from $2.1 billion in the 2021 quarter to $3.2 billion in the 2022 quarter and increased $1.9 billion, or 47.0%, from $4.1 billion in the 2021 period to $6.1 billion in the 2022 period. The consolidated operating cost ratio increased 310 basis points from 10.3% for the 2021 quarter to 13.4% for the 2022 quarter and increased 270 basis points from 10.0% for the 2021 period to 12.7% for the 2022 period primarily due to the impact of the consolidation of Kindred at Home operations, which have a significantly higher operating cost ratio than our historical consolidated operating cost ratio. Kindred at Home operations added approximately 220 basis points and 210 basis points, respectively, to the 2022 quarter and period consolidated operating costs ratios. Further, the year-over-year increases reflect the $203 million in charges related to productivity initiatives in the 2022 quarter primary related to asset and software impairment and abandonment, partially offset by scale efficiencies associated with growth in individual Medicare Advantage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$31 million, or 21.5%, from $144 million in the 2021 quarter to $175 million in the 2022 quarter and increased $59 million, or 20.6%, from $286 million in the 2021 period to $345 million in the 2022 period primarily due to capital expenditures.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$22 million, or 27.8%, from $79 million in the 2021 quarter to $101 million in the 2022 quarter and increased $44 million, or 29.9%, from $147 million in the 2021 period to $191 million in the 2022 period from borrowings to finance the Kindred at Home acquisition.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38.1% and 23.7% for the three months ended June 30, 2022, and 2021, respectively, and 30.5% and 22.7% for the six months ended June 30, 2022 and 2021, respectively. The increase is primarily due to the tax impact resulting from the excess of the book basis over the tax basis of KAH Hospice in connection with the held-for-sale classification at June 30,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Retail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4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Membership:</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membership:</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Medicare Advantage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stand-alone PDP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3,580,700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Retail Medicare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State-based Medicaid and other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Medicare Supplement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4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Retail medical members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10,068,700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Premiums and Services Revenue: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Premiums: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14,585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Medicare Advantage</w:t>
            </w:r>
          </w:p>
        </w:tc>
        <w:tc>
          <w:tcPr>
            <w:tcW w:w="3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Medicare stand-alone PDP</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Retail Medicare</w:t>
            </w:r>
          </w:p>
        </w:tc>
        <w:tc>
          <w:tcPr>
            <w:tcW w:w="3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State-based Medicaid and other</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Medicare Supplement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premiums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20,896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18,468</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premiums and services revenue</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ratio</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ratio</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30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tcPr>
          <w:p>
            <w:pPr>
              <w:spacing w:after="0"/>
              <w:rPr>
                <w:sz w:val="2"/>
                <w:szCs w:val="2"/>
                <w:color w:val="auto"/>
              </w:rPr>
            </w:pPr>
          </w:p>
        </w:tc>
        <w:tc>
          <w:tcPr>
            <w:tcW w:w="1220" w:type="dxa"/>
            <w:vAlign w:val="bottom"/>
            <w:gridSpan w:val="2"/>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and Services Revenue: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Individual Medicare Advantage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33,744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Group Medicare Advantage</w:t>
            </w:r>
          </w:p>
        </w:tc>
        <w:tc>
          <w:tcPr>
            <w:tcW w:w="3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Medicare stand-alone PDP</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Retail Medicare</w:t>
            </w:r>
          </w:p>
        </w:tc>
        <w:tc>
          <w:tcPr>
            <w:tcW w:w="3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State-based Medicaid and other</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Medicare Supplement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premiums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37,059</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premiums and services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42,212</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ratio</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 ratio</w:t>
            </w:r>
          </w:p>
        </w:tc>
        <w:tc>
          <w:tcPr>
            <w:tcW w:w="3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Earnings</w:t>
      </w:r>
    </w:p>
    <w:p>
      <w:pPr>
        <w:spacing w:after="0" w:line="173"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segment earnings increased $93 million, or 11.1%, from $836 million in the 2021 quarter to $929 million in the 2022 quarter and increased $83 million, or 5.1%, from $1.6 billion in the 2021 period to $1.7 billion in the 2022 period primarily due to the same factors impacting the segment's benefit and operating cost ratios as more fully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Enrollment</w:t>
      </w:r>
    </w:p>
    <w:p>
      <w:pPr>
        <w:spacing w:after="0" w:line="173" w:lineRule="exact"/>
        <w:rPr>
          <w:sz w:val="20"/>
          <w:szCs w:val="20"/>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Medicare Advantage membership increased 213,500 members, or 4.9%, from June 30, 2021 to June 30, 2022 primarily due to membership additions associated with the most recent Annual Election Period, or AEP. The year-over-year growth was further impacted by continued enrollment resulting from special elections in the second half of 2021 and Dual Eligible Special Need Plans, or D-SNP, membership growth. Individual Medicare Advantage membership includes 661,200 D-SNP members as of June 30, 2022, a net increase of 128,300, or 24.1%, from 532,900 as of June 30, 2021.</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Medicare Advantage membership increased 5,200 members, or 0.9%, from June 30, 2021 to June 30, 2022 reflecting smaller account sales and organic growth in concurrent accounts with no large accounts won or lost for the period.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stand-alone PDP membership decreased 72,400 members, or 2.0%, from June 30, 2021 to June 30, 2022 primarily due to continued intensified competition for Medicare stand-alone PDP offerings.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State-based Medicaid membership increased 175,700 members, or 20.0%, from June 30, 2021 to June 30, 2022 reflecting the suspension of state eligibility redetermination efforts due to the currently enacted public health emergency, or PHE.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Premiums Revenue</w:t>
      </w:r>
    </w:p>
    <w:p>
      <w:pPr>
        <w:spacing w:after="0" w:line="173" w:lineRule="exact"/>
        <w:rPr>
          <w:sz w:val="20"/>
          <w:szCs w:val="20"/>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segment premiums increased $2.4 billion, or 13.1%, from $18.5 billion in the 2021 quarter to $20.9 billion in the 2022 quarter and increased $5.1 billion, or 13.9%, from $37.1 billion in the 2021 period to $42.2 billion in the 2022 period primarily due to individual Medicare Advantage and state-based contracts membership growth and higher per member individual Medicare Advantage premiums partially offset by a reduction of sequestration relief in the 2022 quarter compared to the 2021 quarter.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Benefits Expense</w:t>
      </w:r>
    </w:p>
    <w:p>
      <w:pPr>
        <w:spacing w:after="0" w:line="173" w:lineRule="exact"/>
        <w:rPr>
          <w:sz w:val="20"/>
          <w:szCs w:val="20"/>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benefit ratio is unchanged at 87.0% for the 2021 quarter and 2022 quarter and increased 20 basis points from 87.3% for the 2021 period to 87.5% for the 2022 period primarily due to the lower favorable prior-period medical claims reserve development, partially offset by the impact of higher per member individual Medicare Advantage premiums and lower APT associated with the individual Medicare Advantage business. Further, the 2022 quarter and period ratios reflect a shift in line of business mix within the segment, with growth in individual Medicare Advantage and state-based contracts and other membership, which carry a higher benefits expense ratio, combined with a decline in Medicare stand-alone PDP, which has a lower benefits expense ratio.</w:t>
      </w:r>
    </w:p>
    <w:p>
      <w:pPr>
        <w:spacing w:after="0" w:line="13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segment's benefits expense included $39 million of favorable prior-period medical claims reserve development in the 2022 quarter and $156 million of favorable prior-period medical claims development in the 2021 quarter. The Retail segment’s benefit expense included $367 million of favorable prior-period medical claims reserve development in the 2022 period and $619 million of favorable prior-period medical claims reserve development in the 2021 period. Prior-period medical claims reserve development decreased the Retail segment's benefit ratio by approximately 20 basis points in the 2022 quarter and decreased the Retail segment's benefit ratio by approximately 80 basis points in the 2021 quarter. Prior-period medical claims reserve development decreased the Retail segment benefit ratio by approximately 90 basis points in the 2022 period and decreased the Retail segment benefit ratio by approximately 170 basis points in the 2021 period.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Costs</w:t>
      </w:r>
    </w:p>
    <w:p>
      <w:pPr>
        <w:spacing w:after="0" w:line="173"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Retail segment operating cost ratio decreased 10 basis points from 8.3% for the 2021 quarter to 8.2% for the 2022 quarter primarily due to scale efficiencies associated with growth in the individual Medicare Advantage membership, partially offset by strategic investments to position the segment for long-term success. The Retail segment operating cost ratio increased 10 basis points from 8.0% for the 2021 period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8.1% for the 2022 period primarily due to strategic investments to position the segment for long-term success, as well as the impact of higher marketing spend in the 2022 period to support individual Medicare Advantage growth. These factors were partially offset by scale efficiencies associated with growth in the individual Medicare Advantage membership.</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Group and Specialty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4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Membership:</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membership:</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Fully-insured commercial group</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Military services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6,017,800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6,038,500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group medical members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7,061,300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7,242,400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membership (a)</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980" w:hanging="972"/>
        <w:spacing w:after="0" w:line="282" w:lineRule="auto"/>
        <w:tabs>
          <w:tab w:leader="none" w:pos="9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products include dental, vision, and other supplemental health. Members included in these products may not be unique to each product since members have the ability to enroll in multiple products.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164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5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and Services Revenue:</w:t>
            </w: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Fully-insured commercial group</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Group specialty</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5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premiums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45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premiums and services revenue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ratio</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 ratio</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60" w:type="dxa"/>
            <w:vAlign w:val="bottom"/>
          </w:tcPr>
          <w:p>
            <w:pPr>
              <w:spacing w:after="0"/>
              <w:rPr>
                <w:sz w:val="16"/>
                <w:szCs w:val="16"/>
                <w:color w:val="auto"/>
              </w:rPr>
            </w:pP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4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3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Premiums and Services Revenue:</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Fully-insured commercial group</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Group specialty</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premiums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4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premiums and services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ratio</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 ratio</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Earnings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and Specialty segment earnings increased $61 million, or 152.5%, from $40 million in the 2021 quarter to $101 million in the 2022 quarter and increased $19 million, or 8.9%, from $214 million in the 2021 period to $233 million in the 2022 period primarily due to the same factors that led to the segment's lower benefit ratio partially offset by the same factors that led to the segment's higher operating ratio as more fully described below.</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Enrollment</w:t>
      </w:r>
    </w:p>
    <w:p>
      <w:pPr>
        <w:spacing w:after="0" w:line="173"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Fully-insured commercial group medical membership decreased 110,700 members, or 15.7%, from June 30, 2021 to June 30, 2022 reflecting the impact of pricing discipline to address COVID-19 and improve profitability.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ASO commercial medical membership decreased 49,700 members, or 10.0%, from June 30, 2021 to June 30, 2022 reflecting continued intensified competition for small group accounts, partially offset by strong retention among large group accounts.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services membership decreased 20,700 members, or 0.3%, from June 30, 2021 to June 30, 2022. Membership includes military service members, retirees, and their families to whom we are providing healthcare services under the current TRICARE East Region contract.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membership decreased 171,100 members, or 3.2%, from June 30, 2021 to June 30, 2022 primarily due to the loss of dental and vision groups cross-sold with medical, as reflected in the loss of group fully-insured commercial medical membership above. In addition, current membership reflects the economic impact of the COVID-19 pandemic.</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Premiums Revenue</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and Specialty segment premiums decreased $140 million, or 9.3%, from $1.5 billion in the 2021 quarter to $1.4 billion in the 2022 quarter and decreased $272 million, or 8.9%, from $3.0 billion in the 2021 period to $2.8 billion in the 2022 period primarily due to the decline in our fully-insured commercial medical and ASO commercial membership, partially offset by higher per member premiums across the fully-insured commercial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73"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and Specialty segment services revenue increased $2 million, or 1.0%, from $194 million in the 2021 quarter to $196 million in the 2022 quarter and increased $7 million, or 1.8%, from $384 million in the 2021 period to $391 million in the 2022 period.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Benefits Expense</w:t>
      </w:r>
    </w:p>
    <w:p>
      <w:pPr>
        <w:spacing w:after="0" w:line="173" w:lineRule="exact"/>
        <w:rPr>
          <w:sz w:val="20"/>
          <w:szCs w:val="20"/>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and Specialty segment benefit ratio decreased 630 basis points from 82.6% in the 2021 quarter to 76.3% in the 2022 quarter and decreased 310 basis points from 78.6% in the 2021 period to 75.5% in the 2022 period primarily due to the impact of the specialty product's lower benefit ratio, as the segment results now reflect a higher mix of the specialty business, pricing and benefit design efforts to address COVID-19 and increase profitability, as well as a less severe COVID-19 impact within the fully-insured commercial business due to the enrolled population's vaccination rate in 2022 compared to 2021. These factors were partially offset by the lower prior-period medical claims reserve development.</w:t>
      </w:r>
    </w:p>
    <w:p>
      <w:pPr>
        <w:spacing w:after="0" w:line="129"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and Specialty segment's benefits expense included $2 million of unfavorable prior-period medical claims reserve development in the 2022 quarter and $8 million of favorable prior-period medical claims reserve development in the 2021 quarter. The Group and Specialty segment's benefits expense included $30 million of favorable prior-period medical claims reserve development in the 2022 period and $100 million of favorable prior-period medical claims reserve development in the 2021 period. Prior-period medical claims reserve development increased the Group and Specialty segment benefit ratio by approximately 10 basis points in the 2022 quarter and decreased the Group Specialty segment benefit ratio by approximately 50 basis points in the 2021 quarter. Prior-period medical claims reserve development decreased the Group and Specialty segment benefit ratio by approximately 110 basis points in the 2022 period and decreased the Group and Specialty segment benefit ratio by approximately 330 basis points in the 2021 period.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Costs</w:t>
      </w:r>
    </w:p>
    <w:p>
      <w:pPr>
        <w:spacing w:after="0" w:line="173" w:lineRule="exact"/>
        <w:rPr>
          <w:sz w:val="20"/>
          <w:szCs w:val="20"/>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and Specialty segment operating cost ratio increased 240 basis points from 23.9% for the 2021 quarter to 26.3% for the 2022 quarter and increased 260 basis points from 23.4% in the 2021 period to 26.0% in the 2022 period primarily due to the impact of membership declining at a greater rate than the decline in absolute administrative expenses, as well as a greater proportion of membership associated with our ASO commercial and military services businesses, each of which have a higher operating cost ratio than the fully-insured commercial product. The increase further reflects investments in the Military services business across demonstration programs, partners service contracts and in preparation for the next generation of the United States Department of Defenses's TRICARE contracts, as well as investments in the specialty business to promote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Services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2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2908.0 %</w:t>
            </w:r>
          </w:p>
        </w:tc>
        <w:tc>
          <w:tcPr>
            <w:tcW w:w="40" w:type="dxa"/>
            <w:vAlign w:val="bottom"/>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Pharmacy solutions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40" w:type="dxa"/>
            <w:vAlign w:val="bottom"/>
          </w:tcPr>
          <w:p>
            <w:pPr>
              <w:spacing w:after="0"/>
              <w:rPr>
                <w:sz w:val="19"/>
                <w:szCs w:val="19"/>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Provider services</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40" w:type="dxa"/>
            <w:vAlign w:val="bottom"/>
          </w:tcPr>
          <w:p>
            <w:pPr>
              <w:spacing w:after="0"/>
              <w:rPr>
                <w:sz w:val="19"/>
                <w:szCs w:val="19"/>
                <w:color w:val="auto"/>
              </w:rPr>
            </w:pPr>
          </w:p>
        </w:tc>
      </w:tr>
      <w:tr>
        <w:trPr>
          <w:trHeight w:val="223"/>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revenues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301.8 %</w:t>
            </w:r>
          </w:p>
        </w:tc>
        <w:tc>
          <w:tcPr>
            <w:tcW w:w="40" w:type="dxa"/>
            <w:vAlign w:val="bottom"/>
          </w:tcPr>
          <w:p>
            <w:pPr>
              <w:spacing w:after="0"/>
              <w:rPr>
                <w:sz w:val="19"/>
                <w:szCs w:val="19"/>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 solutions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40" w:type="dxa"/>
            <w:vAlign w:val="bottom"/>
          </w:tcPr>
          <w:p>
            <w:pPr>
              <w:spacing w:after="0"/>
              <w:rPr>
                <w:sz w:val="19"/>
                <w:szCs w:val="19"/>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Pharmacy solutions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19"/>
                <w:szCs w:val="19"/>
                <w:color w:val="auto"/>
              </w:rPr>
            </w:pPr>
          </w:p>
        </w:tc>
      </w:tr>
      <w:tr>
        <w:trPr>
          <w:trHeight w:val="23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Provider services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 w:type="dxa"/>
            <w:vAlign w:val="bottom"/>
          </w:tcPr>
          <w:p>
            <w:pPr>
              <w:spacing w:after="0"/>
              <w:rPr>
                <w:sz w:val="19"/>
                <w:szCs w:val="19"/>
                <w:color w:val="auto"/>
              </w:rPr>
            </w:pPr>
          </w:p>
        </w:tc>
      </w:tr>
      <w:tr>
        <w:trPr>
          <w:trHeight w:val="223"/>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 w:type="dxa"/>
            <w:vAlign w:val="bottom"/>
          </w:tcPr>
          <w:p>
            <w:pPr>
              <w:spacing w:after="0"/>
              <w:rPr>
                <w:sz w:val="19"/>
                <w:szCs w:val="19"/>
                <w:color w:val="auto"/>
              </w:rPr>
            </w:pPr>
          </w:p>
        </w:tc>
      </w:tr>
      <w:tr>
        <w:trPr>
          <w:trHeight w:val="223"/>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and intersegment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40" w:type="dxa"/>
            <w:vAlign w:val="bottom"/>
          </w:tcPr>
          <w:p>
            <w:pPr>
              <w:spacing w:after="0"/>
              <w:rPr>
                <w:sz w:val="19"/>
                <w:szCs w:val="19"/>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40" w:type="dxa"/>
            <w:vAlign w:val="bottom"/>
          </w:tcPr>
          <w:p>
            <w:pPr>
              <w:spacing w:after="0"/>
              <w:rPr>
                <w:sz w:val="19"/>
                <w:szCs w:val="19"/>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 ratio</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r>
      <w:tr>
        <w:trPr>
          <w:trHeight w:val="57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 solutions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2916.3 %</w:t>
            </w: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Pharmacy solutions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50.5 %</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Provider services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r>
      <w:tr>
        <w:trPr>
          <w:trHeight w:val="223"/>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revenues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297.1 %</w:t>
            </w:r>
          </w:p>
        </w:tc>
      </w:tr>
      <w:tr>
        <w:trPr>
          <w:trHeight w:val="210"/>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 solutions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59.4 %</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Pharmacy solutions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13,498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12,675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Provider services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1,228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24.2 %</w:t>
            </w:r>
          </w:p>
        </w:tc>
      </w:tr>
      <w:tr>
        <w:trPr>
          <w:trHeight w:val="223"/>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15,439</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14,164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r>
      <w:tr>
        <w:trPr>
          <w:trHeight w:val="223"/>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services and intersegment revenues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17,647</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14,720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19.9 %</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earnings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52.2 %</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 ratio</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Earnings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Services segment earnings increased $126 million, or 40.5%, from $311 million in the 2021 quarter to $437 million in the 2022 quarter and increased $303 million, or 52.2%, from $580 million in the 2021 period to $883 million in the 2022 period primarily due to consolidation of Kindred at Home earnings, individual Medicare Advantage and state-based contracts membership growth leading to higher pharmacy earnings as well as the same factors that led to the segment's lower operating cost ratio.</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Script Volume</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Humana Pharmacy Solutions script volumes on an adjusted 30-day equivalent basis increased to approximately 133 million in the 2022 quarter, up 3.3%, versus scripts of approximately 129 million in the 2021 quarter and increased to approximately 264 million in the 2022 period, up 3.8%, versus scripts of approximately 255 million in the 2021 period primarily due to individual Medicare Advantage membership growth, partially offset by the decline in stand-alone PDP, fully-insured commercial and ASO membership.</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Revenues</w:t>
      </w:r>
    </w:p>
    <w:p>
      <w:pPr>
        <w:spacing w:after="0" w:line="173" w:lineRule="exact"/>
        <w:rPr>
          <w:sz w:val="20"/>
          <w:szCs w:val="20"/>
          <w:color w:val="auto"/>
        </w:rPr>
      </w:pPr>
    </w:p>
    <w:p>
      <w:pPr>
        <w:jc w:val="both"/>
        <w:ind w:left="660" w:hanging="328"/>
        <w:spacing w:after="0" w:line="258" w:lineRule="auto"/>
        <w:tabs>
          <w:tab w:leader="none" w:pos="653" w:val="left"/>
        </w:tabs>
        <w:numPr>
          <w:ilvl w:val="0"/>
          <w:numId w:val="26"/>
        </w:numPr>
        <w:rPr>
          <w:rFonts w:ascii="Calibri" w:cs="Calibri" w:eastAsia="Calibri" w:hAnsi="Calibri"/>
          <w:sz w:val="20"/>
          <w:szCs w:val="20"/>
          <w:i w:val="1"/>
          <w:iCs w:val="1"/>
          <w:color w:val="auto"/>
        </w:rPr>
      </w:pPr>
      <w:r>
        <w:rPr>
          <w:rFonts w:ascii="Times New Roman" w:cs="Times New Roman" w:eastAsia="Times New Roman" w:hAnsi="Times New Roman"/>
          <w:sz w:val="18"/>
          <w:szCs w:val="18"/>
          <w:color w:val="auto"/>
        </w:rPr>
        <w:t>Services revenues increased $860 million, or 301.8%, from $285 million in the 2021 quarter to $1.1 billion in the 2022 quarter and increased $1.7 billion, or 297.1%, from $556 million in the 2021 period to $2.2 billion in the 2022 period primarily due to the impact of Kindred at Home revenues from external customers.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Intersegment Revenues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increased $578 million, or 8.0%, from $7.2 billion in the 2021 quarter to $7.8 billion in the 2022 quarter and increased $1.3 billion, or 9.0%, from $14.2 billion in the 2021 period to $15.4 billion in the 2022 period primarily due to individual Medicare Advantage and state-based contracts membership growth leading to higher pharmacy revenues, the impact of greater mail-order pharmacy penetration, as well as higher revenues associated with growth in our provider business.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Costs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Services segment operating cost ratio decreased 130 basis points from 95.8% for the 2021 quarter to 94.5% for the 2022 quarter and decreased 150 basis points from 95.9% for the 2021 period to 94.4% for the 2022 period primarily due to consolidation of Kindred at Home operations which have a lower operating cost ratio than other businesses within the segment, combined with a favorable impact to the ratio related to our pharmacy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Historically, our primary sources of cash have included receipts of premiums, services revenue, and investment and other income, as well as proceeds from the sale or maturity of our investment securities, and borrowings. Our primary uses of cash historically have included disbursements for claims payments, operating costs, interest on borrowings, taxes, purchases of investment securities, acquisitions, capital expenditures, repayments on borrowings, dividends, and share repurchases. Because premiums generally are collected in advance of claim payments by a period of up to several months, our business normally should produce positive cash flows during periods of increasing premiums and enrollment. Conversely, cash flows would be negatively impacted during periods of decreasing premiums and enrollment. From period to period, our cash flows may also be affected by the timing of working capital items including premiums receivable, benefits payable, and other receivables and payables. Our cash flows are impacted by the timing of payments to and receipts from CMS associated with Medicare Part D subsidies for which we do not assume risk. The use of cash flows may be limited by regulatory requirements of state departments of insurance (or comparable state regulators) which require, among other items, that our regulated subsidiaries maintain minimum levels of capital and seek approval before paying dividends from the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parent. Our use of cash flows derived from our non-insurance subsidiaries, such as in our Healthcare Services segment, is generally not restricted by state departments of insurance (or comparable state regulators).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liquidity risk, please refer to the section entitled “Risk Factors” in our 2021 Form 10-K and Item 1A of Part II of this document.</w:t>
      </w:r>
    </w:p>
    <w:p>
      <w:pPr>
        <w:spacing w:after="0" w:line="108" w:lineRule="exact"/>
        <w:rPr>
          <w:sz w:val="20"/>
          <w:szCs w:val="20"/>
          <w:color w:val="auto"/>
        </w:rPr>
      </w:pPr>
    </w:p>
    <w:p>
      <w:pPr>
        <w:jc w:val="both"/>
        <w:ind w:right="20" w:firstLine="324"/>
        <w:spacing w:after="0" w:line="275" w:lineRule="auto"/>
        <w:rPr>
          <w:sz w:val="20"/>
          <w:szCs w:val="20"/>
          <w:color w:val="auto"/>
        </w:rPr>
      </w:pPr>
      <w:r>
        <w:rPr>
          <w:rFonts w:ascii="Times New Roman" w:cs="Times New Roman" w:eastAsia="Times New Roman" w:hAnsi="Times New Roman"/>
          <w:sz w:val="18"/>
          <w:szCs w:val="18"/>
          <w:color w:val="auto"/>
        </w:rPr>
        <w:t>Cash and cash equivalents increased to approximately $5.2 billion at June 30, 2022 from $3.4 billion at December 31, 2021. The change in cash and cash equivalents for the six months ended June 30, 2022 and 2021 is summarized as follows:</w:t>
      </w:r>
    </w:p>
    <w:p>
      <w:pPr>
        <w:spacing w:after="0" w:line="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flows provided by operations of $1.3 billion in the 2022 period increased $1.7 billion from cash flows used in operations of $477 million in the 2021 period primarily due to higher earnings in the 2022 period combined with the 2021 period impact associated with the pay down of claims inventory and capitation for provider surplus amounts earned in 2020 and additional provider support.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most significant drivers of changes in our working capital are typically the timing of payments of benefits expense and receipts for premiums. We illustrate these changes with the following summaries of benefits payable and receivables.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benefits payable was as follows at June 30, 2022 and December 31, 2021:</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2022 Period Change</w:t>
            </w:r>
          </w:p>
        </w:tc>
        <w:tc>
          <w:tcPr>
            <w:tcW w:w="120" w:type="dxa"/>
            <w:vAlign w:val="bottom"/>
          </w:tcPr>
          <w:p>
            <w:pPr>
              <w:spacing w:after="0"/>
              <w:rPr>
                <w:sz w:val="16"/>
                <w:szCs w:val="16"/>
                <w:color w:val="auto"/>
              </w:rPr>
            </w:pP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2021 Period Change</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Reported claims in process (2)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benefits payable (3)</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benefits payable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from acquisition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5"/>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Change in benefits payable per cash flow</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resulting in cash from operations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980" w:hanging="486"/>
        <w:spacing w:after="0" w:line="272"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IBNR represents an estimate of benefits payable for claims incurred but not reported, or IBNR, at the balance sheet date and includes unprocessed claim inventories. The level of IBNR is primarily impacted by membership levels, medical claim trends and the receipt cycle time, which represents the length of time between when a claim is initially incurred and when the claim form is received and processed (i.e. a shorter time span results in a lower IBNR).</w:t>
      </w:r>
    </w:p>
    <w:p>
      <w:pPr>
        <w:spacing w:after="0" w:line="116" w:lineRule="exact"/>
        <w:rPr>
          <w:rFonts w:ascii="Times New Roman" w:cs="Times New Roman" w:eastAsia="Times New Roman" w:hAnsi="Times New Roman"/>
          <w:sz w:val="16"/>
          <w:szCs w:val="16"/>
          <w:color w:val="auto"/>
        </w:rPr>
      </w:pPr>
    </w:p>
    <w:p>
      <w:pPr>
        <w:jc w:val="both"/>
        <w:ind w:left="980" w:right="20" w:hanging="486"/>
        <w:spacing w:after="0" w:line="272"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claims in process represents the estimated valuation of processed claims that are in the post claim adjudication process, which consists of administrative functions such as audit and check batching and handling, as well as amounts owed to our pharmacy benefit administrator which fluctuate due to bi-weekly payments and the month-end cutoff.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benefits payable primarily include amounts owed to providers under capitated and risk sharing arrangements.</w:t>
      </w:r>
    </w:p>
    <w:p>
      <w:pPr>
        <w:spacing w:after="0" w:line="1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benefits payable in the 2022 period was primarily due to an increase in reported claims in process, higher capitation accruals and higher IBNR. Higher reported claims in process was a function of month-end cut off. IBNR increased primarily as a result of increased individual Medicare Advantage and state-based contracts membership</w:t>
      </w:r>
      <w:r>
        <w:rPr>
          <w:rFonts w:ascii="Times New Roman" w:cs="Times New Roman" w:eastAsia="Times New Roman" w:hAnsi="Times New Roman"/>
          <w:sz w:val="18"/>
          <w:szCs w:val="18"/>
          <w:color w:val="EE2724"/>
        </w:rPr>
        <w: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total net receivables was as follows at June 30, 2022 and December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2022 Period Change</w:t>
            </w:r>
          </w:p>
        </w:tc>
        <w:tc>
          <w:tcPr>
            <w:tcW w:w="120" w:type="dxa"/>
            <w:vAlign w:val="bottom"/>
          </w:tcPr>
          <w:p>
            <w:pPr>
              <w:spacing w:after="0"/>
              <w:rPr>
                <w:sz w:val="16"/>
                <w:szCs w:val="16"/>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 Period Change</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other</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Military services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receivables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to cash flow statement: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from acquisition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Receivables held-for-sale</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8"/>
                <w:szCs w:val="18"/>
                <w:color w:val="auto"/>
              </w:rPr>
              <w:t>Change in receivables per cash flow</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statement resulting in cash from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changes in Medicare receivables for both the 2022 period and the 2021 period reflect individual Medicare Advantage membership growth and the typical pattern caused by the timing of accruals and related collections associated with the CMS risk-adjustment model. Significant collections occur with the mid-year and final settlements with CMS in the second and third quarter. We received the 2022 mid-year settlement of approximately $2.0 billion in July 2022.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2022 period and 2021 period, we acquired immaterial businesses of approximately $167 million and $325 million, net of cash and cash equivalents received, respectively.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ongoing capital expenditures primarily relate to our information technology initiatives, support of services in our provider services operations including medical and administrative facility improvements necessary for activities such as the provision of care to members, claims processing, billing and collections, wellness solutions, care coordination, regulatory compliance and customer service. Total capital expenditures, excluding acquisitions, were $574 million in the 2022 period and $619 million in the 2021 period.</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purchases of investment securities were $929 million in the 2022 period and net purchases of investment securities were $1.3 billion in the 2021 period.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Receipts from CMS associated with Medicare Part D claim subsidies for which we do not assume risk were higher than claim payments by $3.1 billion and $1.2 billion in the 2022 and 2021 periods, respectively.</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administrative services only TRICARE contracts, health care costs payments for which we do not assume risk exceeded reimbursements from the federal government by $4 million and $2 million in the 2022 and 2021 periods,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repayments from the issuance of commercial paper were $418 million in the 2022 period and net proceeds from the issuance of commercial paper were $508 million in the 2021 period. The maximum principal amount outstanding at any one time during the 2022 period was $1.5 billion.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we issued $750 million of 3.700% unsecured senior notes due March 23, 2029. Our net proceeds, reduced for the underwriters' discounts and commissions paid, were $744 million.</w:t>
      </w:r>
    </w:p>
    <w:p>
      <w:pPr>
        <w:spacing w:after="0" w:line="12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11, 2022, we entered into the January 2022 ASR Agreements with Mizuho and Wells Fargo to repurchase $1 billion of our common stock as part of the $3 billion repurchase program authorized by the Board of Directors on February 18, 2021. On January 12, 2022, we made a payment of $1 billion and received an initial delivery of 2.2 million shares of our common stock.</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acquired common shares in connection with employee stock plans for an aggregate cost of $28 million in the 2022 period and $33 million in the 2021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paid dividends to stockholders of $191 million during the 2022 period and $173 million during the 2021 period.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remainder of the cash used in or provided by financing activities in 2022 and 2021 primarily resulted from the change in book overdraft.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and Uses of Liquidity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detailed discussion of dividends to stockholders, please refer to Note 10 to the condensed consolidated financial statements.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detailed discussion of stock repurchases, please refer to Note 10 to the condensed consolidated financial statements.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debt, including our senior notes, term loans, credit agreements, commercial paper program, and other short-term borrowings, please refer to Note 12 to the condensed consolidated financial statements.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third quarter of 2022, we expect to divest a 60% interest in KAH Hospice pursuant to the definitive agreement we signed with CD&amp;R on April 21, 2022. Under the agreement, we will receive cash proceeds of approximately $2.8 billion, which includes a combination of debt repayments from KAH Hospice to Humana and equity proceeds from the 60% interest purchased by CD&amp;R. The transaction is subject to customary state and federal regulatory approvals. For a detailed discussion of this transaction, please refer to Note 3 to the condensed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Requirements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cash balances, investment securities, operating cash flows, and funds available under our credit agreement and our commercial paper program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Adverse changes in our credit rating may increase the rate of interest we pay and may impact the amount of credit available to us in the future. Our investment-grade credit rating at June 30, 2022 was BBB+ according to Standard &amp; Poor’s Rating Services, or S&amp;P, and Baa3 according to Moody’s Investors Services, Inc., or Moody’s. A downgrade by S&amp;P to BB+ or by Moody’s to Ba1 triggers an interest rate increase of 25 basis points with respect to $250 million of our senior notes. Successive one notch downgrades increase the interest rate an additional 25 basis points, or annual interest expense by less than $1 million, up to a maximum 100 basis points, or annual interest expense by $3 million.</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operate as a holding company in a highly regulated industry. Humana Inc., our parent company, is dependent upon dividends and administrative expense reimbursements from our subsidiaries, most of which are subject to regulatory restrictions. We continue to maintain significant levels of aggregate excess statutory capital and surplus in our state-regulated operating subsidiaries. Cash, cash equivalents, and short-term investments at the parent company were $800 million at June 30, 2022 compared to $1.3 billion at December 31, 2021. This decrease primarily was due to common stock repurchases, capital expenditures, repayment of borrowings under the commercial paper program, cash dividends to shareholders, capital contributions to certain subsidiaries and acquisitions, partially offset by net proceeds from the senior notes, proceeds from the sale of investment securities and earnings in non-regulated Healthcare Services subsidiaries. Our use of operating cash derived from our non-insurance subsidiaries, such as our Healthcare Services segment, is generally not restricted by departments of insurance (or comparable state regulators).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minimum required levels of equity are largely based on premium volume, product mix, and the quality of assets held, minimum requirements vary significantly at the state level. Based on the most recently filed statutory financial statements as of March 31, 2022, our state regulated subsidiaries had aggregate statutory capital and surplus of approximately $10.3 billion, which exceeded aggregate minimum regulatory requirements of $7.9 billion. The amount, timing and mix of ordinary and extraordinary dividend payments will vary due to state regulatory requirements, the level of excess statutory capital and surplus and expected future surplus requirements related to, for example, premium volume and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earnings and financial position are exposed to financial market risk, including those resulting from changes in interest rates.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rate risk also represents a market risk factor affecting our consolidated financial position due to our significant investment portfolio, consisting primarily of fixed maturity securities of investment-grade quality with a weighted average S&amp;P credit rating of AA- at June 30, 2022. Our net unrealized position decreased $1,421 million from a net unrealized gain position of $57 million at December 31, 2021 to a net unrealized loss position of $1,364 million at June 30, 2022. At June 30, 2022, we had gross unrealized losses of $1,367 million on our investment portfolio primarily due to an increase in market interest rates since the time the securities were purchased. There were no material credit allowances during the six months ended June 30, 2022. While we believe that these securities in an unrealized loss will recover in value over time and we currently do not have the intent to sell such securities, given the current market conditions and the significant judgments involved, there is a continuing risk that future declines in fair value may occur and material realized losses from sales or credit allowances may be recorded in future periods.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Duration is the time-weighted average of the present value of the bond portfolio’s cash flow. Duration is indicative of the relationship between changes in fair value and changes in interest rates, providing a general indication of the sensitivity of the fair values of our fixed maturity securities to changes in interest rates. However, actual fair values may differ significantly from estimates based on duration. The average duration of our investment portfolio, including cash and cash equivalents, was approximately 3.3 years as of June 30, 2022 and approximately 3.6 years as of December 31, 2021. The decrease in the average duration is reflective of various portfolio management activities and the decreased holdings of cash and cash equivalents. Based on the duration, including cash equivalents, a 1% increase in interest rates would generally decrease the fair value of our securities by approximately $604 million at June 30, 2022.</w:t>
      </w:r>
    </w:p>
    <w:p>
      <w:pPr>
        <w:spacing w:after="0" w:line="200" w:lineRule="exact"/>
        <w:rPr>
          <w:sz w:val="20"/>
          <w:szCs w:val="20"/>
          <w:color w:val="auto"/>
        </w:rPr>
      </w:pPr>
    </w:p>
    <w:p>
      <w:pPr>
        <w:spacing w:after="0" w:line="2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or CEO, our Chief Financial Officer, or CFO, and our Principal Accounting Officer, we carried out an evaluation of the effectiveness of the design and operation of our disclosure controls and procedures for the quarter ended June 30, 2022.</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evaluation, which excluded the impact of the acquisition of Kindred at Home, or KAH, discussed below, our CEO, CFO, and our Principal Accounting Officer concluded that our disclosure controls and procedures are effective to provide reasonable assurance that information the Company is required to disclose in its reports under the Securities Exchange Act of 1934, as amended, is recorded, processed, summarized and reported within the time periods specified in SEC rules and forms, including, without limitation, ensuring that such information is accumulated and communicated to the Company’s management, including its principal executive and principal financial officers, or persons performing similar functions, as appropriate to allow timely decisions regarding required disclosure.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17, 2021, we acquired the remaining 60% interest in KAH. We currently exclude, and are in the process of working to incorporate, KAH in our evaluation of internal controls over financial reporting and related disclosure controls and procedures. Total KAH assets and revenues excluded from our evaluation represent 1% and 3%, respectively, of the related consolidated financial statement amounts as of and for the period ended June 30, 2022.</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KAH acquisition mentioned above, there have been no changes in the Company’s internal control over financial reporting during the quarter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For a description of the legal proceedings pending against us and certain other pending or threatened litigation, investigations, or other matters, see “Legal Proceedings and Certain Regulatory Matters” in Note 13 to the condensed consolidated financial statements of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have been no changes to the risk factors included in our 2021 Form 10-K.</w:t>
      </w:r>
    </w:p>
    <w:p>
      <w:pPr>
        <w:spacing w:after="0" w:line="2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71" w:lineRule="exact"/>
        <w:rPr>
          <w:rFonts w:ascii="Times New Roman" w:cs="Times New Roman" w:eastAsia="Times New Roman" w:hAnsi="Times New Roman"/>
          <w:sz w:val="18"/>
          <w:szCs w:val="18"/>
          <w:color w:val="auto"/>
        </w:rPr>
      </w:pPr>
    </w:p>
    <w:p>
      <w:pPr>
        <w:ind w:left="1300" w:hanging="320"/>
        <w:spacing w:after="0" w:line="270" w:lineRule="auto"/>
        <w:tabs>
          <w:tab w:leader="none" w:pos="12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Securities Exchange Act of 1934, as amended, during the three months ended June 30, 2022:</w:t>
      </w:r>
    </w:p>
    <w:tbl>
      <w:tblPr>
        <w:tblLayout w:type="fixed"/>
        <w:tblInd w:w="1320" w:type="dxa"/>
        <w:tblCellMar>
          <w:top w:w="0" w:type="dxa"/>
          <w:left w:w="0" w:type="dxa"/>
          <w:bottom w:w="0" w:type="dxa"/>
          <w:right w:w="0" w:type="dxa"/>
        </w:tblCellMar>
      </w:tblP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228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36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80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36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80" w:type="dxa"/>
            <w:vAlign w:val="bottom"/>
          </w:tcPr>
          <w:p>
            <w:pPr>
              <w:jc w:val="center"/>
              <w:ind w:left="368"/>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36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3"/>
        </w:trPr>
        <w:tc>
          <w:tcPr>
            <w:tcW w:w="1240" w:type="dxa"/>
            <w:vAlign w:val="bottom"/>
            <w:vMerge w:val="continue"/>
          </w:tcPr>
          <w:p>
            <w:pPr>
              <w:spacing w:after="0"/>
              <w:rPr>
                <w:sz w:val="16"/>
                <w:szCs w:val="16"/>
                <w:color w:val="auto"/>
              </w:rPr>
            </w:pPr>
          </w:p>
        </w:tc>
        <w:tc>
          <w:tcPr>
            <w:tcW w:w="2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or Programs (1)(2)</w:t>
            </w:r>
          </w:p>
        </w:tc>
        <w:tc>
          <w:tcPr>
            <w:tcW w:w="13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300" w:type="dxa"/>
        <w:tblCellMar>
          <w:top w:w="0" w:type="dxa"/>
          <w:left w:w="0" w:type="dxa"/>
          <w:bottom w:w="0" w:type="dxa"/>
          <w:right w:w="0" w:type="dxa"/>
        </w:tblCellMar>
      </w:tblPr>
      <w:tr>
        <w:trPr>
          <w:trHeight w:val="20"/>
        </w:trPr>
        <w:tc>
          <w:tcPr>
            <w:tcW w:w="1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6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2022</w:t>
            </w: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0" w:type="dxa"/>
            <w:vAlign w:val="bottom"/>
          </w:tcPr>
          <w:p>
            <w:pPr>
              <w:spacing w:after="0"/>
              <w:rPr>
                <w:sz w:val="1"/>
                <w:szCs w:val="1"/>
                <w:color w:val="auto"/>
              </w:rPr>
            </w:pPr>
          </w:p>
        </w:tc>
      </w:tr>
      <w:tr>
        <w:trPr>
          <w:trHeight w:val="223"/>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620" w:hanging="316"/>
        <w:spacing w:after="0" w:line="251" w:lineRule="auto"/>
        <w:tabs>
          <w:tab w:leader="none" w:pos="1616" w:val="left"/>
        </w:tabs>
        <w:numPr>
          <w:ilvl w:val="0"/>
          <w:numId w:val="32"/>
        </w:numPr>
        <w:rPr>
          <w:rFonts w:ascii="Calibri" w:cs="Calibri" w:eastAsia="Calibri" w:hAnsi="Calibri"/>
          <w:sz w:val="20"/>
          <w:szCs w:val="20"/>
          <w:color w:val="auto"/>
        </w:rPr>
      </w:pPr>
      <w:r>
        <w:rPr>
          <w:rFonts w:ascii="Times New Roman" w:cs="Times New Roman" w:eastAsia="Times New Roman" w:hAnsi="Times New Roman"/>
          <w:sz w:val="18"/>
          <w:szCs w:val="18"/>
          <w:color w:val="auto"/>
        </w:rPr>
        <w:t>On February 18, 2021, the Board of Directors replaced the previous share repurchase authorization of up to $3 billion (of which approximately $250 million remained unused) with a new authorization for repurchases of up to $3 billion of our common shares exclusive of shares repurchased in connection with employee stock plans, expiring as of February 18, 2024. On January 11, 2022, we entered into separate accelerated stock repurchase agreements, the January 2022 ASR Agreements, with Mizuho Markets Americas LLC, or Mizuho, and Wells Fargo Bank, or Wells Fargo, to repurchase $1 billion of our common stock as part of the $3 billion repurchase program authorized by the Board of Directors on February 18, 2021. On January 12, 2022, in accordance with the January 2022 ASR Agreements, we made a payment of $1 billion ($500 million to Mizuho and $500 million to Wells Fargo) and received an initial delivery of 2.2 million shares of our common stock (1.08 million shares each from Mizuho and Wells Fargo). In January 2022, we recorded the payments to Mizuho and Wells Fargo as a reduction to stockholders’ equity, consisting of an $850 million increase in treasury stock, which reflects the value of the initial 2.2 million shares received upon initial settlement, and a $150 million decrease in capital in excess of par value, which reflects the value of stock held back by Mizuho and Wells Fargo pending final settlement of the January 2022 ASR Agreements. Upon final settlement of the January 2022 ASR Agreements with Mizuho and Wells Fargo on March 29, 2022 and March 30, 2022, respectively, we received an additional 0.1 million shares and 0.1 million shares, respectively, as determined by the average daily volume weighted-averages share price of our common stock during the term of the agreement, less a discount, of $410.96 and $411.66, respectively, bringing the total shares received under the January 2022 ASR Agreements to 2.4 million. In addition, upon settlement we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$150 million value of stock initially held back by Mizuho and Wells Fargo from capital in excess of par value to treasury stock.</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remaining repurchase authorization was $2 billion as of July 26, 2022.</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Excludes 64,812 shares repurchased in connection with employee stock plans.</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440" w:type="dxa"/>
            <w:vAlign w:val="bottom"/>
          </w:tcPr>
          <w:p>
            <w:pPr>
              <w:spacing w:after="0"/>
              <w:rPr>
                <w:sz w:val="20"/>
                <w:szCs w:val="20"/>
                <w:color w:val="auto"/>
              </w:rPr>
            </w:pPr>
          </w:p>
        </w:tc>
      </w:tr>
      <w:tr>
        <w:trPr>
          <w:trHeight w:val="364"/>
        </w:trPr>
        <w:tc>
          <w:tcPr>
            <w:tcW w:w="1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3(i)</w:t>
            </w: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Restated Certificate of Incorporation of Humana Inc. filed with the Secretary of State of</w:t>
            </w:r>
          </w:p>
        </w:tc>
      </w:tr>
      <w:tr>
        <w:trPr>
          <w:trHeight w:val="184"/>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Delaware on November 9, 1989, as restated to incorporate the amendment of January 9, 1992,</w:t>
            </w:r>
          </w:p>
        </w:tc>
      </w:tr>
      <w:tr>
        <w:trPr>
          <w:trHeight w:val="180"/>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40" w:type="dxa"/>
            <w:vAlign w:val="bottom"/>
          </w:tcPr>
          <w:p>
            <w:pPr>
              <w:ind w:left="620"/>
              <w:spacing w:after="0" w:line="181" w:lineRule="exact"/>
              <w:rPr>
                <w:sz w:val="20"/>
                <w:szCs w:val="20"/>
                <w:color w:val="auto"/>
              </w:rPr>
            </w:pPr>
            <w:r>
              <w:rPr>
                <w:rFonts w:ascii="Times New Roman" w:cs="Times New Roman" w:eastAsia="Times New Roman" w:hAnsi="Times New Roman"/>
                <w:sz w:val="18"/>
                <w:szCs w:val="18"/>
                <w:color w:val="auto"/>
              </w:rPr>
              <w:t>and the correction of March 23, 1992 (incorporated herein by reference to Exhibit 4(i) to</w:t>
            </w:r>
          </w:p>
        </w:tc>
      </w:tr>
      <w:tr>
        <w:trPr>
          <w:trHeight w:val="176"/>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4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Humana Inc.’s Post-Effective Amendment No. 1 to the Registration Statement on Form S-8</w:t>
            </w:r>
          </w:p>
        </w:tc>
      </w:tr>
      <w:tr>
        <w:trPr>
          <w:trHeight w:val="234"/>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 No. 33-49305) filed February 2, 1994).</w:t>
            </w:r>
          </w:p>
        </w:tc>
      </w:tr>
      <w:tr>
        <w:trPr>
          <w:trHeight w:val="306"/>
        </w:trPr>
        <w:tc>
          <w:tcPr>
            <w:tcW w:w="1320" w:type="dxa"/>
            <w:vAlign w:val="bottom"/>
          </w:tcPr>
          <w:p>
            <w:pPr>
              <w:spacing w:after="0"/>
              <w:rPr>
                <w:sz w:val="24"/>
                <w:szCs w:val="24"/>
                <w:color w:val="auto"/>
              </w:rPr>
            </w:pPr>
          </w:p>
        </w:tc>
        <w:tc>
          <w:tcPr>
            <w:tcW w:w="920" w:type="dxa"/>
            <w:vAlign w:val="bottom"/>
            <w:gridSpan w:val="3"/>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3(ii)</w:t>
              </w:r>
            </w:hyperlink>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By-Laws of Humana Inc., as amended on December 14, 2017 (incorporated herein by</w:t>
            </w:r>
          </w:p>
        </w:tc>
      </w:tr>
      <w:tr>
        <w:trPr>
          <w:trHeight w:val="151"/>
        </w:trPr>
        <w:tc>
          <w:tcPr>
            <w:tcW w:w="13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7440" w:type="dxa"/>
            <w:vAlign w:val="bottom"/>
          </w:tcPr>
          <w:p>
            <w:pPr>
              <w:ind w:left="620"/>
              <w:spacing w:after="0" w:line="150" w:lineRule="exact"/>
              <w:rPr>
                <w:sz w:val="20"/>
                <w:szCs w:val="20"/>
                <w:color w:val="auto"/>
              </w:rPr>
            </w:pPr>
            <w:r>
              <w:rPr>
                <w:rFonts w:ascii="Times New Roman" w:cs="Times New Roman" w:eastAsia="Times New Roman" w:hAnsi="Times New Roman"/>
                <w:sz w:val="17"/>
                <w:szCs w:val="17"/>
                <w:color w:val="auto"/>
              </w:rPr>
              <w:t>reference to Exhibit 3(b) to Humana Inc.’s Current Report on Form 8-K, filed December 14,</w:t>
            </w:r>
          </w:p>
        </w:tc>
      </w:tr>
      <w:tr>
        <w:trPr>
          <w:trHeight w:val="234"/>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2017).</w:t>
            </w:r>
          </w:p>
        </w:tc>
      </w:tr>
      <w:tr>
        <w:trPr>
          <w:trHeight w:val="297"/>
        </w:trPr>
        <w:tc>
          <w:tcPr>
            <w:tcW w:w="2240" w:type="dxa"/>
            <w:vAlign w:val="bottom"/>
            <w:gridSpan w:val="4"/>
          </w:tcPr>
          <w:p>
            <w:pPr>
              <w:ind w:left="1320"/>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364-Day $1.5 Billion Revolving Credit Agreement, dated as of June 3, 2022, among Humana</w:t>
            </w:r>
          </w:p>
        </w:tc>
      </w:tr>
      <w:tr>
        <w:trPr>
          <w:trHeight w:val="191"/>
        </w:trPr>
        <w:tc>
          <w:tcPr>
            <w:tcW w:w="13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91" w:lineRule="exact"/>
              <w:rPr>
                <w:sz w:val="20"/>
                <w:szCs w:val="20"/>
                <w:color w:val="auto"/>
              </w:rPr>
            </w:pPr>
            <w:r>
              <w:rPr>
                <w:rFonts w:ascii="Times New Roman" w:cs="Times New Roman" w:eastAsia="Times New Roman" w:hAnsi="Times New Roman"/>
                <w:sz w:val="18"/>
                <w:szCs w:val="18"/>
                <w:color w:val="auto"/>
              </w:rPr>
              <w:t>Inc., and JPMorgan Chase Bank, N.A. as Agent and as CAF Loan Agent, Bank of America,</w:t>
            </w:r>
          </w:p>
        </w:tc>
      </w:tr>
      <w:tr>
        <w:trPr>
          <w:trHeight w:val="203"/>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N.A. as Syndication Agent, Citibank, N.A., Goldman Sachs Bank USA, PNC Capital Markets</w:t>
            </w:r>
          </w:p>
        </w:tc>
      </w:tr>
      <w:tr>
        <w:trPr>
          <w:trHeight w:val="203"/>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LLC, U.S. Bank National Association and Wells Fargo Securities, LLC, as Documentation</w:t>
            </w:r>
          </w:p>
        </w:tc>
      </w:tr>
      <w:tr>
        <w:trPr>
          <w:trHeight w:val="203"/>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Agents, and JPMorgan Chase Bank, N.A., BofA Securities, Inc., Goldman Sachs Bank USA,</w:t>
            </w:r>
          </w:p>
        </w:tc>
      </w:tr>
      <w:tr>
        <w:trPr>
          <w:trHeight w:val="203"/>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Citibank, N.A., PNC Capital Markets LLC, U.S. Bank National Association and Wells Fargo</w:t>
            </w:r>
          </w:p>
        </w:tc>
      </w:tr>
      <w:tr>
        <w:trPr>
          <w:trHeight w:val="189"/>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Securities, LLC, as Joint-Lead Arrangers and Joint Bookrunners (incorporated herein by</w:t>
            </w:r>
          </w:p>
        </w:tc>
      </w:tr>
      <w:tr>
        <w:trPr>
          <w:trHeight w:val="203"/>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2" w:lineRule="exact"/>
              <w:rPr>
                <w:sz w:val="20"/>
                <w:szCs w:val="20"/>
                <w:color w:val="auto"/>
              </w:rPr>
            </w:pPr>
            <w:r>
              <w:rPr>
                <w:rFonts w:ascii="Times New Roman" w:cs="Times New Roman" w:eastAsia="Times New Roman" w:hAnsi="Times New Roman"/>
                <w:sz w:val="18"/>
                <w:szCs w:val="18"/>
                <w:color w:val="auto"/>
              </w:rPr>
              <w:t>reference to Exhibit 10.1 to Humana Inc.’s Current Report on Form 8-K filed on June 3,</w:t>
            </w:r>
          </w:p>
        </w:tc>
      </w:tr>
      <w:tr>
        <w:trPr>
          <w:trHeight w:val="234"/>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224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Transition &amp; Separation Agreement between Timothy Alan Wheatley and Humana Inc. and its</w:t>
            </w:r>
          </w:p>
        </w:tc>
      </w:tr>
      <w:tr>
        <w:trPr>
          <w:trHeight w:val="205"/>
        </w:trPr>
        <w:tc>
          <w:tcPr>
            <w:tcW w:w="13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7440" w:type="dxa"/>
            <w:vAlign w:val="bottom"/>
          </w:tcPr>
          <w:p>
            <w:pPr>
              <w:ind w:left="620"/>
              <w:spacing w:after="0" w:line="205" w:lineRule="exact"/>
              <w:rPr>
                <w:sz w:val="20"/>
                <w:szCs w:val="20"/>
                <w:color w:val="auto"/>
              </w:rPr>
            </w:pPr>
            <w:r>
              <w:rPr>
                <w:rFonts w:ascii="Times New Roman" w:cs="Times New Roman" w:eastAsia="Times New Roman" w:hAnsi="Times New Roman"/>
                <w:sz w:val="18"/>
                <w:szCs w:val="18"/>
                <w:color w:val="auto"/>
              </w:rPr>
              <w:t>affiliates and subsidiaries, dated July 25, 2022.</w:t>
            </w:r>
          </w:p>
        </w:tc>
      </w:tr>
      <w:tr>
        <w:trPr>
          <w:trHeight w:val="194"/>
        </w:trPr>
        <w:tc>
          <w:tcPr>
            <w:tcW w:w="2240" w:type="dxa"/>
            <w:vAlign w:val="bottom"/>
            <w:gridSpan w:val="4"/>
          </w:tcPr>
          <w:p>
            <w:pPr>
              <w:ind w:left="1320"/>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440" w:type="dxa"/>
            <w:vAlign w:val="bottom"/>
          </w:tcPr>
          <w:p>
            <w:pPr>
              <w:ind w:left="620"/>
              <w:spacing w:after="0" w:line="194" w:lineRule="exact"/>
              <w:rPr>
                <w:sz w:val="20"/>
                <w:szCs w:val="20"/>
                <w:color w:val="auto"/>
              </w:rPr>
            </w:pPr>
            <w:r>
              <w:rPr>
                <w:rFonts w:ascii="Times New Roman" w:cs="Times New Roman" w:eastAsia="Times New Roman" w:hAnsi="Times New Roman"/>
                <w:sz w:val="18"/>
                <w:szCs w:val="18"/>
                <w:color w:val="auto"/>
              </w:rPr>
              <w:t>Principal Executive Officer certification pursuant to Section 302 of Sarbanes–Oxley Act of</w:t>
            </w:r>
          </w:p>
        </w:tc>
      </w:tr>
      <w:tr>
        <w:trPr>
          <w:trHeight w:val="214"/>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2002.</w:t>
            </w:r>
          </w:p>
        </w:tc>
      </w:tr>
      <w:tr>
        <w:trPr>
          <w:trHeight w:val="292"/>
        </w:trPr>
        <w:tc>
          <w:tcPr>
            <w:tcW w:w="224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Principal Financial Officer certification pursuant to Section 302 of Sarbanes–Oxley Act of</w:t>
            </w:r>
          </w:p>
        </w:tc>
      </w:tr>
      <w:tr>
        <w:trPr>
          <w:trHeight w:val="214"/>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2002.</w:t>
            </w:r>
          </w:p>
        </w:tc>
      </w:tr>
      <w:tr>
        <w:trPr>
          <w:trHeight w:val="292"/>
        </w:trPr>
        <w:tc>
          <w:tcPr>
            <w:tcW w:w="15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 certification pursuant to 18 U.S.C.</w:t>
            </w:r>
          </w:p>
        </w:tc>
      </w:tr>
      <w:tr>
        <w:trPr>
          <w:trHeight w:val="214"/>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w:t>
            </w:r>
          </w:p>
        </w:tc>
      </w:tr>
    </w:tbl>
    <w:p>
      <w:pPr>
        <w:spacing w:after="0" w:line="98" w:lineRule="exact"/>
        <w:rPr>
          <w:sz w:val="20"/>
          <w:szCs w:val="20"/>
          <w:color w:val="auto"/>
        </w:rPr>
      </w:pPr>
    </w:p>
    <w:p>
      <w:pPr>
        <w:jc w:val="both"/>
        <w:ind w:left="2860" w:right="459" w:hanging="1538"/>
        <w:spacing w:after="0" w:line="215" w:lineRule="auto"/>
        <w:tabs>
          <w:tab w:leader="none" w:pos="2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Humana Inc.'s Quarterly Report on Form 10-Q formatted in iXBRL (Inline Extensible Business Reporting Language): (i) the Condensed Consolidated Balance Sheets at June 30, 2022 and December 31, 2021; (ii) the Condensed Consolidated Statements of Income for the three and six months ended June 30, 2022 and 2021; (iii) the Condensed Consolidated Statements of Comprehensive Income for the three and six months ended June 30, 2022 and 2021; (iv) the Consolidated Statements of Equity for the three and six months ended June 30, 2022 and 2021; (v) the Condensed Consolidated Statements of Cash Flows for the six months ended June 30, 2022 and 2021; and (vi) Notes to Condensed Consolidated Financial Statements. The instance document does not appear in the Interactive Data File because its XBRL tags are embedded within the Inline XBRL document.</w:t>
      </w:r>
    </w:p>
    <w:p>
      <w:pPr>
        <w:ind w:left="2860" w:hanging="1538"/>
        <w:spacing w:after="0"/>
        <w:tabs>
          <w:tab w:leader="none" w:pos="2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HUMANA INC.</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20"/>
        <w:spacing w:after="0"/>
        <w:tabs>
          <w:tab w:leader="none" w:pos="840" w:val="left"/>
          <w:tab w:leader="none" w:pos="5680" w:val="left"/>
          <w:tab w:leader="none" w:pos="74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A. KOEBERLEIN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Michael A. Koeberlein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ind w:left="75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320" w:top="117" w:right="5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TRANSITION &amp; SEPARATION AGREEMENT</w:t>
      </w:r>
    </w:p>
    <w:p>
      <w:pPr>
        <w:spacing w:after="0" w:line="179" w:lineRule="exact"/>
        <w:rPr>
          <w:sz w:val="20"/>
          <w:szCs w:val="20"/>
          <w:color w:val="auto"/>
        </w:rPr>
      </w:pPr>
    </w:p>
    <w:p>
      <w:pPr>
        <w:jc w:val="both"/>
        <w:ind w:right="340" w:firstLine="648"/>
        <w:spacing w:after="0" w:line="227" w:lineRule="auto"/>
        <w:rPr>
          <w:sz w:val="20"/>
          <w:szCs w:val="20"/>
          <w:color w:val="auto"/>
        </w:rPr>
      </w:pPr>
      <w:r>
        <w:rPr>
          <w:rFonts w:ascii="Times New Roman" w:cs="Times New Roman" w:eastAsia="Times New Roman" w:hAnsi="Times New Roman"/>
          <w:sz w:val="22"/>
          <w:szCs w:val="22"/>
          <w:color w:val="auto"/>
        </w:rPr>
        <w:t>This Transition &amp; Separation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sets forth the understanding between you, </w:t>
      </w:r>
      <w:r>
        <w:rPr>
          <w:rFonts w:ascii="Times New Roman" w:cs="Times New Roman" w:eastAsia="Times New Roman" w:hAnsi="Times New Roman"/>
          <w:sz w:val="22"/>
          <w:szCs w:val="22"/>
          <w:b w:val="1"/>
          <w:bCs w:val="1"/>
          <w:color w:val="auto"/>
        </w:rPr>
        <w:t>Timothy Alan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Wheatley</w:t>
      </w:r>
      <w:r>
        <w:rPr>
          <w:rFonts w:ascii="Times New Roman" w:cs="Times New Roman" w:eastAsia="Times New Roman" w:hAnsi="Times New Roman"/>
          <w:sz w:val="22"/>
          <w:szCs w:val="22"/>
          <w:color w:val="auto"/>
        </w:rPr>
        <w:t>, and Humana Inc. and its affiliates and subsidiaries (“</w:t>
      </w:r>
      <w:r>
        <w:rPr>
          <w:rFonts w:ascii="Times New Roman" w:cs="Times New Roman" w:eastAsia="Times New Roman" w:hAnsi="Times New Roman"/>
          <w:sz w:val="22"/>
          <w:szCs w:val="22"/>
          <w:b w:val="1"/>
          <w:bCs w:val="1"/>
          <w:color w:val="auto"/>
        </w:rPr>
        <w:t>Humana</w:t>
      </w:r>
      <w:r>
        <w:rPr>
          <w:rFonts w:ascii="Times New Roman" w:cs="Times New Roman" w:eastAsia="Times New Roman" w:hAnsi="Times New Roman"/>
          <w:sz w:val="22"/>
          <w:szCs w:val="22"/>
          <w:color w:val="auto"/>
        </w:rPr>
        <w:t>”) with respect to your separation from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Humana.</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ind w:left="660" w:right="320" w:hanging="652"/>
        <w:spacing w:after="0" w:line="236" w:lineRule="auto"/>
        <w:tabs>
          <w:tab w:leader="none" w:pos="43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mutually agreed that your position will be eliminated and therefore your employment with Humana will terminate as of an agreed upon date; and</w:t>
      </w:r>
    </w:p>
    <w:p>
      <w:pPr>
        <w:spacing w:after="0" w:line="150" w:lineRule="exact"/>
        <w:rPr>
          <w:rFonts w:ascii="Times New Roman" w:cs="Times New Roman" w:eastAsia="Times New Roman" w:hAnsi="Times New Roman"/>
          <w:sz w:val="22"/>
          <w:szCs w:val="22"/>
          <w:color w:val="auto"/>
        </w:rPr>
      </w:pPr>
    </w:p>
    <w:p>
      <w:pPr>
        <w:ind w:left="660" w:right="20" w:hanging="652"/>
        <w:spacing w:after="0" w:line="220" w:lineRule="auto"/>
        <w:tabs>
          <w:tab w:leader="none" w:pos="42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ensure a smooth transition prior to your exit, Humana has requested that you continue your employment as Segment President – Retail through the later of (x) December 31, 2022, and (y) a date mutually agreed upon by the parties (the “</w:t>
      </w:r>
      <w:r>
        <w:rPr>
          <w:rFonts w:ascii="Times New Roman" w:cs="Times New Roman" w:eastAsia="Times New Roman" w:hAnsi="Times New Roman"/>
          <w:sz w:val="22"/>
          <w:szCs w:val="22"/>
          <w:b w:val="1"/>
          <w:bCs w:val="1"/>
          <w:color w:val="auto"/>
        </w:rPr>
        <w:t>Transition Date</w:t>
      </w:r>
      <w:r>
        <w:rPr>
          <w:rFonts w:ascii="Times New Roman" w:cs="Times New Roman" w:eastAsia="Times New Roman" w:hAnsi="Times New Roman"/>
          <w:sz w:val="22"/>
          <w:szCs w:val="22"/>
          <w:color w:val="auto"/>
        </w:rPr>
        <w:t>”), and subsequently in an interim role as “Strategic Advisor” to the Company reporting to the Chief Executive Officer.</w:t>
      </w:r>
    </w:p>
    <w:p>
      <w:pPr>
        <w:spacing w:after="0" w:line="148" w:lineRule="exact"/>
        <w:rPr>
          <w:sz w:val="20"/>
          <w:szCs w:val="20"/>
          <w:color w:val="auto"/>
        </w:rPr>
      </w:pPr>
    </w:p>
    <w:p>
      <w:pPr>
        <w:ind w:right="48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your agreement to the terms set forth below and the mutual benefits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derived hereunder, it is agreed:</w:t>
      </w:r>
    </w:p>
    <w:p>
      <w:pPr>
        <w:spacing w:after="0" w:line="146"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STATUS</w:t>
      </w:r>
    </w:p>
    <w:p>
      <w:pPr>
        <w:spacing w:after="0" w:line="179" w:lineRule="exact"/>
        <w:rPr>
          <w:rFonts w:ascii="Times New Roman" w:cs="Times New Roman" w:eastAsia="Times New Roman" w:hAnsi="Times New Roman"/>
          <w:sz w:val="22"/>
          <w:szCs w:val="22"/>
          <w:b w:val="1"/>
          <w:bCs w:val="1"/>
          <w:color w:val="auto"/>
        </w:rPr>
      </w:pPr>
    </w:p>
    <w:p>
      <w:pPr>
        <w:ind w:firstLine="656"/>
        <w:spacing w:after="0" w:line="208" w:lineRule="auto"/>
        <w:tabs>
          <w:tab w:leader="none" w:pos="129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Acceptance of Interim and Variable Staffing Pool Roles</w:t>
      </w:r>
      <w:r>
        <w:rPr>
          <w:rFonts w:ascii="Times New Roman" w:cs="Times New Roman" w:eastAsia="Times New Roman" w:hAnsi="Times New Roman"/>
          <w:sz w:val="22"/>
          <w:szCs w:val="22"/>
          <w:color w:val="auto"/>
        </w:rPr>
        <w:t>. You agree to accept employment as a “Strategic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as of the Transition Date (“</w:t>
      </w:r>
      <w:r>
        <w:rPr>
          <w:rFonts w:ascii="Times New Roman" w:cs="Times New Roman" w:eastAsia="Times New Roman" w:hAnsi="Times New Roman"/>
          <w:sz w:val="22"/>
          <w:szCs w:val="22"/>
          <w:b w:val="1"/>
          <w:bCs w:val="1"/>
          <w:color w:val="auto"/>
        </w:rPr>
        <w:t>Interim Role</w:t>
      </w:r>
      <w:r>
        <w:rPr>
          <w:rFonts w:ascii="Times New Roman" w:cs="Times New Roman" w:eastAsia="Times New Roman" w:hAnsi="Times New Roman"/>
          <w:sz w:val="22"/>
          <w:szCs w:val="22"/>
          <w:color w:val="auto"/>
        </w:rPr>
        <w:t>”), advising Humana with respect to the Company’s Retail segment operations. Humana agrees that you will remain employed in the Interim Role until December 31, 2023, and that effective as January 1, 2024, Humana will transition you to a Variable Staffing Pool associate (the “</w:t>
      </w:r>
      <w:r>
        <w:rPr>
          <w:rFonts w:ascii="Times New Roman" w:cs="Times New Roman" w:eastAsia="Times New Roman" w:hAnsi="Times New Roman"/>
          <w:sz w:val="22"/>
          <w:szCs w:val="22"/>
          <w:b w:val="1"/>
          <w:bCs w:val="1"/>
          <w:color w:val="auto"/>
        </w:rPr>
        <w:t>VSP Role</w:t>
      </w:r>
      <w:r>
        <w:rPr>
          <w:rFonts w:ascii="Times New Roman" w:cs="Times New Roman" w:eastAsia="Times New Roman" w:hAnsi="Times New Roman"/>
          <w:sz w:val="22"/>
          <w:szCs w:val="22"/>
          <w:color w:val="auto"/>
        </w:rPr>
        <w:t>”), as defined in Humana’s Requisition Policy, assigned to advise Humana with respect to the Company’s Retail segment operations. In order to maintain your employment while in the VSP Role, you agree to perform at least one hour of work every 60 days until March 1, 2024, at which time your employment will be terminated (the “</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 You agree and acknowledge that you are not eligible for payments under any Humana severance policy or Humana’s Change In Control Policy while you are in either the Interim or VSP Role, except as provided in this Agreement and/or the Executive Severance Policy. Humana agrees that it will not change your employment status to the VSP Role prior to December 31, 2023 without your express written consent. In the event that during the period that you are in the Interim Role you obtain other employment and intend to accept such other employment, you agree to provide Humana with at least 30 days prior written notice, which notice shall set forth the date of such change in status, and effective on such date, your status will change to the VSP Role through the Separation Date (a “Voluntary VSP Status Change”). Notwithstanding the change of such status prior to December 31, 2023, you shall still be entitled to all compensation, equity and benefits described in this Agreement as if your status was in the Interim Role through December 31, 2023, and you will be treated as continuing in the VSP Role through the Separation Date, which shall remain February 28, 2024. Notwithstanding the foregoing, in the event of a Voluntary VSP Status Change, you will not be eligible for the Company’s 401(k) Plan and Retirement Equalization Plan matching contributions while serving in the VSP Role.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0" w:right="339" w:bottom="1440" w:gutter="0" w:footer="0" w:header="0"/>
        </w:sectPr>
      </w:pPr>
    </w:p>
    <w:bookmarkStart w:id="62" w:name="page63"/>
    <w:bookmarkEnd w:id="62"/>
    <w:p>
      <w:pPr>
        <w:ind w:left="640" w:right="220" w:firstLine="644"/>
        <w:spacing w:after="0" w:line="236" w:lineRule="auto"/>
        <w:tabs>
          <w:tab w:leader="none" w:pos="193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your compliance with Section B (3) of this Agreement, your current base salary of $665,000 will continue in the Interim Role and will be paid bi-weekly through December 31, 2023 while in the Interim Role. You acknowledge and agree that you will not be eligible for future salary increases while you are in the Interim Role.</w:t>
      </w:r>
    </w:p>
    <w:p>
      <w:pPr>
        <w:spacing w:after="0" w:line="151" w:lineRule="exact"/>
        <w:rPr>
          <w:rFonts w:ascii="Times New Roman" w:cs="Times New Roman" w:eastAsia="Times New Roman" w:hAnsi="Times New Roman"/>
          <w:sz w:val="21"/>
          <w:szCs w:val="21"/>
          <w:color w:val="auto"/>
        </w:rPr>
      </w:pPr>
    </w:p>
    <w:p>
      <w:pPr>
        <w:ind w:left="640" w:right="60" w:firstLine="644"/>
        <w:spacing w:after="0" w:line="225" w:lineRule="auto"/>
        <w:tabs>
          <w:tab w:leader="none" w:pos="193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2024, you will receive an hourly rate of $319.71 for work performed in the VSP Role, which will be paid bi-weekly. You acknowledge and agree that you will not be eligible for future salary increases or to participate in the Annual Incentive Plan (the “</w:t>
      </w:r>
      <w:r>
        <w:rPr>
          <w:rFonts w:ascii="Times New Roman" w:cs="Times New Roman" w:eastAsia="Times New Roman" w:hAnsi="Times New Roman"/>
          <w:sz w:val="22"/>
          <w:szCs w:val="22"/>
          <w:b w:val="1"/>
          <w:bCs w:val="1"/>
          <w:color w:val="auto"/>
        </w:rPr>
        <w:t>AIP</w:t>
      </w:r>
      <w:r>
        <w:rPr>
          <w:rFonts w:ascii="Times New Roman" w:cs="Times New Roman" w:eastAsia="Times New Roman" w:hAnsi="Times New Roman"/>
          <w:sz w:val="22"/>
          <w:szCs w:val="22"/>
          <w:color w:val="auto"/>
        </w:rPr>
        <w:t>”) for the year 2024.</w:t>
      </w:r>
    </w:p>
    <w:p>
      <w:pPr>
        <w:spacing w:after="0" w:line="152" w:lineRule="exact"/>
        <w:rPr>
          <w:rFonts w:ascii="Times New Roman" w:cs="Times New Roman" w:eastAsia="Times New Roman" w:hAnsi="Times New Roman"/>
          <w:sz w:val="22"/>
          <w:szCs w:val="22"/>
          <w:color w:val="auto"/>
        </w:rPr>
      </w:pPr>
    </w:p>
    <w:p>
      <w:pPr>
        <w:ind w:left="640" w:firstLine="644"/>
        <w:spacing w:after="0" w:line="217" w:lineRule="auto"/>
        <w:tabs>
          <w:tab w:leader="none" w:pos="193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incentive compensation for the years 2022 or 2023 is paid pursuant to the terms and provisions of the AIP, you will be entitled to receive an incentive compensation payment (without proration) for such years, as applicable. For your Individual Multiplier portion of AIP, Humana will pay you 100% of the total AIP award calculation. Any incentive compensation payable to you will be paid at the same time as such amounts are paid to other participants in the AIP whether or not you are then employed by Humana in any capacity or you are in the VSP Role.</w:t>
      </w:r>
    </w:p>
    <w:p>
      <w:pPr>
        <w:spacing w:after="0" w:line="152" w:lineRule="exact"/>
        <w:rPr>
          <w:rFonts w:ascii="Times New Roman" w:cs="Times New Roman" w:eastAsia="Times New Roman" w:hAnsi="Times New Roman"/>
          <w:sz w:val="22"/>
          <w:szCs w:val="22"/>
          <w:color w:val="auto"/>
        </w:rPr>
      </w:pPr>
    </w:p>
    <w:p>
      <w:pPr>
        <w:ind w:left="640" w:right="260" w:firstLine="644"/>
        <w:spacing w:after="0" w:line="217" w:lineRule="auto"/>
        <w:tabs>
          <w:tab w:leader="none" w:pos="193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2023 you shall also be entitled to the Company’s 401K Plan and Retirement Equalization Plan matching contributions as if you were Segment President – Retail for the entire year, whether or not you are then employed by Humana in any capacity or you are in the VSP Role. Notwithstanding the foregoing, in the event of a Voluntary VSP Status Change, you will not be eligible for the Company’s 401K Plan and Retirement Equalization Plan matching contributions while serving in the VSP Role.</w:t>
      </w:r>
    </w:p>
    <w:p>
      <w:pPr>
        <w:spacing w:after="0" w:line="148" w:lineRule="exact"/>
        <w:rPr>
          <w:rFonts w:ascii="Times New Roman" w:cs="Times New Roman" w:eastAsia="Times New Roman" w:hAnsi="Times New Roman"/>
          <w:sz w:val="22"/>
          <w:szCs w:val="22"/>
          <w:color w:val="auto"/>
        </w:rPr>
      </w:pPr>
    </w:p>
    <w:p>
      <w:pPr>
        <w:ind w:left="-20" w:right="160" w:firstLine="656"/>
        <w:spacing w:after="0" w:line="227" w:lineRule="auto"/>
        <w:tabs>
          <w:tab w:leader="none" w:pos="12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Benefits</w:t>
      </w:r>
      <w:r>
        <w:rPr>
          <w:rFonts w:ascii="Times New Roman" w:cs="Times New Roman" w:eastAsia="Times New Roman" w:hAnsi="Times New Roman"/>
          <w:sz w:val="22"/>
          <w:szCs w:val="22"/>
          <w:color w:val="auto"/>
        </w:rPr>
        <w:t>: Upon the Separation Date you will be eligible to receive benefits under Humana’s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Severance Policy, subject to your complying with the terms and conditions of this Agreement and the Executive Severance Policy, as modified by the terms set forth herein.</w:t>
      </w:r>
    </w:p>
    <w:p>
      <w:pPr>
        <w:spacing w:after="0" w:line="146" w:lineRule="exact"/>
        <w:rPr>
          <w:rFonts w:ascii="Times New Roman" w:cs="Times New Roman" w:eastAsia="Times New Roman" w:hAnsi="Times New Roman"/>
          <w:sz w:val="22"/>
          <w:szCs w:val="22"/>
          <w:color w:val="auto"/>
        </w:rPr>
      </w:pPr>
    </w:p>
    <w:p>
      <w:pPr>
        <w:ind w:left="-20" w:right="60" w:firstLine="656"/>
        <w:spacing w:after="0" w:line="210" w:lineRule="auto"/>
        <w:tabs>
          <w:tab w:leader="none" w:pos="12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w:t>
      </w:r>
      <w:r>
        <w:rPr>
          <w:rFonts w:ascii="Times New Roman" w:cs="Times New Roman" w:eastAsia="Times New Roman" w:hAnsi="Times New Roman"/>
          <w:sz w:val="22"/>
          <w:szCs w:val="22"/>
          <w:color w:val="auto"/>
        </w:rPr>
        <w:t>: You agree and acknowledge that you are not eligible for future equity grants under the 2011 Humana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Incentive Plan, the Amended and Restated Humana Inc. Stock Incentive Plan, or any successor plan, while serving in either the Interim or VSP Role. Any Restricted Stock Units, Performance Stock Units and/or Stock Options outstanding as of the Transition Date will (a) continue to vest while you are providing services in your Interim and VSP Roles under the terms of the governing Restricted Stock Unit, Performance Stock Unit and/or Stock Option Agreements (the “</w:t>
      </w:r>
      <w:r>
        <w:rPr>
          <w:rFonts w:ascii="Times New Roman" w:cs="Times New Roman" w:eastAsia="Times New Roman" w:hAnsi="Times New Roman"/>
          <w:sz w:val="22"/>
          <w:szCs w:val="22"/>
          <w:b w:val="1"/>
          <w:bCs w:val="1"/>
          <w:color w:val="auto"/>
        </w:rPr>
        <w:t>Stock Agreements</w:t>
      </w:r>
      <w:r>
        <w:rPr>
          <w:rFonts w:ascii="Times New Roman" w:cs="Times New Roman" w:eastAsia="Times New Roman" w:hAnsi="Times New Roman"/>
          <w:sz w:val="22"/>
          <w:szCs w:val="22"/>
          <w:color w:val="auto"/>
        </w:rPr>
        <w:t xml:space="preserve">”) between you and Humana, (b) with respect to the Restricted Stock Units and Stock Options, continue to vest for twelve months following the Separation Date on the same terms as if you had continued to provide services to Humana through the first anniversary of the Separation Date, and (c) with respect to the Performance Stock Units, will vest pro rata based upon the number of completed months of service in your Interim and VSP Roles, in accordance with the terms of the Stock Plan.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sets forth the Stock Options, Restricted Stock Units and Performance Stock Units that were granted to you and are outstanding as of the date hereof, the date which all such equity vests, the dates such equity becomes exercisable or, in the case of Restricted Stock Units and Performance Stock Units, is delivered to you, and in the case of Options, the last date on which such Options may be exercised.</w:t>
      </w:r>
    </w:p>
    <w:p>
      <w:pPr>
        <w:spacing w:after="0" w:line="146" w:lineRule="exact"/>
        <w:rPr>
          <w:rFonts w:ascii="Times New Roman" w:cs="Times New Roman" w:eastAsia="Times New Roman" w:hAnsi="Times New Roman"/>
          <w:sz w:val="22"/>
          <w:szCs w:val="22"/>
          <w:color w:val="auto"/>
        </w:rPr>
      </w:pPr>
    </w:p>
    <w:p>
      <w:pPr>
        <w:ind w:left="-20" w:right="260" w:firstLine="656"/>
        <w:spacing w:after="0" w:line="238" w:lineRule="auto"/>
        <w:tabs>
          <w:tab w:leader="none" w:pos="12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You may continue to participate, to the extent you may be eligible, in the “employee benefit plans”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in Section 3(3) of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40" w:top="1395" w:right="359" w:bottom="1440" w:gutter="0" w:footer="0" w:header="0"/>
        </w:sectPr>
      </w:pPr>
    </w:p>
    <w:bookmarkStart w:id="63" w:name="page64"/>
    <w:bookmarkEnd w:id="63"/>
    <w:p>
      <w:pPr>
        <w:spacing w:after="0" w:line="209" w:lineRule="auto"/>
        <w:rPr>
          <w:sz w:val="20"/>
          <w:szCs w:val="20"/>
          <w:color w:val="auto"/>
        </w:rPr>
      </w:pPr>
      <w:r>
        <w:rPr>
          <w:rFonts w:ascii="Times New Roman" w:cs="Times New Roman" w:eastAsia="Times New Roman" w:hAnsi="Times New Roman"/>
          <w:sz w:val="22"/>
          <w:szCs w:val="22"/>
          <w:color w:val="auto"/>
        </w:rPr>
        <w:t>Retirement Income Security Act of 1974, as amended) maintained from time to time by Humana for employees of Humana and its subsidiaries. Your rights to Continued Health Benefit Coverage shall be in accordance with Section 3.1(iii) of the Executive Severance Policy other than the last sentence thereof. For the avoidance of doubt, such health benefit coverage shall continue until the end of the Severance Period without regard to your position in Humana, including but not limited to in your VSP Role, and whether or not you are employed by Humana, unless you have obtained health benefit coverage from a new employer that is generally comparable to the health benefit coverage provided by Humana. You will be required to pay your portion of premiums or related payments as designated in such employee benefit plans and/or as designated by Humana directly to Humana. You shall be required to comply with the conditions attendant to coverage by such plans and shall comply with and be entitled to benefits only in accordance with the terms and conditions of such plans as they may be amended from time to time. Nothing herein contained shall be construed as requiring Humana to establish or continue any particular employee benefit plan in discharge of its obligations under this Agreement. At Humana’s sole discretion, Humana may replace such employee benefit plans with employee benefit plans similar to Humana’s affiliates. Your active coverage or participation in such employee benefits plans shall end on the Separation Date, unless otherwise provided by the terms of such plan, by the Executive Severance Policy or by law. Thereafter, you will have COBRA continuation rights for dental or medical coverage.</w:t>
      </w:r>
    </w:p>
    <w:p>
      <w:pPr>
        <w:spacing w:after="0" w:line="156"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You will be eligible for the same physical and charitable giving match benefits as an Executive Officer of Humana until the Transition Date (“</w:t>
      </w:r>
      <w:r>
        <w:rPr>
          <w:rFonts w:ascii="Times New Roman" w:cs="Times New Roman" w:eastAsia="Times New Roman" w:hAnsi="Times New Roman"/>
          <w:sz w:val="22"/>
          <w:szCs w:val="22"/>
          <w:b w:val="1"/>
          <w:bCs w:val="1"/>
          <w:color w:val="auto"/>
        </w:rPr>
        <w:t>Executive Benefits</w:t>
      </w:r>
      <w:r>
        <w:rPr>
          <w:rFonts w:ascii="Times New Roman" w:cs="Times New Roman" w:eastAsia="Times New Roman" w:hAnsi="Times New Roman"/>
          <w:sz w:val="22"/>
          <w:szCs w:val="22"/>
          <w:color w:val="auto"/>
        </w:rPr>
        <w:t>”). Thereafter, you will no longer be eligible for Executive Benefits. In addition, and consistent with the terms of Humana’ Executive Severance Policy, you will be eligible for same financial planning benefits and outplacement benefits as other executive officers through the first anniversary of the Separation Date. Any deferred compensation benefits that become payable to you upon the Separation Date will be paid in accordance to the terms of the applicable plan. Humana shall continue its matching contribution to the Retirement Equalization Plan for your benefit, unless you are in your VSP Role as a result of a Voluntary VSP Status Change.</w:t>
      </w:r>
    </w:p>
    <w:p>
      <w:pPr>
        <w:spacing w:after="0" w:line="15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ind w:firstLine="656"/>
        <w:spacing w:after="0" w:line="221" w:lineRule="auto"/>
        <w:tabs>
          <w:tab w:leader="none" w:pos="12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Cessation of Status as an Officer</w:t>
      </w:r>
      <w:r>
        <w:rPr>
          <w:rFonts w:ascii="Times New Roman" w:cs="Times New Roman" w:eastAsia="Times New Roman" w:hAnsi="Times New Roman"/>
          <w:sz w:val="22"/>
          <w:szCs w:val="22"/>
          <w:color w:val="auto"/>
        </w:rPr>
        <w:t>: Effective on the Transition Date, you will no longer be an officer or director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Humana Inc., and of any subsidiaries and other affiliates of Humana Inc. of which you are an officer or director. Accordingly, you will not hold yourself out as being an officer or director, or as having any authority to bind, Humana Inc. or any such subsidiary or affiliate. You agree to execute any documents necessary to reflect the change in status.</w:t>
      </w:r>
    </w:p>
    <w:p>
      <w:pPr>
        <w:spacing w:after="0" w:line="148" w:lineRule="exact"/>
        <w:rPr>
          <w:rFonts w:ascii="Times New Roman" w:cs="Times New Roman" w:eastAsia="Times New Roman" w:hAnsi="Times New Roman"/>
          <w:sz w:val="22"/>
          <w:szCs w:val="22"/>
          <w:color w:val="auto"/>
        </w:rPr>
      </w:pPr>
    </w:p>
    <w:p>
      <w:pPr>
        <w:ind w:right="60" w:firstLine="656"/>
        <w:spacing w:after="0" w:line="212" w:lineRule="auto"/>
        <w:tabs>
          <w:tab w:leader="none" w:pos="12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Non-Compete Agreement and Agreement Not to Solicit</w:t>
      </w:r>
      <w:r>
        <w:rPr>
          <w:rFonts w:ascii="Times New Roman" w:cs="Times New Roman" w:eastAsia="Times New Roman" w:hAnsi="Times New Roman"/>
          <w:sz w:val="22"/>
          <w:szCs w:val="22"/>
          <w:color w:val="auto"/>
        </w:rPr>
        <w:t>: You understand and agree that, subject to the agreed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amendments to the Restricted Period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 the provisions of any Stock Agreement entered into by you and Humana Inc. entitled “Agreement Not to Solicit” and “Agreement Not to Compete” and (ii) the provisions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Humana’s Executive Severance Policy, in each case, remain in full force and effect and those obligations will continue during the applicable periods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You understand and agree that any violation of the provisions of (x) the Stock Agreements entitled “Agreement Not to Solicit,” and “Agreement Not to Compete” or (y)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Humana’s Executive Severance Policy, will in each case result in irreparable injury to Humana, that the remedy at law for any violation or threatened violation of such provision(s) are inadequate and in the event of any such breach or threatened breach, Humana,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36" w:lineRule="auto"/>
        <w:rPr>
          <w:sz w:val="20"/>
          <w:szCs w:val="20"/>
          <w:color w:val="auto"/>
        </w:rPr>
      </w:pPr>
      <w:r>
        <w:rPr>
          <w:rFonts w:ascii="Times New Roman" w:cs="Times New Roman" w:eastAsia="Times New Roman" w:hAnsi="Times New Roman"/>
          <w:sz w:val="22"/>
          <w:szCs w:val="22"/>
          <w:color w:val="auto"/>
        </w:rPr>
        <w:t>to any other remedies or damages available to it at law or in equity, shall be entitled to temporary injunctive relief before trial as a matter of course, and to permanent injunctive relief without the necessity of proving actual damages;</w:t>
      </w:r>
    </w:p>
    <w:p>
      <w:pPr>
        <w:spacing w:after="0" w:line="146" w:lineRule="exact"/>
        <w:rPr>
          <w:sz w:val="20"/>
          <w:szCs w:val="20"/>
          <w:color w:val="auto"/>
        </w:rPr>
      </w:pPr>
    </w:p>
    <w:p>
      <w:pPr>
        <w:ind w:firstLine="656"/>
        <w:spacing w:after="0" w:line="224" w:lineRule="auto"/>
        <w:tabs>
          <w:tab w:leader="none" w:pos="12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Confidential Information and Trade Secrets</w:t>
      </w:r>
      <w:r>
        <w:rPr>
          <w:rFonts w:ascii="Times New Roman" w:cs="Times New Roman" w:eastAsia="Times New Roman" w:hAnsi="Times New Roman"/>
          <w:sz w:val="21"/>
          <w:szCs w:val="21"/>
          <w:color w:val="auto"/>
        </w:rPr>
        <w:t>: You recognize that your position with the Company has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considerable responsibility and trust, and, in reliance on your loyalty, the Company has entrusted you with highly sensitive confidential, restricted and proprietary information involving Trade Secrets and Confidential Information. “Trade Secret” shall be defined as any scientific or technical information, design, process, procedure, formula or improvement that is valuable and not generally known to competitors of the Company. “Confidential Information” is any data or information, other than Trade Secrets, that is important, competitively sensitive, and not generally known by the public, including, but not limited to, the Company’s business plans, business prospects, training manuals, product development plans, bidding and pricing procedures, market strategies, internal performance statistics, financial data, confidential personnel information concerning employees of the Company, supplier data, operational or administrative plans, policy manuals, and terms and conditions of contracts and agreements. The terms “Trade Secrets” and “Confidential Information” shall not apply to information which is (i) already in your possession (unless such information was used in connection with formulating the Company’s business plans, obtained by you from the Company or was obtained by you in the course of your employment by the Company), or (ii) required to be disclosed by any applicable law. Except as may be required by law or legal process or an order of a court of competent jurisdiction, you will not use or disclose any Trade Secrets or Confidential Information of the Company at any time after termination of employment and prior to such time as they cease to be Trade Secrets or Confidential Information through no act of yours in violation of this Section B(3). Upon termination of employment, you will surrender to the Company all memoranda, notes, records, plans, manuals or other documents pertaining to the Company’s business or your employment (including all copies thereof). You will also leave with the Company all materials involving Trade Secrets or Confidential Information of the Company. All such information and materials, whether or not made or developed by you, shall be the sole and exclusive property of the Company, and you hereby assign to the Company all of your right, title and interest in and to any and all of such information and materials. The Company will not, and will cause the Chief Executive Officer and the other officers and directors of Humana not to, disparage you or your performance, or otherwise take any action which could reasonably be expected to adversely affect your personal or professional reputation. You will not disparage the Company or any of its executive officers, directors, agents or employees, or otherwise take any action which could reasonably be expected to adversely affect the personal or professional reputation of the Company or any of its directors, officers, agents or employees. Further, and consistent with the foregoing, as of the Transition Date, including for the duration of the Severance Period (as defined in the Humana Inc. Executive Severance Policy), you will not hold yourself out as a source or an expert with respect to the Company’s financial performance or financial or strategic prospects and you will not comment on the same, unless any such comment shall be approved in advance in writing by the Chief Executive Officer of Humana. Nothing in this Agreement, however, shall prevent you from responding accurately to any question, inquiry or request for information when required by legal or administrative process.</w:t>
      </w:r>
    </w:p>
    <w:p>
      <w:pPr>
        <w:spacing w:after="0" w:line="159" w:lineRule="exact"/>
        <w:rPr>
          <w:rFonts w:ascii="Times New Roman" w:cs="Times New Roman" w:eastAsia="Times New Roman" w:hAnsi="Times New Roman"/>
          <w:sz w:val="21"/>
          <w:szCs w:val="21"/>
          <w:color w:val="auto"/>
        </w:rPr>
      </w:pPr>
    </w:p>
    <w:p>
      <w:pPr>
        <w:ind w:right="600" w:firstLine="656"/>
        <w:spacing w:after="0" w:line="22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the Executive Severance Policy (as modified herein), the Retirement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Equalization Plan and the Stock Agreements reflect the entire understanding between Humana and you with respect to compensation and benefits available during your service in the Interim Role and VSP Role, and no statements, promises or inducements, whether written or oral, made by either party that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5" w:right="359" w:bottom="1440" w:gutter="0" w:footer="0" w:header="0"/>
        </w:sectPr>
      </w:pPr>
    </w:p>
    <w:bookmarkStart w:id="65" w:name="page66"/>
    <w:bookmarkEnd w:id="65"/>
    <w:p>
      <w:pPr>
        <w:ind w:right="80"/>
        <w:spacing w:after="0" w:line="236" w:lineRule="auto"/>
        <w:rPr>
          <w:sz w:val="20"/>
          <w:szCs w:val="20"/>
          <w:color w:val="auto"/>
        </w:rPr>
      </w:pPr>
      <w:r>
        <w:rPr>
          <w:rFonts w:ascii="Times New Roman" w:cs="Times New Roman" w:eastAsia="Times New Roman" w:hAnsi="Times New Roman"/>
          <w:sz w:val="22"/>
          <w:szCs w:val="22"/>
          <w:color w:val="auto"/>
        </w:rPr>
        <w:t>contained in this Agreement, the Executive Severance Policy (as modified herein), the Retirement Equalization Plan or the Stock Agreements shall be valid or binding upon the parties to this Agreement.</w:t>
      </w:r>
    </w:p>
    <w:p>
      <w:pPr>
        <w:spacing w:after="0" w:line="146" w:lineRule="exact"/>
        <w:rPr>
          <w:sz w:val="20"/>
          <w:szCs w:val="20"/>
          <w:color w:val="auto"/>
        </w:rPr>
      </w:pPr>
    </w:p>
    <w:p>
      <w:pPr>
        <w:ind w:right="820" w:firstLine="656"/>
        <w:spacing w:after="0" w:line="259" w:lineRule="auto"/>
        <w:tabs>
          <w:tab w:leader="none" w:pos="129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In the event any portion of this Agreement is held to be unenforceable, the remainder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shall remain in full force and effect and shall be enforced in harmony with the purpose of the Agreement.</w:t>
      </w:r>
    </w:p>
    <w:p>
      <w:pPr>
        <w:spacing w:after="0" w:line="126" w:lineRule="exact"/>
        <w:rPr>
          <w:rFonts w:ascii="Times New Roman" w:cs="Times New Roman" w:eastAsia="Times New Roman" w:hAnsi="Times New Roman"/>
          <w:sz w:val="21"/>
          <w:szCs w:val="21"/>
          <w:color w:val="auto"/>
        </w:rPr>
      </w:pPr>
    </w:p>
    <w:p>
      <w:pPr>
        <w:ind w:firstLine="656"/>
        <w:spacing w:after="0" w:line="209" w:lineRule="auto"/>
        <w:tabs>
          <w:tab w:leader="none" w:pos="128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Code Section 409A</w:t>
      </w:r>
      <w:r>
        <w:rPr>
          <w:rFonts w:ascii="Times New Roman" w:cs="Times New Roman" w:eastAsia="Times New Roman" w:hAnsi="Times New Roman"/>
          <w:sz w:val="22"/>
          <w:szCs w:val="22"/>
          <w:color w:val="auto"/>
        </w:rPr>
        <w:t>: It is intended that this Agreement will comply with, or be exempt from, Section 409A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Internal Revenue Code of 1986, as amended (the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and the interpretive guidance thereunder, including, without limitation, the exemptions for short-term deferrals, separation pay arrangements, reimbursements, and inkind distributions, and this Agreement shall be administered, interpreted and construed in a manner that does not result in the imposition of additional taxes, penalties or interest under Section 409A. Humana agrees to negotiate in good faith with you to make amendments to the Agreement, as both parties mutually agree are necessary or desirable to avoid the imposition of taxes, penalties or interest under Section 409A. If an amount to be paid under this Agreement is payable in two or more installments, each installment shall be treated as a separate payment for purposes of Section 409A. For purposes of this Agreement, a termination of employment shall not be deemed to have occurred for purposes of any provision of this Agreement providing for the payment of any amounts or benefits subject to the requirements of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a “separation from service” within the meaning of Section 409A. Neither Humana nor you will have the right to accelerate or defer the delivery of any such payments or benefits except to the extent specifically permitted or required by Section 409A.</w:t>
      </w:r>
    </w:p>
    <w:p>
      <w:pPr>
        <w:spacing w:after="0" w:line="155"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ACKNOWLEDGMENTS</w:t>
      </w:r>
      <w:r>
        <w:rPr>
          <w:rFonts w:ascii="Times New Roman" w:cs="Times New Roman" w:eastAsia="Times New Roman" w:hAnsi="Times New Roman"/>
          <w:sz w:val="22"/>
          <w:szCs w:val="22"/>
          <w:color w:val="auto"/>
        </w:rPr>
        <w:t>: You and Humana hereby acknowledge and agree:</w:t>
      </w:r>
    </w:p>
    <w:p>
      <w:pPr>
        <w:spacing w:after="0" w:line="17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were provided a sufficient period to review and consider this Agreement and are advised to contact an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w:t>
      </w:r>
    </w:p>
    <w:p>
      <w:pPr>
        <w:spacing w:after="0" w:line="14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understand each of the terms of this Agreement and the effect of executing this Agreement by your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and</w:t>
      </w:r>
    </w:p>
    <w:p>
      <w:pPr>
        <w:spacing w:after="0" w:line="155" w:lineRule="exact"/>
        <w:rPr>
          <w:rFonts w:ascii="Times New Roman" w:cs="Times New Roman" w:eastAsia="Times New Roman" w:hAnsi="Times New Roman"/>
          <w:sz w:val="22"/>
          <w:szCs w:val="22"/>
          <w:color w:val="auto"/>
        </w:rPr>
      </w:pPr>
    </w:p>
    <w:p>
      <w:pPr>
        <w:ind w:right="60" w:firstLine="656"/>
        <w:spacing w:after="0" w:line="236" w:lineRule="auto"/>
        <w:tabs>
          <w:tab w:leader="none" w:pos="129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are executing this Agreement as your own free act and deed, without any coercion or duress, and that you agree to each of the terms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66" w:name="page67"/>
    <w:bookmarkEnd w:id="66"/>
    <w:p>
      <w:pPr>
        <w:ind w:right="58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as their free and voluntary act, the parties have executed this Agreement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indicated.</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HUMANA</w:t>
            </w:r>
          </w:p>
        </w:tc>
        <w:tc>
          <w:tcPr>
            <w:tcW w:w="36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Bruce D. Broussard</w:t>
            </w:r>
          </w:p>
        </w:tc>
        <w:tc>
          <w:tcPr>
            <w:tcW w:w="1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By:</w:t>
            </w:r>
          </w:p>
        </w:tc>
        <w:tc>
          <w:tcPr>
            <w:tcW w:w="4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 Alan Wheatley</w:t>
            </w:r>
          </w:p>
        </w:tc>
      </w:tr>
      <w:tr>
        <w:trPr>
          <w:trHeight w:val="250"/>
        </w:trPr>
        <w:tc>
          <w:tcPr>
            <w:tcW w:w="800" w:type="dxa"/>
            <w:vAlign w:val="bottom"/>
          </w:tcPr>
          <w:p>
            <w:pPr>
              <w:spacing w:after="0"/>
              <w:rPr>
                <w:sz w:val="21"/>
                <w:szCs w:val="21"/>
                <w:color w:val="auto"/>
              </w:rPr>
            </w:pPr>
          </w:p>
        </w:tc>
        <w:tc>
          <w:tcPr>
            <w:tcW w:w="6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Bruce D. Broussard</w:t>
            </w:r>
          </w:p>
        </w:tc>
        <w:tc>
          <w:tcPr>
            <w:tcW w:w="1820" w:type="dxa"/>
            <w:vAlign w:val="bottom"/>
          </w:tcPr>
          <w:p>
            <w:pPr>
              <w:spacing w:after="0"/>
              <w:rPr>
                <w:sz w:val="21"/>
                <w:szCs w:val="21"/>
                <w:color w:val="auto"/>
              </w:rPr>
            </w:pPr>
          </w:p>
        </w:tc>
        <w:tc>
          <w:tcPr>
            <w:tcW w:w="6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T. Alan Wheatley</w:t>
            </w:r>
          </w:p>
        </w:tc>
      </w:tr>
      <w:tr>
        <w:trPr>
          <w:trHeight w:val="282"/>
        </w:trPr>
        <w:tc>
          <w:tcPr>
            <w:tcW w:w="8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President &amp; Chief Executive Officer</w:t>
            </w:r>
          </w:p>
        </w:tc>
        <w:tc>
          <w:tcPr>
            <w:tcW w:w="18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July 25, 2022</w:t>
            </w:r>
          </w:p>
        </w:tc>
      </w:tr>
    </w:tbl>
    <w:p>
      <w:pPr>
        <w:ind w:left="840"/>
        <w:spacing w:after="0"/>
        <w:rPr>
          <w:sz w:val="20"/>
          <w:szCs w:val="20"/>
          <w:color w:val="auto"/>
        </w:rPr>
      </w:pPr>
      <w:r>
        <w:rPr>
          <w:rFonts w:ascii="Times New Roman" w:cs="Times New Roman" w:eastAsia="Times New Roman" w:hAnsi="Times New Roman"/>
          <w:sz w:val="22"/>
          <w:szCs w:val="22"/>
          <w:color w:val="auto"/>
        </w:rPr>
        <w:t>Date: July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TAW TRANSITION AND SEPARATION AGREEMENT]</w:t>
      </w:r>
    </w:p>
    <w:p>
      <w:pPr>
        <w:sectPr>
          <w:pgSz w:w="11900" w:h="16838" w:orient="portrait"/>
          <w:cols w:equalWidth="0" w:num="1">
            <w:col w:w="11240"/>
          </w:cols>
          <w:pgMar w:left="320" w:top="1391" w:right="339" w:bottom="1440" w:gutter="0" w:footer="0" w:header="0"/>
        </w:sectPr>
      </w:pPr>
    </w:p>
    <w:bookmarkStart w:id="67" w:name="page68"/>
    <w:bookmarkEnd w:id="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Broussard, principal executive officer of Humana Inc., certify that:</w:t>
      </w:r>
    </w:p>
    <w:p>
      <w:pPr>
        <w:spacing w:after="0" w:line="171" w:lineRule="exact"/>
        <w:rPr>
          <w:sz w:val="20"/>
          <w:szCs w:val="20"/>
          <w:color w:val="auto"/>
        </w:rPr>
      </w:pPr>
    </w:p>
    <w:p>
      <w:pPr>
        <w:ind w:left="640" w:hanging="18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of Humana Inc. (the “Company”) on Form 10-Q for the period ending June 30, 2022;</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899"/>
        <w:spacing w:after="0" w:line="266" w:lineRule="auto"/>
        <w:tabs>
          <w:tab w:leader="none" w:pos="108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899"/>
        <w:spacing w:after="0" w:line="266" w:lineRule="auto"/>
        <w:tabs>
          <w:tab w:leader="none" w:pos="110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899"/>
        <w:spacing w:after="0" w:line="282" w:lineRule="auto"/>
        <w:tabs>
          <w:tab w:leader="none" w:pos="109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20" w:firstLine="899"/>
        <w:spacing w:after="0" w:line="266" w:lineRule="auto"/>
        <w:tabs>
          <w:tab w:leader="none" w:pos="11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453"/>
        <w:spacing w:after="0" w:line="282" w:lineRule="auto"/>
        <w:tabs>
          <w:tab w:leader="none" w:pos="6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899"/>
        <w:spacing w:after="0" w:line="282" w:lineRule="auto"/>
        <w:tabs>
          <w:tab w:leader="none" w:pos="111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899"/>
        <w:spacing w:after="0" w:line="282" w:lineRule="auto"/>
        <w:tabs>
          <w:tab w:leader="none" w:pos="110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8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D. Broussard</w:t>
            </w:r>
          </w:p>
        </w:tc>
      </w:tr>
      <w:tr>
        <w:trPr>
          <w:trHeight w:val="169"/>
        </w:trPr>
        <w:tc>
          <w:tcPr>
            <w:tcW w:w="2600" w:type="dxa"/>
            <w:vAlign w:val="bottom"/>
          </w:tcPr>
          <w:p>
            <w:pPr>
              <w:spacing w:after="0"/>
              <w:rPr>
                <w:sz w:val="14"/>
                <w:szCs w:val="14"/>
                <w:color w:val="auto"/>
              </w:rPr>
            </w:pPr>
          </w:p>
        </w:tc>
        <w:tc>
          <w:tcPr>
            <w:tcW w:w="86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Bruce D. Broussard</w:t>
            </w:r>
          </w:p>
        </w:tc>
      </w:tr>
      <w:tr>
        <w:trPr>
          <w:trHeight w:val="234"/>
        </w:trPr>
        <w:tc>
          <w:tcPr>
            <w:tcW w:w="2600" w:type="dxa"/>
            <w:vAlign w:val="bottom"/>
          </w:tcPr>
          <w:p>
            <w:pPr>
              <w:spacing w:after="0"/>
              <w:rPr>
                <w:sz w:val="20"/>
                <w:szCs w:val="20"/>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M. Diamond, principal financial officer of Humana Inc., certify that:</w:t>
      </w:r>
    </w:p>
    <w:p>
      <w:pPr>
        <w:spacing w:after="0" w:line="171" w:lineRule="exact"/>
        <w:rPr>
          <w:sz w:val="20"/>
          <w:szCs w:val="20"/>
          <w:color w:val="auto"/>
        </w:rPr>
      </w:pPr>
    </w:p>
    <w:p>
      <w:pPr>
        <w:ind w:left="640" w:hanging="18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of Humana Inc. (the “Company”) on Form 10-Q for the period ending June 30, 2022;</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899"/>
        <w:spacing w:after="0" w:line="266" w:lineRule="auto"/>
        <w:tabs>
          <w:tab w:leader="none" w:pos="108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899"/>
        <w:spacing w:after="0" w:line="266" w:lineRule="auto"/>
        <w:tabs>
          <w:tab w:leader="none" w:pos="110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899"/>
        <w:spacing w:after="0" w:line="282" w:lineRule="auto"/>
        <w:tabs>
          <w:tab w:leader="none" w:pos="10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20" w:firstLine="899"/>
        <w:spacing w:after="0" w:line="266" w:lineRule="auto"/>
        <w:tabs>
          <w:tab w:leader="none" w:pos="11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453"/>
        <w:spacing w:after="0" w:line="282" w:lineRule="auto"/>
        <w:tabs>
          <w:tab w:leader="none" w:pos="6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899"/>
        <w:spacing w:after="0" w:line="282" w:lineRule="auto"/>
        <w:tabs>
          <w:tab w:leader="none" w:pos="111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899"/>
        <w:spacing w:after="0" w:line="282" w:lineRule="auto"/>
        <w:tabs>
          <w:tab w:leader="none" w:pos="110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27, 2022</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Susan M. Diamond</w:t>
            </w:r>
          </w:p>
        </w:tc>
      </w:tr>
      <w:tr>
        <w:trPr>
          <w:trHeight w:val="169"/>
        </w:trPr>
        <w:tc>
          <w:tcPr>
            <w:tcW w:w="2300" w:type="dxa"/>
            <w:vAlign w:val="bottom"/>
          </w:tcPr>
          <w:p>
            <w:pPr>
              <w:spacing w:after="0"/>
              <w:rPr>
                <w:sz w:val="14"/>
                <w:szCs w:val="14"/>
                <w:color w:val="auto"/>
              </w:rPr>
            </w:pPr>
          </w:p>
        </w:tc>
        <w:tc>
          <w:tcPr>
            <w:tcW w:w="890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color w:val="auto"/>
              </w:rPr>
              <w:t>Susan M. Diamond</w:t>
            </w:r>
          </w:p>
        </w:tc>
      </w:tr>
      <w:tr>
        <w:trPr>
          <w:trHeight w:val="234"/>
        </w:trPr>
        <w:tc>
          <w:tcPr>
            <w:tcW w:w="230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Report of Humana Inc. (the “Company”) on Form 10-Q for the period ending June 30, 2022 as filed with the Securities and Exchange Commission on the date hereof (the “Report”), each of the undersigned hereby certifies, pursuant to 18 U.S.C. Sec. 1350, as adopted pursuant to Sec. 906 of the Sarbanes-Oxley Act of 2002, in his capacity as an officer of Humana Inc., that:</w:t>
      </w:r>
    </w:p>
    <w:p>
      <w:pPr>
        <w:spacing w:after="0" w:line="122" w:lineRule="exact"/>
        <w:rPr>
          <w:sz w:val="20"/>
          <w:szCs w:val="20"/>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D.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D. Broussard</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27,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M. Diamond</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27, 2022</w:t>
      </w:r>
    </w:p>
    <w:p>
      <w:pPr>
        <w:spacing w:after="0" w:line="11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Humana Inc. and will be retained by Humana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0"/>
    </w:lvl>
  </w:abstractNum>
  <w:abstractNum w:abstractNumId="4">
    <w:nsid w:val="79838CB2"/>
    <w:multiLevelType w:val="hybridMultilevel"/>
    <w:lvl w:ilvl="0">
      <w:lvlJc w:val="left"/>
      <w:lvlText w:val="%1."/>
      <w:numFmt w:val="decimal"/>
      <w:start w:val="12"/>
    </w:lvl>
  </w:abstractNum>
  <w:abstractNum w:abstractNumId="5">
    <w:nsid w:val="4353D0CD"/>
    <w:multiLevelType w:val="hybridMultilevel"/>
    <w:lvl w:ilvl="0">
      <w:lvlJc w:val="left"/>
      <w:lvlText w:val="%1."/>
      <w:numFmt w:val="decimal"/>
      <w:start w:val="13"/>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01"/>
    </w:lvl>
  </w:abstractNum>
  <w:abstractNum w:abstractNumId="33">
    <w:nsid w:val="51EAD36B"/>
    <w:multiLevelType w:val="hybridMultilevel"/>
    <w:lvl w:ilvl="0">
      <w:lvlJc w:val="left"/>
      <w:lvlText w:val="%1"/>
      <w:numFmt w:val="decimal"/>
      <w:start w:val="104"/>
    </w:lvl>
  </w:abstractNum>
  <w:abstractNum w:abstractNumId="34">
    <w:nsid w:val="2D517796"/>
    <w:multiLevelType w:val="hybridMultilevel"/>
    <w:lvl w:ilvl="0">
      <w:lvlJc w:val="left"/>
      <w:lvlText w:val="%1."/>
      <w:numFmt w:val="upperLetter"/>
      <w:start w:val="1"/>
    </w:lvl>
  </w:abstractNum>
  <w:abstractNum w:abstractNumId="35">
    <w:nsid w:val="580BD78F"/>
    <w:multiLevelType w:val="hybridMultilevel"/>
    <w:lvl w:ilvl="0">
      <w:lvlJc w:val="left"/>
      <w:lvlText w:val="%1."/>
      <w:numFmt w:val="upperLetter"/>
      <w:start w:val="1"/>
    </w:lvl>
    <w:lvl w:ilvl="1">
      <w:lvlJc w:val="left"/>
      <w:lvlText w:val="%2."/>
      <w:numFmt w:val="decimal"/>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3"/>
    </w:lvl>
    <w:lvl w:ilvl="1">
      <w:lvlJc w:val="left"/>
      <w:lvlText w:val="%2"/>
      <w:numFmt w:val="lowerLetter"/>
      <w:start w:val="1"/>
    </w:lvl>
  </w:abstractNum>
  <w:abstractNum w:abstractNumId="38">
    <w:nsid w:val="70A64E2A"/>
    <w:multiLevelType w:val="hybridMultilevel"/>
    <w:lvl w:ilvl="0">
      <w:lvlJc w:val="left"/>
      <w:lvlText w:val="%1."/>
      <w:numFmt w:val="upperLetter"/>
      <w:start w:val="2"/>
    </w:lvl>
    <w:lvl w:ilvl="1">
      <w:lvlJc w:val="left"/>
      <w:lvlText w:val="%2."/>
      <w:numFmt w:val="decimal"/>
      <w:start w:val="6"/>
    </w:lvl>
  </w:abstractNum>
  <w:abstractNum w:abstractNumId="39">
    <w:nsid w:val="6A2342EC"/>
    <w:multiLevelType w:val="hybridMultilevel"/>
    <w:lvl w:ilvl="0">
      <w:lvlJc w:val="left"/>
      <w:lvlText w:val="%1."/>
      <w:numFmt w:val="decimal"/>
      <w:start w:val="8"/>
    </w:lvl>
  </w:abstractNum>
  <w:abstractNum w:abstractNumId="40">
    <w:nsid w:val="2A487CB0"/>
    <w:multiLevelType w:val="hybridMultilevel"/>
    <w:lvl w:ilvl="0">
      <w:lvlJc w:val="left"/>
      <w:lvlText w:val="%1"/>
      <w:numFmt w:val="upperLetter"/>
      <w:start w:val="1"/>
    </w:lvl>
    <w:lvl w:ilvl="1">
      <w:lvlJc w:val="left"/>
      <w:lvlText w:val="%2."/>
      <w:numFmt w:val="decimal"/>
      <w:start w:val="10"/>
    </w:lvl>
  </w:abstractNum>
  <w:abstractNum w:abstractNumId="41">
    <w:nsid w:val="1D4ED43B"/>
    <w:multiLevelType w:val="hybridMultilevel"/>
    <w:lvl w:ilvl="0">
      <w:lvlJc w:val="left"/>
      <w:lvlText w:val="%1."/>
      <w:numFmt w:val="upperLetter"/>
      <w:start w:val="3"/>
    </w:lvl>
    <w:lvl w:ilvl="1">
      <w:lvlJc w:val="left"/>
      <w:lvlText w:val="%2."/>
      <w:numFmt w:val="decimal"/>
      <w:start w:val="12"/>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9" Type="http://schemas.openxmlformats.org/officeDocument/2006/relationships/hyperlink" Target="http://www.sec.gov/Archives/edgar/data/49071/000119312517368843/d508549dex3b.htm" TargetMode="External"/><Relationship Id="rId80" Type="http://schemas.openxmlformats.org/officeDocument/2006/relationships/hyperlink" Target="https://www.sec.gov/Archives/edgar/data/49071/000119312522167326/d2721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2022-07-27T15:51:53Z</dcterms:created>
  <dcterms:modified xsi:type="dcterms:W3CDTF">2022-07-27T15:51:53Z</dcterms:modified>
</cp:coreProperties>
</file>