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166370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208915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227330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247015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Pursuant to Section 13 or 15(d)</w:t>
      </w:r>
    </w:p>
    <w:p>
      <w:pPr>
        <w:jc w:val="center"/>
        <w:ind w:right="-13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Date of report (Date of earliest event reported): May 1, 2019 (May 1,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234315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139"/>
        <w:spacing w:after="0"/>
        <w:rPr>
          <w:sz w:val="20"/>
          <w:szCs w:val="20"/>
          <w:color w:val="auto"/>
        </w:rPr>
      </w:pPr>
      <w:r>
        <w:rPr>
          <w:rFonts w:ascii="Arial" w:cs="Arial" w:eastAsia="Arial" w:hAnsi="Arial"/>
          <w:sz w:val="43"/>
          <w:szCs w:val="43"/>
          <w:b w:val="1"/>
          <w:bCs w:val="1"/>
          <w:color w:val="auto"/>
        </w:rPr>
        <w:t>Humana Inc.</w:t>
      </w:r>
    </w:p>
    <w:p>
      <w:pPr>
        <w:spacing w:after="0" w:line="50"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236220</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020" w:type="dxa"/>
        <w:tblCellMar>
          <w:top w:w="0" w:type="dxa"/>
          <w:left w:w="0" w:type="dxa"/>
          <w:bottom w:w="0" w:type="dxa"/>
          <w:right w:w="0" w:type="dxa"/>
        </w:tblCellMar>
      </w:tblPr>
      <w:tr>
        <w:trPr>
          <w:trHeight w:val="212"/>
        </w:trPr>
        <w:tc>
          <w:tcPr>
            <w:tcW w:w="320" w:type="dxa"/>
            <w:vAlign w:val="bottom"/>
          </w:tcPr>
          <w:p>
            <w:pPr>
              <w:spacing w:after="0"/>
              <w:rPr>
                <w:sz w:val="18"/>
                <w:szCs w:val="18"/>
                <w:color w:val="auto"/>
              </w:rPr>
            </w:pPr>
          </w:p>
        </w:tc>
        <w:tc>
          <w:tcPr>
            <w:tcW w:w="1680" w:type="dxa"/>
            <w:vAlign w:val="bottom"/>
            <w:gridSpan w:val="2"/>
          </w:tcPr>
          <w:p>
            <w:pPr>
              <w:jc w:val="center"/>
              <w:ind w:right="600"/>
              <w:spacing w:after="0"/>
              <w:rPr>
                <w:sz w:val="20"/>
                <w:szCs w:val="20"/>
                <w:color w:val="auto"/>
              </w:rPr>
            </w:pPr>
            <w:r>
              <w:rPr>
                <w:rFonts w:ascii="Arial" w:cs="Arial" w:eastAsia="Arial" w:hAnsi="Arial"/>
                <w:sz w:val="18"/>
                <w:szCs w:val="18"/>
                <w:b w:val="1"/>
                <w:bCs w:val="1"/>
                <w:color w:val="auto"/>
                <w:w w:val="91"/>
              </w:rPr>
              <w:t>Delaware</w:t>
            </w:r>
          </w:p>
        </w:tc>
        <w:tc>
          <w:tcPr>
            <w:tcW w:w="3180" w:type="dxa"/>
            <w:vAlign w:val="bottom"/>
            <w:gridSpan w:val="2"/>
          </w:tcPr>
          <w:p>
            <w:pPr>
              <w:jc w:val="center"/>
              <w:ind w:left="1959"/>
              <w:spacing w:after="0"/>
              <w:rPr>
                <w:sz w:val="20"/>
                <w:szCs w:val="20"/>
                <w:color w:val="auto"/>
              </w:rPr>
            </w:pPr>
            <w:r>
              <w:rPr>
                <w:rFonts w:ascii="Arial" w:cs="Arial" w:eastAsia="Arial" w:hAnsi="Arial"/>
                <w:sz w:val="18"/>
                <w:szCs w:val="18"/>
                <w:b w:val="1"/>
                <w:bCs w:val="1"/>
                <w:color w:val="auto"/>
                <w:w w:val="89"/>
              </w:rPr>
              <w:t>1-5975</w:t>
            </w:r>
          </w:p>
        </w:tc>
        <w:tc>
          <w:tcPr>
            <w:tcW w:w="1720" w:type="dxa"/>
            <w:vAlign w:val="bottom"/>
          </w:tcPr>
          <w:p>
            <w:pPr>
              <w:spacing w:after="0"/>
              <w:rPr>
                <w:sz w:val="18"/>
                <w:szCs w:val="18"/>
                <w:color w:val="auto"/>
              </w:rPr>
            </w:pPr>
          </w:p>
        </w:tc>
        <w:tc>
          <w:tcPr>
            <w:tcW w:w="2680" w:type="dxa"/>
            <w:vAlign w:val="bottom"/>
          </w:tcPr>
          <w:p>
            <w:pPr>
              <w:jc w:val="center"/>
              <w:spacing w:after="0"/>
              <w:rPr>
                <w:sz w:val="20"/>
                <w:szCs w:val="20"/>
                <w:color w:val="auto"/>
              </w:rPr>
            </w:pPr>
            <w:r>
              <w:rPr>
                <w:rFonts w:ascii="Arial" w:cs="Arial" w:eastAsia="Arial" w:hAnsi="Arial"/>
                <w:sz w:val="18"/>
                <w:szCs w:val="18"/>
                <w:b w:val="1"/>
                <w:bCs w:val="1"/>
                <w:color w:val="auto"/>
                <w:w w:val="91"/>
              </w:rPr>
              <w:t>61-0647538</w:t>
            </w:r>
          </w:p>
        </w:tc>
      </w:tr>
      <w:tr>
        <w:trPr>
          <w:trHeight w:val="149"/>
        </w:trPr>
        <w:tc>
          <w:tcPr>
            <w:tcW w:w="200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040" w:type="dxa"/>
            <w:vAlign w:val="bottom"/>
          </w:tcPr>
          <w:p>
            <w:pPr>
              <w:spacing w:after="0"/>
              <w:rPr>
                <w:sz w:val="12"/>
                <w:szCs w:val="12"/>
                <w:color w:val="auto"/>
              </w:rPr>
            </w:pPr>
          </w:p>
        </w:tc>
        <w:tc>
          <w:tcPr>
            <w:tcW w:w="2860" w:type="dxa"/>
            <w:vAlign w:val="bottom"/>
            <w:gridSpan w:val="2"/>
          </w:tcPr>
          <w:p>
            <w:pPr>
              <w:jc w:val="center"/>
              <w:ind w:right="1720"/>
              <w:spacing w:after="0" w:line="149" w:lineRule="exact"/>
              <w:rPr>
                <w:sz w:val="20"/>
                <w:szCs w:val="20"/>
                <w:color w:val="auto"/>
              </w:rPr>
            </w:pPr>
            <w:r>
              <w:rPr>
                <w:rFonts w:ascii="Arial" w:cs="Arial" w:eastAsia="Arial" w:hAnsi="Arial"/>
                <w:sz w:val="14"/>
                <w:szCs w:val="14"/>
                <w:b w:val="1"/>
                <w:bCs w:val="1"/>
                <w:color w:val="auto"/>
                <w:w w:val="92"/>
              </w:rPr>
              <w:t>(Commission</w:t>
            </w:r>
          </w:p>
        </w:tc>
        <w:tc>
          <w:tcPr>
            <w:tcW w:w="2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320" w:type="dxa"/>
            <w:vAlign w:val="bottom"/>
          </w:tcPr>
          <w:p>
            <w:pPr>
              <w:spacing w:after="0"/>
              <w:rPr>
                <w:sz w:val="16"/>
                <w:szCs w:val="16"/>
                <w:color w:val="auto"/>
              </w:rPr>
            </w:pPr>
          </w:p>
        </w:tc>
        <w:tc>
          <w:tcPr>
            <w:tcW w:w="168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4"/>
              </w:rPr>
              <w:t>of Incorporation)</w:t>
            </w:r>
          </w:p>
        </w:tc>
        <w:tc>
          <w:tcPr>
            <w:tcW w:w="2040" w:type="dxa"/>
            <w:vAlign w:val="bottom"/>
          </w:tcPr>
          <w:p>
            <w:pPr>
              <w:spacing w:after="0"/>
              <w:rPr>
                <w:sz w:val="16"/>
                <w:szCs w:val="16"/>
                <w:color w:val="auto"/>
              </w:rPr>
            </w:pPr>
          </w:p>
        </w:tc>
        <w:tc>
          <w:tcPr>
            <w:tcW w:w="2860" w:type="dxa"/>
            <w:vAlign w:val="bottom"/>
            <w:gridSpan w:val="2"/>
          </w:tcPr>
          <w:p>
            <w:pPr>
              <w:jc w:val="center"/>
              <w:ind w:right="1720"/>
              <w:spacing w:after="0"/>
              <w:rPr>
                <w:sz w:val="20"/>
                <w:szCs w:val="20"/>
                <w:color w:val="auto"/>
              </w:rPr>
            </w:pPr>
            <w:r>
              <w:rPr>
                <w:rFonts w:ascii="Arial" w:cs="Arial" w:eastAsia="Arial" w:hAnsi="Arial"/>
                <w:sz w:val="14"/>
                <w:szCs w:val="14"/>
                <w:b w:val="1"/>
                <w:bCs w:val="1"/>
                <w:color w:val="auto"/>
                <w:w w:val="95"/>
              </w:rPr>
              <w:t>File Number)</w:t>
            </w:r>
          </w:p>
        </w:tc>
        <w:tc>
          <w:tcPr>
            <w:tcW w:w="2680" w:type="dxa"/>
            <w:vAlign w:val="bottom"/>
          </w:tcPr>
          <w:p>
            <w:pPr>
              <w:jc w:val="center"/>
              <w:spacing w:after="0"/>
              <w:rPr>
                <w:sz w:val="20"/>
                <w:szCs w:val="20"/>
                <w:color w:val="auto"/>
              </w:rPr>
            </w:pPr>
            <w:r>
              <w:rPr>
                <w:rFonts w:ascii="Arial" w:cs="Arial" w:eastAsia="Arial" w:hAnsi="Arial"/>
                <w:sz w:val="14"/>
                <w:szCs w:val="14"/>
                <w:b w:val="1"/>
                <w:bCs w:val="1"/>
                <w:color w:val="auto"/>
                <w:w w:val="94"/>
              </w:rPr>
              <w:t>Identification No.)</w:t>
            </w:r>
          </w:p>
        </w:tc>
      </w:tr>
      <w:tr>
        <w:trPr>
          <w:trHeight w:val="408"/>
        </w:trPr>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900" w:type="dxa"/>
            <w:vAlign w:val="bottom"/>
            <w:gridSpan w:val="3"/>
          </w:tcPr>
          <w:p>
            <w:pPr>
              <w:jc w:val="center"/>
              <w:spacing w:after="0"/>
              <w:rPr>
                <w:sz w:val="20"/>
                <w:szCs w:val="20"/>
                <w:color w:val="auto"/>
              </w:rPr>
            </w:pPr>
            <w:r>
              <w:rPr>
                <w:rFonts w:ascii="Arial" w:cs="Arial" w:eastAsia="Arial" w:hAnsi="Arial"/>
                <w:sz w:val="18"/>
                <w:szCs w:val="18"/>
                <w:b w:val="1"/>
                <w:bCs w:val="1"/>
                <w:color w:val="auto"/>
                <w:w w:val="91"/>
              </w:rPr>
              <w:t>500 West Main Street, Louisville, KY 40202</w:t>
            </w:r>
          </w:p>
        </w:tc>
        <w:tc>
          <w:tcPr>
            <w:tcW w:w="2680" w:type="dxa"/>
            <w:vAlign w:val="bottom"/>
          </w:tcPr>
          <w:p>
            <w:pPr>
              <w:spacing w:after="0"/>
              <w:rPr>
                <w:sz w:val="24"/>
                <w:szCs w:val="24"/>
                <w:color w:val="auto"/>
              </w:rPr>
            </w:pPr>
          </w:p>
        </w:tc>
      </w:tr>
      <w:tr>
        <w:trPr>
          <w:trHeight w:val="186"/>
        </w:trPr>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9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(Address of Principal Executive Offices, and Zip Code)</w:t>
            </w:r>
          </w:p>
        </w:tc>
        <w:tc>
          <w:tcPr>
            <w:tcW w:w="2680" w:type="dxa"/>
            <w:vAlign w:val="bottom"/>
          </w:tcPr>
          <w:p>
            <w:pPr>
              <w:spacing w:after="0"/>
              <w:rPr>
                <w:sz w:val="16"/>
                <w:szCs w:val="16"/>
                <w:color w:val="auto"/>
              </w:rPr>
            </w:pPr>
          </w:p>
        </w:tc>
      </w:tr>
      <w:tr>
        <w:trPr>
          <w:trHeight w:val="394"/>
        </w:trPr>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180" w:type="dxa"/>
            <w:vAlign w:val="bottom"/>
            <w:gridSpan w:val="2"/>
          </w:tcPr>
          <w:p>
            <w:pPr>
              <w:jc w:val="center"/>
              <w:ind w:left="1719"/>
              <w:spacing w:after="0"/>
              <w:rPr>
                <w:sz w:val="20"/>
                <w:szCs w:val="20"/>
                <w:color w:val="auto"/>
              </w:rPr>
            </w:pPr>
            <w:r>
              <w:rPr>
                <w:rFonts w:ascii="Arial" w:cs="Arial" w:eastAsia="Arial" w:hAnsi="Arial"/>
                <w:sz w:val="18"/>
                <w:szCs w:val="18"/>
                <w:b w:val="1"/>
                <w:bCs w:val="1"/>
                <w:color w:val="auto"/>
                <w:w w:val="90"/>
              </w:rPr>
              <w:t>502-580-1000</w:t>
            </w:r>
          </w:p>
        </w:tc>
        <w:tc>
          <w:tcPr>
            <w:tcW w:w="1720" w:type="dxa"/>
            <w:vAlign w:val="bottom"/>
          </w:tcPr>
          <w:p>
            <w:pPr>
              <w:spacing w:after="0"/>
              <w:rPr>
                <w:sz w:val="24"/>
                <w:szCs w:val="24"/>
                <w:color w:val="auto"/>
              </w:rPr>
            </w:pPr>
          </w:p>
        </w:tc>
        <w:tc>
          <w:tcPr>
            <w:tcW w:w="2680" w:type="dxa"/>
            <w:vAlign w:val="bottom"/>
          </w:tcPr>
          <w:p>
            <w:pPr>
              <w:spacing w:after="0"/>
              <w:rPr>
                <w:sz w:val="24"/>
                <w:szCs w:val="24"/>
                <w:color w:val="auto"/>
              </w:rPr>
            </w:pPr>
          </w:p>
        </w:tc>
      </w:tr>
      <w:tr>
        <w:trPr>
          <w:trHeight w:val="186"/>
        </w:trPr>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9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Registrant’s Telephone Number, Including Area Code</w:t>
            </w:r>
          </w:p>
        </w:tc>
        <w:tc>
          <w:tcPr>
            <w:tcW w:w="2680" w:type="dxa"/>
            <w:vAlign w:val="bottom"/>
          </w:tcPr>
          <w:p>
            <w:pPr>
              <w:spacing w:after="0"/>
              <w:rPr>
                <w:sz w:val="16"/>
                <w:szCs w:val="16"/>
                <w:color w:val="auto"/>
              </w:rPr>
            </w:pPr>
          </w:p>
        </w:tc>
      </w:tr>
      <w:tr>
        <w:trPr>
          <w:trHeight w:val="365"/>
        </w:trPr>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9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(Former Name or Former Address, if Changed Since Last Report)</w:t>
            </w:r>
          </w:p>
        </w:tc>
        <w:tc>
          <w:tcPr>
            <w:tcW w:w="2680" w:type="dxa"/>
            <w:vAlign w:val="bottom"/>
          </w:tcPr>
          <w:p>
            <w:pPr>
              <w:spacing w:after="0"/>
              <w:rPr>
                <w:sz w:val="24"/>
                <w:szCs w:val="24"/>
                <w:color w:val="auto"/>
              </w:rPr>
            </w:pPr>
          </w:p>
        </w:tc>
      </w:tr>
      <w:tr>
        <w:trPr>
          <w:trHeight w:val="417"/>
        </w:trPr>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900" w:type="dxa"/>
            <w:vAlign w:val="bottom"/>
            <w:gridSpan w:val="3"/>
          </w:tcPr>
          <w:p>
            <w:pPr>
              <w:jc w:val="center"/>
              <w:ind w:left="19"/>
              <w:spacing w:after="0"/>
              <w:rPr>
                <w:sz w:val="20"/>
                <w:szCs w:val="20"/>
                <w:color w:val="auto"/>
              </w:rPr>
            </w:pPr>
            <w:r>
              <w:rPr>
                <w:rFonts w:ascii="Arial" w:cs="Arial" w:eastAsia="Arial" w:hAnsi="Arial"/>
                <w:sz w:val="18"/>
                <w:szCs w:val="18"/>
                <w:b w:val="1"/>
                <w:bCs w:val="1"/>
                <w:color w:val="auto"/>
                <w:w w:val="89"/>
              </w:rPr>
              <w:t>Securities registered pursuant to Section 12(b) of the Act:</w:t>
            </w:r>
          </w:p>
        </w:tc>
        <w:tc>
          <w:tcPr>
            <w:tcW w:w="2680" w:type="dxa"/>
            <w:vAlign w:val="bottom"/>
          </w:tcPr>
          <w:p>
            <w:pPr>
              <w:spacing w:after="0"/>
              <w:rPr>
                <w:sz w:val="24"/>
                <w:szCs w:val="24"/>
                <w:color w:val="auto"/>
              </w:rPr>
            </w:pPr>
          </w:p>
        </w:tc>
      </w:tr>
      <w:tr>
        <w:trPr>
          <w:trHeight w:val="392"/>
        </w:trPr>
        <w:tc>
          <w:tcPr>
            <w:tcW w:w="320" w:type="dxa"/>
            <w:vAlign w:val="bottom"/>
          </w:tcPr>
          <w:p>
            <w:pPr>
              <w:spacing w:after="0"/>
              <w:rPr>
                <w:sz w:val="24"/>
                <w:szCs w:val="24"/>
                <w:color w:val="auto"/>
              </w:rPr>
            </w:pPr>
          </w:p>
        </w:tc>
        <w:tc>
          <w:tcPr>
            <w:tcW w:w="168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89"/>
              </w:rPr>
              <w:t>Title of each class</w:t>
            </w:r>
          </w:p>
        </w:tc>
        <w:tc>
          <w:tcPr>
            <w:tcW w:w="4900" w:type="dxa"/>
            <w:vAlign w:val="bottom"/>
            <w:gridSpan w:val="3"/>
          </w:tcPr>
          <w:p>
            <w:pPr>
              <w:jc w:val="center"/>
              <w:ind w:left="239"/>
              <w:spacing w:after="0"/>
              <w:rPr>
                <w:sz w:val="20"/>
                <w:szCs w:val="20"/>
                <w:color w:val="auto"/>
              </w:rPr>
            </w:pPr>
            <w:r>
              <w:rPr>
                <w:rFonts w:ascii="Arial" w:cs="Arial" w:eastAsia="Arial" w:hAnsi="Arial"/>
                <w:sz w:val="14"/>
                <w:szCs w:val="14"/>
                <w:b w:val="1"/>
                <w:bCs w:val="1"/>
                <w:color w:val="auto"/>
                <w:w w:val="92"/>
              </w:rPr>
              <w:t>Trading Symbol(s)</w:t>
            </w:r>
          </w:p>
        </w:tc>
        <w:tc>
          <w:tcPr>
            <w:tcW w:w="268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224"/>
        </w:trPr>
        <w:tc>
          <w:tcPr>
            <w:tcW w:w="320" w:type="dxa"/>
            <w:vAlign w:val="bottom"/>
          </w:tcPr>
          <w:p>
            <w:pPr>
              <w:spacing w:after="0"/>
              <w:rPr>
                <w:sz w:val="19"/>
                <w:szCs w:val="19"/>
                <w:color w:val="auto"/>
              </w:rPr>
            </w:pPr>
          </w:p>
        </w:tc>
        <w:tc>
          <w:tcPr>
            <w:tcW w:w="10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7"/>
              </w:rPr>
              <w:t>Common Stock</w:t>
            </w:r>
          </w:p>
        </w:tc>
        <w:tc>
          <w:tcPr>
            <w:tcW w:w="60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11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HUM</w:t>
            </w:r>
          </w:p>
        </w:tc>
        <w:tc>
          <w:tcPr>
            <w:tcW w:w="1720" w:type="dxa"/>
            <w:vAlign w:val="bottom"/>
          </w:tcPr>
          <w:p>
            <w:pPr>
              <w:spacing w:after="0"/>
              <w:rPr>
                <w:sz w:val="19"/>
                <w:szCs w:val="19"/>
                <w:color w:val="auto"/>
              </w:rPr>
            </w:pPr>
          </w:p>
        </w:tc>
        <w:tc>
          <w:tcPr>
            <w:tcW w:w="26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New York Stock Exchange (NYSE)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222250</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ind w:right="3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76" w:lineRule="exact"/>
        <w:rPr>
          <w:sz w:val="24"/>
          <w:szCs w:val="24"/>
          <w:color w:val="auto"/>
        </w:rPr>
      </w:pPr>
    </w:p>
    <w:p>
      <w:pPr>
        <w:ind w:left="860" w:hanging="424"/>
        <w:spacing w:after="0"/>
        <w:tabs>
          <w:tab w:leader="none" w:pos="8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 pursuant to Rule 425 under the Securities Act (17 CFR 230.425)</w:t>
      </w:r>
    </w:p>
    <w:p>
      <w:pPr>
        <w:spacing w:after="0" w:line="130" w:lineRule="exact"/>
        <w:rPr>
          <w:rFonts w:ascii="MS PGothic" w:cs="MS PGothic" w:eastAsia="MS PGothic" w:hAnsi="MS PGothic"/>
          <w:sz w:val="18"/>
          <w:szCs w:val="18"/>
          <w:color w:val="auto"/>
        </w:rPr>
      </w:pPr>
    </w:p>
    <w:p>
      <w:pPr>
        <w:ind w:left="860" w:hanging="424"/>
        <w:spacing w:after="0"/>
        <w:tabs>
          <w:tab w:leader="none" w:pos="8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860" w:hanging="424"/>
        <w:spacing w:after="0"/>
        <w:tabs>
          <w:tab w:leader="none" w:pos="8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 pursuant to Rule 14d-2(b) under the Exchange Act (17 CFR 240.14d-2(b))</w:t>
      </w:r>
    </w:p>
    <w:p>
      <w:pPr>
        <w:spacing w:after="0" w:line="130" w:lineRule="exact"/>
        <w:rPr>
          <w:rFonts w:ascii="MS PGothic" w:cs="MS PGothic" w:eastAsia="MS PGothic" w:hAnsi="MS PGothic"/>
          <w:sz w:val="18"/>
          <w:szCs w:val="18"/>
          <w:color w:val="auto"/>
        </w:rPr>
      </w:pPr>
    </w:p>
    <w:p>
      <w:pPr>
        <w:ind w:left="860" w:hanging="424"/>
        <w:spacing w:after="0"/>
        <w:tabs>
          <w:tab w:leader="none" w:pos="8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 pursuant to Rule 13e-4(c) under the Exchange Act (17 CFR 240.13e-4(c))</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6997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176530</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0900"/>
          </w:cols>
          <w:pgMar w:left="440" w:top="368" w:right="559" w:bottom="1440" w:gutter="0" w:footer="0" w:header="0"/>
        </w:sectPr>
      </w:pPr>
    </w:p>
    <w:bookmarkStart w:id="1" w:name="page2"/>
    <w:bookmarkEnd w:id="1"/>
    <w:p>
      <w:pPr>
        <w:spacing w:after="0"/>
        <w:tabs>
          <w:tab w:leader="none" w:pos="9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13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121" w:lineRule="exact"/>
        <w:rPr>
          <w:sz w:val="20"/>
          <w:szCs w:val="20"/>
          <w:color w:val="auto"/>
        </w:rPr>
      </w:pPr>
    </w:p>
    <w:p>
      <w:pPr>
        <w:jc w:val="both"/>
        <w:ind w:firstLine="441"/>
        <w:spacing w:after="0" w:line="286" w:lineRule="auto"/>
        <w:rPr>
          <w:sz w:val="20"/>
          <w:szCs w:val="20"/>
          <w:color w:val="auto"/>
        </w:rPr>
      </w:pPr>
      <w:r>
        <w:rPr>
          <w:rFonts w:ascii="Arial" w:cs="Arial" w:eastAsia="Arial" w:hAnsi="Arial"/>
          <w:sz w:val="17"/>
          <w:szCs w:val="17"/>
          <w:color w:val="auto"/>
        </w:rPr>
        <w:t xml:space="preserve">Humana Inc. issued a press release this morning reporting financial results for the quarter ended March 31, 2019, and posted a detailed earnings release related to the same period to the Investor Relations portion of the Company’s website at </w:t>
      </w:r>
      <w:r>
        <w:rPr>
          <w:rFonts w:ascii="Arial" w:cs="Arial" w:eastAsia="Arial" w:hAnsi="Arial"/>
          <w:sz w:val="17"/>
          <w:szCs w:val="17"/>
          <w:u w:val="single" w:color="auto"/>
          <w:color w:val="auto"/>
        </w:rPr>
        <w:t>www.humana.com</w:t>
      </w:r>
      <w:r>
        <w:rPr>
          <w:rFonts w:ascii="Arial" w:cs="Arial" w:eastAsia="Arial" w:hAnsi="Arial"/>
          <w:sz w:val="17"/>
          <w:szCs w:val="17"/>
          <w:color w:val="auto"/>
        </w:rPr>
        <w:t>. A copy of each release is attached hereto as Exhibit 99.1 and Exhibit 99.2, respectively, and each release is incorporated herein by reference.</w:t>
      </w:r>
    </w:p>
    <w:p>
      <w:pPr>
        <w:spacing w:after="0" w:line="31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5"/>
              </w:rPr>
              <w:t>Exhibit No.</w:t>
            </w:r>
          </w:p>
        </w:tc>
        <w:tc>
          <w:tcPr>
            <w:tcW w:w="740" w:type="dxa"/>
            <w:vAlign w:val="bottom"/>
          </w:tcPr>
          <w:p>
            <w:pPr>
              <w:spacing w:after="0"/>
              <w:rPr>
                <w:sz w:val="14"/>
                <w:szCs w:val="14"/>
                <w:color w:val="auto"/>
              </w:rPr>
            </w:pPr>
          </w:p>
        </w:tc>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Description</w:t>
            </w:r>
          </w:p>
        </w:tc>
        <w:tc>
          <w:tcPr>
            <w:tcW w:w="2060" w:type="dxa"/>
            <w:vAlign w:val="bottom"/>
            <w:gridSpan w:val="2"/>
          </w:tcPr>
          <w:p>
            <w:pPr>
              <w:spacing w:after="0"/>
              <w:rPr>
                <w:sz w:val="14"/>
                <w:szCs w:val="14"/>
                <w:color w:val="auto"/>
              </w:rPr>
            </w:pPr>
          </w:p>
        </w:tc>
      </w:tr>
      <w:tr>
        <w:trPr>
          <w:trHeight w:val="277"/>
        </w:trPr>
        <w:tc>
          <w:tcPr>
            <w:tcW w:w="720" w:type="dxa"/>
            <w:vAlign w:val="bottom"/>
          </w:tcPr>
          <w:p>
            <w:pPr>
              <w:spacing w:after="0"/>
              <w:rPr>
                <w:sz w:val="20"/>
                <w:szCs w:val="20"/>
                <w:color w:val="auto"/>
              </w:rPr>
            </w:pPr>
            <w:r>
              <w:rPr>
                <w:rFonts w:ascii="Arial" w:cs="Arial" w:eastAsia="Arial" w:hAnsi="Arial"/>
                <w:sz w:val="18"/>
                <w:szCs w:val="18"/>
                <w:color w:val="auto"/>
              </w:rPr>
              <w:t>99.1</w:t>
            </w:r>
          </w:p>
        </w:tc>
        <w:tc>
          <w:tcPr>
            <w:tcW w:w="740" w:type="dxa"/>
            <w:vAlign w:val="bottom"/>
          </w:tcPr>
          <w:p>
            <w:pPr>
              <w:spacing w:after="0"/>
              <w:rPr>
                <w:sz w:val="24"/>
                <w:szCs w:val="24"/>
                <w:color w:val="auto"/>
              </w:rPr>
            </w:pPr>
          </w:p>
        </w:tc>
        <w:tc>
          <w:tcPr>
            <w:tcW w:w="2780" w:type="dxa"/>
            <w:vAlign w:val="bottom"/>
            <w:gridSpan w:val="3"/>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Press Release</w:t>
              </w:r>
            </w:hyperlink>
          </w:p>
        </w:tc>
      </w:tr>
      <w:tr>
        <w:trPr>
          <w:trHeight w:val="20"/>
        </w:trPr>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304"/>
        </w:trPr>
        <w:tc>
          <w:tcPr>
            <w:tcW w:w="720" w:type="dxa"/>
            <w:vAlign w:val="bottom"/>
          </w:tcPr>
          <w:p>
            <w:pPr>
              <w:spacing w:after="0"/>
              <w:rPr>
                <w:sz w:val="20"/>
                <w:szCs w:val="20"/>
                <w:color w:val="auto"/>
              </w:rPr>
            </w:pPr>
            <w:r>
              <w:rPr>
                <w:rFonts w:ascii="Arial" w:cs="Arial" w:eastAsia="Arial" w:hAnsi="Arial"/>
                <w:sz w:val="18"/>
                <w:szCs w:val="18"/>
                <w:color w:val="auto"/>
              </w:rPr>
              <w:t>99.2</w:t>
            </w:r>
          </w:p>
        </w:tc>
        <w:tc>
          <w:tcPr>
            <w:tcW w:w="740" w:type="dxa"/>
            <w:vAlign w:val="bottom"/>
          </w:tcPr>
          <w:p>
            <w:pPr>
              <w:spacing w:after="0"/>
              <w:rPr>
                <w:sz w:val="24"/>
                <w:szCs w:val="24"/>
                <w:color w:val="auto"/>
              </w:rPr>
            </w:pPr>
          </w:p>
        </w:tc>
        <w:tc>
          <w:tcPr>
            <w:tcW w:w="2780" w:type="dxa"/>
            <w:vAlign w:val="bottom"/>
            <w:tcBorders>
              <w:bottom w:val="single" w:sz="8" w:color="0000EE"/>
            </w:tcBorders>
            <w:gridSpan w:val="3"/>
          </w:tcPr>
          <w:p>
            <w:pPr>
              <w:spacing w:after="0"/>
              <w:rPr>
                <w:rFonts w:ascii="Arial" w:cs="Arial" w:eastAsia="Arial" w:hAnsi="Arial"/>
                <w:sz w:val="18"/>
                <w:szCs w:val="18"/>
                <w:color w:val="0000EE"/>
                <w:w w:val="87"/>
              </w:rPr>
            </w:pPr>
            <w:hyperlink w:anchor="page12">
              <w:r>
                <w:rPr>
                  <w:rFonts w:ascii="Arial" w:cs="Arial" w:eastAsia="Arial" w:hAnsi="Arial"/>
                  <w:sz w:val="18"/>
                  <w:szCs w:val="18"/>
                  <w:color w:val="0000EE"/>
                  <w:w w:val="87"/>
                </w:rPr>
                <w:t>Earnings Release and Statistical Pages</w:t>
              </w:r>
            </w:hyperlink>
          </w:p>
        </w:tc>
      </w:tr>
    </w:tbl>
    <w:p>
      <w:pPr>
        <w:sectPr>
          <w:pgSz w:w="11900" w:h="16838" w:orient="portrait"/>
          <w:cols w:equalWidth="0" w:num="1">
            <w:col w:w="10800"/>
          </w:cols>
          <w:pgMar w:left="440" w:top="270" w:right="659" w:bottom="1440" w:gutter="0" w:footer="0" w:header="0"/>
        </w:sectPr>
      </w:pPr>
    </w:p>
    <w:bookmarkStart w:id="2" w:name="page3"/>
    <w:bookmarkEnd w:id="2"/>
    <w:p>
      <w:pPr>
        <w:jc w:val="center"/>
        <w:ind w:right="-1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HUMANA INC.</w:t>
      </w:r>
    </w:p>
    <w:p>
      <w:pPr>
        <w:spacing w:after="0" w:line="225" w:lineRule="exact"/>
        <w:rPr>
          <w:sz w:val="20"/>
          <w:szCs w:val="20"/>
          <w:color w:val="auto"/>
        </w:rPr>
      </w:pPr>
    </w:p>
    <w:p>
      <w:pPr>
        <w:ind w:left="6620"/>
        <w:spacing w:after="0"/>
        <w:tabs>
          <w:tab w:leader="none" w:pos="7040" w:val="left"/>
        </w:tabs>
        <w:rPr>
          <w:sz w:val="20"/>
          <w:szCs w:val="20"/>
          <w:color w:val="auto"/>
        </w:rPr>
      </w:pPr>
      <w:r>
        <w:rPr>
          <w:rFonts w:ascii="Arial" w:cs="Arial" w:eastAsia="Arial" w:hAnsi="Arial"/>
          <w:sz w:val="18"/>
          <w:szCs w:val="18"/>
          <w:b w:val="1"/>
          <w:bCs w:val="1"/>
          <w:color w:val="auto"/>
        </w:rPr>
        <w:t>BY:</w:t>
      </w:r>
      <w:r>
        <w:rPr>
          <w:sz w:val="20"/>
          <w:szCs w:val="20"/>
          <w:color w:val="auto"/>
        </w:rPr>
        <w:tab/>
      </w:r>
      <w:r>
        <w:rPr>
          <w:rFonts w:ascii="Arial" w:cs="Arial" w:eastAsia="Arial" w:hAnsi="Arial"/>
          <w:sz w:val="16"/>
          <w:szCs w:val="16"/>
          <w:b w:val="1"/>
          <w:bCs w:val="1"/>
          <w:color w:val="auto"/>
        </w:rPr>
        <w:t>/s/ Cynthia H. Zipperle</w:t>
      </w:r>
    </w:p>
    <w:p>
      <w:pPr>
        <w:spacing w:after="0" w:line="27" w:lineRule="exact"/>
        <w:rPr>
          <w:sz w:val="20"/>
          <w:szCs w:val="20"/>
          <w:color w:val="auto"/>
        </w:rPr>
      </w:pPr>
    </w:p>
    <w:p>
      <w:pPr>
        <w:ind w:left="7060"/>
        <w:spacing w:after="0"/>
        <w:rPr>
          <w:sz w:val="20"/>
          <w:szCs w:val="20"/>
          <w:color w:val="auto"/>
        </w:rPr>
      </w:pPr>
      <w:r>
        <w:rPr>
          <w:rFonts w:ascii="Arial" w:cs="Arial" w:eastAsia="Arial" w:hAnsi="Arial"/>
          <w:sz w:val="18"/>
          <w:szCs w:val="18"/>
          <w:b w:val="1"/>
          <w:bCs w:val="1"/>
          <w:color w:val="auto"/>
        </w:rPr>
        <w:t>Cynthia H. Zipperle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4457700</wp:posOffset>
            </wp:positionH>
            <wp:positionV relativeFrom="paragraph">
              <wp:posOffset>-130810</wp:posOffset>
            </wp:positionV>
            <wp:extent cx="254698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3" w:lineRule="exact"/>
        <w:rPr>
          <w:sz w:val="20"/>
          <w:szCs w:val="20"/>
          <w:color w:val="auto"/>
        </w:rPr>
      </w:pPr>
    </w:p>
    <w:p>
      <w:pPr>
        <w:ind w:left="7060"/>
        <w:spacing w:after="0"/>
        <w:rPr>
          <w:sz w:val="20"/>
          <w:szCs w:val="20"/>
          <w:color w:val="auto"/>
        </w:rPr>
      </w:pPr>
      <w:r>
        <w:rPr>
          <w:rFonts w:ascii="Arial" w:cs="Arial" w:eastAsia="Arial" w:hAnsi="Arial"/>
          <w:sz w:val="18"/>
          <w:szCs w:val="18"/>
          <w:b w:val="1"/>
          <w:bCs w:val="1"/>
          <w:color w:val="auto"/>
        </w:rPr>
        <w:t>Senior Vice President, Chief Accounting</w:t>
      </w:r>
    </w:p>
    <w:p>
      <w:pPr>
        <w:spacing w:after="0" w:line="9" w:lineRule="exact"/>
        <w:rPr>
          <w:sz w:val="20"/>
          <w:szCs w:val="20"/>
          <w:color w:val="auto"/>
        </w:rPr>
      </w:pPr>
    </w:p>
    <w:p>
      <w:pPr>
        <w:ind w:left="7060"/>
        <w:spacing w:after="0"/>
        <w:rPr>
          <w:sz w:val="20"/>
          <w:szCs w:val="20"/>
          <w:color w:val="auto"/>
        </w:rPr>
      </w:pPr>
      <w:r>
        <w:rPr>
          <w:rFonts w:ascii="Arial" w:cs="Arial" w:eastAsia="Arial" w:hAnsi="Arial"/>
          <w:sz w:val="18"/>
          <w:szCs w:val="18"/>
          <w:b w:val="1"/>
          <w:bCs w:val="1"/>
          <w:color w:val="auto"/>
        </w:rPr>
        <w:t>Officer and Controller</w:t>
      </w:r>
    </w:p>
    <w:p>
      <w:pPr>
        <w:spacing w:after="0" w:line="9" w:lineRule="exact"/>
        <w:rPr>
          <w:sz w:val="20"/>
          <w:szCs w:val="20"/>
          <w:color w:val="auto"/>
        </w:rPr>
      </w:pPr>
    </w:p>
    <w:p>
      <w:pPr>
        <w:ind w:left="7060"/>
        <w:spacing w:after="0"/>
        <w:rPr>
          <w:sz w:val="20"/>
          <w:szCs w:val="20"/>
          <w:color w:val="auto"/>
        </w:rPr>
      </w:pPr>
      <w:r>
        <w:rPr>
          <w:rFonts w:ascii="Arial" w:cs="Arial" w:eastAsia="Arial" w:hAnsi="Arial"/>
          <w:sz w:val="18"/>
          <w:szCs w:val="18"/>
          <w:b w:val="1"/>
          <w:bCs w:val="1"/>
          <w:color w:val="auto"/>
        </w:rPr>
        <w:t>(Principal Accounting Officer)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Dated: May 1, 2019</w:t>
      </w:r>
    </w:p>
    <w:p>
      <w:pPr>
        <w:sectPr>
          <w:pgSz w:w="11900" w:h="16838" w:orient="portrait"/>
          <w:cols w:equalWidth="0" w:num="1">
            <w:col w:w="10840"/>
          </w:cols>
          <w:pgMar w:left="440" w:top="270" w:right="61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56" w:lineRule="exact"/>
        <w:rPr>
          <w:sz w:val="20"/>
          <w:szCs w:val="20"/>
          <w:color w:val="auto"/>
        </w:rPr>
      </w:pPr>
    </w:p>
    <w:p>
      <w:pPr>
        <w:ind w:left="7620"/>
        <w:spacing w:after="0"/>
        <w:rPr>
          <w:sz w:val="20"/>
          <w:szCs w:val="20"/>
          <w:color w:val="auto"/>
        </w:rPr>
      </w:pPr>
      <w:r>
        <w:rPr>
          <w:rFonts w:ascii="Arial" w:cs="Arial" w:eastAsia="Arial" w:hAnsi="Arial"/>
          <w:sz w:val="18"/>
          <w:szCs w:val="18"/>
          <w:color w:val="auto"/>
        </w:rPr>
        <w:t>Humana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132905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329055" cy="128905"/>
                    </a:xfrm>
                    <a:prstGeom prst="rect">
                      <a:avLst/>
                    </a:prstGeom>
                    <a:noFill/>
                  </pic:spPr>
                </pic:pic>
              </a:graphicData>
            </a:graphic>
          </wp:anchor>
        </w:drawing>
      </w:r>
    </w:p>
    <w:p>
      <w:pPr>
        <w:spacing w:after="0" w:line="3" w:lineRule="exact"/>
        <w:rPr>
          <w:sz w:val="20"/>
          <w:szCs w:val="20"/>
          <w:color w:val="auto"/>
        </w:rPr>
      </w:pPr>
    </w:p>
    <w:p>
      <w:pPr>
        <w:ind w:left="7620"/>
        <w:spacing w:after="0"/>
        <w:rPr>
          <w:sz w:val="20"/>
          <w:szCs w:val="20"/>
          <w:color w:val="auto"/>
        </w:rPr>
      </w:pPr>
      <w:r>
        <w:rPr>
          <w:rFonts w:ascii="Arial" w:cs="Arial" w:eastAsia="Arial" w:hAnsi="Arial"/>
          <w:sz w:val="18"/>
          <w:szCs w:val="18"/>
          <w:color w:val="auto"/>
        </w:rPr>
        <w:t>500 West Main Street</w:t>
      </w:r>
    </w:p>
    <w:p>
      <w:pPr>
        <w:spacing w:after="0" w:line="9" w:lineRule="exact"/>
        <w:rPr>
          <w:sz w:val="20"/>
          <w:szCs w:val="20"/>
          <w:color w:val="auto"/>
        </w:rPr>
      </w:pPr>
    </w:p>
    <w:p>
      <w:pPr>
        <w:ind w:left="7620"/>
        <w:spacing w:after="0"/>
        <w:rPr>
          <w:sz w:val="20"/>
          <w:szCs w:val="20"/>
          <w:color w:val="auto"/>
        </w:rPr>
      </w:pPr>
      <w:r>
        <w:rPr>
          <w:rFonts w:ascii="Arial" w:cs="Arial" w:eastAsia="Arial" w:hAnsi="Arial"/>
          <w:sz w:val="18"/>
          <w:szCs w:val="18"/>
          <w:color w:val="auto"/>
        </w:rPr>
        <w:t>P.O. Box 1438</w:t>
      </w:r>
    </w:p>
    <w:p>
      <w:pPr>
        <w:spacing w:after="0" w:line="9" w:lineRule="exact"/>
        <w:rPr>
          <w:sz w:val="20"/>
          <w:szCs w:val="20"/>
          <w:color w:val="auto"/>
        </w:rPr>
      </w:pPr>
    </w:p>
    <w:p>
      <w:pPr>
        <w:ind w:left="7620"/>
        <w:spacing w:after="0"/>
        <w:rPr>
          <w:sz w:val="20"/>
          <w:szCs w:val="20"/>
          <w:color w:val="auto"/>
        </w:rPr>
      </w:pPr>
      <w:r>
        <w:rPr>
          <w:rFonts w:ascii="Arial" w:cs="Arial" w:eastAsia="Arial" w:hAnsi="Arial"/>
          <w:sz w:val="18"/>
          <w:szCs w:val="18"/>
          <w:color w:val="auto"/>
        </w:rPr>
        <w:t>Louisville, KY 40202</w:t>
      </w:r>
    </w:p>
    <w:p>
      <w:pPr>
        <w:spacing w:after="0" w:line="9" w:lineRule="exact"/>
        <w:rPr>
          <w:sz w:val="20"/>
          <w:szCs w:val="20"/>
          <w:color w:val="auto"/>
        </w:rPr>
      </w:pPr>
    </w:p>
    <w:p>
      <w:pPr>
        <w:ind w:left="7620"/>
        <w:spacing w:after="0"/>
        <w:rPr>
          <w:sz w:val="20"/>
          <w:szCs w:val="20"/>
          <w:color w:val="auto"/>
        </w:rPr>
      </w:pPr>
      <w:r>
        <w:rPr>
          <w:rFonts w:ascii="Arial" w:cs="Arial" w:eastAsia="Arial" w:hAnsi="Arial"/>
          <w:sz w:val="18"/>
          <w:szCs w:val="18"/>
          <w:u w:val="single" w:color="auto"/>
          <w:color w:val="auto"/>
        </w:rPr>
        <w:t>http://www.humana.com</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FOR MORE INFORMATION CONTACT: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3677285</wp:posOffset>
            </wp:positionH>
            <wp:positionV relativeFrom="paragraph">
              <wp:posOffset>-44450</wp:posOffset>
            </wp:positionV>
            <wp:extent cx="2040890" cy="6172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040890" cy="61722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Amy Smith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Humana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(502) 580-2811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Amysmith@humana.com</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Alex Kepnes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Humana Corporate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(502) 580-2990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Akepnes@humana.com</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Humana Reports First Quarter 2019 Financial Results;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Raises Full Year 2019 Financial Guidance</w:t>
      </w:r>
    </w:p>
    <w:p>
      <w:pPr>
        <w:spacing w:after="0" w:line="238" w:lineRule="exact"/>
        <w:rPr>
          <w:sz w:val="20"/>
          <w:szCs w:val="20"/>
          <w:color w:val="auto"/>
        </w:rPr>
      </w:pPr>
    </w:p>
    <w:p>
      <w:pPr>
        <w:ind w:left="860" w:hanging="316"/>
        <w:spacing w:after="0"/>
        <w:tabs>
          <w:tab w:leader="none" w:pos="860" w:val="left"/>
        </w:tabs>
        <w:numPr>
          <w:ilvl w:val="0"/>
          <w:numId w:val="2"/>
        </w:numPr>
        <w:rPr>
          <w:rFonts w:ascii="Arial" w:cs="Arial" w:eastAsia="Arial" w:hAnsi="Arial"/>
          <w:sz w:val="18"/>
          <w:szCs w:val="18"/>
          <w:color w:val="auto"/>
        </w:rPr>
      </w:pPr>
      <w:r>
        <w:rPr>
          <w:rFonts w:ascii="Arial" w:cs="Arial" w:eastAsia="Arial" w:hAnsi="Arial"/>
          <w:sz w:val="18"/>
          <w:szCs w:val="18"/>
          <w:color w:val="auto"/>
        </w:rPr>
        <w:t>1Q19 earnings per diluted common share (EPS) of $4.16 on a GAAP basis, $4.48 on an Adjusted basis</w:t>
      </w:r>
    </w:p>
    <w:p>
      <w:pPr>
        <w:spacing w:after="0" w:line="130" w:lineRule="exact"/>
        <w:rPr>
          <w:rFonts w:ascii="Arial" w:cs="Arial" w:eastAsia="Arial" w:hAnsi="Arial"/>
          <w:sz w:val="18"/>
          <w:szCs w:val="18"/>
          <w:color w:val="auto"/>
        </w:rPr>
      </w:pPr>
    </w:p>
    <w:p>
      <w:pPr>
        <w:ind w:left="860" w:right="540" w:hanging="316"/>
        <w:spacing w:after="0" w:line="277" w:lineRule="auto"/>
        <w:tabs>
          <w:tab w:leader="none" w:pos="860" w:val="left"/>
        </w:tabs>
        <w:numPr>
          <w:ilvl w:val="0"/>
          <w:numId w:val="2"/>
        </w:numPr>
        <w:rPr>
          <w:rFonts w:ascii="Arial" w:cs="Arial" w:eastAsia="Arial" w:hAnsi="Arial"/>
          <w:sz w:val="18"/>
          <w:szCs w:val="18"/>
          <w:color w:val="auto"/>
        </w:rPr>
      </w:pPr>
      <w:r>
        <w:rPr>
          <w:rFonts w:ascii="Arial" w:cs="Arial" w:eastAsia="Arial" w:hAnsi="Arial"/>
          <w:sz w:val="18"/>
          <w:szCs w:val="18"/>
          <w:color w:val="auto"/>
        </w:rPr>
        <w:t>2019 EPS guidance raised to approximately $16.63 to $16.88 on a GAAP basis, $17.25 to $17.50 on an Adjusted basis, meaningfully exceeding long-term growth targets</w:t>
      </w:r>
    </w:p>
    <w:p>
      <w:pPr>
        <w:spacing w:after="0" w:line="75" w:lineRule="exact"/>
        <w:rPr>
          <w:rFonts w:ascii="Arial" w:cs="Arial" w:eastAsia="Arial" w:hAnsi="Arial"/>
          <w:sz w:val="18"/>
          <w:szCs w:val="18"/>
          <w:color w:val="auto"/>
        </w:rPr>
      </w:pPr>
    </w:p>
    <w:p>
      <w:pPr>
        <w:ind w:left="860" w:hanging="316"/>
        <w:spacing w:after="0"/>
        <w:tabs>
          <w:tab w:leader="none" w:pos="8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Strong start to 2019 driven by better than expected utilization in the individual Medicare Advantage business</w:t>
      </w:r>
    </w:p>
    <w:p>
      <w:pPr>
        <w:spacing w:after="0" w:line="130" w:lineRule="exact"/>
        <w:rPr>
          <w:rFonts w:ascii="Arial" w:cs="Arial" w:eastAsia="Arial" w:hAnsi="Arial"/>
          <w:sz w:val="18"/>
          <w:szCs w:val="18"/>
          <w:color w:val="auto"/>
        </w:rPr>
      </w:pPr>
    </w:p>
    <w:p>
      <w:pPr>
        <w:ind w:left="860" w:right="1000" w:hanging="316"/>
        <w:spacing w:after="0" w:line="277" w:lineRule="auto"/>
        <w:tabs>
          <w:tab w:leader="none" w:pos="8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Increased full year expected individual Medicare Advantage membership growth to 415,000 to 440,000 members, representing approximately 14 percent growth in 2019</w:t>
      </w:r>
    </w:p>
    <w:p>
      <w:pPr>
        <w:spacing w:after="0" w:line="166"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b w:val="1"/>
          <w:bCs w:val="1"/>
          <w:color w:val="auto"/>
        </w:rPr>
        <w:t xml:space="preserve">LOUISVILLE, KY (May 1, 2019) </w:t>
      </w:r>
      <w:r>
        <w:rPr>
          <w:rFonts w:ascii="Arial" w:cs="Arial" w:eastAsia="Arial" w:hAnsi="Arial"/>
          <w:sz w:val="18"/>
          <w:szCs w:val="18"/>
          <w:color w:val="auto"/>
        </w:rPr>
        <w:t>– Humana Inc. (NYSE: HUM) today reported consolidated pretax income and diluted earnings per common share</w:t>
      </w:r>
      <w:r>
        <w:rPr>
          <w:rFonts w:ascii="Arial" w:cs="Arial" w:eastAsia="Arial" w:hAnsi="Arial"/>
          <w:sz w:val="18"/>
          <w:szCs w:val="18"/>
          <w:b w:val="1"/>
          <w:bCs w:val="1"/>
          <w:color w:val="auto"/>
        </w:rPr>
        <w:t xml:space="preserve"> </w:t>
      </w:r>
      <w:r>
        <w:rPr>
          <w:rFonts w:ascii="Arial" w:cs="Arial" w:eastAsia="Arial" w:hAnsi="Arial"/>
          <w:sz w:val="18"/>
          <w:szCs w:val="18"/>
          <w:color w:val="auto"/>
        </w:rPr>
        <w:t>(EPS) for the quarter ended March 31, 2019 (1Q19) versus the quarter ended March 31, 2018 (1Q18) as follows:</w:t>
      </w:r>
    </w:p>
    <w:p>
      <w:pPr>
        <w:spacing w:after="0" w:line="176"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6280" w:type="dxa"/>
            <w:vAlign w:val="bottom"/>
            <w:gridSpan w:val="3"/>
          </w:tcPr>
          <w:p>
            <w:pPr>
              <w:spacing w:after="0"/>
              <w:rPr>
                <w:sz w:val="20"/>
                <w:szCs w:val="20"/>
                <w:color w:val="auto"/>
              </w:rPr>
            </w:pPr>
            <w:r>
              <w:rPr>
                <w:rFonts w:ascii="Arial" w:cs="Arial" w:eastAsia="Arial" w:hAnsi="Arial"/>
                <w:sz w:val="14"/>
                <w:szCs w:val="14"/>
                <w:b w:val="1"/>
                <w:bCs w:val="1"/>
                <w:color w:val="auto"/>
              </w:rPr>
              <w:t>Consolidated pretax income</w:t>
            </w: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6280" w:type="dxa"/>
            <w:vAlign w:val="bottom"/>
            <w:gridSpan w:val="3"/>
          </w:tcPr>
          <w:p>
            <w:pPr>
              <w:spacing w:after="0"/>
              <w:rPr>
                <w:sz w:val="20"/>
                <w:szCs w:val="20"/>
                <w:color w:val="auto"/>
              </w:rPr>
            </w:pPr>
            <w:r>
              <w:rPr>
                <w:rFonts w:ascii="Arial" w:cs="Arial" w:eastAsia="Arial" w:hAnsi="Arial"/>
                <w:sz w:val="14"/>
                <w:szCs w:val="14"/>
                <w:i w:val="1"/>
                <w:iCs w:val="1"/>
                <w:color w:val="auto"/>
              </w:rPr>
              <w:t>In millions</w:t>
            </w:r>
          </w:p>
        </w:tc>
        <w:tc>
          <w:tcPr>
            <w:tcW w:w="900" w:type="dxa"/>
            <w:vAlign w:val="bottom"/>
            <w:gridSpan w:val="3"/>
          </w:tcPr>
          <w:p>
            <w:pPr>
              <w:jc w:val="right"/>
              <w:spacing w:after="0"/>
              <w:rPr>
                <w:sz w:val="20"/>
                <w:szCs w:val="20"/>
                <w:color w:val="auto"/>
              </w:rPr>
            </w:pPr>
            <w:r>
              <w:rPr>
                <w:rFonts w:ascii="Arial" w:cs="Arial" w:eastAsia="Arial" w:hAnsi="Arial"/>
                <w:sz w:val="14"/>
                <w:szCs w:val="14"/>
                <w:b w:val="1"/>
                <w:bCs w:val="1"/>
                <w:color w:val="auto"/>
              </w:rPr>
              <w:t>1Q19 (a)</w:t>
            </w:r>
          </w:p>
        </w:tc>
        <w:tc>
          <w:tcPr>
            <w:tcW w:w="1200" w:type="dxa"/>
            <w:vAlign w:val="bottom"/>
            <w:gridSpan w:val="4"/>
          </w:tcPr>
          <w:p>
            <w:pPr>
              <w:jc w:val="right"/>
              <w:ind w:right="100"/>
              <w:spacing w:after="0"/>
              <w:rPr>
                <w:sz w:val="20"/>
                <w:szCs w:val="20"/>
                <w:color w:val="auto"/>
              </w:rPr>
            </w:pPr>
            <w:r>
              <w:rPr>
                <w:rFonts w:ascii="Arial" w:cs="Arial" w:eastAsia="Arial" w:hAnsi="Arial"/>
                <w:sz w:val="14"/>
                <w:szCs w:val="14"/>
                <w:color w:val="auto"/>
              </w:rPr>
              <w:t>1Q18 (b)</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Borders>
              <w:bottom w:val="single" w:sz="8" w:color="CCEEFF"/>
            </w:tcBorders>
            <w:shd w:val="clear" w:color="auto" w:fill="000000"/>
          </w:tcPr>
          <w:p>
            <w:pPr>
              <w:spacing w:after="0" w:line="20" w:lineRule="exact"/>
              <w:rPr>
                <w:sz w:val="1"/>
                <w:szCs w:val="1"/>
                <w:color w:val="auto"/>
              </w:rPr>
            </w:pPr>
          </w:p>
        </w:tc>
        <w:tc>
          <w:tcPr>
            <w:tcW w:w="56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26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Generally Accepted Accounting Principles (GAAP)</w:t>
            </w: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3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746</w:t>
            </w: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3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707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tcPr>
          <w:p>
            <w:pPr>
              <w:spacing w:after="0"/>
              <w:rPr>
                <w:sz w:val="20"/>
                <w:szCs w:val="20"/>
                <w:color w:val="auto"/>
              </w:rPr>
            </w:pPr>
            <w:r>
              <w:rPr>
                <w:rFonts w:ascii="Arial" w:cs="Arial" w:eastAsia="Arial" w:hAnsi="Arial"/>
                <w:sz w:val="18"/>
                <w:szCs w:val="18"/>
                <w:color w:val="auto"/>
              </w:rPr>
              <w:t>Amortization associated with identifiable intangibles</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b w:val="1"/>
                <w:bCs w:val="1"/>
                <w:color w:val="auto"/>
              </w:rPr>
              <w:t>18</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2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6"/>
              </w:rPr>
              <w:t>Put/call valuation adjustments associated with 40% minority interest in Kindred at</w:t>
            </w: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39</w:t>
            </w: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Home</w:t>
            </w:r>
          </w:p>
        </w:tc>
        <w:tc>
          <w:tcPr>
            <w:tcW w:w="3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80" w:type="dxa"/>
            <w:vAlign w:val="bottom"/>
            <w:vMerge w:val="continue"/>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tcPr>
          <w:p>
            <w:pPr>
              <w:spacing w:after="0"/>
              <w:rPr>
                <w:sz w:val="20"/>
                <w:szCs w:val="20"/>
                <w:color w:val="auto"/>
              </w:rPr>
            </w:pPr>
            <w:r>
              <w:rPr>
                <w:rFonts w:ascii="Arial" w:cs="Arial" w:eastAsia="Arial" w:hAnsi="Arial"/>
                <w:sz w:val="18"/>
                <w:szCs w:val="18"/>
                <w:color w:val="auto"/>
              </w:rPr>
              <w:t>Segment earnings associated with the Individual Commercial Segment</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Adjusted (non-GAAP)</w:t>
            </w:r>
          </w:p>
        </w:tc>
        <w:tc>
          <w:tcPr>
            <w:tcW w:w="52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803</w:t>
            </w:r>
          </w:p>
        </w:tc>
        <w:tc>
          <w:tcPr>
            <w:tcW w:w="74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6280" w:type="dxa"/>
            <w:vAlign w:val="bottom"/>
            <w:gridSpan w:val="3"/>
          </w:tcPr>
          <w:p>
            <w:pPr>
              <w:jc w:val="right"/>
              <w:ind w:right="2040"/>
              <w:spacing w:after="0"/>
              <w:rPr>
                <w:sz w:val="20"/>
                <w:szCs w:val="20"/>
                <w:color w:val="auto"/>
              </w:rPr>
            </w:pPr>
            <w:r>
              <w:rPr>
                <w:rFonts w:ascii="Arial" w:cs="Arial" w:eastAsia="Arial" w:hAnsi="Arial"/>
                <w:sz w:val="18"/>
                <w:szCs w:val="18"/>
                <w:color w:val="auto"/>
              </w:rPr>
              <w:t>1</w:t>
            </w: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121" w:right="439" w:bottom="1440" w:gutter="0" w:footer="0" w:header="0"/>
        </w:sectPr>
      </w:pPr>
    </w:p>
    <w:bookmarkStart w:id="4" w:name="page5"/>
    <w:bookmarkEnd w:id="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1320" w:type="dxa"/>
        <w:tblCellMar>
          <w:top w:w="0" w:type="dxa"/>
          <w:left w:w="0" w:type="dxa"/>
          <w:bottom w:w="0" w:type="dxa"/>
          <w:right w:w="0" w:type="dxa"/>
        </w:tblCellMar>
      </w:tblPr>
      <w:tr>
        <w:trPr>
          <w:trHeight w:val="191"/>
        </w:trPr>
        <w:tc>
          <w:tcPr>
            <w:tcW w:w="6320" w:type="dxa"/>
            <w:vAlign w:val="bottom"/>
            <w:gridSpan w:val="3"/>
          </w:tcPr>
          <w:p>
            <w:pPr>
              <w:spacing w:after="0"/>
              <w:rPr>
                <w:sz w:val="20"/>
                <w:szCs w:val="20"/>
                <w:color w:val="auto"/>
              </w:rPr>
            </w:pPr>
            <w:r>
              <w:rPr>
                <w:rFonts w:ascii="Arial" w:cs="Arial" w:eastAsia="Arial" w:hAnsi="Arial"/>
                <w:sz w:val="14"/>
                <w:szCs w:val="14"/>
                <w:b w:val="1"/>
                <w:bCs w:val="1"/>
                <w:color w:val="auto"/>
              </w:rPr>
              <w:t>Diluted earnings per common share (EPS)</w:t>
            </w:r>
          </w:p>
        </w:tc>
        <w:tc>
          <w:tcPr>
            <w:tcW w:w="920" w:type="dxa"/>
            <w:vAlign w:val="bottom"/>
            <w:gridSpan w:val="3"/>
          </w:tcPr>
          <w:p>
            <w:pPr>
              <w:jc w:val="right"/>
              <w:spacing w:after="0"/>
              <w:rPr>
                <w:sz w:val="20"/>
                <w:szCs w:val="20"/>
                <w:color w:val="auto"/>
              </w:rPr>
            </w:pPr>
            <w:r>
              <w:rPr>
                <w:rFonts w:ascii="Arial" w:cs="Arial" w:eastAsia="Arial" w:hAnsi="Arial"/>
                <w:sz w:val="14"/>
                <w:szCs w:val="14"/>
                <w:b w:val="1"/>
                <w:bCs w:val="1"/>
                <w:color w:val="auto"/>
              </w:rPr>
              <w:t>1Q19 (a)</w:t>
            </w:r>
          </w:p>
        </w:tc>
        <w:tc>
          <w:tcPr>
            <w:tcW w:w="1140" w:type="dxa"/>
            <w:vAlign w:val="bottom"/>
            <w:gridSpan w:val="4"/>
          </w:tcPr>
          <w:p>
            <w:pPr>
              <w:jc w:val="right"/>
              <w:ind w:right="100"/>
              <w:spacing w:after="0"/>
              <w:rPr>
                <w:sz w:val="20"/>
                <w:szCs w:val="20"/>
                <w:color w:val="auto"/>
              </w:rPr>
            </w:pPr>
            <w:r>
              <w:rPr>
                <w:rFonts w:ascii="Arial" w:cs="Arial" w:eastAsia="Arial" w:hAnsi="Arial"/>
                <w:sz w:val="14"/>
                <w:szCs w:val="14"/>
                <w:color w:val="auto"/>
              </w:rPr>
              <w:t>1Q18 (b)</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GAAP</w:t>
            </w:r>
          </w:p>
        </w:tc>
        <w:tc>
          <w:tcPr>
            <w:tcW w:w="37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3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4.16</w:t>
            </w:r>
          </w:p>
        </w:tc>
        <w:tc>
          <w:tcPr>
            <w:tcW w:w="5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3.53</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tcPr>
          <w:p>
            <w:pPr>
              <w:spacing w:after="0"/>
              <w:rPr>
                <w:sz w:val="20"/>
                <w:szCs w:val="20"/>
                <w:color w:val="auto"/>
              </w:rPr>
            </w:pPr>
            <w:r>
              <w:rPr>
                <w:rFonts w:ascii="Arial" w:cs="Arial" w:eastAsia="Arial" w:hAnsi="Arial"/>
                <w:sz w:val="18"/>
                <w:szCs w:val="18"/>
                <w:color w:val="auto"/>
              </w:rPr>
              <w:t>Amortization associated with identifiable intangibles</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b w:val="1"/>
                <w:bCs w:val="1"/>
                <w:color w:val="auto"/>
              </w:rPr>
              <w:t>0.10</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3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7"/>
              </w:rPr>
              <w:t>Put/call valuation adjustments associated with 40% minority interest in Kindred at</w:t>
            </w: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0.22</w:t>
            </w: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Home</w:t>
            </w:r>
          </w:p>
        </w:tc>
        <w:tc>
          <w:tcPr>
            <w:tcW w:w="3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80" w:type="dxa"/>
            <w:vAlign w:val="bottom"/>
            <w:vMerge w:val="continue"/>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tcPr>
          <w:p>
            <w:pPr>
              <w:spacing w:after="0"/>
              <w:rPr>
                <w:sz w:val="20"/>
                <w:szCs w:val="20"/>
                <w:color w:val="auto"/>
              </w:rPr>
            </w:pPr>
            <w:r>
              <w:rPr>
                <w:rFonts w:ascii="Arial" w:cs="Arial" w:eastAsia="Arial" w:hAnsi="Arial"/>
                <w:sz w:val="18"/>
                <w:szCs w:val="18"/>
                <w:color w:val="auto"/>
              </w:rPr>
              <w:t>Segment earnings associated with the Individual Commercial segment</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(0.29)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3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8"/>
              </w:rPr>
              <w:t>Adjustments to provisional estimates for the income tax effects related to the tax</w:t>
            </w: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8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reform law enacted on December 22, 2017 (Tax Reform Law)</w:t>
            </w:r>
          </w:p>
        </w:tc>
        <w:tc>
          <w:tcPr>
            <w:tcW w:w="3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80" w:type="dxa"/>
            <w:vAlign w:val="bottom"/>
            <w:vMerge w:val="continue"/>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(0.05)</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300" w:type="dxa"/>
            <w:vAlign w:val="bottom"/>
            <w:gridSpan w:val="2"/>
          </w:tcPr>
          <w:p>
            <w:pPr>
              <w:spacing w:after="0"/>
              <w:rPr>
                <w:sz w:val="20"/>
                <w:szCs w:val="20"/>
                <w:color w:val="auto"/>
              </w:rPr>
            </w:pPr>
            <w:r>
              <w:rPr>
                <w:rFonts w:ascii="Arial" w:cs="Arial" w:eastAsia="Arial" w:hAnsi="Arial"/>
                <w:sz w:val="18"/>
                <w:szCs w:val="18"/>
                <w:b w:val="1"/>
                <w:bCs w:val="1"/>
                <w:color w:val="auto"/>
              </w:rPr>
              <w:t>Adjusted (non-GAAP)</w:t>
            </w:r>
          </w:p>
        </w:tc>
        <w:tc>
          <w:tcPr>
            <w:tcW w:w="540" w:type="dxa"/>
            <w:vAlign w:val="bottom"/>
            <w:gridSpan w:val="2"/>
          </w:tcPr>
          <w:p>
            <w:pPr>
              <w:jc w:val="right"/>
              <w:ind w:right="5"/>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jc w:val="right"/>
              <w:spacing w:after="0"/>
              <w:rPr>
                <w:sz w:val="20"/>
                <w:szCs w:val="20"/>
                <w:color w:val="auto"/>
              </w:rPr>
            </w:pPr>
            <w:r>
              <w:rPr>
                <w:rFonts w:ascii="Arial" w:cs="Arial" w:eastAsia="Arial" w:hAnsi="Arial"/>
                <w:sz w:val="18"/>
                <w:szCs w:val="18"/>
                <w:b w:val="1"/>
                <w:bCs w:val="1"/>
                <w:color w:val="auto"/>
              </w:rPr>
              <w:t>4.48</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3.36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right="120"/>
        <w:spacing w:after="0" w:line="229" w:lineRule="auto"/>
        <w:rPr>
          <w:sz w:val="20"/>
          <w:szCs w:val="20"/>
          <w:color w:val="auto"/>
        </w:rPr>
      </w:pPr>
      <w:r>
        <w:rPr>
          <w:rFonts w:ascii="Arial" w:cs="Arial" w:eastAsia="Arial" w:hAnsi="Arial"/>
          <w:sz w:val="14"/>
          <w:szCs w:val="14"/>
          <w:color w:val="auto"/>
        </w:rPr>
        <w:t>The company has included financial measures throughout this earnings release that are not in accordance with GAAP. Management believes that these measures, when presented in conjunction with the comparable GAAP measures, are useful to both management and its investors in analyzing the company’s ongoing business and operating performance. Consequently, management uses these non-GAAP (Adjusted) financial measures as indicators of the company’s business performance, as well as for operational planning and decision making purposes. Non-GAAP (Adjusted) financial measures should be considered in addition to, but not as a substitute for, or superior to, financial measures prepared in accordance with GAAP. All financial measures in this press release are in accordance with GAAP unless otherwise indicated. Please refer to the footnotes for a detailed description of each item adjusted out of GAAP financial measures to arrive at a non-GAAP (Adjusted) financial measure.</w:t>
      </w:r>
    </w:p>
    <w:p>
      <w:pPr>
        <w:spacing w:after="0" w:line="190"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“In a year of strong Medicare Advantage membership growth for the industry, driven in no small part by the health insurance industry fee suspension and the resulting increased benefits offered to seniors nationwide, we are pleased to be able to deliver industry leading individual Medicare Advantage membership growth of 415,000 to 440,000 members together with above target earnings growth for 2019.” said Bruce D. Broussard, Humana’s President and Chief Executive Officer. “Each day, more and more seniors are choosing Medicare Advantage, a program that today has over 22 million members, demonstrating the compelling value of a program that delivers affordable, quality care for seniors and improved clinical outcomes as payers and providers work together to understand each member’s whole health and help them navigate the complex healthcare system.”</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Summary of 1Q19 Results</w:t>
      </w:r>
    </w:p>
    <w:p>
      <w:pPr>
        <w:spacing w:after="0" w:line="12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GAAP and Adjusted pretax income and EPS results for 1Q19 exceeded management expectations, primarily driven by lower than anticipated utilization in the individual Medicare Advantage business.</w:t>
      </w:r>
    </w:p>
    <w:p>
      <w:pPr>
        <w:spacing w:after="0" w:line="170"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The company’s year-over-year consolidated GAAP and Adjusted pretax results in 1Q19 were favorably impacted by the solid performance of the company’s Medicare Advantage business and significant operating cost efficiencies driven by productivity initiatives previously implemented. As expected, the company’s higher-than-anticipated individual Medicare Advantage membership growth during the recently completed Annual Election Period (AEP) had a muted impact on the consolidated earnings in 1Q19. While new Medicare Advantage members increase revenues, on average, they have a breakeven impact on pretax earnings in the first year as they were not previously engaged in clinical programs or appropriately documented under the Centers for Medicare and Medicaid Services (CMS) risk-adjustment model.</w:t>
      </w:r>
    </w:p>
    <w:p>
      <w:pPr>
        <w:spacing w:after="0" w:line="17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year-over-year changes in GAAP and Adjusted EPS for 1Q19 reflected the same factors impacting GAAP and Adjusted consolidated pretax income comparisons as well as the beneficial impact of the temporary suspension of the health insurance industry fee (HIF) in 2019. In addition, year-over-year comparisons of both GAAP and Adjusted EPS are favorably impacted by a lower number of shares used to compute EPS, primarily reflecting share repurchases.</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65" w:right="459" w:bottom="1440" w:gutter="0" w:footer="0" w:header="0"/>
        </w:sectPr>
      </w:pPr>
    </w:p>
    <w:bookmarkStart w:id="5" w:name="page6"/>
    <w:bookmarkEnd w:id="5"/>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Please refer to the consolidated and segment highlight sections that follow for additional discussion of the factors impacting the year-over-year results.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 addition, below is a summary of key consolidated and segment statistics comparing 1Q19 to 1Q18.</w:t>
      </w:r>
    </w:p>
    <w:p>
      <w:pPr>
        <w:spacing w:after="0" w:line="370"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6060" w:type="dxa"/>
            <w:vAlign w:val="bottom"/>
            <w:gridSpan w:val="3"/>
          </w:tcPr>
          <w:p>
            <w:pPr>
              <w:spacing w:after="0"/>
              <w:rPr>
                <w:sz w:val="20"/>
                <w:szCs w:val="20"/>
                <w:color w:val="auto"/>
              </w:rPr>
            </w:pPr>
            <w:r>
              <w:rPr>
                <w:rFonts w:ascii="Arial" w:cs="Arial" w:eastAsia="Arial" w:hAnsi="Arial"/>
                <w:sz w:val="14"/>
                <w:szCs w:val="14"/>
                <w:b w:val="1"/>
                <w:bCs w:val="1"/>
                <w:color w:val="auto"/>
              </w:rPr>
              <w:t>Humana Inc. Summary of Quarter Results</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87"/>
        </w:trPr>
        <w:tc>
          <w:tcPr>
            <w:tcW w:w="6060" w:type="dxa"/>
            <w:vAlign w:val="bottom"/>
            <w:gridSpan w:val="3"/>
          </w:tcPr>
          <w:p>
            <w:pPr>
              <w:spacing w:after="0"/>
              <w:rPr>
                <w:sz w:val="20"/>
                <w:szCs w:val="20"/>
                <w:color w:val="auto"/>
              </w:rPr>
            </w:pPr>
            <w:r>
              <w:rPr>
                <w:rFonts w:ascii="Arial" w:cs="Arial" w:eastAsia="Arial" w:hAnsi="Arial"/>
                <w:sz w:val="14"/>
                <w:szCs w:val="14"/>
                <w:i w:val="1"/>
                <w:iCs w:val="1"/>
                <w:color w:val="auto"/>
              </w:rPr>
              <w:t>(dollars in millions, except per share amounts)</w:t>
            </w:r>
          </w:p>
        </w:tc>
        <w:tc>
          <w:tcPr>
            <w:tcW w:w="260" w:type="dxa"/>
            <w:vAlign w:val="bottom"/>
          </w:tcPr>
          <w:p>
            <w:pPr>
              <w:spacing w:after="0"/>
              <w:rPr>
                <w:sz w:val="16"/>
                <w:szCs w:val="16"/>
                <w:color w:val="auto"/>
              </w:rPr>
            </w:pPr>
          </w:p>
        </w:tc>
        <w:tc>
          <w:tcPr>
            <w:tcW w:w="100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w w:val="97"/>
              </w:rPr>
              <w:t>1Q19 (a)</w:t>
            </w:r>
          </w:p>
        </w:tc>
        <w:tc>
          <w:tcPr>
            <w:tcW w:w="240" w:type="dxa"/>
            <w:vAlign w:val="bottom"/>
          </w:tcPr>
          <w:p>
            <w:pPr>
              <w:spacing w:after="0"/>
              <w:rPr>
                <w:sz w:val="16"/>
                <w:szCs w:val="16"/>
                <w:color w:val="auto"/>
              </w:rPr>
            </w:pPr>
          </w:p>
        </w:tc>
        <w:tc>
          <w:tcPr>
            <w:tcW w:w="820" w:type="dxa"/>
            <w:vAlign w:val="bottom"/>
            <w:gridSpan w:val="3"/>
          </w:tcPr>
          <w:p>
            <w:pPr>
              <w:jc w:val="right"/>
              <w:ind w:right="260"/>
              <w:spacing w:after="0"/>
              <w:rPr>
                <w:sz w:val="20"/>
                <w:szCs w:val="20"/>
                <w:color w:val="auto"/>
              </w:rPr>
            </w:pPr>
            <w:r>
              <w:rPr>
                <w:rFonts w:ascii="Arial" w:cs="Arial" w:eastAsia="Arial" w:hAnsi="Arial"/>
                <w:sz w:val="14"/>
                <w:szCs w:val="14"/>
                <w:color w:val="auto"/>
                <w:w w:val="97"/>
              </w:rPr>
              <w:t>1Q18 (b)</w:t>
            </w:r>
          </w:p>
        </w:tc>
      </w:tr>
      <w:tr>
        <w:trPr>
          <w:trHeight w:val="190"/>
        </w:trPr>
        <w:tc>
          <w:tcPr>
            <w:tcW w:w="20" w:type="dxa"/>
            <w:vAlign w:val="bottom"/>
          </w:tcPr>
          <w:p>
            <w:pPr>
              <w:spacing w:after="0"/>
              <w:rPr>
                <w:sz w:val="16"/>
                <w:szCs w:val="16"/>
                <w:color w:val="auto"/>
              </w:rPr>
            </w:pPr>
          </w:p>
        </w:tc>
        <w:tc>
          <w:tcPr>
            <w:tcW w:w="270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Consolidated results:</w:t>
            </w:r>
          </w:p>
        </w:tc>
        <w:tc>
          <w:tcPr>
            <w:tcW w:w="334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tcPr>
          <w:p>
            <w:pPr>
              <w:ind w:left="340"/>
              <w:spacing w:after="0"/>
              <w:rPr>
                <w:sz w:val="20"/>
                <w:szCs w:val="20"/>
                <w:color w:val="auto"/>
              </w:rPr>
            </w:pPr>
            <w:r>
              <w:rPr>
                <w:rFonts w:ascii="Arial" w:cs="Arial" w:eastAsia="Arial" w:hAnsi="Arial"/>
                <w:sz w:val="18"/>
                <w:szCs w:val="18"/>
                <w:b w:val="1"/>
                <w:bCs w:val="1"/>
                <w:color w:val="auto"/>
              </w:rPr>
              <w:t>Revenues – GAAP</w:t>
            </w:r>
          </w:p>
        </w:tc>
        <w:tc>
          <w:tcPr>
            <w:tcW w:w="3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w w:val="87"/>
              </w:rPr>
              <w:t>16,107</w:t>
            </w:r>
          </w:p>
        </w:tc>
        <w:tc>
          <w:tcPr>
            <w:tcW w:w="40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w w:val="87"/>
              </w:rPr>
              <w:t>14,279</w:t>
            </w: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shd w:val="clear" w:color="auto" w:fill="CCEEFF"/>
          </w:tcPr>
          <w:p>
            <w:pPr>
              <w:ind w:left="340"/>
              <w:spacing w:after="0"/>
              <w:rPr>
                <w:sz w:val="20"/>
                <w:szCs w:val="20"/>
                <w:color w:val="auto"/>
              </w:rPr>
            </w:pPr>
            <w:r>
              <w:rPr>
                <w:rFonts w:ascii="Arial" w:cs="Arial" w:eastAsia="Arial" w:hAnsi="Arial"/>
                <w:sz w:val="18"/>
                <w:szCs w:val="18"/>
                <w:b w:val="1"/>
                <w:bCs w:val="1"/>
                <w:color w:val="auto"/>
              </w:rPr>
              <w:t>Revenues – Adjusted</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16,107</w:t>
            </w:r>
          </w:p>
        </w:tc>
        <w:tc>
          <w:tcPr>
            <w:tcW w:w="4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14,284</w:t>
            </w:r>
          </w:p>
        </w:tc>
        <w:tc>
          <w:tcPr>
            <w:tcW w:w="2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tcPr>
          <w:p>
            <w:pPr>
              <w:ind w:left="340"/>
              <w:spacing w:after="0"/>
              <w:rPr>
                <w:sz w:val="20"/>
                <w:szCs w:val="20"/>
                <w:color w:val="auto"/>
              </w:rPr>
            </w:pPr>
            <w:r>
              <w:rPr>
                <w:rFonts w:ascii="Arial" w:cs="Arial" w:eastAsia="Arial" w:hAnsi="Arial"/>
                <w:sz w:val="18"/>
                <w:szCs w:val="18"/>
                <w:b w:val="1"/>
                <w:bCs w:val="1"/>
                <w:color w:val="auto"/>
              </w:rPr>
              <w:t>Pretax income – GAAP</w:t>
            </w:r>
          </w:p>
        </w:tc>
        <w:tc>
          <w:tcPr>
            <w:tcW w:w="3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746</w:t>
            </w:r>
          </w:p>
        </w:tc>
        <w:tc>
          <w:tcPr>
            <w:tcW w:w="40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707</w:t>
            </w: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shd w:val="clear" w:color="auto" w:fill="CCEEFF"/>
          </w:tcPr>
          <w:p>
            <w:pPr>
              <w:ind w:left="340"/>
              <w:spacing w:after="0"/>
              <w:rPr>
                <w:sz w:val="20"/>
                <w:szCs w:val="20"/>
                <w:color w:val="auto"/>
              </w:rPr>
            </w:pPr>
            <w:r>
              <w:rPr>
                <w:rFonts w:ascii="Arial" w:cs="Arial" w:eastAsia="Arial" w:hAnsi="Arial"/>
                <w:sz w:val="18"/>
                <w:szCs w:val="18"/>
                <w:b w:val="1"/>
                <w:bCs w:val="1"/>
                <w:color w:val="auto"/>
              </w:rPr>
              <w:t>Pretax income – Adjusted</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803</w:t>
            </w:r>
          </w:p>
        </w:tc>
        <w:tc>
          <w:tcPr>
            <w:tcW w:w="4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684</w:t>
            </w:r>
          </w:p>
        </w:tc>
        <w:tc>
          <w:tcPr>
            <w:tcW w:w="2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tcPr>
          <w:p>
            <w:pPr>
              <w:ind w:left="340"/>
              <w:spacing w:after="0"/>
              <w:rPr>
                <w:sz w:val="20"/>
                <w:szCs w:val="20"/>
                <w:color w:val="auto"/>
              </w:rPr>
            </w:pPr>
            <w:r>
              <w:rPr>
                <w:rFonts w:ascii="Arial" w:cs="Arial" w:eastAsia="Arial" w:hAnsi="Arial"/>
                <w:sz w:val="18"/>
                <w:szCs w:val="18"/>
                <w:b w:val="1"/>
                <w:bCs w:val="1"/>
                <w:color w:val="auto"/>
              </w:rPr>
              <w:t>EPS – GAAP</w:t>
            </w:r>
          </w:p>
        </w:tc>
        <w:tc>
          <w:tcPr>
            <w:tcW w:w="3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4.16</w:t>
            </w:r>
          </w:p>
        </w:tc>
        <w:tc>
          <w:tcPr>
            <w:tcW w:w="40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3.53</w:t>
            </w: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shd w:val="clear" w:color="auto" w:fill="CCEEFF"/>
          </w:tcPr>
          <w:p>
            <w:pPr>
              <w:ind w:left="340"/>
              <w:spacing w:after="0"/>
              <w:rPr>
                <w:sz w:val="20"/>
                <w:szCs w:val="20"/>
                <w:color w:val="auto"/>
              </w:rPr>
            </w:pPr>
            <w:r>
              <w:rPr>
                <w:rFonts w:ascii="Arial" w:cs="Arial" w:eastAsia="Arial" w:hAnsi="Arial"/>
                <w:sz w:val="18"/>
                <w:szCs w:val="18"/>
                <w:b w:val="1"/>
                <w:bCs w:val="1"/>
                <w:color w:val="auto"/>
              </w:rPr>
              <w:t>EPS – Adjusted</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4.48</w:t>
            </w:r>
          </w:p>
        </w:tc>
        <w:tc>
          <w:tcPr>
            <w:tcW w:w="4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3.36</w:t>
            </w:r>
          </w:p>
        </w:tc>
        <w:tc>
          <w:tcPr>
            <w:tcW w:w="2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tcPr>
          <w:p>
            <w:pPr>
              <w:ind w:left="340"/>
              <w:spacing w:after="0"/>
              <w:rPr>
                <w:sz w:val="20"/>
                <w:szCs w:val="20"/>
                <w:color w:val="auto"/>
              </w:rPr>
            </w:pPr>
            <w:r>
              <w:rPr>
                <w:rFonts w:ascii="Arial" w:cs="Arial" w:eastAsia="Arial" w:hAnsi="Arial"/>
                <w:sz w:val="18"/>
                <w:szCs w:val="18"/>
                <w:b w:val="1"/>
                <w:bCs w:val="1"/>
                <w:color w:val="auto"/>
              </w:rPr>
              <w:t>Benefits expense ratio – GAAP</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86.2%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84.5%</w:t>
            </w:r>
          </w:p>
        </w:tc>
      </w:tr>
      <w:tr>
        <w:trPr>
          <w:trHeight w:val="216"/>
        </w:trPr>
        <w:tc>
          <w:tcPr>
            <w:tcW w:w="20" w:type="dxa"/>
            <w:vAlign w:val="bottom"/>
          </w:tcPr>
          <w:p>
            <w:pPr>
              <w:spacing w:after="0"/>
              <w:rPr>
                <w:sz w:val="18"/>
                <w:szCs w:val="18"/>
                <w:color w:val="auto"/>
              </w:rPr>
            </w:pPr>
          </w:p>
        </w:tc>
        <w:tc>
          <w:tcPr>
            <w:tcW w:w="6040" w:type="dxa"/>
            <w:vAlign w:val="bottom"/>
            <w:gridSpan w:val="2"/>
            <w:shd w:val="clear" w:color="auto" w:fill="CCEEFF"/>
          </w:tcPr>
          <w:p>
            <w:pPr>
              <w:ind w:left="340"/>
              <w:spacing w:after="0"/>
              <w:rPr>
                <w:sz w:val="20"/>
                <w:szCs w:val="20"/>
                <w:color w:val="auto"/>
              </w:rPr>
            </w:pPr>
            <w:r>
              <w:rPr>
                <w:rFonts w:ascii="Arial" w:cs="Arial" w:eastAsia="Arial" w:hAnsi="Arial"/>
                <w:sz w:val="18"/>
                <w:szCs w:val="18"/>
                <w:b w:val="1"/>
                <w:bCs w:val="1"/>
                <w:color w:val="auto"/>
              </w:rPr>
              <w:t>Benefits expense ratio – Adjusted</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86.2%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84.9%</w:t>
            </w:r>
          </w:p>
        </w:tc>
      </w:tr>
      <w:tr>
        <w:trPr>
          <w:trHeight w:val="216"/>
        </w:trPr>
        <w:tc>
          <w:tcPr>
            <w:tcW w:w="20" w:type="dxa"/>
            <w:vAlign w:val="bottom"/>
          </w:tcPr>
          <w:p>
            <w:pPr>
              <w:spacing w:after="0"/>
              <w:rPr>
                <w:sz w:val="18"/>
                <w:szCs w:val="18"/>
                <w:color w:val="auto"/>
              </w:rPr>
            </w:pPr>
          </w:p>
        </w:tc>
        <w:tc>
          <w:tcPr>
            <w:tcW w:w="6040" w:type="dxa"/>
            <w:vAlign w:val="bottom"/>
            <w:gridSpan w:val="2"/>
          </w:tcPr>
          <w:p>
            <w:pPr>
              <w:ind w:left="340"/>
              <w:spacing w:after="0"/>
              <w:rPr>
                <w:sz w:val="20"/>
                <w:szCs w:val="20"/>
                <w:color w:val="auto"/>
              </w:rPr>
            </w:pPr>
            <w:r>
              <w:rPr>
                <w:rFonts w:ascii="Arial" w:cs="Arial" w:eastAsia="Arial" w:hAnsi="Arial"/>
                <w:sz w:val="18"/>
                <w:szCs w:val="18"/>
                <w:b w:val="1"/>
                <w:bCs w:val="1"/>
                <w:color w:val="auto"/>
              </w:rPr>
              <w:t>Operating cost ratio – GAAP</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10.4%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12.4%</w:t>
            </w:r>
          </w:p>
        </w:tc>
      </w:tr>
      <w:tr>
        <w:trPr>
          <w:trHeight w:val="216"/>
        </w:trPr>
        <w:tc>
          <w:tcPr>
            <w:tcW w:w="20" w:type="dxa"/>
            <w:vAlign w:val="bottom"/>
          </w:tcPr>
          <w:p>
            <w:pPr>
              <w:spacing w:after="0"/>
              <w:rPr>
                <w:sz w:val="18"/>
                <w:szCs w:val="18"/>
                <w:color w:val="auto"/>
              </w:rPr>
            </w:pPr>
          </w:p>
        </w:tc>
        <w:tc>
          <w:tcPr>
            <w:tcW w:w="6040" w:type="dxa"/>
            <w:vAlign w:val="bottom"/>
            <w:gridSpan w:val="2"/>
            <w:shd w:val="clear" w:color="auto" w:fill="CCEEFF"/>
          </w:tcPr>
          <w:p>
            <w:pPr>
              <w:ind w:left="340"/>
              <w:spacing w:after="0"/>
              <w:rPr>
                <w:sz w:val="20"/>
                <w:szCs w:val="20"/>
                <w:color w:val="auto"/>
              </w:rPr>
            </w:pPr>
            <w:r>
              <w:rPr>
                <w:rFonts w:ascii="Arial" w:cs="Arial" w:eastAsia="Arial" w:hAnsi="Arial"/>
                <w:sz w:val="18"/>
                <w:szCs w:val="18"/>
                <w:b w:val="1"/>
                <w:bCs w:val="1"/>
                <w:color w:val="auto"/>
              </w:rPr>
              <w:t>Operating cash flows – GAAP</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896</w:t>
            </w:r>
          </w:p>
        </w:tc>
        <w:tc>
          <w:tcPr>
            <w:tcW w:w="4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3,686</w:t>
            </w:r>
          </w:p>
        </w:tc>
        <w:tc>
          <w:tcPr>
            <w:tcW w:w="2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tcPr>
          <w:p>
            <w:pPr>
              <w:ind w:left="340"/>
              <w:spacing w:after="0"/>
              <w:rPr>
                <w:sz w:val="20"/>
                <w:szCs w:val="20"/>
                <w:color w:val="auto"/>
              </w:rPr>
            </w:pPr>
            <w:r>
              <w:rPr>
                <w:rFonts w:ascii="Arial" w:cs="Arial" w:eastAsia="Arial" w:hAnsi="Arial"/>
                <w:sz w:val="18"/>
                <w:szCs w:val="18"/>
                <w:b w:val="1"/>
                <w:bCs w:val="1"/>
                <w:color w:val="auto"/>
              </w:rPr>
              <w:t>Operating cash flows – Adjusted</w:t>
            </w:r>
          </w:p>
        </w:tc>
        <w:tc>
          <w:tcPr>
            <w:tcW w:w="3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896</w:t>
            </w:r>
          </w:p>
        </w:tc>
        <w:tc>
          <w:tcPr>
            <w:tcW w:w="40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351</w:t>
            </w: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shd w:val="clear" w:color="auto" w:fill="CCEEFF"/>
          </w:tcPr>
          <w:p>
            <w:pPr>
              <w:ind w:left="340"/>
              <w:spacing w:after="0"/>
              <w:rPr>
                <w:sz w:val="20"/>
                <w:szCs w:val="20"/>
                <w:color w:val="auto"/>
              </w:rPr>
            </w:pPr>
            <w:r>
              <w:rPr>
                <w:rFonts w:ascii="Arial" w:cs="Arial" w:eastAsia="Arial" w:hAnsi="Arial"/>
                <w:sz w:val="18"/>
                <w:szCs w:val="18"/>
                <w:b w:val="1"/>
                <w:bCs w:val="1"/>
                <w:color w:val="auto"/>
              </w:rPr>
              <w:t>Parent company cash and short term investments</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721</w:t>
            </w:r>
          </w:p>
        </w:tc>
        <w:tc>
          <w:tcPr>
            <w:tcW w:w="4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567</w:t>
            </w:r>
          </w:p>
        </w:tc>
        <w:tc>
          <w:tcPr>
            <w:tcW w:w="2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tcPr>
          <w:p>
            <w:pPr>
              <w:ind w:left="340"/>
              <w:spacing w:after="0"/>
              <w:rPr>
                <w:sz w:val="20"/>
                <w:szCs w:val="20"/>
                <w:color w:val="auto"/>
              </w:rPr>
            </w:pPr>
            <w:r>
              <w:rPr>
                <w:rFonts w:ascii="Arial" w:cs="Arial" w:eastAsia="Arial" w:hAnsi="Arial"/>
                <w:sz w:val="18"/>
                <w:szCs w:val="18"/>
                <w:b w:val="1"/>
                <w:bCs w:val="1"/>
                <w:color w:val="auto"/>
              </w:rPr>
              <w:t>Debt-to-total capitalization</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36.0%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33.9%</w:t>
            </w:r>
          </w:p>
        </w:tc>
      </w:tr>
      <w:tr>
        <w:trPr>
          <w:trHeight w:val="216"/>
        </w:trPr>
        <w:tc>
          <w:tcPr>
            <w:tcW w:w="20" w:type="dxa"/>
            <w:vAlign w:val="bottom"/>
          </w:tcPr>
          <w:p>
            <w:pPr>
              <w:spacing w:after="0"/>
              <w:rPr>
                <w:sz w:val="18"/>
                <w:szCs w:val="18"/>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Retail segment results:</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tcPr>
          <w:p>
            <w:pPr>
              <w:ind w:left="340"/>
              <w:spacing w:after="0"/>
              <w:rPr>
                <w:sz w:val="20"/>
                <w:szCs w:val="20"/>
                <w:color w:val="auto"/>
              </w:rPr>
            </w:pPr>
            <w:r>
              <w:rPr>
                <w:rFonts w:ascii="Arial" w:cs="Arial" w:eastAsia="Arial" w:hAnsi="Arial"/>
                <w:sz w:val="18"/>
                <w:szCs w:val="18"/>
                <w:b w:val="1"/>
                <w:bCs w:val="1"/>
                <w:color w:val="auto"/>
              </w:rPr>
              <w:t>Revenues – GAAP</w:t>
            </w:r>
          </w:p>
        </w:tc>
        <w:tc>
          <w:tcPr>
            <w:tcW w:w="3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w w:val="87"/>
              </w:rPr>
              <w:t>14,013</w:t>
            </w:r>
          </w:p>
        </w:tc>
        <w:tc>
          <w:tcPr>
            <w:tcW w:w="40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w w:val="87"/>
              </w:rPr>
              <w:t>12,107</w:t>
            </w: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shd w:val="clear" w:color="auto" w:fill="CCEEFF"/>
          </w:tcPr>
          <w:p>
            <w:pPr>
              <w:ind w:left="340"/>
              <w:spacing w:after="0"/>
              <w:rPr>
                <w:sz w:val="20"/>
                <w:szCs w:val="20"/>
                <w:color w:val="auto"/>
              </w:rPr>
            </w:pPr>
            <w:r>
              <w:rPr>
                <w:rFonts w:ascii="Arial" w:cs="Arial" w:eastAsia="Arial" w:hAnsi="Arial"/>
                <w:sz w:val="18"/>
                <w:szCs w:val="18"/>
                <w:b w:val="1"/>
                <w:bCs w:val="1"/>
                <w:color w:val="auto"/>
              </w:rPr>
              <w:t>Benefits expense ratio – GAAP</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88.3%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87.4%</w:t>
            </w:r>
          </w:p>
        </w:tc>
      </w:tr>
      <w:tr>
        <w:trPr>
          <w:trHeight w:val="216"/>
        </w:trPr>
        <w:tc>
          <w:tcPr>
            <w:tcW w:w="20" w:type="dxa"/>
            <w:vAlign w:val="bottom"/>
          </w:tcPr>
          <w:p>
            <w:pPr>
              <w:spacing w:after="0"/>
              <w:rPr>
                <w:sz w:val="18"/>
                <w:szCs w:val="18"/>
                <w:color w:val="auto"/>
              </w:rPr>
            </w:pPr>
          </w:p>
        </w:tc>
        <w:tc>
          <w:tcPr>
            <w:tcW w:w="6040" w:type="dxa"/>
            <w:vAlign w:val="bottom"/>
            <w:gridSpan w:val="2"/>
          </w:tcPr>
          <w:p>
            <w:pPr>
              <w:ind w:left="340"/>
              <w:spacing w:after="0"/>
              <w:rPr>
                <w:sz w:val="20"/>
                <w:szCs w:val="20"/>
                <w:color w:val="auto"/>
              </w:rPr>
            </w:pPr>
            <w:r>
              <w:rPr>
                <w:rFonts w:ascii="Arial" w:cs="Arial" w:eastAsia="Arial" w:hAnsi="Arial"/>
                <w:sz w:val="18"/>
                <w:szCs w:val="18"/>
                <w:b w:val="1"/>
                <w:bCs w:val="1"/>
                <w:color w:val="auto"/>
              </w:rPr>
              <w:t>Operating cost ratio – GAAP</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8.2%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10.1%</w:t>
            </w:r>
          </w:p>
        </w:tc>
      </w:tr>
      <w:tr>
        <w:trPr>
          <w:trHeight w:val="216"/>
        </w:trPr>
        <w:tc>
          <w:tcPr>
            <w:tcW w:w="20" w:type="dxa"/>
            <w:vAlign w:val="bottom"/>
          </w:tcPr>
          <w:p>
            <w:pPr>
              <w:spacing w:after="0"/>
              <w:rPr>
                <w:sz w:val="18"/>
                <w:szCs w:val="18"/>
                <w:color w:val="auto"/>
              </w:rPr>
            </w:pPr>
          </w:p>
        </w:tc>
        <w:tc>
          <w:tcPr>
            <w:tcW w:w="6040" w:type="dxa"/>
            <w:vAlign w:val="bottom"/>
            <w:gridSpan w:val="2"/>
            <w:shd w:val="clear" w:color="auto" w:fill="CCEEFF"/>
          </w:tcPr>
          <w:p>
            <w:pPr>
              <w:ind w:left="340"/>
              <w:spacing w:after="0"/>
              <w:rPr>
                <w:sz w:val="20"/>
                <w:szCs w:val="20"/>
                <w:color w:val="auto"/>
              </w:rPr>
            </w:pPr>
            <w:r>
              <w:rPr>
                <w:rFonts w:ascii="Arial" w:cs="Arial" w:eastAsia="Arial" w:hAnsi="Arial"/>
                <w:sz w:val="18"/>
                <w:szCs w:val="18"/>
                <w:b w:val="1"/>
                <w:bCs w:val="1"/>
                <w:color w:val="auto"/>
              </w:rPr>
              <w:t>Segment earnings – GAAP</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465</w:t>
            </w:r>
          </w:p>
        </w:tc>
        <w:tc>
          <w:tcPr>
            <w:tcW w:w="4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267</w:t>
            </w:r>
          </w:p>
        </w:tc>
        <w:tc>
          <w:tcPr>
            <w:tcW w:w="2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tcPr>
          <w:p>
            <w:pPr>
              <w:ind w:left="340"/>
              <w:spacing w:after="0"/>
              <w:rPr>
                <w:sz w:val="20"/>
                <w:szCs w:val="20"/>
                <w:color w:val="auto"/>
              </w:rPr>
            </w:pPr>
            <w:r>
              <w:rPr>
                <w:rFonts w:ascii="Arial" w:cs="Arial" w:eastAsia="Arial" w:hAnsi="Arial"/>
                <w:sz w:val="18"/>
                <w:szCs w:val="18"/>
                <w:b w:val="1"/>
                <w:bCs w:val="1"/>
                <w:color w:val="auto"/>
              </w:rPr>
              <w:t>Segment earnings – Adjusted</w:t>
            </w:r>
          </w:p>
        </w:tc>
        <w:tc>
          <w:tcPr>
            <w:tcW w:w="3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469</w:t>
            </w:r>
          </w:p>
        </w:tc>
        <w:tc>
          <w:tcPr>
            <w:tcW w:w="40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273</w:t>
            </w: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Group and Specialty segment results:</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tcPr>
          <w:p>
            <w:pPr>
              <w:ind w:left="340"/>
              <w:spacing w:after="0"/>
              <w:rPr>
                <w:sz w:val="20"/>
                <w:szCs w:val="20"/>
                <w:color w:val="auto"/>
              </w:rPr>
            </w:pPr>
            <w:r>
              <w:rPr>
                <w:rFonts w:ascii="Arial" w:cs="Arial" w:eastAsia="Arial" w:hAnsi="Arial"/>
                <w:sz w:val="18"/>
                <w:szCs w:val="18"/>
                <w:b w:val="1"/>
                <w:bCs w:val="1"/>
                <w:color w:val="auto"/>
              </w:rPr>
              <w:t>Revenues – GAAP</w:t>
            </w:r>
          </w:p>
        </w:tc>
        <w:tc>
          <w:tcPr>
            <w:tcW w:w="3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1,887</w:t>
            </w:r>
          </w:p>
        </w:tc>
        <w:tc>
          <w:tcPr>
            <w:tcW w:w="40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1,970</w:t>
            </w: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shd w:val="clear" w:color="auto" w:fill="CCEEFF"/>
          </w:tcPr>
          <w:p>
            <w:pPr>
              <w:ind w:left="340"/>
              <w:spacing w:after="0"/>
              <w:rPr>
                <w:sz w:val="20"/>
                <w:szCs w:val="20"/>
                <w:color w:val="auto"/>
              </w:rPr>
            </w:pPr>
            <w:r>
              <w:rPr>
                <w:rFonts w:ascii="Arial" w:cs="Arial" w:eastAsia="Arial" w:hAnsi="Arial"/>
                <w:sz w:val="18"/>
                <w:szCs w:val="18"/>
                <w:b w:val="1"/>
                <w:bCs w:val="1"/>
                <w:color w:val="auto"/>
              </w:rPr>
              <w:t>Benefits expense ratio – GAAP</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76.4%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73.2%</w:t>
            </w:r>
          </w:p>
        </w:tc>
      </w:tr>
      <w:tr>
        <w:trPr>
          <w:trHeight w:val="216"/>
        </w:trPr>
        <w:tc>
          <w:tcPr>
            <w:tcW w:w="20" w:type="dxa"/>
            <w:vAlign w:val="bottom"/>
          </w:tcPr>
          <w:p>
            <w:pPr>
              <w:spacing w:after="0"/>
              <w:rPr>
                <w:sz w:val="18"/>
                <w:szCs w:val="18"/>
                <w:color w:val="auto"/>
              </w:rPr>
            </w:pPr>
          </w:p>
        </w:tc>
        <w:tc>
          <w:tcPr>
            <w:tcW w:w="6040" w:type="dxa"/>
            <w:vAlign w:val="bottom"/>
            <w:gridSpan w:val="2"/>
          </w:tcPr>
          <w:p>
            <w:pPr>
              <w:ind w:left="340"/>
              <w:spacing w:after="0"/>
              <w:rPr>
                <w:sz w:val="20"/>
                <w:szCs w:val="20"/>
                <w:color w:val="auto"/>
              </w:rPr>
            </w:pPr>
            <w:r>
              <w:rPr>
                <w:rFonts w:ascii="Arial" w:cs="Arial" w:eastAsia="Arial" w:hAnsi="Arial"/>
                <w:sz w:val="18"/>
                <w:szCs w:val="18"/>
                <w:b w:val="1"/>
                <w:bCs w:val="1"/>
                <w:color w:val="auto"/>
              </w:rPr>
              <w:t>Operating cost ratio – GAAP</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21.9%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23.6%</w:t>
            </w:r>
          </w:p>
        </w:tc>
      </w:tr>
      <w:tr>
        <w:trPr>
          <w:trHeight w:val="216"/>
        </w:trPr>
        <w:tc>
          <w:tcPr>
            <w:tcW w:w="20" w:type="dxa"/>
            <w:vAlign w:val="bottom"/>
          </w:tcPr>
          <w:p>
            <w:pPr>
              <w:spacing w:after="0"/>
              <w:rPr>
                <w:sz w:val="18"/>
                <w:szCs w:val="18"/>
                <w:color w:val="auto"/>
              </w:rPr>
            </w:pPr>
          </w:p>
        </w:tc>
        <w:tc>
          <w:tcPr>
            <w:tcW w:w="6040" w:type="dxa"/>
            <w:vAlign w:val="bottom"/>
            <w:gridSpan w:val="2"/>
            <w:shd w:val="clear" w:color="auto" w:fill="CCEEFF"/>
          </w:tcPr>
          <w:p>
            <w:pPr>
              <w:ind w:left="340"/>
              <w:spacing w:after="0"/>
              <w:rPr>
                <w:sz w:val="20"/>
                <w:szCs w:val="20"/>
                <w:color w:val="auto"/>
              </w:rPr>
            </w:pPr>
            <w:r>
              <w:rPr>
                <w:rFonts w:ascii="Arial" w:cs="Arial" w:eastAsia="Arial" w:hAnsi="Arial"/>
                <w:sz w:val="18"/>
                <w:szCs w:val="18"/>
                <w:b w:val="1"/>
                <w:bCs w:val="1"/>
                <w:color w:val="auto"/>
              </w:rPr>
              <w:t>Segment earnings – GAAP</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165</w:t>
            </w:r>
          </w:p>
        </w:tc>
        <w:tc>
          <w:tcPr>
            <w:tcW w:w="4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211</w:t>
            </w:r>
          </w:p>
        </w:tc>
        <w:tc>
          <w:tcPr>
            <w:tcW w:w="2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tcPr>
          <w:p>
            <w:pPr>
              <w:ind w:left="340"/>
              <w:spacing w:after="0"/>
              <w:rPr>
                <w:sz w:val="20"/>
                <w:szCs w:val="20"/>
                <w:color w:val="auto"/>
              </w:rPr>
            </w:pPr>
            <w:r>
              <w:rPr>
                <w:rFonts w:ascii="Arial" w:cs="Arial" w:eastAsia="Arial" w:hAnsi="Arial"/>
                <w:sz w:val="18"/>
                <w:szCs w:val="18"/>
                <w:b w:val="1"/>
                <w:bCs w:val="1"/>
                <w:color w:val="auto"/>
              </w:rPr>
              <w:t>Segment earnings – Adjusted</w:t>
            </w:r>
          </w:p>
        </w:tc>
        <w:tc>
          <w:tcPr>
            <w:tcW w:w="3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166</w:t>
            </w:r>
          </w:p>
        </w:tc>
        <w:tc>
          <w:tcPr>
            <w:tcW w:w="40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212</w:t>
            </w: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Healthcare Services segment results:</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tcPr>
          <w:p>
            <w:pPr>
              <w:ind w:left="340"/>
              <w:spacing w:after="0"/>
              <w:rPr>
                <w:sz w:val="20"/>
                <w:szCs w:val="20"/>
                <w:color w:val="auto"/>
              </w:rPr>
            </w:pPr>
            <w:r>
              <w:rPr>
                <w:rFonts w:ascii="Arial" w:cs="Arial" w:eastAsia="Arial" w:hAnsi="Arial"/>
                <w:sz w:val="18"/>
                <w:szCs w:val="18"/>
                <w:b w:val="1"/>
                <w:bCs w:val="1"/>
                <w:color w:val="auto"/>
              </w:rPr>
              <w:t>Revenues – GAAP</w:t>
            </w:r>
          </w:p>
        </w:tc>
        <w:tc>
          <w:tcPr>
            <w:tcW w:w="3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6,098</w:t>
            </w:r>
          </w:p>
        </w:tc>
        <w:tc>
          <w:tcPr>
            <w:tcW w:w="40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5,663</w:t>
            </w: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shd w:val="clear" w:color="auto" w:fill="CCEEFF"/>
          </w:tcPr>
          <w:p>
            <w:pPr>
              <w:ind w:left="340"/>
              <w:spacing w:after="0"/>
              <w:rPr>
                <w:sz w:val="20"/>
                <w:szCs w:val="20"/>
                <w:color w:val="auto"/>
              </w:rPr>
            </w:pPr>
            <w:r>
              <w:rPr>
                <w:rFonts w:ascii="Arial" w:cs="Arial" w:eastAsia="Arial" w:hAnsi="Arial"/>
                <w:sz w:val="18"/>
                <w:szCs w:val="18"/>
                <w:b w:val="1"/>
                <w:bCs w:val="1"/>
                <w:color w:val="auto"/>
              </w:rPr>
              <w:t>Operating cost ratio – GAAP</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96.6%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96.2%</w:t>
            </w:r>
          </w:p>
        </w:tc>
      </w:tr>
      <w:tr>
        <w:trPr>
          <w:trHeight w:val="216"/>
        </w:trPr>
        <w:tc>
          <w:tcPr>
            <w:tcW w:w="20" w:type="dxa"/>
            <w:vAlign w:val="bottom"/>
          </w:tcPr>
          <w:p>
            <w:pPr>
              <w:spacing w:after="0"/>
              <w:rPr>
                <w:sz w:val="18"/>
                <w:szCs w:val="18"/>
                <w:color w:val="auto"/>
              </w:rPr>
            </w:pPr>
          </w:p>
        </w:tc>
        <w:tc>
          <w:tcPr>
            <w:tcW w:w="6040" w:type="dxa"/>
            <w:vAlign w:val="bottom"/>
            <w:gridSpan w:val="2"/>
          </w:tcPr>
          <w:p>
            <w:pPr>
              <w:ind w:left="340"/>
              <w:spacing w:after="0"/>
              <w:rPr>
                <w:sz w:val="20"/>
                <w:szCs w:val="20"/>
                <w:color w:val="auto"/>
              </w:rPr>
            </w:pPr>
            <w:r>
              <w:rPr>
                <w:rFonts w:ascii="Arial" w:cs="Arial" w:eastAsia="Arial" w:hAnsi="Arial"/>
                <w:sz w:val="18"/>
                <w:szCs w:val="18"/>
                <w:b w:val="1"/>
                <w:bCs w:val="1"/>
                <w:color w:val="auto"/>
              </w:rPr>
              <w:t>Segment earnings – GAAP</w:t>
            </w:r>
          </w:p>
        </w:tc>
        <w:tc>
          <w:tcPr>
            <w:tcW w:w="3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175</w:t>
            </w:r>
          </w:p>
        </w:tc>
        <w:tc>
          <w:tcPr>
            <w:tcW w:w="40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173</w:t>
            </w:r>
          </w:p>
        </w:tc>
        <w:tc>
          <w:tcPr>
            <w:tcW w:w="220" w:type="dxa"/>
            <w:vAlign w:val="bottom"/>
          </w:tcPr>
          <w:p>
            <w:pPr>
              <w:spacing w:after="0"/>
              <w:rPr>
                <w:sz w:val="18"/>
                <w:szCs w:val="18"/>
                <w:color w:val="auto"/>
              </w:rPr>
            </w:pPr>
          </w:p>
        </w:tc>
      </w:tr>
      <w:tr>
        <w:trPr>
          <w:trHeight w:val="198"/>
        </w:trPr>
        <w:tc>
          <w:tcPr>
            <w:tcW w:w="20" w:type="dxa"/>
            <w:vAlign w:val="bottom"/>
          </w:tcPr>
          <w:p>
            <w:pPr>
              <w:spacing w:after="0"/>
              <w:rPr>
                <w:sz w:val="17"/>
                <w:szCs w:val="17"/>
                <w:color w:val="auto"/>
              </w:rPr>
            </w:pPr>
          </w:p>
        </w:tc>
        <w:tc>
          <w:tcPr>
            <w:tcW w:w="6040" w:type="dxa"/>
            <w:vAlign w:val="bottom"/>
            <w:gridSpan w:val="2"/>
            <w:shd w:val="clear" w:color="auto" w:fill="CCEEFF"/>
          </w:tcPr>
          <w:p>
            <w:pPr>
              <w:ind w:left="340"/>
              <w:spacing w:after="0" w:line="198" w:lineRule="exact"/>
              <w:rPr>
                <w:sz w:val="20"/>
                <w:szCs w:val="20"/>
                <w:color w:val="auto"/>
              </w:rPr>
            </w:pPr>
            <w:r>
              <w:rPr>
                <w:rFonts w:ascii="Arial" w:cs="Arial" w:eastAsia="Arial" w:hAnsi="Arial"/>
                <w:sz w:val="18"/>
                <w:szCs w:val="18"/>
                <w:b w:val="1"/>
                <w:bCs w:val="1"/>
                <w:color w:val="auto"/>
                <w:w w:val="93"/>
              </w:rPr>
              <w:t>Adjusted earnings before interest, taxes, depreciation and amortization</w:t>
            </w: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6040" w:type="dxa"/>
            <w:vAlign w:val="bottom"/>
            <w:gridSpan w:val="2"/>
            <w:shd w:val="clear" w:color="auto" w:fill="CCEEFF"/>
          </w:tcPr>
          <w:p>
            <w:pPr>
              <w:ind w:left="520"/>
              <w:spacing w:after="0"/>
              <w:rPr>
                <w:sz w:val="20"/>
                <w:szCs w:val="20"/>
                <w:color w:val="auto"/>
              </w:rPr>
            </w:pPr>
            <w:r>
              <w:rPr>
                <w:rFonts w:ascii="Arial" w:cs="Arial" w:eastAsia="Arial" w:hAnsi="Arial"/>
                <w:sz w:val="18"/>
                <w:szCs w:val="18"/>
                <w:b w:val="1"/>
                <w:bCs w:val="1"/>
                <w:color w:val="auto"/>
              </w:rPr>
              <w:t xml:space="preserve">(Adjusted EBITDA) </w:t>
            </w:r>
            <w:r>
              <w:rPr>
                <w:rFonts w:ascii="Arial" w:cs="Arial" w:eastAsia="Arial" w:hAnsi="Arial"/>
                <w:sz w:val="18"/>
                <w:szCs w:val="18"/>
                <w:color w:val="auto"/>
              </w:rPr>
              <w:t>(c)</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238</w:t>
            </w:r>
          </w:p>
        </w:tc>
        <w:tc>
          <w:tcPr>
            <w:tcW w:w="400" w:type="dxa"/>
            <w:vAlign w:val="bottom"/>
            <w:shd w:val="clear" w:color="auto" w:fill="CCEEFF"/>
          </w:tcPr>
          <w:p>
            <w:pPr>
              <w:spacing w:after="0"/>
              <w:rPr>
                <w:sz w:val="20"/>
                <w:szCs w:val="20"/>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222</w:t>
            </w:r>
          </w:p>
        </w:tc>
        <w:tc>
          <w:tcPr>
            <w:tcW w:w="220" w:type="dxa"/>
            <w:vAlign w:val="bottom"/>
            <w:shd w:val="clear" w:color="auto" w:fill="CCEEFF"/>
          </w:tcPr>
          <w:p>
            <w:pPr>
              <w:spacing w:after="0"/>
              <w:rPr>
                <w:sz w:val="20"/>
                <w:szCs w:val="20"/>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2019 Earnings Guidance</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Humana has raised its GAAP and Adjusted EPS guidance for the year ended December 31, 2019 (FY19). The company now expects FY19 GAAP EPS guidance to be in a range of approximately $16.63 to $16.88, while Adjusted EPS is expected to be in a range of approximately $17.25 to $17.50. A reconciliation of GAAP to Adjusted EPS for the company’s FY19 projections as well as comparable numbers for the year ended December 31, 2018 (FY 2018) is shown below for comparison.</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20"/>
          </w:cols>
          <w:pgMar w:left="440" w:top="274" w:right="539" w:bottom="1440" w:gutter="0" w:footer="0" w:header="0"/>
        </w:sectPr>
      </w:pPr>
    </w:p>
    <w:bookmarkStart w:id="6" w:name="page7"/>
    <w:bookmarkEnd w:id="6"/>
    <w:tbl>
      <w:tblPr>
        <w:tblLayout w:type="fixed"/>
        <w:tblInd w:w="1320" w:type="dxa"/>
        <w:tblCellMar>
          <w:top w:w="0" w:type="dxa"/>
          <w:left w:w="0" w:type="dxa"/>
          <w:bottom w:w="0" w:type="dxa"/>
          <w:right w:w="0" w:type="dxa"/>
        </w:tblCellMar>
      </w:tblPr>
      <w:tr>
        <w:trPr>
          <w:trHeight w:val="191"/>
        </w:trPr>
        <w:tc>
          <w:tcPr>
            <w:tcW w:w="5380" w:type="dxa"/>
            <w:vAlign w:val="bottom"/>
            <w:gridSpan w:val="3"/>
          </w:tcPr>
          <w:p>
            <w:pPr>
              <w:spacing w:after="0"/>
              <w:rPr>
                <w:sz w:val="20"/>
                <w:szCs w:val="20"/>
                <w:color w:val="auto"/>
              </w:rPr>
            </w:pPr>
            <w:r>
              <w:rPr>
                <w:rFonts w:ascii="Arial" w:cs="Arial" w:eastAsia="Arial" w:hAnsi="Arial"/>
                <w:sz w:val="14"/>
                <w:szCs w:val="14"/>
                <w:b w:val="1"/>
                <w:bCs w:val="1"/>
                <w:color w:val="auto"/>
              </w:rPr>
              <w:t>Diluted earnings per common share</w:t>
            </w:r>
          </w:p>
        </w:tc>
        <w:tc>
          <w:tcPr>
            <w:tcW w:w="1620" w:type="dxa"/>
            <w:vAlign w:val="bottom"/>
            <w:gridSpan w:val="2"/>
          </w:tcPr>
          <w:p>
            <w:pPr>
              <w:jc w:val="right"/>
              <w:spacing w:after="0"/>
              <w:rPr>
                <w:sz w:val="20"/>
                <w:szCs w:val="20"/>
                <w:color w:val="auto"/>
              </w:rPr>
            </w:pPr>
            <w:r>
              <w:rPr>
                <w:rFonts w:ascii="Arial" w:cs="Arial" w:eastAsia="Arial" w:hAnsi="Arial"/>
                <w:sz w:val="14"/>
                <w:szCs w:val="14"/>
                <w:b w:val="1"/>
                <w:bCs w:val="1"/>
                <w:color w:val="auto"/>
              </w:rPr>
              <w:t xml:space="preserve">FY 2019 Guidance </w:t>
            </w:r>
            <w:r>
              <w:rPr>
                <w:rFonts w:ascii="Arial" w:cs="Arial" w:eastAsia="Arial" w:hAnsi="Arial"/>
                <w:sz w:val="14"/>
                <w:szCs w:val="14"/>
                <w:color w:val="auto"/>
              </w:rPr>
              <w:t>(d)</w:t>
            </w:r>
          </w:p>
        </w:tc>
        <w:tc>
          <w:tcPr>
            <w:tcW w:w="1380" w:type="dxa"/>
            <w:vAlign w:val="bottom"/>
            <w:gridSpan w:val="4"/>
          </w:tcPr>
          <w:p>
            <w:pPr>
              <w:jc w:val="right"/>
              <w:ind w:right="100"/>
              <w:spacing w:after="0"/>
              <w:rPr>
                <w:sz w:val="20"/>
                <w:szCs w:val="20"/>
                <w:color w:val="auto"/>
              </w:rPr>
            </w:pPr>
            <w:r>
              <w:rPr>
                <w:rFonts w:ascii="Arial" w:cs="Arial" w:eastAsia="Arial" w:hAnsi="Arial"/>
                <w:sz w:val="14"/>
                <w:szCs w:val="14"/>
                <w:color w:val="auto"/>
              </w:rPr>
              <w:t>FY 2018 (e)</w:t>
            </w:r>
          </w:p>
        </w:tc>
      </w:tr>
      <w:tr>
        <w:trPr>
          <w:trHeight w:val="203"/>
        </w:trPr>
        <w:tc>
          <w:tcPr>
            <w:tcW w:w="20" w:type="dxa"/>
            <w:vAlign w:val="bottom"/>
          </w:tcPr>
          <w:p>
            <w:pPr>
              <w:spacing w:after="0"/>
              <w:rPr>
                <w:sz w:val="17"/>
                <w:szCs w:val="17"/>
                <w:color w:val="auto"/>
              </w:rPr>
            </w:pPr>
          </w:p>
        </w:tc>
        <w:tc>
          <w:tcPr>
            <w:tcW w:w="22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GAAP</w:t>
            </w:r>
          </w:p>
        </w:tc>
        <w:tc>
          <w:tcPr>
            <w:tcW w:w="31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86"/>
              </w:rPr>
              <w:t>~$ 16.63 to $16.88</w:t>
            </w:r>
          </w:p>
        </w:tc>
        <w:tc>
          <w:tcPr>
            <w:tcW w:w="5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5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12.16</w:t>
            </w: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rPr>
              <w:t>Amortization of identifiable intangibles</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0.40</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0.49</w:t>
            </w:r>
          </w:p>
        </w:tc>
        <w:tc>
          <w:tcPr>
            <w:tcW w:w="10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53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5"/>
              </w:rPr>
              <w:t>Put/call valuation adjustments associated with 40% minority interest in</w:t>
            </w:r>
          </w:p>
        </w:tc>
        <w:tc>
          <w:tcPr>
            <w:tcW w:w="2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53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Kindred at Home</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5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100" w:type="dxa"/>
            <w:vAlign w:val="bottom"/>
            <w:shd w:val="clear" w:color="auto" w:fill="CCEEFF"/>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5360" w:type="dxa"/>
            <w:vAlign w:val="bottom"/>
            <w:gridSpan w:val="2"/>
          </w:tcPr>
          <w:p>
            <w:pPr>
              <w:spacing w:after="0" w:line="201" w:lineRule="exact"/>
              <w:rPr>
                <w:sz w:val="20"/>
                <w:szCs w:val="20"/>
                <w:color w:val="auto"/>
              </w:rPr>
            </w:pPr>
            <w:r>
              <w:rPr>
                <w:rFonts w:ascii="Arial" w:cs="Arial" w:eastAsia="Arial" w:hAnsi="Arial"/>
                <w:sz w:val="18"/>
                <w:szCs w:val="18"/>
                <w:color w:val="auto"/>
              </w:rPr>
              <w:t>Loss on sale of KMG America Corporation (KMG), a wholly-owned</w:t>
            </w:r>
          </w:p>
        </w:tc>
        <w:tc>
          <w:tcPr>
            <w:tcW w:w="2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5360" w:type="dxa"/>
            <w:vAlign w:val="bottom"/>
            <w:gridSpan w:val="2"/>
          </w:tcPr>
          <w:p>
            <w:pPr>
              <w:ind w:left="160"/>
              <w:spacing w:after="0"/>
              <w:rPr>
                <w:sz w:val="20"/>
                <w:szCs w:val="20"/>
                <w:color w:val="auto"/>
              </w:rPr>
            </w:pPr>
            <w:r>
              <w:rPr>
                <w:rFonts w:ascii="Arial" w:cs="Arial" w:eastAsia="Arial" w:hAnsi="Arial"/>
                <w:sz w:val="18"/>
                <w:szCs w:val="18"/>
                <w:color w:val="auto"/>
              </w:rPr>
              <w:t>subsidiary</w:t>
            </w:r>
          </w:p>
        </w:tc>
        <w:tc>
          <w:tcPr>
            <w:tcW w:w="2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2.41</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5"/>
              </w:rPr>
              <w:t>Segment earnings associated with the Individual Commercial segment</w:t>
            </w: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(0.41)</w:t>
            </w:r>
          </w:p>
        </w:tc>
      </w:tr>
      <w:tr>
        <w:trPr>
          <w:trHeight w:val="202"/>
        </w:trPr>
        <w:tc>
          <w:tcPr>
            <w:tcW w:w="20" w:type="dxa"/>
            <w:vAlign w:val="bottom"/>
          </w:tcPr>
          <w:p>
            <w:pPr>
              <w:spacing w:after="0"/>
              <w:rPr>
                <w:sz w:val="17"/>
                <w:szCs w:val="17"/>
                <w:color w:val="auto"/>
              </w:rPr>
            </w:pPr>
          </w:p>
        </w:tc>
        <w:tc>
          <w:tcPr>
            <w:tcW w:w="5360" w:type="dxa"/>
            <w:vAlign w:val="bottom"/>
            <w:gridSpan w:val="2"/>
          </w:tcPr>
          <w:p>
            <w:pPr>
              <w:spacing w:after="0" w:line="201" w:lineRule="exact"/>
              <w:rPr>
                <w:sz w:val="20"/>
                <w:szCs w:val="20"/>
                <w:color w:val="auto"/>
              </w:rPr>
            </w:pPr>
            <w:r>
              <w:rPr>
                <w:rFonts w:ascii="Arial" w:cs="Arial" w:eastAsia="Arial" w:hAnsi="Arial"/>
                <w:sz w:val="18"/>
                <w:szCs w:val="18"/>
                <w:color w:val="auto"/>
                <w:w w:val="95"/>
              </w:rPr>
              <w:t>Adjustments to provisional estimates for the income tax effects related</w:t>
            </w:r>
          </w:p>
        </w:tc>
        <w:tc>
          <w:tcPr>
            <w:tcW w:w="2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5360" w:type="dxa"/>
            <w:vAlign w:val="bottom"/>
            <w:gridSpan w:val="2"/>
          </w:tcPr>
          <w:p>
            <w:pPr>
              <w:ind w:left="160"/>
              <w:spacing w:after="0"/>
              <w:rPr>
                <w:sz w:val="20"/>
                <w:szCs w:val="20"/>
                <w:color w:val="auto"/>
              </w:rPr>
            </w:pPr>
            <w:r>
              <w:rPr>
                <w:rFonts w:ascii="Arial" w:cs="Arial" w:eastAsia="Arial" w:hAnsi="Arial"/>
                <w:sz w:val="18"/>
                <w:szCs w:val="18"/>
                <w:color w:val="auto"/>
              </w:rPr>
              <w:t>to the Tax Reform Law</w:t>
            </w:r>
          </w:p>
        </w:tc>
        <w:tc>
          <w:tcPr>
            <w:tcW w:w="2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(0.28)</w:t>
            </w:r>
          </w:p>
        </w:tc>
      </w:tr>
      <w:tr>
        <w:trPr>
          <w:trHeight w:val="216"/>
        </w:trPr>
        <w:tc>
          <w:tcPr>
            <w:tcW w:w="20" w:type="dxa"/>
            <w:vAlign w:val="bottom"/>
          </w:tcPr>
          <w:p>
            <w:pPr>
              <w:spacing w:after="0"/>
              <w:rPr>
                <w:sz w:val="18"/>
                <w:szCs w:val="18"/>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Adjusted (non-GAAP) – FY 2019 projected</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~$ 17.25 to $17.50</w:t>
            </w:r>
          </w:p>
        </w:tc>
        <w:tc>
          <w:tcPr>
            <w:tcW w:w="76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b w:val="1"/>
                <w:bCs w:val="1"/>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14.55</w:t>
            </w:r>
          </w:p>
        </w:tc>
        <w:tc>
          <w:tcPr>
            <w:tcW w:w="100" w:type="dxa"/>
            <w:vAlign w:val="bottom"/>
            <w:shd w:val="clear" w:color="auto" w:fill="CCEEFF"/>
          </w:tcPr>
          <w:p>
            <w:pPr>
              <w:spacing w:after="0"/>
              <w:rPr>
                <w:sz w:val="18"/>
                <w:szCs w:val="18"/>
                <w:color w:val="auto"/>
              </w:rPr>
            </w:pP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right="160"/>
        <w:spacing w:after="0" w:line="259" w:lineRule="auto"/>
        <w:rPr>
          <w:sz w:val="20"/>
          <w:szCs w:val="20"/>
          <w:color w:val="auto"/>
        </w:rPr>
      </w:pPr>
      <w:r>
        <w:rPr>
          <w:rFonts w:ascii="Arial" w:cs="Arial" w:eastAsia="Arial" w:hAnsi="Arial"/>
          <w:sz w:val="18"/>
          <w:szCs w:val="18"/>
          <w:color w:val="auto"/>
        </w:rPr>
        <w:t>“Early indicators in 2019 are positive, with utilization trending better than our initial expectations for the Retail segment,” said Brian A. Kane, Chief Financial Officer. “This strong performance has allowed us to raise our full year Adjusted EPS guidance to a range of $17.25 to $17.50, reflecting expected Adjusted EPS growth of 19 to 20 percent, while delivering compelling individual Medicare Advantage membership growth significantly in excess of the industry.”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2020 Rate Notice</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On April 1, 2019, CMS published its 2020 Medicare Advantage Capitation Rates and Medicare Advantage and Part D Payment Policies and Final Call Letter (the Final Rate Notice). The company expects the Final Rate Notice to result in a 2.20 percent</w:t>
      </w:r>
      <w:r>
        <w:rPr>
          <w:rFonts w:ascii="Arial" w:cs="Arial" w:eastAsia="Arial" w:hAnsi="Arial"/>
          <w:sz w:val="15"/>
          <w:szCs w:val="15"/>
          <w:color w:val="auto"/>
        </w:rPr>
        <w:t>(f)</w:t>
      </w:r>
      <w:r>
        <w:rPr>
          <w:rFonts w:ascii="Arial" w:cs="Arial" w:eastAsia="Arial" w:hAnsi="Arial"/>
          <w:sz w:val="18"/>
          <w:szCs w:val="18"/>
          <w:color w:val="auto"/>
        </w:rPr>
        <w:t xml:space="preserve"> rate increase for Humana’s individual Medicare Advantage business versus CMS’ estimate for the sector of 2.53 percent, excluding the impact of Employer Group Waiver Plan (EGWP) funding changes, on a comparable basis. The difference between the Humana projection and the CMS projection results from small differences in various components of the rate.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Detailed Press Release</w:t>
      </w:r>
    </w:p>
    <w:p>
      <w:pPr>
        <w:spacing w:after="0" w:line="121"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 xml:space="preserve">Humana’s full earnings press release including the statistical pages has been posted to the company’s Investor Relations site and may be accessed at </w:t>
      </w:r>
      <w:r>
        <w:rPr>
          <w:rFonts w:ascii="Arial" w:cs="Arial" w:eastAsia="Arial" w:hAnsi="Arial"/>
          <w:sz w:val="18"/>
          <w:szCs w:val="18"/>
          <w:u w:val="single" w:color="auto"/>
          <w:color w:val="auto"/>
        </w:rPr>
        <w:t>https://humana.gcs-web.com/</w:t>
      </w:r>
      <w:r>
        <w:rPr>
          <w:rFonts w:ascii="Arial" w:cs="Arial" w:eastAsia="Arial" w:hAnsi="Arial"/>
          <w:sz w:val="18"/>
          <w:szCs w:val="18"/>
          <w:color w:val="auto"/>
        </w:rPr>
        <w:t xml:space="preserve"> or via a current report on Form 8-K filed by the company with the Securities and Exchange Commission this morning (available at </w:t>
      </w:r>
      <w:r>
        <w:rPr>
          <w:rFonts w:ascii="Arial" w:cs="Arial" w:eastAsia="Arial" w:hAnsi="Arial"/>
          <w:sz w:val="18"/>
          <w:szCs w:val="18"/>
          <w:u w:val="single" w:color="auto"/>
          <w:color w:val="auto"/>
        </w:rPr>
        <w:t>www.sec.gov</w:t>
      </w:r>
      <w:r>
        <w:rPr>
          <w:rFonts w:ascii="Arial" w:cs="Arial" w:eastAsia="Arial" w:hAnsi="Arial"/>
          <w:sz w:val="18"/>
          <w:szCs w:val="18"/>
          <w:color w:val="auto"/>
        </w:rPr>
        <w:t xml:space="preserve"> or on the company’s website).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Conference Call</w:t>
      </w:r>
    </w:p>
    <w:p>
      <w:pPr>
        <w:spacing w:after="0" w:line="12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Humana will host a conference call at 9:00 a.m. eastern time today to discuss its financial results for the quarter and the company’s expectations for future earnings.</w:t>
      </w:r>
    </w:p>
    <w:p>
      <w:pPr>
        <w:spacing w:after="0" w:line="170"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 xml:space="preserve">All parties interested in the company’s 1Q19 earnings conference call are invited to dial 888-625-7430. No password is required. The audio-only webcast of the 1Q19 earnings call may also be accessed via Humana’s Investor Relations page at </w:t>
      </w:r>
      <w:r>
        <w:rPr>
          <w:rFonts w:ascii="Arial" w:cs="Arial" w:eastAsia="Arial" w:hAnsi="Arial"/>
          <w:sz w:val="17"/>
          <w:szCs w:val="17"/>
          <w:u w:val="single" w:color="auto"/>
          <w:color w:val="auto"/>
        </w:rPr>
        <w:t>humana.com</w:t>
      </w:r>
      <w:r>
        <w:rPr>
          <w:rFonts w:ascii="Arial" w:cs="Arial" w:eastAsia="Arial" w:hAnsi="Arial"/>
          <w:sz w:val="17"/>
          <w:szCs w:val="17"/>
          <w:color w:val="auto"/>
        </w:rPr>
        <w:t>. The company suggests participants for both the conference call and those listening via the web dial in or sign on at least 15 minutes in advance of the call.</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880"/>
          </w:cols>
          <w:pgMar w:left="440" w:top="265" w:right="579" w:bottom="1440" w:gutter="0" w:footer="0" w:header="0"/>
        </w:sectPr>
      </w:pPr>
    </w:p>
    <w:bookmarkStart w:id="7" w:name="page8"/>
    <w:bookmarkEnd w:id="7"/>
    <w:p>
      <w:pPr>
        <w:ind w:right="1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For those unable to participate in the live event, the archive will be available in the Historical Webcasts and Presentations section of the Investor Relations page at </w:t>
      </w:r>
      <w:r>
        <w:rPr>
          <w:rFonts w:ascii="Arial" w:cs="Arial" w:eastAsia="Arial" w:hAnsi="Arial"/>
          <w:sz w:val="18"/>
          <w:szCs w:val="18"/>
          <w:u w:val="single" w:color="auto"/>
          <w:color w:val="auto"/>
        </w:rPr>
        <w:t>humana.com</w:t>
      </w:r>
      <w:r>
        <w:rPr>
          <w:rFonts w:ascii="Arial" w:cs="Arial" w:eastAsia="Arial" w:hAnsi="Arial"/>
          <w:sz w:val="18"/>
          <w:szCs w:val="18"/>
          <w:color w:val="auto"/>
        </w:rPr>
        <w:t>, approximately two hours following the live webcast. Telephone replays will also be available from approximately 2:00 p.m. eastern time on May 1, 2019 until 11:00 p.m. eastern time on June 26, 2019 and can be accessed by dialing 855-859-2056 and providing the conference ID #3292269.</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Footnotes</w:t>
      </w:r>
    </w:p>
    <w:p>
      <w:pPr>
        <w:spacing w:after="0" w:line="135" w:lineRule="exact"/>
        <w:rPr>
          <w:sz w:val="20"/>
          <w:szCs w:val="20"/>
          <w:color w:val="auto"/>
        </w:rPr>
      </w:pPr>
    </w:p>
    <w:p>
      <w:pPr>
        <w:ind w:left="860" w:hanging="424"/>
        <w:spacing w:after="0"/>
        <w:tabs>
          <w:tab w:leader="none" w:pos="860"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1Q19 Adjusted results exclude the following</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420" w:hanging="430"/>
        <w:spacing w:after="0" w:line="264" w:lineRule="auto"/>
        <w:tabs>
          <w:tab w:leader="none" w:pos="142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Amortization expense for identifiable intangibles of approximately $18 million pretax, or $0.10 per diluted common share; GAAP measures affected in this release include consolidated pretax, EPS, and segment earnings (for respective amortization expense for the Retail and Group and Specialty segments).</w:t>
      </w:r>
    </w:p>
    <w:p>
      <w:pPr>
        <w:spacing w:after="0" w:line="86" w:lineRule="exact"/>
        <w:rPr>
          <w:rFonts w:ascii="Arial" w:cs="Arial" w:eastAsia="Arial" w:hAnsi="Arial"/>
          <w:sz w:val="18"/>
          <w:szCs w:val="18"/>
          <w:color w:val="auto"/>
        </w:rPr>
      </w:pPr>
    </w:p>
    <w:p>
      <w:pPr>
        <w:ind w:left="1420" w:right="320" w:hanging="430"/>
        <w:spacing w:after="0" w:line="308" w:lineRule="auto"/>
        <w:tabs>
          <w:tab w:leader="none" w:pos="1420" w:val="left"/>
        </w:tabs>
        <w:numPr>
          <w:ilvl w:val="1"/>
          <w:numId w:val="3"/>
        </w:numPr>
        <w:rPr>
          <w:rFonts w:ascii="Arial" w:cs="Arial" w:eastAsia="Arial" w:hAnsi="Arial"/>
          <w:sz w:val="17"/>
          <w:szCs w:val="17"/>
          <w:color w:val="auto"/>
        </w:rPr>
      </w:pPr>
      <w:r>
        <w:rPr>
          <w:rFonts w:ascii="Arial" w:cs="Arial" w:eastAsia="Arial" w:hAnsi="Arial"/>
          <w:sz w:val="17"/>
          <w:szCs w:val="17"/>
          <w:color w:val="auto"/>
        </w:rPr>
        <w:t>Put/call valuation adjustments of approximately $39 million, or $0.22 per diluted common share, associated with Humana’s 40% minority interest in Kindred at Home. GAAP measures affected in this release include consolidated pretax and EPS.</w:t>
      </w:r>
    </w:p>
    <w:p>
      <w:pPr>
        <w:spacing w:after="0" w:line="51" w:lineRule="exact"/>
        <w:rPr>
          <w:rFonts w:ascii="Arial" w:cs="Arial" w:eastAsia="Arial" w:hAnsi="Arial"/>
          <w:sz w:val="17"/>
          <w:szCs w:val="17"/>
          <w:color w:val="auto"/>
        </w:rPr>
      </w:pPr>
    </w:p>
    <w:p>
      <w:pPr>
        <w:ind w:left="860" w:hanging="424"/>
        <w:spacing w:after="0"/>
        <w:tabs>
          <w:tab w:leader="none" w:pos="860"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1Q18 Adjusted results exclude the following</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420" w:hanging="430"/>
        <w:spacing w:after="0" w:line="264" w:lineRule="auto"/>
        <w:tabs>
          <w:tab w:leader="none" w:pos="142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Amortization expense for identifiable intangibles of approximately $30 million pretax, or $0.17 per diluted common share; GAAP measures affected in this release include consolidated pretax, EPS, and segment earnings (for respective amortization expense for the Retail and Group and Specialty segments).</w:t>
      </w:r>
    </w:p>
    <w:p>
      <w:pPr>
        <w:spacing w:after="0" w:line="86" w:lineRule="exact"/>
        <w:rPr>
          <w:rFonts w:ascii="Arial" w:cs="Arial" w:eastAsia="Arial" w:hAnsi="Arial"/>
          <w:sz w:val="18"/>
          <w:szCs w:val="18"/>
          <w:color w:val="auto"/>
        </w:rPr>
      </w:pPr>
    </w:p>
    <w:p>
      <w:pPr>
        <w:ind w:left="1420" w:right="160" w:hanging="430"/>
        <w:spacing w:after="0" w:line="286" w:lineRule="auto"/>
        <w:tabs>
          <w:tab w:leader="none" w:pos="1420" w:val="left"/>
        </w:tabs>
        <w:numPr>
          <w:ilvl w:val="1"/>
          <w:numId w:val="3"/>
        </w:numPr>
        <w:rPr>
          <w:rFonts w:ascii="Arial" w:cs="Arial" w:eastAsia="Arial" w:hAnsi="Arial"/>
          <w:sz w:val="17"/>
          <w:szCs w:val="17"/>
          <w:color w:val="auto"/>
        </w:rPr>
      </w:pPr>
      <w:r>
        <w:rPr>
          <w:rFonts w:ascii="Arial" w:cs="Arial" w:eastAsia="Arial" w:hAnsi="Arial"/>
          <w:sz w:val="17"/>
          <w:szCs w:val="17"/>
          <w:color w:val="auto"/>
        </w:rPr>
        <w:t>Segment earnings of $53 million, or $0.29 per diluted common share, for the company’s Individual Commercial segment given the company’s exit on January 1, 2018, as previously disclosed. GAAP measures affected in this release include consolidated pretax income, EPS, consolidated revenues, consolidated benefit ratio, and consolidated operating cost ratio.</w:t>
      </w:r>
    </w:p>
    <w:p>
      <w:pPr>
        <w:spacing w:after="0" w:line="70" w:lineRule="exact"/>
        <w:rPr>
          <w:rFonts w:ascii="Arial" w:cs="Arial" w:eastAsia="Arial" w:hAnsi="Arial"/>
          <w:sz w:val="17"/>
          <w:szCs w:val="17"/>
          <w:color w:val="auto"/>
        </w:rPr>
      </w:pPr>
    </w:p>
    <w:p>
      <w:pPr>
        <w:ind w:left="1420" w:right="140" w:hanging="430"/>
        <w:spacing w:after="0" w:line="277" w:lineRule="auto"/>
        <w:tabs>
          <w:tab w:leader="none" w:pos="1420" w:val="left"/>
        </w:tabs>
        <w:numPr>
          <w:ilvl w:val="1"/>
          <w:numId w:val="3"/>
        </w:numPr>
        <w:rPr>
          <w:rFonts w:ascii="Arial" w:cs="Arial" w:eastAsia="Arial" w:hAnsi="Arial"/>
          <w:sz w:val="18"/>
          <w:szCs w:val="18"/>
          <w:color w:val="auto"/>
        </w:rPr>
      </w:pPr>
      <w:r>
        <w:rPr>
          <w:rFonts w:ascii="Arial" w:cs="Arial" w:eastAsia="Arial" w:hAnsi="Arial"/>
          <w:sz w:val="18"/>
          <w:szCs w:val="18"/>
          <w:color w:val="auto"/>
        </w:rPr>
        <w:t>Adjustment of $0.05 per diluted common share related to provisional estimates for the income tax effects related to the Tax Reform Law. The only GAAP measure affected in this release is EPS.</w:t>
      </w:r>
    </w:p>
    <w:p>
      <w:pPr>
        <w:spacing w:after="0" w:line="75" w:lineRule="exact"/>
        <w:rPr>
          <w:rFonts w:ascii="Arial" w:cs="Arial" w:eastAsia="Arial" w:hAnsi="Arial"/>
          <w:sz w:val="18"/>
          <w:szCs w:val="18"/>
          <w:color w:val="auto"/>
        </w:rPr>
      </w:pPr>
    </w:p>
    <w:p>
      <w:pPr>
        <w:ind w:left="860" w:right="220" w:hanging="424"/>
        <w:spacing w:after="0" w:line="264" w:lineRule="auto"/>
        <w:tabs>
          <w:tab w:leader="none" w:pos="8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Healthcare Services segment Adjusted EBITDA includes GAAP segment earnings with adjustments to add back depreciation and amortization expense, interest expense, and income taxes. The Adjusted EBITDA includes results from the all lines of business within the segment and the impact of Humana’s 40% minority interest in Kindred at Home.</w:t>
      </w:r>
    </w:p>
    <w:p>
      <w:pPr>
        <w:spacing w:after="0" w:line="86" w:lineRule="exact"/>
        <w:rPr>
          <w:rFonts w:ascii="Arial" w:cs="Arial" w:eastAsia="Arial" w:hAnsi="Arial"/>
          <w:sz w:val="18"/>
          <w:szCs w:val="18"/>
          <w:color w:val="auto"/>
        </w:rPr>
      </w:pPr>
    </w:p>
    <w:p>
      <w:pPr>
        <w:ind w:left="860" w:hanging="424"/>
        <w:spacing w:after="0"/>
        <w:tabs>
          <w:tab w:leader="none" w:pos="860"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FY 2019 Adjusted EPS projections exclude the following</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420" w:hanging="430"/>
        <w:spacing w:after="0"/>
        <w:tabs>
          <w:tab w:leader="none" w:pos="142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Amortization expense for identifiable intangibles of approximately $0.40 per diluted common share.</w:t>
      </w:r>
    </w:p>
    <w:p>
      <w:pPr>
        <w:spacing w:after="0" w:line="130" w:lineRule="exact"/>
        <w:rPr>
          <w:rFonts w:ascii="Arial" w:cs="Arial" w:eastAsia="Arial" w:hAnsi="Arial"/>
          <w:sz w:val="18"/>
          <w:szCs w:val="18"/>
          <w:color w:val="auto"/>
        </w:rPr>
      </w:pPr>
    </w:p>
    <w:p>
      <w:pPr>
        <w:ind w:left="1420" w:right="20" w:hanging="430"/>
        <w:spacing w:after="0" w:line="264" w:lineRule="auto"/>
        <w:tabs>
          <w:tab w:leader="none" w:pos="1420" w:val="left"/>
        </w:tabs>
        <w:numPr>
          <w:ilvl w:val="1"/>
          <w:numId w:val="3"/>
        </w:numPr>
        <w:rPr>
          <w:rFonts w:ascii="Arial" w:cs="Arial" w:eastAsia="Arial" w:hAnsi="Arial"/>
          <w:sz w:val="18"/>
          <w:szCs w:val="18"/>
          <w:color w:val="auto"/>
        </w:rPr>
      </w:pPr>
      <w:r>
        <w:rPr>
          <w:rFonts w:ascii="Arial" w:cs="Arial" w:eastAsia="Arial" w:hAnsi="Arial"/>
          <w:sz w:val="18"/>
          <w:szCs w:val="18"/>
          <w:color w:val="auto"/>
        </w:rPr>
        <w:t>Put/call valuation adjustments of approximately $0.22 per diluted common share, associated with Humana’s 40% minority interest in Kindred at Home. FY 2019 GAAP EPS guidance excludes the impact of future value changes of the Kindred at Home put/call option, which cannot be estimated.</w:t>
      </w:r>
    </w:p>
    <w:p>
      <w:pPr>
        <w:spacing w:after="0" w:line="86" w:lineRule="exact"/>
        <w:rPr>
          <w:rFonts w:ascii="Arial" w:cs="Arial" w:eastAsia="Arial" w:hAnsi="Arial"/>
          <w:sz w:val="18"/>
          <w:szCs w:val="18"/>
          <w:color w:val="auto"/>
        </w:rPr>
      </w:pPr>
    </w:p>
    <w:p>
      <w:pPr>
        <w:ind w:left="860" w:hanging="424"/>
        <w:spacing w:after="0"/>
        <w:tabs>
          <w:tab w:leader="none" w:pos="860"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FY 2018 Adjusted results exclude the following</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420" w:hanging="430"/>
        <w:spacing w:after="0"/>
        <w:tabs>
          <w:tab w:leader="none" w:pos="142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Amortization expense for identifiable intangibles of approximately $90 million pretax, or $0.49 per diluted common share.</w:t>
      </w:r>
    </w:p>
    <w:p>
      <w:pPr>
        <w:spacing w:after="0" w:line="130" w:lineRule="exact"/>
        <w:rPr>
          <w:rFonts w:ascii="Arial" w:cs="Arial" w:eastAsia="Arial" w:hAnsi="Arial"/>
          <w:sz w:val="18"/>
          <w:szCs w:val="18"/>
          <w:color w:val="auto"/>
        </w:rPr>
      </w:pPr>
    </w:p>
    <w:p>
      <w:pPr>
        <w:ind w:left="1420" w:right="320" w:hanging="430"/>
        <w:spacing w:after="0" w:line="277" w:lineRule="auto"/>
        <w:tabs>
          <w:tab w:leader="none" w:pos="1420" w:val="left"/>
        </w:tabs>
        <w:numPr>
          <w:ilvl w:val="1"/>
          <w:numId w:val="3"/>
        </w:numPr>
        <w:rPr>
          <w:rFonts w:ascii="Arial" w:cs="Arial" w:eastAsia="Arial" w:hAnsi="Arial"/>
          <w:sz w:val="18"/>
          <w:szCs w:val="18"/>
          <w:color w:val="auto"/>
        </w:rPr>
      </w:pPr>
      <w:r>
        <w:rPr>
          <w:rFonts w:ascii="Arial" w:cs="Arial" w:eastAsia="Arial" w:hAnsi="Arial"/>
          <w:sz w:val="18"/>
          <w:szCs w:val="18"/>
          <w:color w:val="auto"/>
        </w:rPr>
        <w:t>Put/call valuation adjustments of approximately $33 million, or $0.18 per diluted common share, associated with Humana’s 40% minority interest in Kindred at Home.</w:t>
      </w:r>
    </w:p>
    <w:p>
      <w:pPr>
        <w:spacing w:after="0" w:line="75" w:lineRule="exact"/>
        <w:rPr>
          <w:rFonts w:ascii="Arial" w:cs="Arial" w:eastAsia="Arial" w:hAnsi="Arial"/>
          <w:sz w:val="18"/>
          <w:szCs w:val="18"/>
          <w:color w:val="auto"/>
        </w:rPr>
      </w:pPr>
    </w:p>
    <w:p>
      <w:pPr>
        <w:ind w:left="1420" w:right="280" w:hanging="430"/>
        <w:spacing w:after="0" w:line="277" w:lineRule="auto"/>
        <w:tabs>
          <w:tab w:leader="none" w:pos="1420" w:val="left"/>
        </w:tabs>
        <w:numPr>
          <w:ilvl w:val="1"/>
          <w:numId w:val="3"/>
        </w:numPr>
        <w:rPr>
          <w:rFonts w:ascii="Arial" w:cs="Arial" w:eastAsia="Arial" w:hAnsi="Arial"/>
          <w:sz w:val="18"/>
          <w:szCs w:val="18"/>
          <w:color w:val="auto"/>
        </w:rPr>
      </w:pPr>
      <w:r>
        <w:rPr>
          <w:rFonts w:ascii="Arial" w:cs="Arial" w:eastAsia="Arial" w:hAnsi="Arial"/>
          <w:sz w:val="18"/>
          <w:szCs w:val="18"/>
          <w:color w:val="auto"/>
        </w:rPr>
        <w:t>Loss of approximately $786 million pretax, or $2.41 per diluted common share, associated with the company’s sale of its wholly-owned subsidiary, KMG.</w:t>
      </w:r>
    </w:p>
    <w:p>
      <w:pPr>
        <w:spacing w:after="0" w:line="75" w:lineRule="exact"/>
        <w:rPr>
          <w:rFonts w:ascii="Arial" w:cs="Arial" w:eastAsia="Arial" w:hAnsi="Arial"/>
          <w:sz w:val="18"/>
          <w:szCs w:val="18"/>
          <w:color w:val="auto"/>
        </w:rPr>
      </w:pPr>
    </w:p>
    <w:p>
      <w:pPr>
        <w:ind w:left="1420" w:right="440" w:hanging="430"/>
        <w:spacing w:after="0" w:line="277" w:lineRule="auto"/>
        <w:tabs>
          <w:tab w:leader="none" w:pos="1420" w:val="left"/>
        </w:tabs>
        <w:numPr>
          <w:ilvl w:val="1"/>
          <w:numId w:val="3"/>
        </w:numPr>
        <w:rPr>
          <w:rFonts w:ascii="Arial" w:cs="Arial" w:eastAsia="Arial" w:hAnsi="Arial"/>
          <w:sz w:val="18"/>
          <w:szCs w:val="18"/>
          <w:color w:val="auto"/>
        </w:rPr>
      </w:pPr>
      <w:r>
        <w:rPr>
          <w:rFonts w:ascii="Arial" w:cs="Arial" w:eastAsia="Arial" w:hAnsi="Arial"/>
          <w:sz w:val="18"/>
          <w:szCs w:val="18"/>
          <w:color w:val="auto"/>
        </w:rPr>
        <w:t>Segment earnings of approximately $74 million, or $0.41 per diluted common share, for the company’s Individual Commercial segment given the company’s exit on January 1, 2018, as previously disclosed.</w:t>
      </w:r>
    </w:p>
    <w:p>
      <w:pPr>
        <w:spacing w:after="0" w:line="75" w:lineRule="exact"/>
        <w:rPr>
          <w:rFonts w:ascii="Arial" w:cs="Arial" w:eastAsia="Arial" w:hAnsi="Arial"/>
          <w:sz w:val="18"/>
          <w:szCs w:val="18"/>
          <w:color w:val="auto"/>
        </w:rPr>
      </w:pPr>
    </w:p>
    <w:p>
      <w:pPr>
        <w:ind w:left="1420" w:right="140" w:hanging="430"/>
        <w:spacing w:after="0" w:line="277" w:lineRule="auto"/>
        <w:tabs>
          <w:tab w:leader="none" w:pos="1420" w:val="left"/>
        </w:tabs>
        <w:numPr>
          <w:ilvl w:val="1"/>
          <w:numId w:val="3"/>
        </w:numPr>
        <w:rPr>
          <w:rFonts w:ascii="Arial" w:cs="Arial" w:eastAsia="Arial" w:hAnsi="Arial"/>
          <w:sz w:val="18"/>
          <w:szCs w:val="18"/>
          <w:color w:val="auto"/>
        </w:rPr>
      </w:pPr>
      <w:r>
        <w:rPr>
          <w:rFonts w:ascii="Arial" w:cs="Arial" w:eastAsia="Arial" w:hAnsi="Arial"/>
          <w:sz w:val="18"/>
          <w:szCs w:val="18"/>
          <w:color w:val="auto"/>
        </w:rPr>
        <w:t>Adjustment of $0.28 per diluted common share related to provisional estimates for the income tax effects related to the Tax Reform Law.</w:t>
      </w:r>
    </w:p>
    <w:p>
      <w:pPr>
        <w:spacing w:after="0" w:line="75" w:lineRule="exact"/>
        <w:rPr>
          <w:rFonts w:ascii="Arial" w:cs="Arial" w:eastAsia="Arial" w:hAnsi="Arial"/>
          <w:sz w:val="18"/>
          <w:szCs w:val="18"/>
          <w:color w:val="auto"/>
        </w:rPr>
      </w:pPr>
    </w:p>
    <w:p>
      <w:pPr>
        <w:ind w:left="860" w:hanging="424"/>
        <w:spacing w:after="0"/>
        <w:tabs>
          <w:tab w:leader="none" w:pos="8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Excludes estimates of changes in revenues associated with increased accuracy of risk coding.</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Cautionary Statement</w:t>
      </w:r>
    </w:p>
    <w:p>
      <w:pPr>
        <w:spacing w:after="0" w:line="121" w:lineRule="exact"/>
        <w:rPr>
          <w:sz w:val="20"/>
          <w:szCs w:val="20"/>
          <w:color w:val="auto"/>
        </w:rPr>
      </w:pPr>
    </w:p>
    <w:p>
      <w:pPr>
        <w:ind w:left="440" w:right="100"/>
        <w:spacing w:after="0" w:line="302" w:lineRule="auto"/>
        <w:rPr>
          <w:sz w:val="20"/>
          <w:szCs w:val="20"/>
          <w:color w:val="auto"/>
        </w:rPr>
      </w:pPr>
      <w:r>
        <w:rPr>
          <w:rFonts w:ascii="Arial" w:cs="Arial" w:eastAsia="Arial" w:hAnsi="Arial"/>
          <w:sz w:val="16"/>
          <w:szCs w:val="16"/>
          <w:color w:val="auto"/>
        </w:rPr>
        <w:t>This news release includes forward-looking statements regarding Humana within the meaning of the Private Securities Litigation Reform Act of 1995. When used in investor presentations, press releases, Securities and Exchange Commission (SEC) filings, and in oral statements made by or with the approval of one of Humana’s executive officers, the words or phrases like “expects,” “believes,” “anticipates,” “intends,” “likely will result,” “estimates,” “projects” or variations of such words and similar expressions are intended to identify such forward-looking statements.</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20"/>
          </w:cols>
          <w:pgMar w:left="440" w:top="274" w:right="439" w:bottom="1440" w:gutter="0" w:footer="0" w:header="0"/>
        </w:sectPr>
      </w:pPr>
    </w:p>
    <w:bookmarkStart w:id="8" w:name="page9"/>
    <w:bookmarkEnd w:id="8"/>
    <w:p>
      <w:pPr>
        <w:jc w:val="both"/>
        <w:ind w:right="32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These forward-looking statements are not guarantees of future performance and are subject to risks, uncertainties, and assumptions, including, among other things, information set forth in the “Risk Factors” section of the company’s SEC filings, a summary of which includes but is not limited to the following:</w:t>
      </w:r>
    </w:p>
    <w:p>
      <w:pPr>
        <w:spacing w:after="0" w:line="87" w:lineRule="exact"/>
        <w:rPr>
          <w:sz w:val="20"/>
          <w:szCs w:val="20"/>
          <w:color w:val="auto"/>
        </w:rPr>
      </w:pPr>
    </w:p>
    <w:p>
      <w:pPr>
        <w:ind w:left="980" w:right="60" w:hanging="430"/>
        <w:spacing w:after="0" w:line="287" w:lineRule="auto"/>
        <w:tabs>
          <w:tab w:leader="none" w:pos="980" w:val="left"/>
        </w:tabs>
        <w:numPr>
          <w:ilvl w:val="0"/>
          <w:numId w:val="4"/>
        </w:numPr>
        <w:rPr>
          <w:rFonts w:ascii="Arial" w:cs="Arial" w:eastAsia="Arial" w:hAnsi="Arial"/>
          <w:sz w:val="16"/>
          <w:szCs w:val="16"/>
          <w:color w:val="auto"/>
        </w:rPr>
      </w:pPr>
      <w:r>
        <w:rPr>
          <w:rFonts w:ascii="Arial" w:cs="Arial" w:eastAsia="Arial" w:hAnsi="Arial"/>
          <w:sz w:val="16"/>
          <w:szCs w:val="16"/>
          <w:color w:val="auto"/>
        </w:rPr>
        <w:t>If Humana does not design and price its products properly and competitively, if the premiums Humana receives are insufficient to cover the cost of healthcare services delivered to its members, if the company is unable to implement clinical initiatives to provide a better healthcare experience for its members, lower costs and appropriately document the risk profile of its members, or if its estimates of benefits expense are inadequate, Humana’s profitability could be materially adversely affected. Humana estimates the costs of its benefit expense payments, and designs and prices its products accordingly, using actuarial methods and assumptions based upon, among other relevant factors, claim payment patterns, medical cost inflation, and historical developments such as claim inventory levels and claim receipt patterns. The company continually reviews estimates of future payments relating to benefit expenses for services incurred in the current and prior periods and makes necessary adjustments to its reserves, including premium deficiency reserves, where appropriate. These estimates, however, involve extensive judgment, and have considerable inherent variability because they are extremely sensitive to changes in claim payment patterns and medical cost trends, so any reserves the company may establish, including premium deficiency reserves, may be insufficient.</w:t>
      </w:r>
    </w:p>
    <w:p>
      <w:pPr>
        <w:spacing w:after="0" w:line="78" w:lineRule="exact"/>
        <w:rPr>
          <w:rFonts w:ascii="Arial" w:cs="Arial" w:eastAsia="Arial" w:hAnsi="Arial"/>
          <w:sz w:val="16"/>
          <w:szCs w:val="16"/>
          <w:color w:val="auto"/>
        </w:rPr>
      </w:pPr>
    </w:p>
    <w:p>
      <w:pPr>
        <w:ind w:left="980" w:right="80" w:hanging="430"/>
        <w:spacing w:after="0" w:line="259"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Humana fails to effectively implement its operational and strategic initiatives, particularly its Medicare initiatives and state-based contract strategy, the company’s business may be materially adversely affected, which is of particular importance given the concentration of the company’s revenues in these products. In addition, there can be no assurances that the company will be successful in maintaining or improving its Star ratings in future years.</w:t>
      </w:r>
    </w:p>
    <w:p>
      <w:pPr>
        <w:spacing w:after="0" w:line="92" w:lineRule="exact"/>
        <w:rPr>
          <w:rFonts w:ascii="Arial" w:cs="Arial" w:eastAsia="Arial" w:hAnsi="Arial"/>
          <w:sz w:val="18"/>
          <w:szCs w:val="18"/>
          <w:color w:val="auto"/>
        </w:rPr>
      </w:pPr>
    </w:p>
    <w:p>
      <w:pPr>
        <w:ind w:left="980" w:right="260" w:hanging="430"/>
        <w:spacing w:after="0" w:line="264"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Humana fails to properly maintain the integrity of its data, to strategically implement new information systems, to protect Humana’s proprietary rights to its systems, or to defend against cyber-security attacks, the company’s business may be materially adversely affected.</w:t>
      </w:r>
    </w:p>
    <w:p>
      <w:pPr>
        <w:spacing w:after="0" w:line="86" w:lineRule="exact"/>
        <w:rPr>
          <w:rFonts w:ascii="Arial" w:cs="Arial" w:eastAsia="Arial" w:hAnsi="Arial"/>
          <w:sz w:val="18"/>
          <w:szCs w:val="18"/>
          <w:color w:val="auto"/>
        </w:rPr>
      </w:pPr>
    </w:p>
    <w:p>
      <w:pPr>
        <w:ind w:left="980" w:right="120" w:hanging="430"/>
        <w:spacing w:after="0" w:line="25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Humana is involved in various legal actions, or disputes that could lead to legal actions (such as, among other things, provider contract disputes and qui tam litigation brought by individuals on behalf of the government), governmental and internal investigations, and routine internal review of business processes any of which, if resolved unfavorably to the company, could result in substantial monetary damages or changes in its business practices. Increased litigation and negative publicity could also increase the company’s cost of doing business.</w:t>
      </w:r>
    </w:p>
    <w:p>
      <w:pPr>
        <w:spacing w:after="0" w:line="93" w:lineRule="exact"/>
        <w:rPr>
          <w:rFonts w:ascii="Arial" w:cs="Arial" w:eastAsia="Arial" w:hAnsi="Arial"/>
          <w:sz w:val="18"/>
          <w:szCs w:val="18"/>
          <w:color w:val="auto"/>
        </w:rPr>
      </w:pPr>
    </w:p>
    <w:p>
      <w:pPr>
        <w:ind w:left="980" w:right="40" w:hanging="430"/>
        <w:spacing w:after="0" w:line="270" w:lineRule="auto"/>
        <w:tabs>
          <w:tab w:leader="none" w:pos="980" w:val="left"/>
        </w:tabs>
        <w:numPr>
          <w:ilvl w:val="0"/>
          <w:numId w:val="4"/>
        </w:numPr>
        <w:rPr>
          <w:rFonts w:ascii="Arial" w:cs="Arial" w:eastAsia="Arial" w:hAnsi="Arial"/>
          <w:sz w:val="17"/>
          <w:szCs w:val="17"/>
          <w:color w:val="auto"/>
        </w:rPr>
      </w:pPr>
      <w:r>
        <w:rPr>
          <w:rFonts w:ascii="Arial" w:cs="Arial" w:eastAsia="Arial" w:hAnsi="Arial"/>
          <w:sz w:val="17"/>
          <w:szCs w:val="17"/>
          <w:color w:val="auto"/>
        </w:rPr>
        <w:t>As a government contractor, Humana is exposed to risks that may materially adversely affect its business or its willingness or ability to participate in government healthcare programs including, among other things, loss of material government contracts, governmental audits and investigations, potential inadequacy of government determined payment rates, potential restrictions on profitability, including by comparison of profitability of the company’s Medicare Advantage business to non-Medicare Advantage business, or other changes in the governmental programs in which Humana participates. Changes to the risk-adjustment model utilized by CMS to adjust premiums paid to Medicare Advantage, or MA, plans according to the health status of covered members, including proposed changes to the methodology used by CMS for risk adjustment data validation audits that fail to address adequately the statutory requirement of actuarial equivalence, if implemented, could have a material adverse effect on our operating results, financial position and cash flows.</w:t>
      </w:r>
    </w:p>
    <w:p>
      <w:pPr>
        <w:spacing w:after="0" w:line="87" w:lineRule="exact"/>
        <w:rPr>
          <w:rFonts w:ascii="Arial" w:cs="Arial" w:eastAsia="Arial" w:hAnsi="Arial"/>
          <w:sz w:val="17"/>
          <w:szCs w:val="17"/>
          <w:color w:val="auto"/>
        </w:rPr>
      </w:pPr>
    </w:p>
    <w:p>
      <w:pPr>
        <w:ind w:left="980" w:hanging="430"/>
        <w:spacing w:after="0" w:line="289" w:lineRule="auto"/>
        <w:tabs>
          <w:tab w:leader="none" w:pos="98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Healthcare Reform Law, including The Patient Protection and Affordable Care Act and The Healthcare and Education Reconciliation Act of 2010, could have a material adverse effect on Humana’s results of operations, including restricting revenue, enrollment and premium growth in certain products and market segments, restricting the company’s ability to expand into new markets, increasing the company’s medical and operating costs by, among other things, requiring a minimum benefit ratio on insured products, lowering the company’s Medicare payment rates and increasing the company’s expenses associated with a non-deductible health insurance industry fee and other assessments; the company’s financial position, including the company’s ability to maintain the value of its goodwill; and the company’s cash flows. Additionally, potential legislative or judicial changes, including activities to invalidate, repeal or replace, in whole or in part, the Health Care Reform Law, creates uncertainty for Humana’s business, and when, or in what form, such legislative or judicial changes may occur cannot be predicted with certainty.</w:t>
      </w:r>
    </w:p>
    <w:p>
      <w:pPr>
        <w:spacing w:after="0" w:line="72" w:lineRule="exact"/>
        <w:rPr>
          <w:rFonts w:ascii="Arial" w:cs="Arial" w:eastAsia="Arial" w:hAnsi="Arial"/>
          <w:sz w:val="16"/>
          <w:szCs w:val="16"/>
          <w:color w:val="auto"/>
        </w:rPr>
      </w:pPr>
    </w:p>
    <w:p>
      <w:pPr>
        <w:ind w:left="980" w:right="120" w:hanging="430"/>
        <w:spacing w:after="0" w:line="264"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Humana’s business activities are subject to substantial government regulation. New laws or regulations, or changes in existing laws or regulations or their manner of application could increase the company’s cost of doing business and may adversely affect the company’s business, profitability and cash flows.</w:t>
      </w:r>
    </w:p>
    <w:p>
      <w:pPr>
        <w:spacing w:after="0" w:line="86" w:lineRule="exact"/>
        <w:rPr>
          <w:rFonts w:ascii="Arial" w:cs="Arial" w:eastAsia="Arial" w:hAnsi="Arial"/>
          <w:sz w:val="18"/>
          <w:szCs w:val="18"/>
          <w:color w:val="auto"/>
        </w:rPr>
      </w:pPr>
    </w:p>
    <w:p>
      <w:pPr>
        <w:ind w:left="980" w:right="280" w:hanging="430"/>
        <w:spacing w:after="0" w:line="27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Humana’s failure to manage acquisitions, divestitures and other significant transactions successfully may have a material adverse effect on the company’s results of operations, financial position, and cash flows.</w:t>
      </w:r>
    </w:p>
    <w:p>
      <w:pPr>
        <w:spacing w:after="0" w:line="75" w:lineRule="exact"/>
        <w:rPr>
          <w:rFonts w:ascii="Arial" w:cs="Arial" w:eastAsia="Arial" w:hAnsi="Arial"/>
          <w:sz w:val="18"/>
          <w:szCs w:val="18"/>
          <w:color w:val="auto"/>
        </w:rPr>
      </w:pPr>
    </w:p>
    <w:p>
      <w:pPr>
        <w:ind w:left="980" w:right="40" w:hanging="430"/>
        <w:spacing w:after="0" w:line="27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Humana fails to develop and maintain satisfactory relationships with the providers of care to its members, the company’s business may be adversely affected.</w:t>
      </w:r>
    </w:p>
    <w:p>
      <w:pPr>
        <w:spacing w:after="0" w:line="75" w:lineRule="exact"/>
        <w:rPr>
          <w:rFonts w:ascii="Arial" w:cs="Arial" w:eastAsia="Arial" w:hAnsi="Arial"/>
          <w:sz w:val="18"/>
          <w:szCs w:val="18"/>
          <w:color w:val="auto"/>
        </w:rPr>
      </w:pPr>
    </w:p>
    <w:p>
      <w:pPr>
        <w:ind w:left="980" w:right="20" w:hanging="430"/>
        <w:spacing w:after="0" w:line="27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Humana’s pharmacy business is highly competitive and subjects it to regulations in addition to those the company faces with its core health benefits businesses.</w:t>
      </w:r>
    </w:p>
    <w:p>
      <w:pPr>
        <w:spacing w:after="0" w:line="75" w:lineRule="exact"/>
        <w:rPr>
          <w:rFonts w:ascii="Arial" w:cs="Arial" w:eastAsia="Arial" w:hAnsi="Arial"/>
          <w:sz w:val="18"/>
          <w:szCs w:val="18"/>
          <w:color w:val="auto"/>
        </w:rPr>
      </w:pPr>
    </w:p>
    <w:p>
      <w:pPr>
        <w:ind w:left="980" w:hanging="430"/>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the prescription drug industry pricing benchmarks may adversely affect Humana’s financial performance.</w:t>
      </w:r>
    </w:p>
    <w:p>
      <w:pPr>
        <w:spacing w:after="0" w:line="130" w:lineRule="exact"/>
        <w:rPr>
          <w:rFonts w:ascii="Arial" w:cs="Arial" w:eastAsia="Arial" w:hAnsi="Arial"/>
          <w:sz w:val="18"/>
          <w:szCs w:val="18"/>
          <w:color w:val="auto"/>
        </w:rPr>
      </w:pPr>
    </w:p>
    <w:p>
      <w:pPr>
        <w:ind w:left="980" w:hanging="430"/>
        <w:spacing w:after="0" w:line="27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Humana does not continue to earn and retain purchase discounts and volume rebates from pharmaceutical manufacturers at current levels, Humana’s gross margins may decline.</w:t>
      </w:r>
    </w:p>
    <w:p>
      <w:pPr>
        <w:sectPr>
          <w:pgSz w:w="11900" w:h="16838" w:orient="portrait"/>
          <w:cols w:equalWidth="0" w:num="1">
            <w:col w:w="10560"/>
          </w:cols>
          <w:pgMar w:left="880" w:top="274" w:right="459" w:bottom="1440" w:gutter="0" w:footer="0" w:header="0"/>
        </w:sectPr>
      </w:pPr>
    </w:p>
    <w:p>
      <w:pPr>
        <w:spacing w:after="0" w:line="103" w:lineRule="exact"/>
        <w:rPr>
          <w:sz w:val="20"/>
          <w:szCs w:val="20"/>
          <w:color w:val="auto"/>
        </w:rPr>
      </w:pPr>
    </w:p>
    <w:p>
      <w:pPr>
        <w:jc w:val="center"/>
        <w:ind w:right="420"/>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0560"/>
          </w:cols>
          <w:pgMar w:left="880" w:top="274" w:right="459" w:bottom="1440" w:gutter="0" w:footer="0" w:header="0"/>
          <w:type w:val="continuous"/>
        </w:sectPr>
      </w:pPr>
    </w:p>
    <w:bookmarkStart w:id="9" w:name="page10"/>
    <w:bookmarkEnd w:id="9"/>
    <w:p>
      <w:pPr>
        <w:ind w:left="1420" w:hanging="430"/>
        <w:spacing w:after="0"/>
        <w:tabs>
          <w:tab w:leader="none" w:pos="1420" w:val="left"/>
        </w:tabs>
        <w:numPr>
          <w:ilvl w:val="0"/>
          <w:numId w:val="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Humana’s ability to obtain funds from certain of its licensed subsidiaries is restricted by state insurance regulations.</w:t>
      </w:r>
    </w:p>
    <w:p>
      <w:pPr>
        <w:spacing w:after="0" w:line="130" w:lineRule="exact"/>
        <w:rPr>
          <w:rFonts w:ascii="Arial" w:cs="Arial" w:eastAsia="Arial" w:hAnsi="Arial"/>
          <w:sz w:val="18"/>
          <w:szCs w:val="18"/>
          <w:color w:val="auto"/>
        </w:rPr>
      </w:pPr>
    </w:p>
    <w:p>
      <w:pPr>
        <w:ind w:left="1420" w:right="320" w:hanging="430"/>
        <w:spacing w:after="0" w:line="277" w:lineRule="auto"/>
        <w:tabs>
          <w:tab w:leader="none" w:pos="1420" w:val="left"/>
        </w:tabs>
        <w:numPr>
          <w:ilvl w:val="0"/>
          <w:numId w:val="5"/>
        </w:numPr>
        <w:rPr>
          <w:rFonts w:ascii="Arial" w:cs="Arial" w:eastAsia="Arial" w:hAnsi="Arial"/>
          <w:sz w:val="18"/>
          <w:szCs w:val="18"/>
          <w:color w:val="auto"/>
        </w:rPr>
      </w:pPr>
      <w:r>
        <w:rPr>
          <w:rFonts w:ascii="Arial" w:cs="Arial" w:eastAsia="Arial" w:hAnsi="Arial"/>
          <w:sz w:val="18"/>
          <w:szCs w:val="18"/>
          <w:color w:val="auto"/>
        </w:rPr>
        <w:t>Downgrades in Humana’s debt ratings, should they occur, may adversely affect its business, results of operations, and financial condition.</w:t>
      </w:r>
    </w:p>
    <w:p>
      <w:pPr>
        <w:spacing w:after="0" w:line="75" w:lineRule="exact"/>
        <w:rPr>
          <w:rFonts w:ascii="Arial" w:cs="Arial" w:eastAsia="Arial" w:hAnsi="Arial"/>
          <w:sz w:val="18"/>
          <w:szCs w:val="18"/>
          <w:color w:val="auto"/>
        </w:rPr>
      </w:pPr>
    </w:p>
    <w:p>
      <w:pPr>
        <w:ind w:left="1420" w:hanging="430"/>
        <w:spacing w:after="0"/>
        <w:tabs>
          <w:tab w:leader="none" w:pos="142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securities and credit markets may experience volatility and disruption, which may adversely affect Humana’s business.</w:t>
      </w:r>
    </w:p>
    <w:p>
      <w:pPr>
        <w:spacing w:after="0" w:line="129" w:lineRule="exact"/>
        <w:rPr>
          <w:sz w:val="20"/>
          <w:szCs w:val="20"/>
          <w:color w:val="auto"/>
        </w:rPr>
      </w:pPr>
    </w:p>
    <w:p>
      <w:pPr>
        <w:ind w:left="440" w:right="140"/>
        <w:spacing w:after="0" w:line="259" w:lineRule="auto"/>
        <w:rPr>
          <w:sz w:val="20"/>
          <w:szCs w:val="20"/>
          <w:color w:val="auto"/>
        </w:rPr>
      </w:pPr>
      <w:r>
        <w:rPr>
          <w:rFonts w:ascii="Arial" w:cs="Arial" w:eastAsia="Arial" w:hAnsi="Arial"/>
          <w:sz w:val="18"/>
          <w:szCs w:val="18"/>
          <w:color w:val="auto"/>
        </w:rPr>
        <w:t>In making forward-looking statements, Humana is not undertaking to address or update them in future filings or communications regarding its business or results. In light of these risks, uncertainties, and assumptions, the forward-looking events discussed herein may or may not occur. There also may be other risks that the company is unable to predict at this time. Any of these risks and uncertainties may cause actual results to differ materially from the results discussed in the forward-looking statements.</w:t>
      </w:r>
    </w:p>
    <w:p>
      <w:pPr>
        <w:spacing w:after="0" w:line="18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Humana advises investors to read the following documents as filed by the company with the SEC for further discussion both of the risks it faces and its historical performance:</w:t>
      </w:r>
    </w:p>
    <w:p>
      <w:pPr>
        <w:spacing w:after="0" w:line="76" w:lineRule="exact"/>
        <w:rPr>
          <w:sz w:val="20"/>
          <w:szCs w:val="20"/>
          <w:color w:val="auto"/>
        </w:rPr>
      </w:pPr>
    </w:p>
    <w:p>
      <w:pPr>
        <w:ind w:left="860" w:hanging="316"/>
        <w:spacing w:after="0"/>
        <w:tabs>
          <w:tab w:leader="none" w:pos="8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Form 10-K for the year ended December 31, 2018; and</w:t>
      </w:r>
    </w:p>
    <w:p>
      <w:pPr>
        <w:spacing w:after="0" w:line="130" w:lineRule="exact"/>
        <w:rPr>
          <w:rFonts w:ascii="Arial" w:cs="Arial" w:eastAsia="Arial" w:hAnsi="Arial"/>
          <w:sz w:val="18"/>
          <w:szCs w:val="18"/>
          <w:color w:val="auto"/>
        </w:rPr>
      </w:pPr>
    </w:p>
    <w:p>
      <w:pPr>
        <w:ind w:left="860" w:hanging="316"/>
        <w:spacing w:after="0"/>
        <w:tabs>
          <w:tab w:leader="none" w:pos="8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Form 8-Ks filed during 2019.</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00"/>
          </w:cols>
          <w:pgMar w:left="440" w:top="274" w:right="55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About Humana</w:t>
      </w:r>
    </w:p>
    <w:p>
      <w:pPr>
        <w:spacing w:after="0" w:line="12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Humana Inc. (NYSE: HUM) is committed to helping our millions of medical and specialty members achieve their best health. Our successful history in care delivery and health plan administration is helping us create a new kind of integrated care with the power to improve health and well-being and lower costs. Our efforts are leading to a better quality of life for people with Medicare, families, individuals, military service personnel, and communities at large.</w:t>
      </w:r>
    </w:p>
    <w:p>
      <w:pPr>
        <w:spacing w:after="0" w:line="187"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To accomplish that, we support physicians and other health care professionals as they work to deliver the right care in the right place for their patients, our members. Our range of clinical capabilities, resources and tools – such as in-home care, behavioral health, pharmacy services, data analytics and wellness solutions – combine to produce a simplified experience that makes health care easier to navigate and more effective.</w:t>
      </w:r>
    </w:p>
    <w:p>
      <w:pPr>
        <w:spacing w:after="0" w:line="14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More information regarding Humana is available to investors via the Investor Relations page of the company’s website at </w:t>
      </w:r>
      <w:r>
        <w:rPr>
          <w:rFonts w:ascii="Arial" w:cs="Arial" w:eastAsia="Arial" w:hAnsi="Arial"/>
          <w:sz w:val="18"/>
          <w:szCs w:val="18"/>
          <w:u w:val="single" w:color="auto"/>
          <w:color w:val="auto"/>
        </w:rPr>
        <w:t>humana.com</w:t>
      </w:r>
      <w:r>
        <w:rPr>
          <w:rFonts w:ascii="Arial" w:cs="Arial" w:eastAsia="Arial" w:hAnsi="Arial"/>
          <w:sz w:val="18"/>
          <w:szCs w:val="18"/>
          <w:color w:val="auto"/>
        </w:rPr>
        <w:t>, including copies of:</w:t>
      </w:r>
    </w:p>
    <w:p>
      <w:pPr>
        <w:spacing w:after="0" w:line="76" w:lineRule="exact"/>
        <w:rPr>
          <w:sz w:val="20"/>
          <w:szCs w:val="20"/>
          <w:color w:val="auto"/>
        </w:rPr>
      </w:pPr>
    </w:p>
    <w:p>
      <w:pPr>
        <w:ind w:left="860" w:hanging="316"/>
        <w:spacing w:after="0"/>
        <w:tabs>
          <w:tab w:leader="none" w:pos="8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Annual reports to stockholders</w:t>
      </w:r>
    </w:p>
    <w:p>
      <w:pPr>
        <w:spacing w:after="0" w:line="130" w:lineRule="exact"/>
        <w:rPr>
          <w:rFonts w:ascii="Arial" w:cs="Arial" w:eastAsia="Arial" w:hAnsi="Arial"/>
          <w:sz w:val="18"/>
          <w:szCs w:val="18"/>
          <w:color w:val="auto"/>
        </w:rPr>
      </w:pPr>
    </w:p>
    <w:p>
      <w:pPr>
        <w:ind w:left="860" w:hanging="316"/>
        <w:spacing w:after="0"/>
        <w:tabs>
          <w:tab w:leader="none" w:pos="8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Securities and Exchange Commission filings</w:t>
      </w:r>
    </w:p>
    <w:p>
      <w:pPr>
        <w:spacing w:after="0" w:line="130" w:lineRule="exact"/>
        <w:rPr>
          <w:rFonts w:ascii="Arial" w:cs="Arial" w:eastAsia="Arial" w:hAnsi="Arial"/>
          <w:sz w:val="18"/>
          <w:szCs w:val="18"/>
          <w:color w:val="auto"/>
        </w:rPr>
      </w:pPr>
    </w:p>
    <w:p>
      <w:pPr>
        <w:ind w:left="860" w:hanging="316"/>
        <w:spacing w:after="0"/>
        <w:tabs>
          <w:tab w:leader="none" w:pos="860" w:val="left"/>
        </w:tabs>
        <w:numPr>
          <w:ilvl w:val="0"/>
          <w:numId w:val="7"/>
        </w:numPr>
        <w:rPr>
          <w:rFonts w:ascii="Arial" w:cs="Arial" w:eastAsia="Arial" w:hAnsi="Arial"/>
          <w:sz w:val="18"/>
          <w:szCs w:val="18"/>
          <w:color w:val="auto"/>
        </w:rPr>
      </w:pPr>
      <w:r>
        <w:rPr>
          <w:rFonts w:ascii="Arial" w:cs="Arial" w:eastAsia="Arial" w:hAnsi="Arial"/>
          <w:sz w:val="18"/>
          <w:szCs w:val="18"/>
          <w:color w:val="auto"/>
        </w:rPr>
        <w:t>Most recent investor conference presentations</w:t>
      </w:r>
    </w:p>
    <w:p>
      <w:pPr>
        <w:spacing w:after="0" w:line="130" w:lineRule="exact"/>
        <w:rPr>
          <w:rFonts w:ascii="Arial" w:cs="Arial" w:eastAsia="Arial" w:hAnsi="Arial"/>
          <w:sz w:val="18"/>
          <w:szCs w:val="18"/>
          <w:color w:val="auto"/>
        </w:rPr>
      </w:pPr>
    </w:p>
    <w:p>
      <w:pPr>
        <w:ind w:left="860" w:hanging="316"/>
        <w:spacing w:after="0"/>
        <w:tabs>
          <w:tab w:leader="none" w:pos="860" w:val="left"/>
        </w:tabs>
        <w:numPr>
          <w:ilvl w:val="0"/>
          <w:numId w:val="7"/>
        </w:numPr>
        <w:rPr>
          <w:rFonts w:ascii="Arial" w:cs="Arial" w:eastAsia="Arial" w:hAnsi="Arial"/>
          <w:sz w:val="18"/>
          <w:szCs w:val="18"/>
          <w:color w:val="auto"/>
        </w:rPr>
      </w:pPr>
      <w:r>
        <w:rPr>
          <w:rFonts w:ascii="Arial" w:cs="Arial" w:eastAsia="Arial" w:hAnsi="Arial"/>
          <w:sz w:val="18"/>
          <w:szCs w:val="18"/>
          <w:color w:val="auto"/>
        </w:rPr>
        <w:t>Quarterly earnings news releases and conference calls</w:t>
      </w:r>
    </w:p>
    <w:p>
      <w:pPr>
        <w:spacing w:after="0" w:line="130" w:lineRule="exact"/>
        <w:rPr>
          <w:rFonts w:ascii="Arial" w:cs="Arial" w:eastAsia="Arial" w:hAnsi="Arial"/>
          <w:sz w:val="18"/>
          <w:szCs w:val="18"/>
          <w:color w:val="auto"/>
        </w:rPr>
      </w:pPr>
    </w:p>
    <w:p>
      <w:pPr>
        <w:ind w:left="860" w:hanging="316"/>
        <w:spacing w:after="0"/>
        <w:tabs>
          <w:tab w:leader="none" w:pos="8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Calendar of events</w:t>
      </w:r>
    </w:p>
    <w:p>
      <w:pPr>
        <w:spacing w:after="0" w:line="130" w:lineRule="exact"/>
        <w:rPr>
          <w:rFonts w:ascii="Arial" w:cs="Arial" w:eastAsia="Arial" w:hAnsi="Arial"/>
          <w:sz w:val="18"/>
          <w:szCs w:val="18"/>
          <w:color w:val="auto"/>
        </w:rPr>
      </w:pPr>
    </w:p>
    <w:p>
      <w:pPr>
        <w:ind w:left="860" w:hanging="316"/>
        <w:spacing w:after="0"/>
        <w:tabs>
          <w:tab w:leader="none" w:pos="8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Corporate Governance information</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40" w:top="270" w:right="459" w:bottom="1440" w:gutter="0" w:footer="0" w:header="0"/>
        </w:sectPr>
      </w:pPr>
    </w:p>
    <w:bookmarkStart w:id="11" w:name="page12"/>
    <w:bookmarkEnd w:id="11"/>
    <w:p>
      <w:pPr>
        <w:jc w:val="right"/>
        <w:spacing w:after="0"/>
        <w:rPr>
          <w:sz w:val="20"/>
          <w:szCs w:val="20"/>
          <w:color w:val="auto"/>
        </w:rPr>
      </w:pPr>
      <w:r>
        <w:rPr>
          <w:rFonts w:ascii="Arial" w:cs="Arial" w:eastAsia="Arial" w:hAnsi="Arial"/>
          <w:sz w:val="18"/>
          <w:szCs w:val="18"/>
          <w:b w:val="1"/>
          <w:bCs w:val="1"/>
          <w:color w:val="auto"/>
        </w:rPr>
        <w:t>Exhibit 99.2</w:t>
      </w:r>
    </w:p>
    <w:p>
      <w:pPr>
        <w:spacing w:after="0" w:line="25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Humana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132905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329055" cy="12890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500 West Main Street</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P.O. Box 1438</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Louisville, KY 40202</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8"/>
          <w:szCs w:val="18"/>
          <w:u w:val="single" w:color="auto"/>
          <w:color w:val="auto"/>
        </w:rPr>
        <w:t>http://www.humana.com</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FOR MORE INFORMATION CONTACT: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3719830</wp:posOffset>
            </wp:positionH>
            <wp:positionV relativeFrom="paragraph">
              <wp:posOffset>-121920</wp:posOffset>
            </wp:positionV>
            <wp:extent cx="2040890" cy="6172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040890" cy="61722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Amy Smith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Humana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(502) 580-2811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Amysmith@humana.com</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Alex Kepnes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Humana Corporate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(502) 580-2990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Akepnes@humana.com</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Humana Reports First Quarter 2019 Financial Results;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Raises Full Year 2019 Financial Guidance</w:t>
      </w:r>
    </w:p>
    <w:p>
      <w:pPr>
        <w:spacing w:after="0" w:line="238" w:lineRule="exact"/>
        <w:rPr>
          <w:sz w:val="20"/>
          <w:szCs w:val="20"/>
          <w:color w:val="auto"/>
        </w:rPr>
      </w:pPr>
    </w:p>
    <w:p>
      <w:pPr>
        <w:ind w:left="860" w:hanging="316"/>
        <w:spacing w:after="0"/>
        <w:tabs>
          <w:tab w:leader="none" w:pos="860" w:val="left"/>
        </w:tabs>
        <w:numPr>
          <w:ilvl w:val="0"/>
          <w:numId w:val="8"/>
        </w:numPr>
        <w:rPr>
          <w:rFonts w:ascii="Arial" w:cs="Arial" w:eastAsia="Arial" w:hAnsi="Arial"/>
          <w:sz w:val="18"/>
          <w:szCs w:val="18"/>
          <w:color w:val="auto"/>
        </w:rPr>
      </w:pPr>
      <w:r>
        <w:rPr>
          <w:rFonts w:ascii="Arial" w:cs="Arial" w:eastAsia="Arial" w:hAnsi="Arial"/>
          <w:sz w:val="18"/>
          <w:szCs w:val="18"/>
          <w:color w:val="auto"/>
        </w:rPr>
        <w:t>1Q19 earnings per diluted common share (EPS) of $4.16 on a GAAP basis, $4.48 on an Adjusted basis</w:t>
      </w:r>
    </w:p>
    <w:p>
      <w:pPr>
        <w:spacing w:after="0" w:line="130" w:lineRule="exact"/>
        <w:rPr>
          <w:rFonts w:ascii="Arial" w:cs="Arial" w:eastAsia="Arial" w:hAnsi="Arial"/>
          <w:sz w:val="18"/>
          <w:szCs w:val="18"/>
          <w:color w:val="auto"/>
        </w:rPr>
      </w:pPr>
    </w:p>
    <w:p>
      <w:pPr>
        <w:ind w:left="860" w:right="540" w:hanging="316"/>
        <w:spacing w:after="0" w:line="277" w:lineRule="auto"/>
        <w:tabs>
          <w:tab w:leader="none" w:pos="860" w:val="left"/>
        </w:tabs>
        <w:numPr>
          <w:ilvl w:val="0"/>
          <w:numId w:val="8"/>
        </w:numPr>
        <w:rPr>
          <w:rFonts w:ascii="Arial" w:cs="Arial" w:eastAsia="Arial" w:hAnsi="Arial"/>
          <w:sz w:val="18"/>
          <w:szCs w:val="18"/>
          <w:color w:val="auto"/>
        </w:rPr>
      </w:pPr>
      <w:r>
        <w:rPr>
          <w:rFonts w:ascii="Arial" w:cs="Arial" w:eastAsia="Arial" w:hAnsi="Arial"/>
          <w:sz w:val="18"/>
          <w:szCs w:val="18"/>
          <w:color w:val="auto"/>
        </w:rPr>
        <w:t>2019 EPS guidance raised to approximately $16.63 to $16.88 on a GAAP basis, $17.25 to $17.50 on an Adjusted basis, meaningfully exceeding long-term growth targets</w:t>
      </w:r>
    </w:p>
    <w:p>
      <w:pPr>
        <w:spacing w:after="0" w:line="75" w:lineRule="exact"/>
        <w:rPr>
          <w:rFonts w:ascii="Arial" w:cs="Arial" w:eastAsia="Arial" w:hAnsi="Arial"/>
          <w:sz w:val="18"/>
          <w:szCs w:val="18"/>
          <w:color w:val="auto"/>
        </w:rPr>
      </w:pPr>
    </w:p>
    <w:p>
      <w:pPr>
        <w:ind w:left="860" w:hanging="316"/>
        <w:spacing w:after="0"/>
        <w:tabs>
          <w:tab w:leader="none" w:pos="8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Strong start to 2019 driven by better than expected utilization in the individual Medicare Advantage business</w:t>
      </w:r>
    </w:p>
    <w:p>
      <w:pPr>
        <w:spacing w:after="0" w:line="130" w:lineRule="exact"/>
        <w:rPr>
          <w:rFonts w:ascii="Arial" w:cs="Arial" w:eastAsia="Arial" w:hAnsi="Arial"/>
          <w:sz w:val="18"/>
          <w:szCs w:val="18"/>
          <w:color w:val="auto"/>
        </w:rPr>
      </w:pPr>
    </w:p>
    <w:p>
      <w:pPr>
        <w:ind w:left="860" w:right="1000" w:hanging="316"/>
        <w:spacing w:after="0" w:line="277" w:lineRule="auto"/>
        <w:tabs>
          <w:tab w:leader="none" w:pos="8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Increased full year expected individual Medicare Advantage membership growth to 415,000 to 440,000 members, representing approximately 14 percent growth in 2019</w:t>
      </w:r>
    </w:p>
    <w:p>
      <w:pPr>
        <w:spacing w:after="0" w:line="166"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b w:val="1"/>
          <w:bCs w:val="1"/>
          <w:color w:val="auto"/>
        </w:rPr>
        <w:t xml:space="preserve">LOUISVILLE, KY (May 1, 2019) </w:t>
      </w:r>
      <w:r>
        <w:rPr>
          <w:rFonts w:ascii="Arial" w:cs="Arial" w:eastAsia="Arial" w:hAnsi="Arial"/>
          <w:sz w:val="18"/>
          <w:szCs w:val="18"/>
          <w:color w:val="auto"/>
        </w:rPr>
        <w:t>– Humana Inc. (NYSE: HUM) today reported consolidated pretax income and diluted earnings per common share</w:t>
      </w:r>
      <w:r>
        <w:rPr>
          <w:rFonts w:ascii="Arial" w:cs="Arial" w:eastAsia="Arial" w:hAnsi="Arial"/>
          <w:sz w:val="18"/>
          <w:szCs w:val="18"/>
          <w:b w:val="1"/>
          <w:bCs w:val="1"/>
          <w:color w:val="auto"/>
        </w:rPr>
        <w:t xml:space="preserve"> </w:t>
      </w:r>
      <w:r>
        <w:rPr>
          <w:rFonts w:ascii="Arial" w:cs="Arial" w:eastAsia="Arial" w:hAnsi="Arial"/>
          <w:sz w:val="18"/>
          <w:szCs w:val="18"/>
          <w:color w:val="auto"/>
        </w:rPr>
        <w:t>(EPS) for the quarter ended March 31, 2019 (1Q19) versus the quarter ended March 31, 2018 (1Q18) as follows:</w:t>
      </w:r>
    </w:p>
    <w:p>
      <w:pPr>
        <w:spacing w:after="0" w:line="176"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6280" w:type="dxa"/>
            <w:vAlign w:val="bottom"/>
            <w:gridSpan w:val="3"/>
          </w:tcPr>
          <w:p>
            <w:pPr>
              <w:spacing w:after="0"/>
              <w:rPr>
                <w:sz w:val="20"/>
                <w:szCs w:val="20"/>
                <w:color w:val="auto"/>
              </w:rPr>
            </w:pPr>
            <w:r>
              <w:rPr>
                <w:rFonts w:ascii="Arial" w:cs="Arial" w:eastAsia="Arial" w:hAnsi="Arial"/>
                <w:sz w:val="14"/>
                <w:szCs w:val="14"/>
                <w:b w:val="1"/>
                <w:bCs w:val="1"/>
                <w:color w:val="auto"/>
              </w:rPr>
              <w:t>Consolidated pretax income</w:t>
            </w: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6280" w:type="dxa"/>
            <w:vAlign w:val="bottom"/>
            <w:gridSpan w:val="3"/>
          </w:tcPr>
          <w:p>
            <w:pPr>
              <w:spacing w:after="0"/>
              <w:rPr>
                <w:sz w:val="20"/>
                <w:szCs w:val="20"/>
                <w:color w:val="auto"/>
              </w:rPr>
            </w:pPr>
            <w:r>
              <w:rPr>
                <w:rFonts w:ascii="Arial" w:cs="Arial" w:eastAsia="Arial" w:hAnsi="Arial"/>
                <w:sz w:val="14"/>
                <w:szCs w:val="14"/>
                <w:i w:val="1"/>
                <w:iCs w:val="1"/>
                <w:color w:val="auto"/>
              </w:rPr>
              <w:t>In millions</w:t>
            </w:r>
          </w:p>
        </w:tc>
        <w:tc>
          <w:tcPr>
            <w:tcW w:w="900" w:type="dxa"/>
            <w:vAlign w:val="bottom"/>
            <w:gridSpan w:val="3"/>
          </w:tcPr>
          <w:p>
            <w:pPr>
              <w:jc w:val="right"/>
              <w:spacing w:after="0"/>
              <w:rPr>
                <w:sz w:val="20"/>
                <w:szCs w:val="20"/>
                <w:color w:val="auto"/>
              </w:rPr>
            </w:pPr>
            <w:r>
              <w:rPr>
                <w:rFonts w:ascii="Arial" w:cs="Arial" w:eastAsia="Arial" w:hAnsi="Arial"/>
                <w:sz w:val="14"/>
                <w:szCs w:val="14"/>
                <w:b w:val="1"/>
                <w:bCs w:val="1"/>
                <w:color w:val="auto"/>
              </w:rPr>
              <w:t>1Q19 (a)</w:t>
            </w:r>
          </w:p>
        </w:tc>
        <w:tc>
          <w:tcPr>
            <w:tcW w:w="1200" w:type="dxa"/>
            <w:vAlign w:val="bottom"/>
            <w:gridSpan w:val="4"/>
          </w:tcPr>
          <w:p>
            <w:pPr>
              <w:jc w:val="right"/>
              <w:ind w:right="100"/>
              <w:spacing w:after="0"/>
              <w:rPr>
                <w:sz w:val="20"/>
                <w:szCs w:val="20"/>
                <w:color w:val="auto"/>
              </w:rPr>
            </w:pPr>
            <w:r>
              <w:rPr>
                <w:rFonts w:ascii="Arial" w:cs="Arial" w:eastAsia="Arial" w:hAnsi="Arial"/>
                <w:sz w:val="14"/>
                <w:szCs w:val="14"/>
                <w:color w:val="auto"/>
              </w:rPr>
              <w:t>1Q18 (b)</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Borders>
              <w:bottom w:val="single" w:sz="8" w:color="CCEEFF"/>
            </w:tcBorders>
            <w:shd w:val="clear" w:color="auto" w:fill="000000"/>
          </w:tcPr>
          <w:p>
            <w:pPr>
              <w:spacing w:after="0" w:line="20" w:lineRule="exact"/>
              <w:rPr>
                <w:sz w:val="1"/>
                <w:szCs w:val="1"/>
                <w:color w:val="auto"/>
              </w:rPr>
            </w:pPr>
          </w:p>
        </w:tc>
        <w:tc>
          <w:tcPr>
            <w:tcW w:w="56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26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Generally Accepted Accounting Principles (GAAP)</w:t>
            </w: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3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746</w:t>
            </w: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3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707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tcPr>
          <w:p>
            <w:pPr>
              <w:spacing w:after="0"/>
              <w:rPr>
                <w:sz w:val="20"/>
                <w:szCs w:val="20"/>
                <w:color w:val="auto"/>
              </w:rPr>
            </w:pPr>
            <w:r>
              <w:rPr>
                <w:rFonts w:ascii="Arial" w:cs="Arial" w:eastAsia="Arial" w:hAnsi="Arial"/>
                <w:sz w:val="18"/>
                <w:szCs w:val="18"/>
                <w:color w:val="auto"/>
              </w:rPr>
              <w:t>Amortization associated with identifiable intangibles</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b w:val="1"/>
                <w:bCs w:val="1"/>
                <w:color w:val="auto"/>
              </w:rPr>
              <w:t>18</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2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6"/>
              </w:rPr>
              <w:t>Put/call valuation adjustments associated with 40% minority interest in Kindred at</w:t>
            </w: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39</w:t>
            </w: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Home</w:t>
            </w:r>
          </w:p>
        </w:tc>
        <w:tc>
          <w:tcPr>
            <w:tcW w:w="3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80" w:type="dxa"/>
            <w:vAlign w:val="bottom"/>
            <w:vMerge w:val="continue"/>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tcPr>
          <w:p>
            <w:pPr>
              <w:spacing w:after="0"/>
              <w:rPr>
                <w:sz w:val="20"/>
                <w:szCs w:val="20"/>
                <w:color w:val="auto"/>
              </w:rPr>
            </w:pPr>
            <w:r>
              <w:rPr>
                <w:rFonts w:ascii="Arial" w:cs="Arial" w:eastAsia="Arial" w:hAnsi="Arial"/>
                <w:sz w:val="18"/>
                <w:szCs w:val="18"/>
                <w:color w:val="auto"/>
              </w:rPr>
              <w:t>Segment earnings associated with the Individual Commercial Segment</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Adjusted (non-GAAP)</w:t>
            </w:r>
          </w:p>
        </w:tc>
        <w:tc>
          <w:tcPr>
            <w:tcW w:w="52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803</w:t>
            </w:r>
          </w:p>
        </w:tc>
        <w:tc>
          <w:tcPr>
            <w:tcW w:w="74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6280" w:type="dxa"/>
            <w:vAlign w:val="bottom"/>
            <w:gridSpan w:val="3"/>
          </w:tcPr>
          <w:p>
            <w:pPr>
              <w:jc w:val="right"/>
              <w:ind w:right="2040"/>
              <w:spacing w:after="0"/>
              <w:rPr>
                <w:sz w:val="20"/>
                <w:szCs w:val="20"/>
                <w:color w:val="auto"/>
              </w:rPr>
            </w:pPr>
            <w:r>
              <w:rPr>
                <w:rFonts w:ascii="Arial" w:cs="Arial" w:eastAsia="Arial" w:hAnsi="Arial"/>
                <w:sz w:val="18"/>
                <w:szCs w:val="18"/>
                <w:color w:val="auto"/>
              </w:rPr>
              <w:t>1</w:t>
            </w: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121" w:right="439" w:bottom="1440" w:gutter="0" w:footer="0" w:header="0"/>
        </w:sectPr>
      </w:pPr>
    </w:p>
    <w:bookmarkStart w:id="12" w:name="page13"/>
    <w:bookmarkEnd w:id="1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1320" w:type="dxa"/>
        <w:tblCellMar>
          <w:top w:w="0" w:type="dxa"/>
          <w:left w:w="0" w:type="dxa"/>
          <w:bottom w:w="0" w:type="dxa"/>
          <w:right w:w="0" w:type="dxa"/>
        </w:tblCellMar>
      </w:tblPr>
      <w:tr>
        <w:trPr>
          <w:trHeight w:val="191"/>
        </w:trPr>
        <w:tc>
          <w:tcPr>
            <w:tcW w:w="6320" w:type="dxa"/>
            <w:vAlign w:val="bottom"/>
            <w:gridSpan w:val="3"/>
          </w:tcPr>
          <w:p>
            <w:pPr>
              <w:spacing w:after="0"/>
              <w:rPr>
                <w:sz w:val="20"/>
                <w:szCs w:val="20"/>
                <w:color w:val="auto"/>
              </w:rPr>
            </w:pPr>
            <w:r>
              <w:rPr>
                <w:rFonts w:ascii="Arial" w:cs="Arial" w:eastAsia="Arial" w:hAnsi="Arial"/>
                <w:sz w:val="14"/>
                <w:szCs w:val="14"/>
                <w:b w:val="1"/>
                <w:bCs w:val="1"/>
                <w:color w:val="auto"/>
              </w:rPr>
              <w:t>Diluted earnings per common share (EPS)</w:t>
            </w:r>
          </w:p>
        </w:tc>
        <w:tc>
          <w:tcPr>
            <w:tcW w:w="920" w:type="dxa"/>
            <w:vAlign w:val="bottom"/>
            <w:gridSpan w:val="3"/>
          </w:tcPr>
          <w:p>
            <w:pPr>
              <w:jc w:val="right"/>
              <w:spacing w:after="0"/>
              <w:rPr>
                <w:sz w:val="20"/>
                <w:szCs w:val="20"/>
                <w:color w:val="auto"/>
              </w:rPr>
            </w:pPr>
            <w:r>
              <w:rPr>
                <w:rFonts w:ascii="Arial" w:cs="Arial" w:eastAsia="Arial" w:hAnsi="Arial"/>
                <w:sz w:val="14"/>
                <w:szCs w:val="14"/>
                <w:b w:val="1"/>
                <w:bCs w:val="1"/>
                <w:color w:val="auto"/>
              </w:rPr>
              <w:t>1Q19 (a)</w:t>
            </w:r>
          </w:p>
        </w:tc>
        <w:tc>
          <w:tcPr>
            <w:tcW w:w="1140" w:type="dxa"/>
            <w:vAlign w:val="bottom"/>
            <w:gridSpan w:val="4"/>
          </w:tcPr>
          <w:p>
            <w:pPr>
              <w:jc w:val="right"/>
              <w:ind w:right="100"/>
              <w:spacing w:after="0"/>
              <w:rPr>
                <w:sz w:val="20"/>
                <w:szCs w:val="20"/>
                <w:color w:val="auto"/>
              </w:rPr>
            </w:pPr>
            <w:r>
              <w:rPr>
                <w:rFonts w:ascii="Arial" w:cs="Arial" w:eastAsia="Arial" w:hAnsi="Arial"/>
                <w:sz w:val="14"/>
                <w:szCs w:val="14"/>
                <w:color w:val="auto"/>
              </w:rPr>
              <w:t>1Q18 (b)</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GAAP</w:t>
            </w:r>
          </w:p>
        </w:tc>
        <w:tc>
          <w:tcPr>
            <w:tcW w:w="37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3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4.16</w:t>
            </w:r>
          </w:p>
        </w:tc>
        <w:tc>
          <w:tcPr>
            <w:tcW w:w="5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3.53</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tcPr>
          <w:p>
            <w:pPr>
              <w:spacing w:after="0"/>
              <w:rPr>
                <w:sz w:val="20"/>
                <w:szCs w:val="20"/>
                <w:color w:val="auto"/>
              </w:rPr>
            </w:pPr>
            <w:r>
              <w:rPr>
                <w:rFonts w:ascii="Arial" w:cs="Arial" w:eastAsia="Arial" w:hAnsi="Arial"/>
                <w:sz w:val="18"/>
                <w:szCs w:val="18"/>
                <w:color w:val="auto"/>
              </w:rPr>
              <w:t>Amortization associated with identifiable intangibles</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b w:val="1"/>
                <w:bCs w:val="1"/>
                <w:color w:val="auto"/>
              </w:rPr>
              <w:t>0.10</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3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7"/>
              </w:rPr>
              <w:t>Put/call valuation adjustments associated with 40% minority interest in Kindred at</w:t>
            </w: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0.22</w:t>
            </w: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Home</w:t>
            </w:r>
          </w:p>
        </w:tc>
        <w:tc>
          <w:tcPr>
            <w:tcW w:w="3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80" w:type="dxa"/>
            <w:vAlign w:val="bottom"/>
            <w:vMerge w:val="continue"/>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tcPr>
          <w:p>
            <w:pPr>
              <w:spacing w:after="0"/>
              <w:rPr>
                <w:sz w:val="20"/>
                <w:szCs w:val="20"/>
                <w:color w:val="auto"/>
              </w:rPr>
            </w:pPr>
            <w:r>
              <w:rPr>
                <w:rFonts w:ascii="Arial" w:cs="Arial" w:eastAsia="Arial" w:hAnsi="Arial"/>
                <w:sz w:val="18"/>
                <w:szCs w:val="18"/>
                <w:color w:val="auto"/>
              </w:rPr>
              <w:t>Segment earnings associated with the Individual Commercial segment</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(0.29)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3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8"/>
              </w:rPr>
              <w:t>Adjustments to provisional estimates for the income tax effects related to the tax</w:t>
            </w: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8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reform law enacted on December 22, 2017 (Tax Reform Law)</w:t>
            </w:r>
          </w:p>
        </w:tc>
        <w:tc>
          <w:tcPr>
            <w:tcW w:w="3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80" w:type="dxa"/>
            <w:vAlign w:val="bottom"/>
            <w:vMerge w:val="continue"/>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(0.05)</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300" w:type="dxa"/>
            <w:vAlign w:val="bottom"/>
            <w:gridSpan w:val="2"/>
          </w:tcPr>
          <w:p>
            <w:pPr>
              <w:spacing w:after="0"/>
              <w:rPr>
                <w:sz w:val="20"/>
                <w:szCs w:val="20"/>
                <w:color w:val="auto"/>
              </w:rPr>
            </w:pPr>
            <w:r>
              <w:rPr>
                <w:rFonts w:ascii="Arial" w:cs="Arial" w:eastAsia="Arial" w:hAnsi="Arial"/>
                <w:sz w:val="18"/>
                <w:szCs w:val="18"/>
                <w:b w:val="1"/>
                <w:bCs w:val="1"/>
                <w:color w:val="auto"/>
              </w:rPr>
              <w:t>Adjusted (non-GAAP)</w:t>
            </w:r>
          </w:p>
        </w:tc>
        <w:tc>
          <w:tcPr>
            <w:tcW w:w="540" w:type="dxa"/>
            <w:vAlign w:val="bottom"/>
            <w:gridSpan w:val="2"/>
          </w:tcPr>
          <w:p>
            <w:pPr>
              <w:jc w:val="right"/>
              <w:ind w:right="5"/>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jc w:val="right"/>
              <w:spacing w:after="0"/>
              <w:rPr>
                <w:sz w:val="20"/>
                <w:szCs w:val="20"/>
                <w:color w:val="auto"/>
              </w:rPr>
            </w:pPr>
            <w:r>
              <w:rPr>
                <w:rFonts w:ascii="Arial" w:cs="Arial" w:eastAsia="Arial" w:hAnsi="Arial"/>
                <w:sz w:val="18"/>
                <w:szCs w:val="18"/>
                <w:b w:val="1"/>
                <w:bCs w:val="1"/>
                <w:color w:val="auto"/>
              </w:rPr>
              <w:t>4.48</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3.36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right="120"/>
        <w:spacing w:after="0" w:line="229" w:lineRule="auto"/>
        <w:rPr>
          <w:sz w:val="20"/>
          <w:szCs w:val="20"/>
          <w:color w:val="auto"/>
        </w:rPr>
      </w:pPr>
      <w:r>
        <w:rPr>
          <w:rFonts w:ascii="Arial" w:cs="Arial" w:eastAsia="Arial" w:hAnsi="Arial"/>
          <w:sz w:val="14"/>
          <w:szCs w:val="14"/>
          <w:color w:val="auto"/>
        </w:rPr>
        <w:t>The company has included financial measures throughout this earnings release that are not in accordance with GAAP. Management believes that these measures, when presented in conjunction with the comparable GAAP measures, are useful to both management and its investors in analyzing the company’s ongoing business and operating performance. Consequently, management uses these non-GAAP (Adjusted) financial measures as indicators of the company’s business performance, as well as for operational planning and decision making purposes. Non-GAAP (Adjusted) financial measures should be considered in addition to, but not as a substitute for, or superior to, financial measures prepared in accordance with GAAP. All financial measures in this press release are in accordance with GAAP unless otherwise indicated. Please refer to the footnotes for a detailed description of each item adjusted out of GAAP financial measures to arrive at a non-GAAP (Adjusted) financial measure.</w:t>
      </w:r>
    </w:p>
    <w:p>
      <w:pPr>
        <w:spacing w:after="0" w:line="190"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“In a year of strong Medicare Advantage membership growth for the industry, driven in no small part by the health insurance industry fee suspension and the resulting increased benefits offered to seniors nationwide, we are pleased to be able to deliver industry leading individual Medicare Advantage membership growth of 415,000 to 440,000 members together with above target earnings growth for 2019.” said Bruce D. Broussard, Humana’s President and Chief Executive Officer. “Each day, more and more seniors are choosing Medicare Advantage, a program that today has over 22 million members, demonstrating the compelling value of a program that delivers affordable, quality care for seniors and improved clinical outcomes as payers and providers work together to understand each member’s whole health and help them navigate the complex healthcare system.”</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Summary of 1Q19 Results</w:t>
      </w:r>
    </w:p>
    <w:p>
      <w:pPr>
        <w:spacing w:after="0" w:line="12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GAAP and Adjusted pretax income and EPS results for 1Q19 exceeded management expectations, primarily driven by lower than anticipated utilization in the individual Medicare Advantage business.</w:t>
      </w:r>
    </w:p>
    <w:p>
      <w:pPr>
        <w:spacing w:after="0" w:line="170"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The company’s year-over-year consolidated GAAP and Adjusted pretax results in 1Q19 were favorably impacted by the solid performance of the company’s Medicare Advantage business and significant operating cost efficiencies driven by productivity initiatives previously implemented. As expected, the company’s higher-than-anticipated individual Medicare Advantage membership growth during the recently completed Annual Election Period (AEP) had a muted impact on the consolidated earnings in 1Q19. While new Medicare Advantage members increase revenues, on average, they have a breakeven impact on pretax earnings in the first year as they were not previously engaged in clinical programs or appropriately documented under the Centers for Medicare and Medicaid Services (CMS) risk-adjustment model.</w:t>
      </w:r>
    </w:p>
    <w:p>
      <w:pPr>
        <w:spacing w:after="0" w:line="17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year-over-year changes in GAAP and Adjusted EPS for 1Q19 reflected the same factors impacting GAAP and Adjusted consolidated pretax income comparisons as well as the beneficial impact of the temporary suspension of the health insurance industry fee (HIF) in 2019. In addition, year-over-year comparisons of both GAAP and Adjusted EPS are favorably impacted by a lower number of shares used to compute EPS, primarily reflecting share repurchases.</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65" w:right="459" w:bottom="1440" w:gutter="0" w:footer="0" w:header="0"/>
        </w:sectPr>
      </w:pPr>
    </w:p>
    <w:bookmarkStart w:id="13" w:name="page14"/>
    <w:bookmarkEnd w:id="13"/>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Please refer to the consolidated and segment highlight sections that follow for additional discussion of the factors impacting the year-over-year results.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 addition, below is a summary of key consolidated and segment statistics comparing 1Q19 to 1Q18.</w:t>
      </w:r>
    </w:p>
    <w:p>
      <w:pPr>
        <w:spacing w:after="0" w:line="221"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6060" w:type="dxa"/>
            <w:vAlign w:val="bottom"/>
            <w:gridSpan w:val="3"/>
          </w:tcPr>
          <w:p>
            <w:pPr>
              <w:spacing w:after="0"/>
              <w:rPr>
                <w:sz w:val="20"/>
                <w:szCs w:val="20"/>
                <w:color w:val="auto"/>
              </w:rPr>
            </w:pPr>
            <w:r>
              <w:rPr>
                <w:rFonts w:ascii="Arial" w:cs="Arial" w:eastAsia="Arial" w:hAnsi="Arial"/>
                <w:sz w:val="14"/>
                <w:szCs w:val="14"/>
                <w:b w:val="1"/>
                <w:bCs w:val="1"/>
                <w:color w:val="auto"/>
              </w:rPr>
              <w:t>Humana Inc. Summary of Quarter Results</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87"/>
        </w:trPr>
        <w:tc>
          <w:tcPr>
            <w:tcW w:w="6060" w:type="dxa"/>
            <w:vAlign w:val="bottom"/>
            <w:gridSpan w:val="3"/>
          </w:tcPr>
          <w:p>
            <w:pPr>
              <w:spacing w:after="0"/>
              <w:rPr>
                <w:sz w:val="20"/>
                <w:szCs w:val="20"/>
                <w:color w:val="auto"/>
              </w:rPr>
            </w:pPr>
            <w:r>
              <w:rPr>
                <w:rFonts w:ascii="Arial" w:cs="Arial" w:eastAsia="Arial" w:hAnsi="Arial"/>
                <w:sz w:val="14"/>
                <w:szCs w:val="14"/>
                <w:i w:val="1"/>
                <w:iCs w:val="1"/>
                <w:color w:val="auto"/>
              </w:rPr>
              <w:t>(dollars in millions, except per share amounts)</w:t>
            </w:r>
          </w:p>
        </w:tc>
        <w:tc>
          <w:tcPr>
            <w:tcW w:w="260" w:type="dxa"/>
            <w:vAlign w:val="bottom"/>
          </w:tcPr>
          <w:p>
            <w:pPr>
              <w:spacing w:after="0"/>
              <w:rPr>
                <w:sz w:val="16"/>
                <w:szCs w:val="16"/>
                <w:color w:val="auto"/>
              </w:rPr>
            </w:pPr>
          </w:p>
        </w:tc>
        <w:tc>
          <w:tcPr>
            <w:tcW w:w="100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w w:val="97"/>
              </w:rPr>
              <w:t>1Q19 (a)</w:t>
            </w:r>
          </w:p>
        </w:tc>
        <w:tc>
          <w:tcPr>
            <w:tcW w:w="240" w:type="dxa"/>
            <w:vAlign w:val="bottom"/>
          </w:tcPr>
          <w:p>
            <w:pPr>
              <w:spacing w:after="0"/>
              <w:rPr>
                <w:sz w:val="16"/>
                <w:szCs w:val="16"/>
                <w:color w:val="auto"/>
              </w:rPr>
            </w:pPr>
          </w:p>
        </w:tc>
        <w:tc>
          <w:tcPr>
            <w:tcW w:w="820" w:type="dxa"/>
            <w:vAlign w:val="bottom"/>
            <w:gridSpan w:val="3"/>
          </w:tcPr>
          <w:p>
            <w:pPr>
              <w:jc w:val="right"/>
              <w:ind w:right="260"/>
              <w:spacing w:after="0"/>
              <w:rPr>
                <w:sz w:val="20"/>
                <w:szCs w:val="20"/>
                <w:color w:val="auto"/>
              </w:rPr>
            </w:pPr>
            <w:r>
              <w:rPr>
                <w:rFonts w:ascii="Arial" w:cs="Arial" w:eastAsia="Arial" w:hAnsi="Arial"/>
                <w:sz w:val="14"/>
                <w:szCs w:val="14"/>
                <w:color w:val="auto"/>
                <w:w w:val="97"/>
              </w:rPr>
              <w:t>1Q18 (b)</w:t>
            </w:r>
          </w:p>
        </w:tc>
      </w:tr>
      <w:tr>
        <w:trPr>
          <w:trHeight w:val="190"/>
        </w:trPr>
        <w:tc>
          <w:tcPr>
            <w:tcW w:w="20" w:type="dxa"/>
            <w:vAlign w:val="bottom"/>
          </w:tcPr>
          <w:p>
            <w:pPr>
              <w:spacing w:after="0"/>
              <w:rPr>
                <w:sz w:val="16"/>
                <w:szCs w:val="16"/>
                <w:color w:val="auto"/>
              </w:rPr>
            </w:pPr>
          </w:p>
        </w:tc>
        <w:tc>
          <w:tcPr>
            <w:tcW w:w="270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Consolidated results:</w:t>
            </w:r>
          </w:p>
        </w:tc>
        <w:tc>
          <w:tcPr>
            <w:tcW w:w="334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tcPr>
          <w:p>
            <w:pPr>
              <w:ind w:left="340"/>
              <w:spacing w:after="0"/>
              <w:rPr>
                <w:sz w:val="20"/>
                <w:szCs w:val="20"/>
                <w:color w:val="auto"/>
              </w:rPr>
            </w:pPr>
            <w:r>
              <w:rPr>
                <w:rFonts w:ascii="Arial" w:cs="Arial" w:eastAsia="Arial" w:hAnsi="Arial"/>
                <w:sz w:val="18"/>
                <w:szCs w:val="18"/>
                <w:b w:val="1"/>
                <w:bCs w:val="1"/>
                <w:color w:val="auto"/>
              </w:rPr>
              <w:t>Revenues – GAAP</w:t>
            </w:r>
          </w:p>
        </w:tc>
        <w:tc>
          <w:tcPr>
            <w:tcW w:w="3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w w:val="87"/>
              </w:rPr>
              <w:t>16,107</w:t>
            </w:r>
          </w:p>
        </w:tc>
        <w:tc>
          <w:tcPr>
            <w:tcW w:w="40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w w:val="87"/>
              </w:rPr>
              <w:t>14,279</w:t>
            </w: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shd w:val="clear" w:color="auto" w:fill="CCEEFF"/>
          </w:tcPr>
          <w:p>
            <w:pPr>
              <w:ind w:left="340"/>
              <w:spacing w:after="0"/>
              <w:rPr>
                <w:sz w:val="20"/>
                <w:szCs w:val="20"/>
                <w:color w:val="auto"/>
              </w:rPr>
            </w:pPr>
            <w:r>
              <w:rPr>
                <w:rFonts w:ascii="Arial" w:cs="Arial" w:eastAsia="Arial" w:hAnsi="Arial"/>
                <w:sz w:val="18"/>
                <w:szCs w:val="18"/>
                <w:b w:val="1"/>
                <w:bCs w:val="1"/>
                <w:color w:val="auto"/>
              </w:rPr>
              <w:t>Revenues – Adjusted</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16,107</w:t>
            </w:r>
          </w:p>
        </w:tc>
        <w:tc>
          <w:tcPr>
            <w:tcW w:w="4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14,284</w:t>
            </w:r>
          </w:p>
        </w:tc>
        <w:tc>
          <w:tcPr>
            <w:tcW w:w="2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tcPr>
          <w:p>
            <w:pPr>
              <w:ind w:left="340"/>
              <w:spacing w:after="0"/>
              <w:rPr>
                <w:sz w:val="20"/>
                <w:szCs w:val="20"/>
                <w:color w:val="auto"/>
              </w:rPr>
            </w:pPr>
            <w:r>
              <w:rPr>
                <w:rFonts w:ascii="Arial" w:cs="Arial" w:eastAsia="Arial" w:hAnsi="Arial"/>
                <w:sz w:val="18"/>
                <w:szCs w:val="18"/>
                <w:b w:val="1"/>
                <w:bCs w:val="1"/>
                <w:color w:val="auto"/>
              </w:rPr>
              <w:t>Pretax income – GAAP</w:t>
            </w:r>
          </w:p>
        </w:tc>
        <w:tc>
          <w:tcPr>
            <w:tcW w:w="3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746</w:t>
            </w:r>
          </w:p>
        </w:tc>
        <w:tc>
          <w:tcPr>
            <w:tcW w:w="40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707</w:t>
            </w: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shd w:val="clear" w:color="auto" w:fill="CCEEFF"/>
          </w:tcPr>
          <w:p>
            <w:pPr>
              <w:ind w:left="340"/>
              <w:spacing w:after="0"/>
              <w:rPr>
                <w:sz w:val="20"/>
                <w:szCs w:val="20"/>
                <w:color w:val="auto"/>
              </w:rPr>
            </w:pPr>
            <w:r>
              <w:rPr>
                <w:rFonts w:ascii="Arial" w:cs="Arial" w:eastAsia="Arial" w:hAnsi="Arial"/>
                <w:sz w:val="18"/>
                <w:szCs w:val="18"/>
                <w:b w:val="1"/>
                <w:bCs w:val="1"/>
                <w:color w:val="auto"/>
              </w:rPr>
              <w:t>Pretax income – Adjusted</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803</w:t>
            </w:r>
          </w:p>
        </w:tc>
        <w:tc>
          <w:tcPr>
            <w:tcW w:w="4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684</w:t>
            </w:r>
          </w:p>
        </w:tc>
        <w:tc>
          <w:tcPr>
            <w:tcW w:w="2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tcPr>
          <w:p>
            <w:pPr>
              <w:ind w:left="340"/>
              <w:spacing w:after="0"/>
              <w:rPr>
                <w:sz w:val="20"/>
                <w:szCs w:val="20"/>
                <w:color w:val="auto"/>
              </w:rPr>
            </w:pPr>
            <w:r>
              <w:rPr>
                <w:rFonts w:ascii="Arial" w:cs="Arial" w:eastAsia="Arial" w:hAnsi="Arial"/>
                <w:sz w:val="18"/>
                <w:szCs w:val="18"/>
                <w:b w:val="1"/>
                <w:bCs w:val="1"/>
                <w:color w:val="auto"/>
              </w:rPr>
              <w:t>EPS – GAAP</w:t>
            </w:r>
          </w:p>
        </w:tc>
        <w:tc>
          <w:tcPr>
            <w:tcW w:w="3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4.16</w:t>
            </w:r>
          </w:p>
        </w:tc>
        <w:tc>
          <w:tcPr>
            <w:tcW w:w="40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3.53</w:t>
            </w: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shd w:val="clear" w:color="auto" w:fill="CCEEFF"/>
          </w:tcPr>
          <w:p>
            <w:pPr>
              <w:ind w:left="340"/>
              <w:spacing w:after="0"/>
              <w:rPr>
                <w:sz w:val="20"/>
                <w:szCs w:val="20"/>
                <w:color w:val="auto"/>
              </w:rPr>
            </w:pPr>
            <w:r>
              <w:rPr>
                <w:rFonts w:ascii="Arial" w:cs="Arial" w:eastAsia="Arial" w:hAnsi="Arial"/>
                <w:sz w:val="18"/>
                <w:szCs w:val="18"/>
                <w:b w:val="1"/>
                <w:bCs w:val="1"/>
                <w:color w:val="auto"/>
              </w:rPr>
              <w:t>EPS – Adjusted</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4.48</w:t>
            </w:r>
          </w:p>
        </w:tc>
        <w:tc>
          <w:tcPr>
            <w:tcW w:w="4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3.36</w:t>
            </w:r>
          </w:p>
        </w:tc>
        <w:tc>
          <w:tcPr>
            <w:tcW w:w="2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tcPr>
          <w:p>
            <w:pPr>
              <w:ind w:left="340"/>
              <w:spacing w:after="0"/>
              <w:rPr>
                <w:sz w:val="20"/>
                <w:szCs w:val="20"/>
                <w:color w:val="auto"/>
              </w:rPr>
            </w:pPr>
            <w:r>
              <w:rPr>
                <w:rFonts w:ascii="Arial" w:cs="Arial" w:eastAsia="Arial" w:hAnsi="Arial"/>
                <w:sz w:val="18"/>
                <w:szCs w:val="18"/>
                <w:b w:val="1"/>
                <w:bCs w:val="1"/>
                <w:color w:val="auto"/>
              </w:rPr>
              <w:t>Benefits expense ratio – GAAP</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86.2%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84.5%</w:t>
            </w:r>
          </w:p>
        </w:tc>
      </w:tr>
      <w:tr>
        <w:trPr>
          <w:trHeight w:val="216"/>
        </w:trPr>
        <w:tc>
          <w:tcPr>
            <w:tcW w:w="20" w:type="dxa"/>
            <w:vAlign w:val="bottom"/>
          </w:tcPr>
          <w:p>
            <w:pPr>
              <w:spacing w:after="0"/>
              <w:rPr>
                <w:sz w:val="18"/>
                <w:szCs w:val="18"/>
                <w:color w:val="auto"/>
              </w:rPr>
            </w:pPr>
          </w:p>
        </w:tc>
        <w:tc>
          <w:tcPr>
            <w:tcW w:w="6040" w:type="dxa"/>
            <w:vAlign w:val="bottom"/>
            <w:gridSpan w:val="2"/>
            <w:shd w:val="clear" w:color="auto" w:fill="CCEEFF"/>
          </w:tcPr>
          <w:p>
            <w:pPr>
              <w:ind w:left="340"/>
              <w:spacing w:after="0"/>
              <w:rPr>
                <w:sz w:val="20"/>
                <w:szCs w:val="20"/>
                <w:color w:val="auto"/>
              </w:rPr>
            </w:pPr>
            <w:r>
              <w:rPr>
                <w:rFonts w:ascii="Arial" w:cs="Arial" w:eastAsia="Arial" w:hAnsi="Arial"/>
                <w:sz w:val="18"/>
                <w:szCs w:val="18"/>
                <w:b w:val="1"/>
                <w:bCs w:val="1"/>
                <w:color w:val="auto"/>
              </w:rPr>
              <w:t>Benefits expense ratio – Adjusted</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86.2%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84.9%</w:t>
            </w:r>
          </w:p>
        </w:tc>
      </w:tr>
      <w:tr>
        <w:trPr>
          <w:trHeight w:val="216"/>
        </w:trPr>
        <w:tc>
          <w:tcPr>
            <w:tcW w:w="20" w:type="dxa"/>
            <w:vAlign w:val="bottom"/>
          </w:tcPr>
          <w:p>
            <w:pPr>
              <w:spacing w:after="0"/>
              <w:rPr>
                <w:sz w:val="18"/>
                <w:szCs w:val="18"/>
                <w:color w:val="auto"/>
              </w:rPr>
            </w:pPr>
          </w:p>
        </w:tc>
        <w:tc>
          <w:tcPr>
            <w:tcW w:w="6040" w:type="dxa"/>
            <w:vAlign w:val="bottom"/>
            <w:gridSpan w:val="2"/>
          </w:tcPr>
          <w:p>
            <w:pPr>
              <w:ind w:left="340"/>
              <w:spacing w:after="0"/>
              <w:rPr>
                <w:sz w:val="20"/>
                <w:szCs w:val="20"/>
                <w:color w:val="auto"/>
              </w:rPr>
            </w:pPr>
            <w:r>
              <w:rPr>
                <w:rFonts w:ascii="Arial" w:cs="Arial" w:eastAsia="Arial" w:hAnsi="Arial"/>
                <w:sz w:val="18"/>
                <w:szCs w:val="18"/>
                <w:b w:val="1"/>
                <w:bCs w:val="1"/>
                <w:color w:val="auto"/>
              </w:rPr>
              <w:t>Operating cost ratio – GAAP</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10.4%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12.4%</w:t>
            </w:r>
          </w:p>
        </w:tc>
      </w:tr>
      <w:tr>
        <w:trPr>
          <w:trHeight w:val="216"/>
        </w:trPr>
        <w:tc>
          <w:tcPr>
            <w:tcW w:w="20" w:type="dxa"/>
            <w:vAlign w:val="bottom"/>
          </w:tcPr>
          <w:p>
            <w:pPr>
              <w:spacing w:after="0"/>
              <w:rPr>
                <w:sz w:val="18"/>
                <w:szCs w:val="18"/>
                <w:color w:val="auto"/>
              </w:rPr>
            </w:pPr>
          </w:p>
        </w:tc>
        <w:tc>
          <w:tcPr>
            <w:tcW w:w="6040" w:type="dxa"/>
            <w:vAlign w:val="bottom"/>
            <w:gridSpan w:val="2"/>
            <w:shd w:val="clear" w:color="auto" w:fill="CCEEFF"/>
          </w:tcPr>
          <w:p>
            <w:pPr>
              <w:ind w:left="340"/>
              <w:spacing w:after="0"/>
              <w:rPr>
                <w:sz w:val="20"/>
                <w:szCs w:val="20"/>
                <w:color w:val="auto"/>
              </w:rPr>
            </w:pPr>
            <w:r>
              <w:rPr>
                <w:rFonts w:ascii="Arial" w:cs="Arial" w:eastAsia="Arial" w:hAnsi="Arial"/>
                <w:sz w:val="18"/>
                <w:szCs w:val="18"/>
                <w:b w:val="1"/>
                <w:bCs w:val="1"/>
                <w:color w:val="auto"/>
              </w:rPr>
              <w:t>Operating cash flows– GAAP</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896</w:t>
            </w:r>
          </w:p>
        </w:tc>
        <w:tc>
          <w:tcPr>
            <w:tcW w:w="4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3,686</w:t>
            </w:r>
          </w:p>
        </w:tc>
        <w:tc>
          <w:tcPr>
            <w:tcW w:w="2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tcPr>
          <w:p>
            <w:pPr>
              <w:ind w:left="340"/>
              <w:spacing w:after="0"/>
              <w:rPr>
                <w:sz w:val="20"/>
                <w:szCs w:val="20"/>
                <w:color w:val="auto"/>
              </w:rPr>
            </w:pPr>
            <w:r>
              <w:rPr>
                <w:rFonts w:ascii="Arial" w:cs="Arial" w:eastAsia="Arial" w:hAnsi="Arial"/>
                <w:sz w:val="18"/>
                <w:szCs w:val="18"/>
                <w:b w:val="1"/>
                <w:bCs w:val="1"/>
                <w:color w:val="auto"/>
              </w:rPr>
              <w:t>Operating cash flows– Adjusted</w:t>
            </w:r>
          </w:p>
        </w:tc>
        <w:tc>
          <w:tcPr>
            <w:tcW w:w="3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896</w:t>
            </w:r>
          </w:p>
        </w:tc>
        <w:tc>
          <w:tcPr>
            <w:tcW w:w="40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351</w:t>
            </w: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shd w:val="clear" w:color="auto" w:fill="CCEEFF"/>
          </w:tcPr>
          <w:p>
            <w:pPr>
              <w:ind w:left="340"/>
              <w:spacing w:after="0"/>
              <w:rPr>
                <w:sz w:val="20"/>
                <w:szCs w:val="20"/>
                <w:color w:val="auto"/>
              </w:rPr>
            </w:pPr>
            <w:r>
              <w:rPr>
                <w:rFonts w:ascii="Arial" w:cs="Arial" w:eastAsia="Arial" w:hAnsi="Arial"/>
                <w:sz w:val="18"/>
                <w:szCs w:val="18"/>
                <w:b w:val="1"/>
                <w:bCs w:val="1"/>
                <w:color w:val="auto"/>
              </w:rPr>
              <w:t>Parent company cash and short term investments</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721</w:t>
            </w:r>
          </w:p>
        </w:tc>
        <w:tc>
          <w:tcPr>
            <w:tcW w:w="4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567</w:t>
            </w:r>
          </w:p>
        </w:tc>
        <w:tc>
          <w:tcPr>
            <w:tcW w:w="2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tcPr>
          <w:p>
            <w:pPr>
              <w:ind w:left="340"/>
              <w:spacing w:after="0"/>
              <w:rPr>
                <w:sz w:val="20"/>
                <w:szCs w:val="20"/>
                <w:color w:val="auto"/>
              </w:rPr>
            </w:pPr>
            <w:r>
              <w:rPr>
                <w:rFonts w:ascii="Arial" w:cs="Arial" w:eastAsia="Arial" w:hAnsi="Arial"/>
                <w:sz w:val="18"/>
                <w:szCs w:val="18"/>
                <w:b w:val="1"/>
                <w:bCs w:val="1"/>
                <w:color w:val="auto"/>
              </w:rPr>
              <w:t>Debt-to-total capitalization</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36.0%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33.9%</w:t>
            </w:r>
          </w:p>
        </w:tc>
      </w:tr>
      <w:tr>
        <w:trPr>
          <w:trHeight w:val="216"/>
        </w:trPr>
        <w:tc>
          <w:tcPr>
            <w:tcW w:w="20" w:type="dxa"/>
            <w:vAlign w:val="bottom"/>
          </w:tcPr>
          <w:p>
            <w:pPr>
              <w:spacing w:after="0"/>
              <w:rPr>
                <w:sz w:val="18"/>
                <w:szCs w:val="18"/>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Retail segment results:</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tcPr>
          <w:p>
            <w:pPr>
              <w:ind w:left="340"/>
              <w:spacing w:after="0"/>
              <w:rPr>
                <w:sz w:val="20"/>
                <w:szCs w:val="20"/>
                <w:color w:val="auto"/>
              </w:rPr>
            </w:pPr>
            <w:r>
              <w:rPr>
                <w:rFonts w:ascii="Arial" w:cs="Arial" w:eastAsia="Arial" w:hAnsi="Arial"/>
                <w:sz w:val="18"/>
                <w:szCs w:val="18"/>
                <w:b w:val="1"/>
                <w:bCs w:val="1"/>
                <w:color w:val="auto"/>
              </w:rPr>
              <w:t>Revenues – GAAP</w:t>
            </w:r>
          </w:p>
        </w:tc>
        <w:tc>
          <w:tcPr>
            <w:tcW w:w="3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w w:val="87"/>
              </w:rPr>
              <w:t>14,013</w:t>
            </w:r>
          </w:p>
        </w:tc>
        <w:tc>
          <w:tcPr>
            <w:tcW w:w="40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w w:val="87"/>
              </w:rPr>
              <w:t>12,107</w:t>
            </w: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shd w:val="clear" w:color="auto" w:fill="CCEEFF"/>
          </w:tcPr>
          <w:p>
            <w:pPr>
              <w:ind w:left="340"/>
              <w:spacing w:after="0"/>
              <w:rPr>
                <w:sz w:val="20"/>
                <w:szCs w:val="20"/>
                <w:color w:val="auto"/>
              </w:rPr>
            </w:pPr>
            <w:r>
              <w:rPr>
                <w:rFonts w:ascii="Arial" w:cs="Arial" w:eastAsia="Arial" w:hAnsi="Arial"/>
                <w:sz w:val="18"/>
                <w:szCs w:val="18"/>
                <w:b w:val="1"/>
                <w:bCs w:val="1"/>
                <w:color w:val="auto"/>
              </w:rPr>
              <w:t>Benefits expense ratio – GAAP</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88.3%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87.4%</w:t>
            </w:r>
          </w:p>
        </w:tc>
      </w:tr>
      <w:tr>
        <w:trPr>
          <w:trHeight w:val="216"/>
        </w:trPr>
        <w:tc>
          <w:tcPr>
            <w:tcW w:w="20" w:type="dxa"/>
            <w:vAlign w:val="bottom"/>
          </w:tcPr>
          <w:p>
            <w:pPr>
              <w:spacing w:after="0"/>
              <w:rPr>
                <w:sz w:val="18"/>
                <w:szCs w:val="18"/>
                <w:color w:val="auto"/>
              </w:rPr>
            </w:pPr>
          </w:p>
        </w:tc>
        <w:tc>
          <w:tcPr>
            <w:tcW w:w="6040" w:type="dxa"/>
            <w:vAlign w:val="bottom"/>
            <w:gridSpan w:val="2"/>
          </w:tcPr>
          <w:p>
            <w:pPr>
              <w:ind w:left="340"/>
              <w:spacing w:after="0"/>
              <w:rPr>
                <w:sz w:val="20"/>
                <w:szCs w:val="20"/>
                <w:color w:val="auto"/>
              </w:rPr>
            </w:pPr>
            <w:r>
              <w:rPr>
                <w:rFonts w:ascii="Arial" w:cs="Arial" w:eastAsia="Arial" w:hAnsi="Arial"/>
                <w:sz w:val="18"/>
                <w:szCs w:val="18"/>
                <w:b w:val="1"/>
                <w:bCs w:val="1"/>
                <w:color w:val="auto"/>
              </w:rPr>
              <w:t>Operating cost ratio – GAAP</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8.2%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10.1%</w:t>
            </w:r>
          </w:p>
        </w:tc>
      </w:tr>
      <w:tr>
        <w:trPr>
          <w:trHeight w:val="216"/>
        </w:trPr>
        <w:tc>
          <w:tcPr>
            <w:tcW w:w="20" w:type="dxa"/>
            <w:vAlign w:val="bottom"/>
          </w:tcPr>
          <w:p>
            <w:pPr>
              <w:spacing w:after="0"/>
              <w:rPr>
                <w:sz w:val="18"/>
                <w:szCs w:val="18"/>
                <w:color w:val="auto"/>
              </w:rPr>
            </w:pPr>
          </w:p>
        </w:tc>
        <w:tc>
          <w:tcPr>
            <w:tcW w:w="6040" w:type="dxa"/>
            <w:vAlign w:val="bottom"/>
            <w:gridSpan w:val="2"/>
            <w:shd w:val="clear" w:color="auto" w:fill="CCEEFF"/>
          </w:tcPr>
          <w:p>
            <w:pPr>
              <w:ind w:left="340"/>
              <w:spacing w:after="0"/>
              <w:rPr>
                <w:sz w:val="20"/>
                <w:szCs w:val="20"/>
                <w:color w:val="auto"/>
              </w:rPr>
            </w:pPr>
            <w:r>
              <w:rPr>
                <w:rFonts w:ascii="Arial" w:cs="Arial" w:eastAsia="Arial" w:hAnsi="Arial"/>
                <w:sz w:val="18"/>
                <w:szCs w:val="18"/>
                <w:b w:val="1"/>
                <w:bCs w:val="1"/>
                <w:color w:val="auto"/>
              </w:rPr>
              <w:t>Segment earnings – GAAP</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465</w:t>
            </w:r>
          </w:p>
        </w:tc>
        <w:tc>
          <w:tcPr>
            <w:tcW w:w="4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267</w:t>
            </w:r>
          </w:p>
        </w:tc>
        <w:tc>
          <w:tcPr>
            <w:tcW w:w="2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tcPr>
          <w:p>
            <w:pPr>
              <w:ind w:left="340"/>
              <w:spacing w:after="0"/>
              <w:rPr>
                <w:sz w:val="20"/>
                <w:szCs w:val="20"/>
                <w:color w:val="auto"/>
              </w:rPr>
            </w:pPr>
            <w:r>
              <w:rPr>
                <w:rFonts w:ascii="Arial" w:cs="Arial" w:eastAsia="Arial" w:hAnsi="Arial"/>
                <w:sz w:val="18"/>
                <w:szCs w:val="18"/>
                <w:b w:val="1"/>
                <w:bCs w:val="1"/>
                <w:color w:val="auto"/>
              </w:rPr>
              <w:t>Segment earnings – Adjusted</w:t>
            </w:r>
          </w:p>
        </w:tc>
        <w:tc>
          <w:tcPr>
            <w:tcW w:w="3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469</w:t>
            </w:r>
          </w:p>
        </w:tc>
        <w:tc>
          <w:tcPr>
            <w:tcW w:w="40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273</w:t>
            </w: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Group and Specialty segment results:</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tcPr>
          <w:p>
            <w:pPr>
              <w:ind w:left="340"/>
              <w:spacing w:after="0"/>
              <w:rPr>
                <w:sz w:val="20"/>
                <w:szCs w:val="20"/>
                <w:color w:val="auto"/>
              </w:rPr>
            </w:pPr>
            <w:r>
              <w:rPr>
                <w:rFonts w:ascii="Arial" w:cs="Arial" w:eastAsia="Arial" w:hAnsi="Arial"/>
                <w:sz w:val="18"/>
                <w:szCs w:val="18"/>
                <w:b w:val="1"/>
                <w:bCs w:val="1"/>
                <w:color w:val="auto"/>
              </w:rPr>
              <w:t>Revenues – GAAP</w:t>
            </w:r>
          </w:p>
        </w:tc>
        <w:tc>
          <w:tcPr>
            <w:tcW w:w="3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1,887</w:t>
            </w:r>
          </w:p>
        </w:tc>
        <w:tc>
          <w:tcPr>
            <w:tcW w:w="40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1,970</w:t>
            </w: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shd w:val="clear" w:color="auto" w:fill="CCEEFF"/>
          </w:tcPr>
          <w:p>
            <w:pPr>
              <w:ind w:left="340"/>
              <w:spacing w:after="0"/>
              <w:rPr>
                <w:sz w:val="20"/>
                <w:szCs w:val="20"/>
                <w:color w:val="auto"/>
              </w:rPr>
            </w:pPr>
            <w:r>
              <w:rPr>
                <w:rFonts w:ascii="Arial" w:cs="Arial" w:eastAsia="Arial" w:hAnsi="Arial"/>
                <w:sz w:val="18"/>
                <w:szCs w:val="18"/>
                <w:b w:val="1"/>
                <w:bCs w:val="1"/>
                <w:color w:val="auto"/>
              </w:rPr>
              <w:t>Benefits expense ratio – GAAP</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76.4%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73.2%</w:t>
            </w:r>
          </w:p>
        </w:tc>
      </w:tr>
      <w:tr>
        <w:trPr>
          <w:trHeight w:val="216"/>
        </w:trPr>
        <w:tc>
          <w:tcPr>
            <w:tcW w:w="20" w:type="dxa"/>
            <w:vAlign w:val="bottom"/>
          </w:tcPr>
          <w:p>
            <w:pPr>
              <w:spacing w:after="0"/>
              <w:rPr>
                <w:sz w:val="18"/>
                <w:szCs w:val="18"/>
                <w:color w:val="auto"/>
              </w:rPr>
            </w:pPr>
          </w:p>
        </w:tc>
        <w:tc>
          <w:tcPr>
            <w:tcW w:w="6040" w:type="dxa"/>
            <w:vAlign w:val="bottom"/>
            <w:gridSpan w:val="2"/>
          </w:tcPr>
          <w:p>
            <w:pPr>
              <w:ind w:left="340"/>
              <w:spacing w:after="0"/>
              <w:rPr>
                <w:sz w:val="20"/>
                <w:szCs w:val="20"/>
                <w:color w:val="auto"/>
              </w:rPr>
            </w:pPr>
            <w:r>
              <w:rPr>
                <w:rFonts w:ascii="Arial" w:cs="Arial" w:eastAsia="Arial" w:hAnsi="Arial"/>
                <w:sz w:val="18"/>
                <w:szCs w:val="18"/>
                <w:b w:val="1"/>
                <w:bCs w:val="1"/>
                <w:color w:val="auto"/>
              </w:rPr>
              <w:t>Operating cost ratio – GAAP</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21.9%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23.6%</w:t>
            </w:r>
          </w:p>
        </w:tc>
      </w:tr>
      <w:tr>
        <w:trPr>
          <w:trHeight w:val="216"/>
        </w:trPr>
        <w:tc>
          <w:tcPr>
            <w:tcW w:w="20" w:type="dxa"/>
            <w:vAlign w:val="bottom"/>
          </w:tcPr>
          <w:p>
            <w:pPr>
              <w:spacing w:after="0"/>
              <w:rPr>
                <w:sz w:val="18"/>
                <w:szCs w:val="18"/>
                <w:color w:val="auto"/>
              </w:rPr>
            </w:pPr>
          </w:p>
        </w:tc>
        <w:tc>
          <w:tcPr>
            <w:tcW w:w="6040" w:type="dxa"/>
            <w:vAlign w:val="bottom"/>
            <w:gridSpan w:val="2"/>
            <w:shd w:val="clear" w:color="auto" w:fill="CCEEFF"/>
          </w:tcPr>
          <w:p>
            <w:pPr>
              <w:ind w:left="340"/>
              <w:spacing w:after="0"/>
              <w:rPr>
                <w:sz w:val="20"/>
                <w:szCs w:val="20"/>
                <w:color w:val="auto"/>
              </w:rPr>
            </w:pPr>
            <w:r>
              <w:rPr>
                <w:rFonts w:ascii="Arial" w:cs="Arial" w:eastAsia="Arial" w:hAnsi="Arial"/>
                <w:sz w:val="18"/>
                <w:szCs w:val="18"/>
                <w:b w:val="1"/>
                <w:bCs w:val="1"/>
                <w:color w:val="auto"/>
              </w:rPr>
              <w:t>Segment earnings – GAAP</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165</w:t>
            </w:r>
          </w:p>
        </w:tc>
        <w:tc>
          <w:tcPr>
            <w:tcW w:w="4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211</w:t>
            </w:r>
          </w:p>
        </w:tc>
        <w:tc>
          <w:tcPr>
            <w:tcW w:w="2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tcPr>
          <w:p>
            <w:pPr>
              <w:ind w:left="340"/>
              <w:spacing w:after="0"/>
              <w:rPr>
                <w:sz w:val="20"/>
                <w:szCs w:val="20"/>
                <w:color w:val="auto"/>
              </w:rPr>
            </w:pPr>
            <w:r>
              <w:rPr>
                <w:rFonts w:ascii="Arial" w:cs="Arial" w:eastAsia="Arial" w:hAnsi="Arial"/>
                <w:sz w:val="18"/>
                <w:szCs w:val="18"/>
                <w:b w:val="1"/>
                <w:bCs w:val="1"/>
                <w:color w:val="auto"/>
              </w:rPr>
              <w:t>Segment earnings – Adjusted</w:t>
            </w:r>
          </w:p>
        </w:tc>
        <w:tc>
          <w:tcPr>
            <w:tcW w:w="3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166</w:t>
            </w:r>
          </w:p>
        </w:tc>
        <w:tc>
          <w:tcPr>
            <w:tcW w:w="40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212</w:t>
            </w: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Healthcare Services segment results:</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tcPr>
          <w:p>
            <w:pPr>
              <w:ind w:left="340"/>
              <w:spacing w:after="0"/>
              <w:rPr>
                <w:sz w:val="20"/>
                <w:szCs w:val="20"/>
                <w:color w:val="auto"/>
              </w:rPr>
            </w:pPr>
            <w:r>
              <w:rPr>
                <w:rFonts w:ascii="Arial" w:cs="Arial" w:eastAsia="Arial" w:hAnsi="Arial"/>
                <w:sz w:val="18"/>
                <w:szCs w:val="18"/>
                <w:b w:val="1"/>
                <w:bCs w:val="1"/>
                <w:color w:val="auto"/>
              </w:rPr>
              <w:t>Revenues – GAAP</w:t>
            </w:r>
          </w:p>
        </w:tc>
        <w:tc>
          <w:tcPr>
            <w:tcW w:w="3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6,098</w:t>
            </w:r>
          </w:p>
        </w:tc>
        <w:tc>
          <w:tcPr>
            <w:tcW w:w="40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5,663</w:t>
            </w: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40" w:type="dxa"/>
            <w:vAlign w:val="bottom"/>
            <w:gridSpan w:val="2"/>
            <w:shd w:val="clear" w:color="auto" w:fill="CCEEFF"/>
          </w:tcPr>
          <w:p>
            <w:pPr>
              <w:ind w:left="340"/>
              <w:spacing w:after="0"/>
              <w:rPr>
                <w:sz w:val="20"/>
                <w:szCs w:val="20"/>
                <w:color w:val="auto"/>
              </w:rPr>
            </w:pPr>
            <w:r>
              <w:rPr>
                <w:rFonts w:ascii="Arial" w:cs="Arial" w:eastAsia="Arial" w:hAnsi="Arial"/>
                <w:sz w:val="18"/>
                <w:szCs w:val="18"/>
                <w:b w:val="1"/>
                <w:bCs w:val="1"/>
                <w:color w:val="auto"/>
              </w:rPr>
              <w:t>Operating cost ratio – GAAP</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96.6%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96.2%</w:t>
            </w:r>
          </w:p>
        </w:tc>
      </w:tr>
      <w:tr>
        <w:trPr>
          <w:trHeight w:val="216"/>
        </w:trPr>
        <w:tc>
          <w:tcPr>
            <w:tcW w:w="20" w:type="dxa"/>
            <w:vAlign w:val="bottom"/>
          </w:tcPr>
          <w:p>
            <w:pPr>
              <w:spacing w:after="0"/>
              <w:rPr>
                <w:sz w:val="18"/>
                <w:szCs w:val="18"/>
                <w:color w:val="auto"/>
              </w:rPr>
            </w:pPr>
          </w:p>
        </w:tc>
        <w:tc>
          <w:tcPr>
            <w:tcW w:w="6040" w:type="dxa"/>
            <w:vAlign w:val="bottom"/>
            <w:gridSpan w:val="2"/>
          </w:tcPr>
          <w:p>
            <w:pPr>
              <w:ind w:left="340"/>
              <w:spacing w:after="0"/>
              <w:rPr>
                <w:sz w:val="20"/>
                <w:szCs w:val="20"/>
                <w:color w:val="auto"/>
              </w:rPr>
            </w:pPr>
            <w:r>
              <w:rPr>
                <w:rFonts w:ascii="Arial" w:cs="Arial" w:eastAsia="Arial" w:hAnsi="Arial"/>
                <w:sz w:val="18"/>
                <w:szCs w:val="18"/>
                <w:b w:val="1"/>
                <w:bCs w:val="1"/>
                <w:color w:val="auto"/>
              </w:rPr>
              <w:t>Segment earnings – GAAP</w:t>
            </w:r>
          </w:p>
        </w:tc>
        <w:tc>
          <w:tcPr>
            <w:tcW w:w="3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175</w:t>
            </w:r>
          </w:p>
        </w:tc>
        <w:tc>
          <w:tcPr>
            <w:tcW w:w="40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173</w:t>
            </w:r>
          </w:p>
        </w:tc>
        <w:tc>
          <w:tcPr>
            <w:tcW w:w="220" w:type="dxa"/>
            <w:vAlign w:val="bottom"/>
          </w:tcPr>
          <w:p>
            <w:pPr>
              <w:spacing w:after="0"/>
              <w:rPr>
                <w:sz w:val="18"/>
                <w:szCs w:val="18"/>
                <w:color w:val="auto"/>
              </w:rPr>
            </w:pPr>
          </w:p>
        </w:tc>
      </w:tr>
      <w:tr>
        <w:trPr>
          <w:trHeight w:val="198"/>
        </w:trPr>
        <w:tc>
          <w:tcPr>
            <w:tcW w:w="20" w:type="dxa"/>
            <w:vAlign w:val="bottom"/>
          </w:tcPr>
          <w:p>
            <w:pPr>
              <w:spacing w:after="0"/>
              <w:rPr>
                <w:sz w:val="17"/>
                <w:szCs w:val="17"/>
                <w:color w:val="auto"/>
              </w:rPr>
            </w:pPr>
          </w:p>
        </w:tc>
        <w:tc>
          <w:tcPr>
            <w:tcW w:w="6040" w:type="dxa"/>
            <w:vAlign w:val="bottom"/>
            <w:gridSpan w:val="2"/>
            <w:shd w:val="clear" w:color="auto" w:fill="CCEEFF"/>
          </w:tcPr>
          <w:p>
            <w:pPr>
              <w:ind w:left="340"/>
              <w:spacing w:after="0" w:line="198" w:lineRule="exact"/>
              <w:rPr>
                <w:sz w:val="20"/>
                <w:szCs w:val="20"/>
                <w:color w:val="auto"/>
              </w:rPr>
            </w:pPr>
            <w:r>
              <w:rPr>
                <w:rFonts w:ascii="Arial" w:cs="Arial" w:eastAsia="Arial" w:hAnsi="Arial"/>
                <w:sz w:val="18"/>
                <w:szCs w:val="18"/>
                <w:b w:val="1"/>
                <w:bCs w:val="1"/>
                <w:color w:val="auto"/>
                <w:w w:val="93"/>
              </w:rPr>
              <w:t>Adjusted earnings before interest, taxes, depreciation and amortization</w:t>
            </w: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6040" w:type="dxa"/>
            <w:vAlign w:val="bottom"/>
            <w:gridSpan w:val="2"/>
            <w:shd w:val="clear" w:color="auto" w:fill="CCEEFF"/>
          </w:tcPr>
          <w:p>
            <w:pPr>
              <w:ind w:left="520"/>
              <w:spacing w:after="0"/>
              <w:rPr>
                <w:sz w:val="20"/>
                <w:szCs w:val="20"/>
                <w:color w:val="auto"/>
              </w:rPr>
            </w:pPr>
            <w:r>
              <w:rPr>
                <w:rFonts w:ascii="Arial" w:cs="Arial" w:eastAsia="Arial" w:hAnsi="Arial"/>
                <w:sz w:val="18"/>
                <w:szCs w:val="18"/>
                <w:b w:val="1"/>
                <w:bCs w:val="1"/>
                <w:color w:val="auto"/>
              </w:rPr>
              <w:t xml:space="preserve">(Adjusted EBITDA) </w:t>
            </w:r>
            <w:r>
              <w:rPr>
                <w:rFonts w:ascii="Arial" w:cs="Arial" w:eastAsia="Arial" w:hAnsi="Arial"/>
                <w:sz w:val="18"/>
                <w:szCs w:val="18"/>
                <w:color w:val="auto"/>
              </w:rPr>
              <w:t>(c)</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238</w:t>
            </w:r>
          </w:p>
        </w:tc>
        <w:tc>
          <w:tcPr>
            <w:tcW w:w="400" w:type="dxa"/>
            <w:vAlign w:val="bottom"/>
            <w:shd w:val="clear" w:color="auto" w:fill="CCEEFF"/>
          </w:tcPr>
          <w:p>
            <w:pPr>
              <w:spacing w:after="0"/>
              <w:rPr>
                <w:sz w:val="20"/>
                <w:szCs w:val="20"/>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222</w:t>
            </w:r>
          </w:p>
        </w:tc>
        <w:tc>
          <w:tcPr>
            <w:tcW w:w="220" w:type="dxa"/>
            <w:vAlign w:val="bottom"/>
            <w:shd w:val="clear" w:color="auto" w:fill="CCEEFF"/>
          </w:tcPr>
          <w:p>
            <w:pPr>
              <w:spacing w:after="0"/>
              <w:rPr>
                <w:sz w:val="20"/>
                <w:szCs w:val="20"/>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2019 Earnings Guidance</w:t>
      </w:r>
    </w:p>
    <w:p>
      <w:pPr>
        <w:spacing w:after="0" w:line="12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Humana has raised its GAAP and Adjusted EPS guidance for the year ended December 31, 2019 (FY19). The company now expects FY19 GAAP EPS guidance to be in a range of approximately $16.63 to $16.88, while Adjusted EPS is expected to be in a range of approximately $17.25 to $17.50. Additional FY19 guidance points are included in the table beginning on page 18 of this earnings release.</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20"/>
          </w:cols>
          <w:pgMar w:left="440" w:top="274" w:right="539" w:bottom="1440" w:gutter="0" w:footer="0" w:header="0"/>
        </w:sectPr>
      </w:pPr>
    </w:p>
    <w:bookmarkStart w:id="14" w:name="page15"/>
    <w:bookmarkEnd w:id="14"/>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 reconciliation of GAAP to Adjusted EPS for the company’s FY19 projections as well as comparable numbers for the year ended December 31, 2018 (FY 2018) is shown below for comparison.</w:t>
      </w:r>
    </w:p>
    <w:p>
      <w:pPr>
        <w:spacing w:after="0" w:line="189" w:lineRule="exact"/>
        <w:rPr>
          <w:sz w:val="20"/>
          <w:szCs w:val="20"/>
          <w:color w:val="auto"/>
        </w:rPr>
      </w:pPr>
    </w:p>
    <w:tbl>
      <w:tblPr>
        <w:tblLayout w:type="fixed"/>
        <w:tblInd w:w="1320" w:type="dxa"/>
        <w:tblCellMar>
          <w:top w:w="0" w:type="dxa"/>
          <w:left w:w="0" w:type="dxa"/>
          <w:bottom w:w="0" w:type="dxa"/>
          <w:right w:w="0" w:type="dxa"/>
        </w:tblCellMar>
      </w:tblPr>
      <w:tr>
        <w:trPr>
          <w:trHeight w:val="191"/>
        </w:trPr>
        <w:tc>
          <w:tcPr>
            <w:tcW w:w="5380" w:type="dxa"/>
            <w:vAlign w:val="bottom"/>
            <w:gridSpan w:val="3"/>
          </w:tcPr>
          <w:p>
            <w:pPr>
              <w:spacing w:after="0"/>
              <w:rPr>
                <w:sz w:val="20"/>
                <w:szCs w:val="20"/>
                <w:color w:val="auto"/>
              </w:rPr>
            </w:pPr>
            <w:r>
              <w:rPr>
                <w:rFonts w:ascii="Arial" w:cs="Arial" w:eastAsia="Arial" w:hAnsi="Arial"/>
                <w:sz w:val="14"/>
                <w:szCs w:val="14"/>
                <w:b w:val="1"/>
                <w:bCs w:val="1"/>
                <w:color w:val="auto"/>
              </w:rPr>
              <w:t>Diluted earnings per common share</w:t>
            </w:r>
          </w:p>
        </w:tc>
        <w:tc>
          <w:tcPr>
            <w:tcW w:w="1620" w:type="dxa"/>
            <w:vAlign w:val="bottom"/>
            <w:gridSpan w:val="2"/>
          </w:tcPr>
          <w:p>
            <w:pPr>
              <w:jc w:val="right"/>
              <w:spacing w:after="0"/>
              <w:rPr>
                <w:sz w:val="20"/>
                <w:szCs w:val="20"/>
                <w:color w:val="auto"/>
              </w:rPr>
            </w:pPr>
            <w:r>
              <w:rPr>
                <w:rFonts w:ascii="Arial" w:cs="Arial" w:eastAsia="Arial" w:hAnsi="Arial"/>
                <w:sz w:val="14"/>
                <w:szCs w:val="14"/>
                <w:b w:val="1"/>
                <w:bCs w:val="1"/>
                <w:color w:val="auto"/>
              </w:rPr>
              <w:t xml:space="preserve">FY 2019 Guidance </w:t>
            </w:r>
            <w:r>
              <w:rPr>
                <w:rFonts w:ascii="Arial" w:cs="Arial" w:eastAsia="Arial" w:hAnsi="Arial"/>
                <w:sz w:val="14"/>
                <w:szCs w:val="14"/>
                <w:color w:val="auto"/>
              </w:rPr>
              <w:t>(d)</w:t>
            </w:r>
          </w:p>
        </w:tc>
        <w:tc>
          <w:tcPr>
            <w:tcW w:w="1380" w:type="dxa"/>
            <w:vAlign w:val="bottom"/>
            <w:gridSpan w:val="4"/>
          </w:tcPr>
          <w:p>
            <w:pPr>
              <w:jc w:val="right"/>
              <w:ind w:right="100"/>
              <w:spacing w:after="0"/>
              <w:rPr>
                <w:sz w:val="20"/>
                <w:szCs w:val="20"/>
                <w:color w:val="auto"/>
              </w:rPr>
            </w:pPr>
            <w:r>
              <w:rPr>
                <w:rFonts w:ascii="Arial" w:cs="Arial" w:eastAsia="Arial" w:hAnsi="Arial"/>
                <w:sz w:val="14"/>
                <w:szCs w:val="14"/>
                <w:color w:val="auto"/>
              </w:rPr>
              <w:t>FY 2018 (e)</w:t>
            </w:r>
          </w:p>
        </w:tc>
      </w:tr>
      <w:tr>
        <w:trPr>
          <w:trHeight w:val="203"/>
        </w:trPr>
        <w:tc>
          <w:tcPr>
            <w:tcW w:w="20" w:type="dxa"/>
            <w:vAlign w:val="bottom"/>
          </w:tcPr>
          <w:p>
            <w:pPr>
              <w:spacing w:after="0"/>
              <w:rPr>
                <w:sz w:val="17"/>
                <w:szCs w:val="17"/>
                <w:color w:val="auto"/>
              </w:rPr>
            </w:pPr>
          </w:p>
        </w:tc>
        <w:tc>
          <w:tcPr>
            <w:tcW w:w="22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GAAP</w:t>
            </w:r>
          </w:p>
        </w:tc>
        <w:tc>
          <w:tcPr>
            <w:tcW w:w="31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86"/>
              </w:rPr>
              <w:t>~$ 16.63 to $16.88</w:t>
            </w:r>
          </w:p>
        </w:tc>
        <w:tc>
          <w:tcPr>
            <w:tcW w:w="5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5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12.16</w:t>
            </w: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rPr>
              <w:t>Amortization of identifiable intangibles</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0.40</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0.49</w:t>
            </w:r>
          </w:p>
        </w:tc>
        <w:tc>
          <w:tcPr>
            <w:tcW w:w="10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53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5"/>
              </w:rPr>
              <w:t>Put/call valuation adjustments associated with 40% minority interest in</w:t>
            </w:r>
          </w:p>
        </w:tc>
        <w:tc>
          <w:tcPr>
            <w:tcW w:w="2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53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Kindred at Home</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5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100" w:type="dxa"/>
            <w:vAlign w:val="bottom"/>
            <w:shd w:val="clear" w:color="auto" w:fill="CCEEFF"/>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5360" w:type="dxa"/>
            <w:vAlign w:val="bottom"/>
            <w:gridSpan w:val="2"/>
          </w:tcPr>
          <w:p>
            <w:pPr>
              <w:spacing w:after="0" w:line="201" w:lineRule="exact"/>
              <w:rPr>
                <w:sz w:val="20"/>
                <w:szCs w:val="20"/>
                <w:color w:val="auto"/>
              </w:rPr>
            </w:pPr>
            <w:r>
              <w:rPr>
                <w:rFonts w:ascii="Arial" w:cs="Arial" w:eastAsia="Arial" w:hAnsi="Arial"/>
                <w:sz w:val="18"/>
                <w:szCs w:val="18"/>
                <w:color w:val="auto"/>
              </w:rPr>
              <w:t>Loss on sale of KMG America Corporation (KMG), a wholly-owned</w:t>
            </w:r>
          </w:p>
        </w:tc>
        <w:tc>
          <w:tcPr>
            <w:tcW w:w="2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5360" w:type="dxa"/>
            <w:vAlign w:val="bottom"/>
            <w:gridSpan w:val="2"/>
          </w:tcPr>
          <w:p>
            <w:pPr>
              <w:ind w:left="160"/>
              <w:spacing w:after="0"/>
              <w:rPr>
                <w:sz w:val="20"/>
                <w:szCs w:val="20"/>
                <w:color w:val="auto"/>
              </w:rPr>
            </w:pPr>
            <w:r>
              <w:rPr>
                <w:rFonts w:ascii="Arial" w:cs="Arial" w:eastAsia="Arial" w:hAnsi="Arial"/>
                <w:sz w:val="18"/>
                <w:szCs w:val="18"/>
                <w:color w:val="auto"/>
              </w:rPr>
              <w:t>subsidiary</w:t>
            </w:r>
          </w:p>
        </w:tc>
        <w:tc>
          <w:tcPr>
            <w:tcW w:w="2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2.41</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5"/>
              </w:rPr>
              <w:t>Segment earnings associated with the Individual Commercial segment</w:t>
            </w: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(0.41)</w:t>
            </w:r>
          </w:p>
        </w:tc>
      </w:tr>
      <w:tr>
        <w:trPr>
          <w:trHeight w:val="202"/>
        </w:trPr>
        <w:tc>
          <w:tcPr>
            <w:tcW w:w="20" w:type="dxa"/>
            <w:vAlign w:val="bottom"/>
          </w:tcPr>
          <w:p>
            <w:pPr>
              <w:spacing w:after="0"/>
              <w:rPr>
                <w:sz w:val="17"/>
                <w:szCs w:val="17"/>
                <w:color w:val="auto"/>
              </w:rPr>
            </w:pPr>
          </w:p>
        </w:tc>
        <w:tc>
          <w:tcPr>
            <w:tcW w:w="5360" w:type="dxa"/>
            <w:vAlign w:val="bottom"/>
            <w:gridSpan w:val="2"/>
          </w:tcPr>
          <w:p>
            <w:pPr>
              <w:spacing w:after="0" w:line="201" w:lineRule="exact"/>
              <w:rPr>
                <w:sz w:val="20"/>
                <w:szCs w:val="20"/>
                <w:color w:val="auto"/>
              </w:rPr>
            </w:pPr>
            <w:r>
              <w:rPr>
                <w:rFonts w:ascii="Arial" w:cs="Arial" w:eastAsia="Arial" w:hAnsi="Arial"/>
                <w:sz w:val="18"/>
                <w:szCs w:val="18"/>
                <w:color w:val="auto"/>
                <w:w w:val="95"/>
              </w:rPr>
              <w:t>Adjustments to provisional estimates for the income tax effects related</w:t>
            </w:r>
          </w:p>
        </w:tc>
        <w:tc>
          <w:tcPr>
            <w:tcW w:w="2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5360" w:type="dxa"/>
            <w:vAlign w:val="bottom"/>
            <w:gridSpan w:val="2"/>
          </w:tcPr>
          <w:p>
            <w:pPr>
              <w:ind w:left="160"/>
              <w:spacing w:after="0"/>
              <w:rPr>
                <w:sz w:val="20"/>
                <w:szCs w:val="20"/>
                <w:color w:val="auto"/>
              </w:rPr>
            </w:pPr>
            <w:r>
              <w:rPr>
                <w:rFonts w:ascii="Arial" w:cs="Arial" w:eastAsia="Arial" w:hAnsi="Arial"/>
                <w:sz w:val="18"/>
                <w:szCs w:val="18"/>
                <w:color w:val="auto"/>
              </w:rPr>
              <w:t>to the Tax Reform Law</w:t>
            </w:r>
          </w:p>
        </w:tc>
        <w:tc>
          <w:tcPr>
            <w:tcW w:w="2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(0.28)</w:t>
            </w:r>
          </w:p>
        </w:tc>
      </w:tr>
      <w:tr>
        <w:trPr>
          <w:trHeight w:val="216"/>
        </w:trPr>
        <w:tc>
          <w:tcPr>
            <w:tcW w:w="20" w:type="dxa"/>
            <w:vAlign w:val="bottom"/>
          </w:tcPr>
          <w:p>
            <w:pPr>
              <w:spacing w:after="0"/>
              <w:rPr>
                <w:sz w:val="18"/>
                <w:szCs w:val="18"/>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Adjusted (non-GAAP) – FY 2019 projected</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~$ 17.25 to $17.50</w:t>
            </w:r>
          </w:p>
        </w:tc>
        <w:tc>
          <w:tcPr>
            <w:tcW w:w="76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b w:val="1"/>
                <w:bCs w:val="1"/>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14.55</w:t>
            </w:r>
          </w:p>
        </w:tc>
        <w:tc>
          <w:tcPr>
            <w:tcW w:w="10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“Early indicators in 2019 are positive, with utilization trending better than our initial expectations for the Retail segment,” said Brian A. Kane, Chief Financial Officer. “This strong performance has allowed us to raise our full year Adjusted EPS guidance to a range of $17.25 to $17.50, reflecting expected Adjusted EPS growth of 19 to 20 percent, while delivering compelling individual Medicare Advantage membership growth significantly in excess of the industry.”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2020 Rate Notice</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On April 1, 2019, CMS published its 2020 Medicare Advantage Capitation Rates and Medicare Advantage and Part D Payment Policies and Final Call Letter (the Final Rate Notice). The company expects the Final Rate Notice to result in a 2.20 percent</w:t>
      </w:r>
      <w:r>
        <w:rPr>
          <w:rFonts w:ascii="Arial" w:cs="Arial" w:eastAsia="Arial" w:hAnsi="Arial"/>
          <w:sz w:val="15"/>
          <w:szCs w:val="15"/>
          <w:color w:val="auto"/>
        </w:rPr>
        <w:t>(f)</w:t>
      </w:r>
      <w:r>
        <w:rPr>
          <w:rFonts w:ascii="Arial" w:cs="Arial" w:eastAsia="Arial" w:hAnsi="Arial"/>
          <w:sz w:val="18"/>
          <w:szCs w:val="18"/>
          <w:color w:val="auto"/>
        </w:rPr>
        <w:t xml:space="preserve"> rate increase for Humana’s individual Medicare Advantage business versus CMS’ estimate for the sector of 2.53 percent, excluding the impact of Employer Group Waiver Plan (EGWP) funding changes, on a comparable basis. The difference between the Humana projection and the CMS projection results from small differences in various components of the rate.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Humana Consolidated Highlights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Consolidated revenues</w:t>
      </w:r>
    </w:p>
    <w:p>
      <w:pPr>
        <w:spacing w:after="0" w:line="239"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5620" w:type="dxa"/>
            <w:vAlign w:val="bottom"/>
            <w:gridSpan w:val="3"/>
          </w:tcPr>
          <w:p>
            <w:pPr>
              <w:spacing w:after="0"/>
              <w:rPr>
                <w:sz w:val="20"/>
                <w:szCs w:val="20"/>
                <w:color w:val="auto"/>
              </w:rPr>
            </w:pPr>
            <w:r>
              <w:rPr>
                <w:rFonts w:ascii="Arial" w:cs="Arial" w:eastAsia="Arial" w:hAnsi="Arial"/>
                <w:sz w:val="14"/>
                <w:szCs w:val="14"/>
                <w:b w:val="1"/>
                <w:bCs w:val="1"/>
                <w:color w:val="auto"/>
              </w:rPr>
              <w:t>Consolidated revenues</w:t>
            </w:r>
          </w:p>
        </w:tc>
        <w:tc>
          <w:tcPr>
            <w:tcW w:w="1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87"/>
        </w:trPr>
        <w:tc>
          <w:tcPr>
            <w:tcW w:w="5620" w:type="dxa"/>
            <w:vAlign w:val="bottom"/>
            <w:gridSpan w:val="3"/>
          </w:tcPr>
          <w:p>
            <w:pPr>
              <w:spacing w:after="0"/>
              <w:rPr>
                <w:sz w:val="20"/>
                <w:szCs w:val="20"/>
                <w:color w:val="auto"/>
              </w:rPr>
            </w:pPr>
            <w:r>
              <w:rPr>
                <w:rFonts w:ascii="Arial" w:cs="Arial" w:eastAsia="Arial" w:hAnsi="Arial"/>
                <w:sz w:val="14"/>
                <w:szCs w:val="14"/>
                <w:i w:val="1"/>
                <w:iCs w:val="1"/>
                <w:color w:val="auto"/>
              </w:rPr>
              <w:t>(in millions)</w:t>
            </w:r>
          </w:p>
        </w:tc>
        <w:tc>
          <w:tcPr>
            <w:tcW w:w="1140" w:type="dxa"/>
            <w:vAlign w:val="bottom"/>
          </w:tcPr>
          <w:p>
            <w:pPr>
              <w:spacing w:after="0"/>
              <w:rPr>
                <w:sz w:val="16"/>
                <w:szCs w:val="16"/>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4"/>
              </w:rPr>
              <w:t>1Q19 (a)</w:t>
            </w:r>
          </w:p>
        </w:tc>
        <w:tc>
          <w:tcPr>
            <w:tcW w:w="380" w:type="dxa"/>
            <w:vAlign w:val="bottom"/>
          </w:tcPr>
          <w:p>
            <w:pPr>
              <w:spacing w:after="0"/>
              <w:rPr>
                <w:sz w:val="16"/>
                <w:szCs w:val="16"/>
                <w:color w:val="auto"/>
              </w:rPr>
            </w:pPr>
          </w:p>
        </w:tc>
        <w:tc>
          <w:tcPr>
            <w:tcW w:w="640" w:type="dxa"/>
            <w:vAlign w:val="bottom"/>
            <w:gridSpan w:val="2"/>
          </w:tcPr>
          <w:p>
            <w:pPr>
              <w:ind w:left="20"/>
              <w:spacing w:after="0"/>
              <w:rPr>
                <w:sz w:val="20"/>
                <w:szCs w:val="20"/>
                <w:color w:val="auto"/>
              </w:rPr>
            </w:pPr>
            <w:r>
              <w:rPr>
                <w:rFonts w:ascii="Arial" w:cs="Arial" w:eastAsia="Arial" w:hAnsi="Arial"/>
                <w:sz w:val="14"/>
                <w:szCs w:val="14"/>
                <w:color w:val="auto"/>
              </w:rPr>
              <w:t>1Q18 (b)</w:t>
            </w:r>
          </w:p>
        </w:tc>
      </w:tr>
      <w:tr>
        <w:trPr>
          <w:trHeight w:val="203"/>
        </w:trPr>
        <w:tc>
          <w:tcPr>
            <w:tcW w:w="20" w:type="dxa"/>
            <w:vAlign w:val="bottom"/>
          </w:tcPr>
          <w:p>
            <w:pPr>
              <w:spacing w:after="0"/>
              <w:rPr>
                <w:sz w:val="17"/>
                <w:szCs w:val="17"/>
                <w:color w:val="auto"/>
              </w:rPr>
            </w:pPr>
          </w:p>
        </w:tc>
        <w:tc>
          <w:tcPr>
            <w:tcW w:w="7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GAAP</w:t>
            </w:r>
          </w:p>
        </w:tc>
        <w:tc>
          <w:tcPr>
            <w:tcW w:w="490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b w:val="1"/>
                <w:bCs w:val="1"/>
                <w:color w:val="auto"/>
                <w:w w:val="92"/>
              </w:rPr>
              <w:t>$16,107</w:t>
            </w:r>
          </w:p>
        </w:tc>
        <w:tc>
          <w:tcPr>
            <w:tcW w:w="38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$14,279</w:t>
            </w:r>
          </w:p>
        </w:tc>
        <w:tc>
          <w:tcPr>
            <w:tcW w:w="4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Revenues associated with the Individual Commercial segment</w:t>
            </w:r>
          </w:p>
        </w:tc>
        <w:tc>
          <w:tcPr>
            <w:tcW w:w="1140" w:type="dxa"/>
            <w:vAlign w:val="bottom"/>
          </w:tcPr>
          <w:p>
            <w:pPr>
              <w:spacing w:after="0"/>
              <w:rPr>
                <w:sz w:val="18"/>
                <w:szCs w:val="18"/>
                <w:color w:val="auto"/>
              </w:rPr>
            </w:pPr>
          </w:p>
        </w:tc>
        <w:tc>
          <w:tcPr>
            <w:tcW w:w="600" w:type="dxa"/>
            <w:vAlign w:val="bottom"/>
          </w:tcPr>
          <w:p>
            <w:pPr>
              <w:ind w:left="320"/>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Adjusted (non-GAAP)</w:t>
            </w:r>
          </w:p>
        </w:tc>
        <w:tc>
          <w:tcPr>
            <w:tcW w:w="1740" w:type="dxa"/>
            <w:vAlign w:val="bottom"/>
            <w:gridSpan w:val="2"/>
            <w:shd w:val="clear" w:color="auto" w:fill="CCEEFF"/>
          </w:tcPr>
          <w:p>
            <w:pPr>
              <w:jc w:val="center"/>
              <w:ind w:left="1050"/>
              <w:spacing w:after="0"/>
              <w:rPr>
                <w:sz w:val="20"/>
                <w:szCs w:val="20"/>
                <w:color w:val="auto"/>
              </w:rPr>
            </w:pPr>
            <w:r>
              <w:rPr>
                <w:rFonts w:ascii="Arial" w:cs="Arial" w:eastAsia="Arial" w:hAnsi="Arial"/>
                <w:sz w:val="18"/>
                <w:szCs w:val="18"/>
                <w:b w:val="1"/>
                <w:bCs w:val="1"/>
                <w:color w:val="auto"/>
                <w:w w:val="92"/>
              </w:rPr>
              <w:t>$16,107</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$14,284</w:t>
            </w:r>
          </w:p>
        </w:tc>
        <w:tc>
          <w:tcPr>
            <w:tcW w:w="40" w:type="dxa"/>
            <w:vAlign w:val="bottom"/>
            <w:shd w:val="clear" w:color="auto" w:fill="CCEEFF"/>
          </w:tcPr>
          <w:p>
            <w:pPr>
              <w:spacing w:after="0"/>
              <w:rPr>
                <w:sz w:val="18"/>
                <w:szCs w:val="18"/>
                <w:color w:val="auto"/>
              </w:rPr>
            </w:pPr>
          </w:p>
        </w:tc>
      </w:tr>
      <w:tr>
        <w:trPr>
          <w:trHeight w:val="365"/>
        </w:trPr>
        <w:tc>
          <w:tcPr>
            <w:tcW w:w="5620" w:type="dxa"/>
            <w:vAlign w:val="bottom"/>
            <w:gridSpan w:val="3"/>
          </w:tcPr>
          <w:p>
            <w:pPr>
              <w:jc w:val="right"/>
              <w:ind w:right="1380"/>
              <w:spacing w:after="0"/>
              <w:rPr>
                <w:sz w:val="20"/>
                <w:szCs w:val="20"/>
                <w:color w:val="auto"/>
              </w:rPr>
            </w:pPr>
            <w:r>
              <w:rPr>
                <w:rFonts w:ascii="Arial" w:cs="Arial" w:eastAsia="Arial" w:hAnsi="Arial"/>
                <w:sz w:val="18"/>
                <w:szCs w:val="18"/>
                <w:color w:val="auto"/>
              </w:rPr>
              <w:t>4</w:t>
            </w:r>
          </w:p>
        </w:tc>
        <w:tc>
          <w:tcPr>
            <w:tcW w:w="1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0880"/>
          </w:cols>
          <w:pgMar w:left="440" w:top="274" w:right="579" w:bottom="1440" w:gutter="0" w:footer="0" w:header="0"/>
        </w:sectPr>
      </w:pPr>
    </w:p>
    <w:bookmarkStart w:id="15" w:name="page16"/>
    <w:bookmarkEnd w:id="15"/>
    <w:p>
      <w:pPr>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GAAP consolidated revenues for 1Q19 were $16.11 billion, an increase of $1.83 billion, or 13 percent, from $14.28 billion in 1Q18. Total premiums and services revenues of $16.01 billion in 1Q19 increased $1.87 billion, or 13 percent, from $14.14 billion in 1Q18. The favorable year-over-year comparisons were primarily driven by higher premium revenues from the company’s Medicare Advantage business resulting from membership growth and higher per member premiums. These increases were partially offset by lower Group and Specialty segment revenues as further discussed below.</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Consolidated benefits expense</w:t>
      </w:r>
    </w:p>
    <w:p>
      <w:pPr>
        <w:spacing w:after="0" w:line="118"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5820" w:type="dxa"/>
            <w:vAlign w:val="bottom"/>
            <w:gridSpan w:val="3"/>
          </w:tcPr>
          <w:p>
            <w:pPr>
              <w:spacing w:after="0"/>
              <w:rPr>
                <w:sz w:val="20"/>
                <w:szCs w:val="20"/>
                <w:color w:val="auto"/>
              </w:rPr>
            </w:pPr>
            <w:r>
              <w:rPr>
                <w:rFonts w:ascii="Arial" w:cs="Arial" w:eastAsia="Arial" w:hAnsi="Arial"/>
                <w:sz w:val="14"/>
                <w:szCs w:val="14"/>
                <w:b w:val="1"/>
                <w:bCs w:val="1"/>
                <w:color w:val="auto"/>
              </w:rPr>
              <w:t>Consolidated benefit ratio</w:t>
            </w:r>
          </w:p>
        </w:tc>
        <w:tc>
          <w:tcPr>
            <w:tcW w:w="5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5820" w:type="dxa"/>
            <w:vAlign w:val="bottom"/>
            <w:gridSpan w:val="3"/>
          </w:tcPr>
          <w:p>
            <w:pPr>
              <w:spacing w:after="0"/>
              <w:rPr>
                <w:sz w:val="20"/>
                <w:szCs w:val="20"/>
                <w:color w:val="auto"/>
              </w:rPr>
            </w:pPr>
            <w:r>
              <w:rPr>
                <w:rFonts w:ascii="Arial" w:cs="Arial" w:eastAsia="Arial" w:hAnsi="Arial"/>
                <w:sz w:val="14"/>
                <w:szCs w:val="14"/>
                <w:i w:val="1"/>
                <w:iCs w:val="1"/>
                <w:color w:val="auto"/>
              </w:rPr>
              <w:t>(benefits expense as a percent of premiums)</w:t>
            </w:r>
          </w:p>
        </w:tc>
        <w:tc>
          <w:tcPr>
            <w:tcW w:w="156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rPr>
              <w:t>1Q19 (a)</w:t>
            </w:r>
          </w:p>
        </w:tc>
        <w:tc>
          <w:tcPr>
            <w:tcW w:w="1000" w:type="dxa"/>
            <w:vAlign w:val="bottom"/>
            <w:gridSpan w:val="3"/>
          </w:tcPr>
          <w:p>
            <w:pPr>
              <w:jc w:val="right"/>
              <w:ind w:right="200"/>
              <w:spacing w:after="0"/>
              <w:rPr>
                <w:sz w:val="20"/>
                <w:szCs w:val="20"/>
                <w:color w:val="auto"/>
              </w:rPr>
            </w:pPr>
            <w:r>
              <w:rPr>
                <w:rFonts w:ascii="Arial" w:cs="Arial" w:eastAsia="Arial" w:hAnsi="Arial"/>
                <w:sz w:val="14"/>
                <w:szCs w:val="14"/>
                <w:color w:val="auto"/>
              </w:rPr>
              <w:t>1Q18 (b)</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20" w:type="dxa"/>
            <w:vAlign w:val="bottom"/>
            <w:tcBorders>
              <w:top w:val="single" w:sz="8" w:color="auto"/>
            </w:tcBorders>
            <w:vMerge w:val="restart"/>
            <w:shd w:val="clear" w:color="auto" w:fill="CCEEFF"/>
          </w:tcPr>
          <w:p>
            <w:pPr>
              <w:spacing w:after="0"/>
              <w:rPr>
                <w:sz w:val="20"/>
                <w:szCs w:val="20"/>
                <w:color w:val="auto"/>
              </w:rPr>
            </w:pPr>
            <w:r>
              <w:rPr>
                <w:rFonts w:ascii="Arial" w:cs="Arial" w:eastAsia="Arial" w:hAnsi="Arial"/>
                <w:sz w:val="18"/>
                <w:szCs w:val="18"/>
                <w:b w:val="1"/>
                <w:bCs w:val="1"/>
                <w:color w:val="auto"/>
              </w:rPr>
              <w:t>GAAP</w:t>
            </w:r>
          </w:p>
        </w:tc>
        <w:tc>
          <w:tcPr>
            <w:tcW w:w="3280" w:type="dxa"/>
            <w:vAlign w:val="bottom"/>
            <w:vMerge w:val="restart"/>
            <w:shd w:val="clear" w:color="auto" w:fill="CCEEFF"/>
          </w:tcPr>
          <w:p>
            <w:pPr>
              <w:spacing w:after="0" w:line="20" w:lineRule="exact"/>
              <w:rPr>
                <w:sz w:val="1"/>
                <w:szCs w:val="1"/>
                <w:color w:val="auto"/>
              </w:rPr>
            </w:pPr>
          </w:p>
        </w:tc>
        <w:tc>
          <w:tcPr>
            <w:tcW w:w="580" w:type="dxa"/>
            <w:vAlign w:val="bottom"/>
            <w:vMerge w:val="restart"/>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2520" w:type="dxa"/>
            <w:vAlign w:val="bottom"/>
            <w:vMerge w:val="continue"/>
            <w:shd w:val="clear" w:color="auto" w:fill="CCEEFF"/>
          </w:tcPr>
          <w:p>
            <w:pPr>
              <w:spacing w:after="0"/>
              <w:rPr>
                <w:sz w:val="17"/>
                <w:szCs w:val="17"/>
                <w:color w:val="auto"/>
              </w:rPr>
            </w:pPr>
          </w:p>
        </w:tc>
        <w:tc>
          <w:tcPr>
            <w:tcW w:w="3280" w:type="dxa"/>
            <w:vAlign w:val="bottom"/>
            <w:vMerge w:val="continue"/>
            <w:shd w:val="clear" w:color="auto" w:fill="CCEEFF"/>
          </w:tcPr>
          <w:p>
            <w:pPr>
              <w:spacing w:after="0"/>
              <w:rPr>
                <w:sz w:val="17"/>
                <w:szCs w:val="17"/>
                <w:color w:val="auto"/>
              </w:rPr>
            </w:pPr>
          </w:p>
        </w:tc>
        <w:tc>
          <w:tcPr>
            <w:tcW w:w="580" w:type="dxa"/>
            <w:vAlign w:val="bottom"/>
            <w:vMerge w:val="continue"/>
            <w:shd w:val="clear" w:color="auto" w:fill="CCEEFF"/>
          </w:tcPr>
          <w:p>
            <w:pPr>
              <w:spacing w:after="0"/>
              <w:rPr>
                <w:sz w:val="17"/>
                <w:szCs w:val="17"/>
                <w:color w:val="auto"/>
              </w:rPr>
            </w:pPr>
          </w:p>
        </w:tc>
        <w:tc>
          <w:tcPr>
            <w:tcW w:w="980" w:type="dxa"/>
            <w:vAlign w:val="bottom"/>
            <w:gridSpan w:val="2"/>
            <w:shd w:val="clear" w:color="auto" w:fill="CCEEFF"/>
          </w:tcPr>
          <w:p>
            <w:pPr>
              <w:jc w:val="right"/>
              <w:ind w:right="260"/>
              <w:spacing w:after="0" w:line="203" w:lineRule="exact"/>
              <w:rPr>
                <w:sz w:val="20"/>
                <w:szCs w:val="20"/>
                <w:color w:val="auto"/>
              </w:rPr>
            </w:pPr>
            <w:r>
              <w:rPr>
                <w:rFonts w:ascii="Arial" w:cs="Arial" w:eastAsia="Arial" w:hAnsi="Arial"/>
                <w:sz w:val="18"/>
                <w:szCs w:val="18"/>
                <w:b w:val="1"/>
                <w:bCs w:val="1"/>
                <w:color w:val="auto"/>
              </w:rPr>
              <w:t>86.2%</w:t>
            </w:r>
          </w:p>
        </w:tc>
        <w:tc>
          <w:tcPr>
            <w:tcW w:w="280" w:type="dxa"/>
            <w:vAlign w:val="bottom"/>
            <w:vMerge w:val="continue"/>
            <w:shd w:val="clear" w:color="auto" w:fill="CCEEFF"/>
          </w:tcPr>
          <w:p>
            <w:pPr>
              <w:spacing w:after="0"/>
              <w:rPr>
                <w:sz w:val="17"/>
                <w:szCs w:val="17"/>
                <w:color w:val="auto"/>
              </w:rPr>
            </w:pPr>
          </w:p>
        </w:tc>
        <w:tc>
          <w:tcPr>
            <w:tcW w:w="72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84.5%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2"/>
          </w:tcPr>
          <w:p>
            <w:pPr>
              <w:spacing w:after="0"/>
              <w:rPr>
                <w:sz w:val="20"/>
                <w:szCs w:val="20"/>
                <w:color w:val="auto"/>
              </w:rPr>
            </w:pPr>
            <w:r>
              <w:rPr>
                <w:rFonts w:ascii="Arial" w:cs="Arial" w:eastAsia="Arial" w:hAnsi="Arial"/>
                <w:sz w:val="18"/>
                <w:szCs w:val="18"/>
                <w:color w:val="auto"/>
              </w:rPr>
              <w:t>Benefit ratio impact associated with the Individual Commercial segment</w:t>
            </w:r>
          </w:p>
        </w:tc>
        <w:tc>
          <w:tcPr>
            <w:tcW w:w="580" w:type="dxa"/>
            <w:vAlign w:val="bottom"/>
          </w:tcPr>
          <w:p>
            <w:pPr>
              <w:spacing w:after="0"/>
              <w:rPr>
                <w:sz w:val="18"/>
                <w:szCs w:val="18"/>
                <w:color w:val="auto"/>
              </w:rPr>
            </w:pPr>
          </w:p>
        </w:tc>
        <w:tc>
          <w:tcPr>
            <w:tcW w:w="98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Adjusted (non-GAAP)</w:t>
            </w:r>
          </w:p>
        </w:tc>
        <w:tc>
          <w:tcPr>
            <w:tcW w:w="15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86.2%</w:t>
            </w: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84.9%</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The 1Q19 GAAP consolidated benefit ratio of 86.2 percent increased 170 basis points from the 1Q18 GAAP consolidated benefit ratio of 84.5 percent.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year-over-year comparison of the ratio was unfavorably impacted by the following:</w:t>
      </w:r>
    </w:p>
    <w:p>
      <w:pPr>
        <w:spacing w:after="0" w:line="116" w:lineRule="exact"/>
        <w:rPr>
          <w:sz w:val="20"/>
          <w:szCs w:val="20"/>
          <w:color w:val="auto"/>
        </w:rPr>
      </w:pPr>
    </w:p>
    <w:p>
      <w:pPr>
        <w:ind w:left="860" w:hanging="316"/>
        <w:spacing w:after="0"/>
        <w:tabs>
          <w:tab w:leader="none" w:pos="8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suspension of the HIF in 2019 which was contemplated in the pricing and benefit design of the company’s products; and</w:t>
      </w:r>
    </w:p>
    <w:p>
      <w:pPr>
        <w:spacing w:after="0" w:line="130" w:lineRule="exact"/>
        <w:rPr>
          <w:rFonts w:ascii="Arial" w:cs="Arial" w:eastAsia="Arial" w:hAnsi="Arial"/>
          <w:sz w:val="18"/>
          <w:szCs w:val="18"/>
          <w:color w:val="auto"/>
        </w:rPr>
      </w:pPr>
    </w:p>
    <w:p>
      <w:pPr>
        <w:ind w:left="860" w:right="120" w:hanging="316"/>
        <w:spacing w:after="0" w:line="312" w:lineRule="auto"/>
        <w:tabs>
          <w:tab w:leader="none" w:pos="86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unfavorable impact to the benefit ratio associated with higher-than-expected individual Medicare Advantage membership growth for 2019. At the onset, on average, new Medicare Advantage members typically have a higher benefit ratio than existing Medicare Advantages members as they were not previously engaged in clinical programs or appropriately documented under the CMS risk-adjustment model.</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color w:val="auto"/>
        </w:rPr>
        <w:t>The 1Q19 Adjusted consolidated benefit ratio of 86.2 percent increased 130 basis points from the 1Q18 Adjusted consolidated benefit ratio of</w:t>
      </w:r>
    </w:p>
    <w:p>
      <w:pPr>
        <w:spacing w:after="0" w:line="35"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84.9 percent primarily due to the same factors impacting the full-year GAAP comparison, while excluding the impact of the Individual Commercial segment.</w:t>
      </w:r>
    </w:p>
    <w:p>
      <w:pPr>
        <w:spacing w:after="0" w:line="202" w:lineRule="exact"/>
        <w:rPr>
          <w:sz w:val="20"/>
          <w:szCs w:val="20"/>
          <w:color w:val="auto"/>
        </w:rPr>
      </w:pPr>
    </w:p>
    <w:tbl>
      <w:tblPr>
        <w:tblLayout w:type="fixed"/>
        <w:tblInd w:w="1320" w:type="dxa"/>
        <w:tblCellMar>
          <w:top w:w="0" w:type="dxa"/>
          <w:left w:w="0" w:type="dxa"/>
          <w:bottom w:w="0" w:type="dxa"/>
          <w:right w:w="0" w:type="dxa"/>
        </w:tblCellMar>
      </w:tblPr>
      <w:tr>
        <w:trPr>
          <w:trHeight w:val="171"/>
        </w:trPr>
        <w:tc>
          <w:tcPr>
            <w:tcW w:w="52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 xml:space="preserve">Consolidated Prior Period Development </w:t>
            </w:r>
            <w:r>
              <w:rPr>
                <w:rFonts w:ascii="Arial" w:cs="Arial" w:eastAsia="Arial" w:hAnsi="Arial"/>
                <w:sz w:val="14"/>
                <w:szCs w:val="14"/>
                <w:i w:val="1"/>
                <w:iCs w:val="1"/>
                <w:color w:val="auto"/>
              </w:rPr>
              <w:t>(in millions)</w:t>
            </w:r>
          </w:p>
        </w:tc>
        <w:tc>
          <w:tcPr>
            <w:tcW w:w="4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3"/>
          </w:tcPr>
          <w:p>
            <w:pPr>
              <w:ind w:left="200"/>
              <w:spacing w:after="0"/>
              <w:rPr>
                <w:sz w:val="20"/>
                <w:szCs w:val="20"/>
                <w:color w:val="auto"/>
              </w:rPr>
            </w:pPr>
            <w:r>
              <w:rPr>
                <w:rFonts w:ascii="Arial" w:cs="Arial" w:eastAsia="Arial" w:hAnsi="Arial"/>
                <w:sz w:val="14"/>
                <w:szCs w:val="14"/>
                <w:b w:val="1"/>
                <w:bCs w:val="1"/>
                <w:color w:val="auto"/>
              </w:rPr>
              <w:t>First Quarter</w:t>
            </w:r>
          </w:p>
        </w:tc>
        <w:tc>
          <w:tcPr>
            <w:tcW w:w="5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5260" w:type="dxa"/>
            <w:vAlign w:val="bottom"/>
            <w:gridSpan w:val="3"/>
            <w:vMerge w:val="continue"/>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gridSpan w:val="2"/>
          </w:tcPr>
          <w:p>
            <w:pPr>
              <w:jc w:val="right"/>
              <w:spacing w:after="0" w:line="115" w:lineRule="exact"/>
              <w:rPr>
                <w:sz w:val="20"/>
                <w:szCs w:val="20"/>
                <w:color w:val="auto"/>
              </w:rPr>
            </w:pPr>
            <w:r>
              <w:rPr>
                <w:rFonts w:ascii="Arial" w:cs="Arial" w:eastAsia="Arial" w:hAnsi="Arial"/>
                <w:sz w:val="13"/>
                <w:szCs w:val="13"/>
                <w:color w:val="auto"/>
              </w:rPr>
              <w:t>Individual</w:t>
            </w: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2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62"/>
        </w:trPr>
        <w:tc>
          <w:tcPr>
            <w:tcW w:w="5260" w:type="dxa"/>
            <w:vAlign w:val="bottom"/>
            <w:gridSpan w:val="3"/>
          </w:tcPr>
          <w:p>
            <w:pPr>
              <w:spacing w:after="0"/>
              <w:rPr>
                <w:sz w:val="20"/>
                <w:szCs w:val="20"/>
                <w:color w:val="auto"/>
              </w:rPr>
            </w:pPr>
            <w:r>
              <w:rPr>
                <w:rFonts w:ascii="Arial" w:cs="Arial" w:eastAsia="Arial" w:hAnsi="Arial"/>
                <w:sz w:val="14"/>
                <w:szCs w:val="14"/>
                <w:color w:val="auto"/>
              </w:rPr>
              <w:t>Favorable (unfavorable)</w:t>
            </w:r>
          </w:p>
        </w:tc>
        <w:tc>
          <w:tcPr>
            <w:tcW w:w="1120" w:type="dxa"/>
            <w:vAlign w:val="bottom"/>
            <w:gridSpan w:val="3"/>
          </w:tcPr>
          <w:p>
            <w:pPr>
              <w:jc w:val="right"/>
              <w:spacing w:after="0"/>
              <w:rPr>
                <w:sz w:val="20"/>
                <w:szCs w:val="20"/>
                <w:color w:val="auto"/>
              </w:rPr>
            </w:pPr>
            <w:r>
              <w:rPr>
                <w:rFonts w:ascii="Arial" w:cs="Arial" w:eastAsia="Arial" w:hAnsi="Arial"/>
                <w:sz w:val="14"/>
                <w:szCs w:val="14"/>
                <w:color w:val="auto"/>
              </w:rPr>
              <w:t>Commercial</w:t>
            </w:r>
          </w:p>
        </w:tc>
        <w:tc>
          <w:tcPr>
            <w:tcW w:w="1080" w:type="dxa"/>
            <w:vAlign w:val="bottom"/>
            <w:gridSpan w:val="3"/>
          </w:tcPr>
          <w:p>
            <w:pPr>
              <w:ind w:left="520"/>
              <w:spacing w:after="0"/>
              <w:rPr>
                <w:sz w:val="20"/>
                <w:szCs w:val="20"/>
                <w:color w:val="auto"/>
              </w:rPr>
            </w:pPr>
            <w:r>
              <w:rPr>
                <w:rFonts w:ascii="Arial" w:cs="Arial" w:eastAsia="Arial" w:hAnsi="Arial"/>
                <w:sz w:val="14"/>
                <w:szCs w:val="14"/>
                <w:color w:val="auto"/>
                <w:w w:val="99"/>
              </w:rPr>
              <w:t>All Other</w:t>
            </w:r>
          </w:p>
        </w:tc>
        <w:tc>
          <w:tcPr>
            <w:tcW w:w="500" w:type="dxa"/>
            <w:vAlign w:val="bottom"/>
          </w:tcPr>
          <w:p>
            <w:pPr>
              <w:spacing w:after="0"/>
              <w:rPr>
                <w:sz w:val="14"/>
                <w:szCs w:val="14"/>
                <w:color w:val="auto"/>
              </w:rPr>
            </w:pPr>
          </w:p>
        </w:tc>
        <w:tc>
          <w:tcPr>
            <w:tcW w:w="4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0" w:type="dxa"/>
            <w:vAlign w:val="bottom"/>
            <w:tcBorders>
              <w:bottom w:val="single" w:sz="8" w:color="CCEEFF"/>
            </w:tcBorders>
            <w:shd w:val="clear" w:color="auto" w:fill="000000"/>
          </w:tcPr>
          <w:p>
            <w:pPr>
              <w:spacing w:after="0" w:line="20" w:lineRule="exact"/>
              <w:rPr>
                <w:sz w:val="1"/>
                <w:szCs w:val="1"/>
                <w:color w:val="auto"/>
              </w:rPr>
            </w:pPr>
          </w:p>
        </w:tc>
        <w:tc>
          <w:tcPr>
            <w:tcW w:w="384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24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b w:val="1"/>
                <w:bCs w:val="1"/>
                <w:color w:val="auto"/>
                <w:w w:val="97"/>
              </w:rPr>
              <w:t>Prior Period Development from prior years recognized in 1Q19</w:t>
            </w:r>
          </w:p>
        </w:tc>
        <w:tc>
          <w:tcPr>
            <w:tcW w:w="42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09"/>
              <w:spacing w:after="0"/>
              <w:rPr>
                <w:sz w:val="20"/>
                <w:szCs w:val="20"/>
                <w:color w:val="auto"/>
              </w:rPr>
            </w:pPr>
            <w:r>
              <w:rPr>
                <w:rFonts w:ascii="Arial" w:cs="Arial" w:eastAsia="Arial" w:hAnsi="Arial"/>
                <w:sz w:val="15"/>
                <w:szCs w:val="15"/>
                <w:b w:val="1"/>
                <w:bCs w:val="1"/>
                <w:color w:val="auto"/>
                <w:w w:val="71"/>
              </w:rPr>
              <w:t>$</w:t>
            </w:r>
          </w:p>
        </w:tc>
        <w:tc>
          <w:tcPr>
            <w:tcW w:w="4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w:t>
            </w: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267</w:t>
            </w:r>
          </w:p>
        </w:tc>
        <w:tc>
          <w:tcPr>
            <w:tcW w:w="500" w:type="dxa"/>
            <w:vAlign w:val="bottom"/>
            <w:shd w:val="clear" w:color="auto" w:fill="CCEEFF"/>
          </w:tcPr>
          <w:p>
            <w:pPr>
              <w:spacing w:after="0"/>
              <w:rPr>
                <w:sz w:val="17"/>
                <w:szCs w:val="17"/>
                <w:color w:val="auto"/>
              </w:rPr>
            </w:pPr>
          </w:p>
        </w:tc>
        <w:tc>
          <w:tcPr>
            <w:tcW w:w="38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b w:val="1"/>
                <w:bCs w:val="1"/>
                <w:color w:val="auto"/>
                <w:w w:val="89"/>
              </w:rPr>
              <w:t>$267</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40" w:type="dxa"/>
            <w:vAlign w:val="bottom"/>
            <w:gridSpan w:val="2"/>
          </w:tcPr>
          <w:p>
            <w:pPr>
              <w:spacing w:after="0"/>
              <w:rPr>
                <w:sz w:val="20"/>
                <w:szCs w:val="20"/>
                <w:color w:val="auto"/>
              </w:rPr>
            </w:pPr>
            <w:r>
              <w:rPr>
                <w:rFonts w:ascii="Arial" w:cs="Arial" w:eastAsia="Arial" w:hAnsi="Arial"/>
                <w:sz w:val="18"/>
                <w:szCs w:val="18"/>
                <w:color w:val="auto"/>
              </w:rPr>
              <w:t>Prior Period Development from prior years recognized in 1Q18</w:t>
            </w:r>
          </w:p>
        </w:tc>
        <w:tc>
          <w:tcPr>
            <w:tcW w:w="680" w:type="dxa"/>
            <w:vAlign w:val="bottom"/>
            <w:gridSpan w:val="2"/>
          </w:tcPr>
          <w:p>
            <w:pPr>
              <w:jc w:val="right"/>
              <w:ind w:right="109"/>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44</w:t>
            </w:r>
          </w:p>
        </w:tc>
        <w:tc>
          <w:tcPr>
            <w:tcW w:w="70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223</w:t>
            </w:r>
          </w:p>
        </w:tc>
        <w:tc>
          <w:tcPr>
            <w:tcW w:w="880" w:type="dxa"/>
            <w:vAlign w:val="bottom"/>
            <w:gridSpan w:val="2"/>
          </w:tcPr>
          <w:p>
            <w:pPr>
              <w:jc w:val="center"/>
              <w:ind w:left="390"/>
              <w:spacing w:after="0"/>
              <w:rPr>
                <w:sz w:val="20"/>
                <w:szCs w:val="20"/>
                <w:color w:val="auto"/>
              </w:rPr>
            </w:pPr>
            <w:r>
              <w:rPr>
                <w:rFonts w:ascii="Arial" w:cs="Arial" w:eastAsia="Arial" w:hAnsi="Arial"/>
                <w:sz w:val="18"/>
                <w:szCs w:val="18"/>
                <w:color w:val="auto"/>
                <w:w w:val="89"/>
              </w:rPr>
              <w:t>$267</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Favorable prior period medical claims reserve development (Prior Period Development) decreased the GAAP consolidated benefit ratio by 170 basis points in 1Q19 and by 190 basis points in 1Q18.</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Consolidated operating expenses</w:t>
      </w:r>
    </w:p>
    <w:p>
      <w:pPr>
        <w:spacing w:after="0" w:line="121"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The 1Q19 GAAP consolidated operating cost ratio (operating costs as a percent of total revenues less investment income) of 10.4 percent decreased 200 basis points from the 1Q18 ratio of 12.4 percent primarily reflecting the temporary suspension of the HIF for 2019. The non-deductible HIF increased the consolidated GAAP operating cost ratio by approximately 190 basis points in 1Q18. The year-over-year comparison was further positively impacted by significant operating cost efficiencies in 1Q19 driven by previously implemented productivity initiatives. These improvements were partially offset by strategic investments in the company’s integrated care delivery model.</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20"/>
          </w:cols>
          <w:pgMar w:left="440" w:top="274" w:right="4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Balance sheet</w:t>
      </w:r>
    </w:p>
    <w:p>
      <w:pPr>
        <w:spacing w:after="0" w:line="135" w:lineRule="exact"/>
        <w:rPr>
          <w:sz w:val="20"/>
          <w:szCs w:val="20"/>
          <w:color w:val="auto"/>
        </w:rPr>
      </w:pPr>
    </w:p>
    <w:p>
      <w:pPr>
        <w:ind w:left="860" w:right="340" w:hanging="316"/>
        <w:spacing w:after="0" w:line="279" w:lineRule="auto"/>
        <w:tabs>
          <w:tab w:leader="none" w:pos="8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At March 31, 2019, the company had cash, cash equivalents, and investment securities of $14.18 billion, up $1.40 billion, or 11 percent, from $12.78 billion at December 31, 2018, primarily reflecting the impact of sequentially higher premiums as result of higher average Medicare Advantage membership in 1Q19 due to a strong recently completed AEP. Additional changes are outlined in the company’s consolidated statement of cash flows on page S-5 of the statistical supplement included in this release.</w:t>
      </w:r>
    </w:p>
    <w:p>
      <w:pPr>
        <w:spacing w:after="0" w:line="76" w:lineRule="exact"/>
        <w:rPr>
          <w:rFonts w:ascii="Arial" w:cs="Arial" w:eastAsia="Arial" w:hAnsi="Arial"/>
          <w:sz w:val="17"/>
          <w:szCs w:val="17"/>
          <w:color w:val="auto"/>
        </w:rPr>
      </w:pPr>
    </w:p>
    <w:p>
      <w:pPr>
        <w:ind w:left="860" w:right="20" w:hanging="316"/>
        <w:spacing w:after="0" w:line="286" w:lineRule="auto"/>
        <w:tabs>
          <w:tab w:leader="none" w:pos="8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At March 31, 2019, cash and short-term investments held at the parent company of $721 million increased $143 million, or 25 percent, from $578 million at December 31, 2018 primarily resulting from non-regulated subsidiary earnings and other working capital changes, partially offset by capital expenditures, capital contributions to regulated subsidiaries, and cash dividends to shareholders.</w:t>
      </w:r>
    </w:p>
    <w:p>
      <w:pPr>
        <w:spacing w:after="0" w:line="70" w:lineRule="exact"/>
        <w:rPr>
          <w:rFonts w:ascii="Arial" w:cs="Arial" w:eastAsia="Arial" w:hAnsi="Arial"/>
          <w:sz w:val="17"/>
          <w:szCs w:val="17"/>
          <w:color w:val="auto"/>
        </w:rPr>
      </w:pPr>
    </w:p>
    <w:p>
      <w:pPr>
        <w:ind w:left="860" w:right="280" w:hanging="316"/>
        <w:spacing w:after="0" w:line="264" w:lineRule="auto"/>
        <w:tabs>
          <w:tab w:leader="none" w:pos="8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Days in claims payable (DCP) of 40.2 at March 31, 2019, increased by 1.1 days from 39.1 at December 31, 2018, and increased 1.9 days from 38.3 at March 31, 2018. Changes are outlined in the DCP rollforward on page S-13 of the statistical supplement included in this release.</w:t>
      </w:r>
    </w:p>
    <w:p>
      <w:pPr>
        <w:spacing w:after="0" w:line="86" w:lineRule="exact"/>
        <w:rPr>
          <w:rFonts w:ascii="Arial" w:cs="Arial" w:eastAsia="Arial" w:hAnsi="Arial"/>
          <w:sz w:val="18"/>
          <w:szCs w:val="18"/>
          <w:color w:val="auto"/>
        </w:rPr>
      </w:pPr>
    </w:p>
    <w:p>
      <w:pPr>
        <w:ind w:left="860" w:hanging="316"/>
        <w:spacing w:after="0" w:line="291" w:lineRule="auto"/>
        <w:tabs>
          <w:tab w:leader="none" w:pos="8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Debt-to-total capitalization at March 31, 2019 of 36.0 percent was down 140 basis points from 37.4 percent at December 31, 2018, primarily resulting from the net impact of the quarter’s earnings. The company’s long-term debt-to-total capitalization target of approximately</w:t>
      </w:r>
    </w:p>
    <w:p>
      <w:pPr>
        <w:ind w:left="860" w:right="200"/>
        <w:spacing w:after="0" w:line="255" w:lineRule="auto"/>
        <w:rPr>
          <w:rFonts w:ascii="Arial" w:cs="Arial" w:eastAsia="Arial" w:hAnsi="Arial"/>
          <w:sz w:val="16"/>
          <w:szCs w:val="16"/>
          <w:color w:val="auto"/>
        </w:rPr>
      </w:pPr>
      <w:r>
        <w:rPr>
          <w:rFonts w:ascii="Arial" w:cs="Arial" w:eastAsia="Arial" w:hAnsi="Arial"/>
          <w:sz w:val="18"/>
          <w:szCs w:val="18"/>
          <w:color w:val="auto"/>
        </w:rPr>
        <w:t>35 percent is expected to allow the company to maintain its investment grade credit rating while providing significant financial flexibility. At times, the company’s debt-to-total capitalization will exceed this target due to the timing of share repurchases, acquisitions, and debt issuance.</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Operating cash flows</w:t>
      </w:r>
    </w:p>
    <w:p>
      <w:pPr>
        <w:spacing w:after="0" w:line="118"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5020" w:type="dxa"/>
            <w:vAlign w:val="bottom"/>
            <w:gridSpan w:val="3"/>
          </w:tcPr>
          <w:p>
            <w:pPr>
              <w:spacing w:after="0"/>
              <w:rPr>
                <w:sz w:val="20"/>
                <w:szCs w:val="20"/>
                <w:color w:val="auto"/>
              </w:rPr>
            </w:pPr>
            <w:r>
              <w:rPr>
                <w:rFonts w:ascii="Arial" w:cs="Arial" w:eastAsia="Arial" w:hAnsi="Arial"/>
                <w:sz w:val="14"/>
                <w:szCs w:val="14"/>
                <w:b w:val="1"/>
                <w:bCs w:val="1"/>
                <w:color w:val="auto"/>
              </w:rPr>
              <w:t>Net cash provided by operating activities</w:t>
            </w:r>
          </w:p>
        </w:tc>
        <w:tc>
          <w:tcPr>
            <w:tcW w:w="1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7"/>
        </w:trPr>
        <w:tc>
          <w:tcPr>
            <w:tcW w:w="5020" w:type="dxa"/>
            <w:vAlign w:val="bottom"/>
            <w:gridSpan w:val="3"/>
          </w:tcPr>
          <w:p>
            <w:pPr>
              <w:spacing w:after="0"/>
              <w:rPr>
                <w:sz w:val="20"/>
                <w:szCs w:val="20"/>
                <w:color w:val="auto"/>
              </w:rPr>
            </w:pPr>
            <w:r>
              <w:rPr>
                <w:rFonts w:ascii="Arial" w:cs="Arial" w:eastAsia="Arial" w:hAnsi="Arial"/>
                <w:sz w:val="14"/>
                <w:szCs w:val="14"/>
                <w:i w:val="1"/>
                <w:iCs w:val="1"/>
                <w:color w:val="auto"/>
              </w:rPr>
              <w:t>(in millions)</w:t>
            </w:r>
          </w:p>
        </w:tc>
        <w:tc>
          <w:tcPr>
            <w:tcW w:w="1880" w:type="dxa"/>
            <w:vAlign w:val="bottom"/>
          </w:tcPr>
          <w:p>
            <w:pPr>
              <w:spacing w:after="0"/>
              <w:rPr>
                <w:sz w:val="16"/>
                <w:szCs w:val="16"/>
                <w:color w:val="auto"/>
              </w:rPr>
            </w:pPr>
          </w:p>
        </w:tc>
        <w:tc>
          <w:tcPr>
            <w:tcW w:w="360" w:type="dxa"/>
            <w:vAlign w:val="bottom"/>
          </w:tcPr>
          <w:p>
            <w:pPr>
              <w:jc w:val="center"/>
              <w:spacing w:after="0"/>
              <w:rPr>
                <w:sz w:val="20"/>
                <w:szCs w:val="20"/>
                <w:color w:val="auto"/>
              </w:rPr>
            </w:pPr>
            <w:r>
              <w:rPr>
                <w:rFonts w:ascii="Arial" w:cs="Arial" w:eastAsia="Arial" w:hAnsi="Arial"/>
                <w:sz w:val="14"/>
                <w:szCs w:val="14"/>
                <w:b w:val="1"/>
                <w:bCs w:val="1"/>
                <w:color w:val="auto"/>
                <w:w w:val="93"/>
              </w:rPr>
              <w:t>1Q19</w:t>
            </w: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9"/>
              </w:rPr>
              <w:t>1Q18</w:t>
            </w:r>
          </w:p>
        </w:tc>
      </w:tr>
      <w:tr>
        <w:trPr>
          <w:trHeight w:val="203"/>
        </w:trPr>
        <w:tc>
          <w:tcPr>
            <w:tcW w:w="20" w:type="dxa"/>
            <w:vAlign w:val="bottom"/>
          </w:tcPr>
          <w:p>
            <w:pPr>
              <w:spacing w:after="0"/>
              <w:rPr>
                <w:sz w:val="17"/>
                <w:szCs w:val="17"/>
                <w:color w:val="auto"/>
              </w:rPr>
            </w:pPr>
          </w:p>
        </w:tc>
        <w:tc>
          <w:tcPr>
            <w:tcW w:w="7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GAAP</w:t>
            </w:r>
          </w:p>
        </w:tc>
        <w:tc>
          <w:tcPr>
            <w:tcW w:w="4300" w:type="dxa"/>
            <w:vAlign w:val="bottom"/>
            <w:tcBorders>
              <w:top w:val="single" w:sz="8" w:color="CCEEFF"/>
            </w:tcBorders>
            <w:shd w:val="clear" w:color="auto" w:fill="CCEEFF"/>
          </w:tcPr>
          <w:p>
            <w:pPr>
              <w:spacing w:after="0"/>
              <w:rPr>
                <w:sz w:val="17"/>
                <w:szCs w:val="17"/>
                <w:color w:val="auto"/>
              </w:rPr>
            </w:pPr>
          </w:p>
        </w:tc>
        <w:tc>
          <w:tcPr>
            <w:tcW w:w="188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b w:val="1"/>
                <w:bCs w:val="1"/>
                <w:color w:val="auto"/>
                <w:w w:val="89"/>
              </w:rPr>
              <w:t>$896</w:t>
            </w:r>
          </w:p>
        </w:tc>
        <w:tc>
          <w:tcPr>
            <w:tcW w:w="4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3,686</w:t>
            </w: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000" w:type="dxa"/>
            <w:vAlign w:val="bottom"/>
            <w:gridSpan w:val="2"/>
          </w:tcPr>
          <w:p>
            <w:pPr>
              <w:spacing w:after="0"/>
              <w:rPr>
                <w:sz w:val="20"/>
                <w:szCs w:val="20"/>
                <w:color w:val="auto"/>
              </w:rPr>
            </w:pPr>
            <w:r>
              <w:rPr>
                <w:rFonts w:ascii="Arial" w:cs="Arial" w:eastAsia="Arial" w:hAnsi="Arial"/>
                <w:sz w:val="18"/>
                <w:szCs w:val="18"/>
                <w:color w:val="auto"/>
              </w:rPr>
              <w:t>Timing of premium payment from CMS (g)</w:t>
            </w:r>
          </w:p>
        </w:tc>
        <w:tc>
          <w:tcPr>
            <w:tcW w:w="1880" w:type="dxa"/>
            <w:vAlign w:val="bottom"/>
          </w:tcPr>
          <w:p>
            <w:pPr>
              <w:spacing w:after="0"/>
              <w:rPr>
                <w:sz w:val="18"/>
                <w:szCs w:val="18"/>
                <w:color w:val="auto"/>
              </w:rPr>
            </w:pPr>
          </w:p>
        </w:tc>
        <w:tc>
          <w:tcPr>
            <w:tcW w:w="3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w w:val="91"/>
              </w:rPr>
              <w:t>(3,335)</w:t>
            </w:r>
          </w:p>
        </w:tc>
      </w:tr>
      <w:tr>
        <w:trPr>
          <w:trHeight w:val="216"/>
        </w:trPr>
        <w:tc>
          <w:tcPr>
            <w:tcW w:w="20" w:type="dxa"/>
            <w:vAlign w:val="bottom"/>
          </w:tcPr>
          <w:p>
            <w:pPr>
              <w:spacing w:after="0"/>
              <w:rPr>
                <w:sz w:val="18"/>
                <w:szCs w:val="18"/>
                <w:color w:val="auto"/>
              </w:rPr>
            </w:pPr>
          </w:p>
        </w:tc>
        <w:tc>
          <w:tcPr>
            <w:tcW w:w="5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Adjusted (non-GAAP)</w:t>
            </w:r>
          </w:p>
        </w:tc>
        <w:tc>
          <w:tcPr>
            <w:tcW w:w="2240" w:type="dxa"/>
            <w:vAlign w:val="bottom"/>
            <w:gridSpan w:val="2"/>
            <w:shd w:val="clear" w:color="auto" w:fill="CCEEFF"/>
          </w:tcPr>
          <w:p>
            <w:pPr>
              <w:jc w:val="center"/>
              <w:ind w:left="1790"/>
              <w:spacing w:after="0"/>
              <w:rPr>
                <w:sz w:val="20"/>
                <w:szCs w:val="20"/>
                <w:color w:val="auto"/>
              </w:rPr>
            </w:pPr>
            <w:r>
              <w:rPr>
                <w:rFonts w:ascii="Arial" w:cs="Arial" w:eastAsia="Arial" w:hAnsi="Arial"/>
                <w:sz w:val="18"/>
                <w:szCs w:val="18"/>
                <w:b w:val="1"/>
                <w:bCs w:val="1"/>
                <w:color w:val="auto"/>
                <w:w w:val="89"/>
              </w:rPr>
              <w:t>$896</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10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GAAP cash flows provided by operations of $896 million in 1Q19 unfavorably compared to cash flows provided by operations of $3.69 billion in 1Q18. The year-over-year GAAP comparison was negatively impacted by the timing of the monthly premium remittance from CMS in 1Q18. During 1Q18, the company received the April 2018 payment of $3.34 billion early as a result of April 1 falling on a weekend. As a result, 1Q18 included four monthly payments as compared to the scheduled three monthly payments that were received in 1Q19.</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The above item was partially offset by the timing of working capital changes and favorable year-over-year earnings in 1Q19 compared to 1Q18.</w:t>
      </w:r>
    </w:p>
    <w:p>
      <w:pPr>
        <w:spacing w:after="0" w:line="169"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0" w:right="459" w:bottom="144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Adjusted cash flows provided by operations for 1Q19 of $896 million compared favorably to Adjusted cash flows provided by operations of</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$351 million in 1Q18 primarily due to the timing of working capital items, along with higher year-over-year earnings in 1Q19 compared to 1Q18.</w:t>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Share repurchases</w:t>
      </w:r>
    </w:p>
    <w:p>
      <w:pPr>
        <w:spacing w:after="0" w:line="135" w:lineRule="exact"/>
        <w:rPr>
          <w:sz w:val="20"/>
          <w:szCs w:val="20"/>
          <w:color w:val="auto"/>
        </w:rPr>
      </w:pPr>
    </w:p>
    <w:p>
      <w:pPr>
        <w:ind w:left="860" w:right="240" w:hanging="316"/>
        <w:spacing w:after="0" w:line="302" w:lineRule="auto"/>
        <w:tabs>
          <w:tab w:leader="none" w:pos="8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During November 2018, the company entered into an agreement with a third party financial institution to effectuate a $750 million accelerated share repurchase (ASR) program under its current share repurchase authorization. Under the terms of the program, which was completed in 1Q19, the company repurchased a total of approximately 2,541,100 of its outstanding shares at an average price of $295.15. Aside from the completion of the ASR program, the company did not complete any other share repurchase transactions during 1Q19.</w:t>
      </w:r>
    </w:p>
    <w:p>
      <w:pPr>
        <w:spacing w:after="0" w:line="59" w:lineRule="exact"/>
        <w:rPr>
          <w:rFonts w:ascii="Arial" w:cs="Arial" w:eastAsia="Arial" w:hAnsi="Arial"/>
          <w:sz w:val="16"/>
          <w:szCs w:val="16"/>
          <w:color w:val="auto"/>
        </w:rPr>
      </w:pPr>
    </w:p>
    <w:p>
      <w:pPr>
        <w:ind w:left="860" w:hanging="316"/>
        <w:spacing w:after="0"/>
        <w:tabs>
          <w:tab w:leader="none" w:pos="8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As of April 30, 2019, approximately $1.03 billion of the current repurchase authorization was remaining.</w:t>
      </w:r>
    </w:p>
    <w:p>
      <w:pPr>
        <w:spacing w:after="0" w:line="329" w:lineRule="exact"/>
        <w:rPr>
          <w:sz w:val="20"/>
          <w:szCs w:val="20"/>
          <w:color w:val="auto"/>
        </w:rPr>
      </w:pPr>
    </w:p>
    <w:p>
      <w:pPr>
        <w:ind w:left="440"/>
        <w:spacing w:after="0"/>
        <w:rPr>
          <w:sz w:val="20"/>
          <w:szCs w:val="20"/>
          <w:color w:val="auto"/>
        </w:rPr>
      </w:pPr>
      <w:r>
        <w:rPr>
          <w:rFonts w:ascii="Arial" w:cs="Arial" w:eastAsia="Arial" w:hAnsi="Arial"/>
          <w:sz w:val="18"/>
          <w:szCs w:val="18"/>
          <w:b w:val="1"/>
          <w:bCs w:val="1"/>
          <w:u w:val="single" w:color="auto"/>
          <w:color w:val="auto"/>
        </w:rPr>
        <w:t>Cash dividends</w:t>
      </w:r>
    </w:p>
    <w:p>
      <w:pPr>
        <w:spacing w:after="0" w:line="135" w:lineRule="exact"/>
        <w:rPr>
          <w:sz w:val="20"/>
          <w:szCs w:val="20"/>
          <w:color w:val="auto"/>
        </w:rPr>
      </w:pPr>
    </w:p>
    <w:p>
      <w:pPr>
        <w:ind w:left="860" w:right="100" w:hanging="316"/>
        <w:spacing w:after="0" w:line="277" w:lineRule="auto"/>
        <w:tabs>
          <w:tab w:leader="none" w:pos="8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company paid cash dividends to its stockholders of $68 million in 1Q19 versus $57 million in 1Q18, primarily reflecting an increase in the per share dividend to $0.55 in 1Q19 from $0.50 per share in 1Q18.</w:t>
      </w:r>
    </w:p>
    <w:p>
      <w:pPr>
        <w:spacing w:after="0" w:line="75" w:lineRule="exact"/>
        <w:rPr>
          <w:rFonts w:ascii="Arial" w:cs="Arial" w:eastAsia="Arial" w:hAnsi="Arial"/>
          <w:sz w:val="18"/>
          <w:szCs w:val="18"/>
          <w:color w:val="auto"/>
        </w:rPr>
      </w:pPr>
    </w:p>
    <w:p>
      <w:pPr>
        <w:ind w:left="860" w:hanging="316"/>
        <w:spacing w:after="0" w:line="277" w:lineRule="auto"/>
        <w:tabs>
          <w:tab w:leader="none" w:pos="8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April 2019, the company’s Board of Directors declared a cash dividend of $0.55 per share. This dividend will be payable on July 26, 2019 to stockholders of record on June 28, 2019.</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20"/>
          </w:cols>
          <w:pgMar w:left="440" w:top="274" w:right="4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Humana’s Retail Segment</w:t>
      </w:r>
    </w:p>
    <w:p>
      <w:pPr>
        <w:spacing w:after="0" w:line="12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This segment consists of the company’s Medicare benefits, marketed to individuals directly or via group Medicare accounts, as well as its Medicare Supplement and state-based contracts businesses. State-based contracts include those with various states to provide Medicaid, dual eligible, and Long-Term Support Services benefits. In addition, this segment also includes the company’s contract with CMS to administer the Limited Income Newly Eligible Transition prescription drug plan (PDP) program.</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Retail segment revenues:</w:t>
      </w:r>
    </w:p>
    <w:p>
      <w:pPr>
        <w:spacing w:after="0" w:line="135" w:lineRule="exact"/>
        <w:rPr>
          <w:sz w:val="20"/>
          <w:szCs w:val="20"/>
          <w:color w:val="auto"/>
        </w:rPr>
      </w:pPr>
    </w:p>
    <w:p>
      <w:pPr>
        <w:ind w:left="860" w:right="100" w:hanging="316"/>
        <w:spacing w:after="0" w:line="264" w:lineRule="auto"/>
        <w:tabs>
          <w:tab w:leader="none" w:pos="8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1Q19 revenues for the Retail segment were $14.01 billion, an increase of $1.91 billion, or 16 percent, from $12.11 billion in 1Q18 primarily reflecting individual and group Medicare Advantage membership growth and higher per member premiums, as well as increased state-based contracts membership as further discussed below.</w:t>
      </w:r>
    </w:p>
    <w:p>
      <w:pPr>
        <w:spacing w:after="0" w:line="28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Retail segment enrollment:</w:t>
      </w:r>
    </w:p>
    <w:p>
      <w:pPr>
        <w:spacing w:after="0" w:line="135" w:lineRule="exact"/>
        <w:rPr>
          <w:sz w:val="20"/>
          <w:szCs w:val="20"/>
          <w:color w:val="auto"/>
        </w:rPr>
      </w:pPr>
    </w:p>
    <w:p>
      <w:pPr>
        <w:ind w:left="860" w:right="40" w:hanging="316"/>
        <w:spacing w:after="0" w:line="257" w:lineRule="auto"/>
        <w:tabs>
          <w:tab w:leader="none" w:pos="860" w:val="left"/>
        </w:tabs>
        <w:numPr>
          <w:ilvl w:val="0"/>
          <w:numId w:val="1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Individual Medicare Advantage </w:t>
      </w:r>
      <w:r>
        <w:rPr>
          <w:rFonts w:ascii="Arial" w:cs="Arial" w:eastAsia="Arial" w:hAnsi="Arial"/>
          <w:sz w:val="18"/>
          <w:szCs w:val="18"/>
          <w:color w:val="auto"/>
        </w:rPr>
        <w:t>membership was 3,433,300 as of March 31, 2019, a net increase of 414,800 or 14 percent, from 3,018,500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of March 31, 2018, and up 369,300, or 12 percent, from 3,064,000 as of December 31, 2018. The increases were primarily due to membership additions associated with the most recent AEP and Open Election Period (OEP) for Medicare beneficiaries. The OEP sales period, which ran from January 1 to March 31, added approximately 28,700 members through March 31, 2019. Another 15,000 members became effective April 1, 2019, for a total OEP impact of 43,700.</w:t>
      </w:r>
    </w:p>
    <w:p>
      <w:pPr>
        <w:spacing w:after="0" w:line="80" w:lineRule="exact"/>
        <w:rPr>
          <w:rFonts w:ascii="Arial" w:cs="Arial" w:eastAsia="Arial" w:hAnsi="Arial"/>
          <w:sz w:val="18"/>
          <w:szCs w:val="18"/>
          <w:color w:val="auto"/>
        </w:rPr>
      </w:pPr>
    </w:p>
    <w:p>
      <w:pPr>
        <w:ind w:left="880" w:right="20"/>
        <w:spacing w:after="0" w:line="264" w:lineRule="auto"/>
        <w:rPr>
          <w:rFonts w:ascii="Arial" w:cs="Arial" w:eastAsia="Arial" w:hAnsi="Arial"/>
          <w:sz w:val="18"/>
          <w:szCs w:val="18"/>
          <w:color w:val="auto"/>
        </w:rPr>
      </w:pPr>
      <w:r>
        <w:rPr>
          <w:rFonts w:ascii="Arial" w:cs="Arial" w:eastAsia="Arial" w:hAnsi="Arial"/>
          <w:sz w:val="18"/>
          <w:szCs w:val="18"/>
          <w:color w:val="auto"/>
        </w:rPr>
        <w:t>The individual Medicare Advantage membership growth as of March 31, 2019 includes the addition of approximately 30,000 Dual Eligible Special Need Plan (D-SNP) members since December 31, 2018 compared to growth of only 1,400 members from December 31, 2017 to March 31, 2018.</w:t>
      </w:r>
    </w:p>
    <w:p>
      <w:pPr>
        <w:spacing w:after="0" w:line="82" w:lineRule="exact"/>
        <w:rPr>
          <w:rFonts w:ascii="Arial" w:cs="Arial" w:eastAsia="Arial" w:hAnsi="Arial"/>
          <w:sz w:val="18"/>
          <w:szCs w:val="18"/>
          <w:color w:val="auto"/>
        </w:rPr>
      </w:pPr>
    </w:p>
    <w:p>
      <w:pPr>
        <w:ind w:left="860" w:hanging="316"/>
        <w:spacing w:after="0" w:line="266" w:lineRule="auto"/>
        <w:tabs>
          <w:tab w:leader="none" w:pos="860" w:val="left"/>
        </w:tabs>
        <w:numPr>
          <w:ilvl w:val="0"/>
          <w:numId w:val="14"/>
        </w:numPr>
        <w:rPr>
          <w:rFonts w:ascii="Arial" w:cs="Arial" w:eastAsia="Arial" w:hAnsi="Arial"/>
          <w:sz w:val="18"/>
          <w:szCs w:val="18"/>
          <w:color w:val="auto"/>
        </w:rPr>
      </w:pPr>
      <w:r>
        <w:rPr>
          <w:rFonts w:ascii="Arial" w:cs="Arial" w:eastAsia="Arial" w:hAnsi="Arial"/>
          <w:sz w:val="18"/>
          <w:szCs w:val="18"/>
          <w:b w:val="1"/>
          <w:bCs w:val="1"/>
          <w:i w:val="1"/>
          <w:iCs w:val="1"/>
          <w:color w:val="auto"/>
        </w:rPr>
        <w:t>Group Medicare Advantag</w:t>
      </w:r>
      <w:r>
        <w:rPr>
          <w:rFonts w:ascii="Arial" w:cs="Arial" w:eastAsia="Arial" w:hAnsi="Arial"/>
          <w:sz w:val="18"/>
          <w:szCs w:val="18"/>
          <w:b w:val="1"/>
          <w:bCs w:val="1"/>
          <w:color w:val="auto"/>
        </w:rPr>
        <w: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membership was 517,900 as of March 31, 2019, a net increase of 25,200, or 5 percent, from 492,700 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March 31, 2018, and up 20,100 or 4 percent, from 497,800 as of December 31, 2018. The increases primarily resulted from net membership additions associated with the most recent AEP for Medicare beneficiaries.</w:t>
      </w:r>
    </w:p>
    <w:p>
      <w:pPr>
        <w:spacing w:after="0" w:line="85" w:lineRule="exact"/>
        <w:rPr>
          <w:rFonts w:ascii="Arial" w:cs="Arial" w:eastAsia="Arial" w:hAnsi="Arial"/>
          <w:sz w:val="18"/>
          <w:szCs w:val="18"/>
          <w:color w:val="auto"/>
        </w:rPr>
      </w:pPr>
    </w:p>
    <w:p>
      <w:pPr>
        <w:ind w:left="860" w:right="120" w:hanging="316"/>
        <w:spacing w:after="0" w:line="257" w:lineRule="auto"/>
        <w:tabs>
          <w:tab w:leader="none" w:pos="8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Membership in the company’s </w:t>
      </w:r>
      <w:r>
        <w:rPr>
          <w:rFonts w:ascii="Arial" w:cs="Arial" w:eastAsia="Arial" w:hAnsi="Arial"/>
          <w:sz w:val="18"/>
          <w:szCs w:val="18"/>
          <w:b w:val="1"/>
          <w:bCs w:val="1"/>
          <w:i w:val="1"/>
          <w:iCs w:val="1"/>
          <w:color w:val="auto"/>
        </w:rPr>
        <w:t>stand-alone PDP</w:t>
      </w:r>
      <w:r>
        <w:rPr>
          <w:rFonts w:ascii="Arial" w:cs="Arial" w:eastAsia="Arial" w:hAnsi="Arial"/>
          <w:sz w:val="18"/>
          <w:szCs w:val="18"/>
          <w:color w:val="auto"/>
        </w:rPr>
        <w:t xml:space="preserve"> offerings was 4,448,400 as of March 31, 2019, a net decrease of 593,700, or 12 percent, from 5,042,100 as of March 31, 2018, and down 555,900, or 11 percent, from 5,004,300 as of December 31, 2018, reflecting net declines during the most recent AEP for Medicare beneficiaries. These anticipated declines were primarily due to the competitive nature of the industry and the pricing discipline the company has employed, which has resulted in it no longer being the low cost plan in any market for 2019.</w:t>
      </w:r>
    </w:p>
    <w:p>
      <w:pPr>
        <w:spacing w:after="0" w:line="93" w:lineRule="exact"/>
        <w:rPr>
          <w:rFonts w:ascii="Arial" w:cs="Arial" w:eastAsia="Arial" w:hAnsi="Arial"/>
          <w:sz w:val="18"/>
          <w:szCs w:val="18"/>
          <w:color w:val="auto"/>
        </w:rPr>
      </w:pPr>
    </w:p>
    <w:p>
      <w:pPr>
        <w:ind w:left="860" w:hanging="316"/>
        <w:spacing w:after="0" w:line="259" w:lineRule="auto"/>
        <w:tabs>
          <w:tab w:leader="none" w:pos="860" w:val="left"/>
        </w:tabs>
        <w:numPr>
          <w:ilvl w:val="0"/>
          <w:numId w:val="1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State-based contracts </w:t>
      </w:r>
      <w:r>
        <w:rPr>
          <w:rFonts w:ascii="Arial" w:cs="Arial" w:eastAsia="Arial" w:hAnsi="Arial"/>
          <w:sz w:val="18"/>
          <w:szCs w:val="18"/>
          <w:color w:val="auto"/>
        </w:rPr>
        <w:t>membership (including dual-eligible demonstration members) was 461,300 as of March 31, 2019, a net increase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125,300, or 37 percent, from 336,000 at March 31, 2018, and up 120,200, or 35 percent, from 341,100 as of December 31, 2018. The increases primarily resulted from the statewide award of a comprehensive contract under the Managed Medical Assistance (MMA) program in Florida.</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60"/>
          </w:cols>
          <w:pgMar w:left="440" w:top="270" w:right="49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Retail segment benefits expense:</w:t>
      </w:r>
    </w:p>
    <w:p>
      <w:pPr>
        <w:spacing w:after="0" w:line="135" w:lineRule="exact"/>
        <w:rPr>
          <w:sz w:val="20"/>
          <w:szCs w:val="20"/>
          <w:color w:val="auto"/>
        </w:rPr>
      </w:pPr>
    </w:p>
    <w:p>
      <w:pPr>
        <w:ind w:left="860" w:right="440" w:hanging="316"/>
        <w:spacing w:after="0" w:line="277" w:lineRule="auto"/>
        <w:tabs>
          <w:tab w:leader="none" w:pos="8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1Q19 benefit ratio for the Retail segment of 88.3 percent increased 90 basis points from 87.4 percent in 1Q18. The year-over-year increase was primarily impacted by the following:</w:t>
      </w:r>
    </w:p>
    <w:p>
      <w:pPr>
        <w:spacing w:after="0" w:line="75" w:lineRule="exact"/>
        <w:rPr>
          <w:rFonts w:ascii="Arial" w:cs="Arial" w:eastAsia="Arial" w:hAnsi="Arial"/>
          <w:sz w:val="18"/>
          <w:szCs w:val="18"/>
          <w:color w:val="auto"/>
        </w:rPr>
      </w:pPr>
    </w:p>
    <w:p>
      <w:pPr>
        <w:ind w:left="1420" w:hanging="430"/>
        <w:spacing w:after="0"/>
        <w:tabs>
          <w:tab w:leader="none" w:pos="1420" w:val="left"/>
        </w:tabs>
        <w:numPr>
          <w:ilvl w:val="1"/>
          <w:numId w:val="15"/>
        </w:numPr>
        <w:rPr>
          <w:rFonts w:ascii="Arial" w:cs="Arial" w:eastAsia="Arial" w:hAnsi="Arial"/>
          <w:sz w:val="17"/>
          <w:szCs w:val="17"/>
          <w:color w:val="auto"/>
        </w:rPr>
      </w:pPr>
      <w:r>
        <w:rPr>
          <w:rFonts w:ascii="Arial" w:cs="Arial" w:eastAsia="Arial" w:hAnsi="Arial"/>
          <w:sz w:val="17"/>
          <w:szCs w:val="17"/>
          <w:color w:val="auto"/>
        </w:rPr>
        <w:t>the suspension of the HIF in 2019 which was contemplated in the pricing and benefit design of the company’s products; and</w:t>
      </w:r>
    </w:p>
    <w:p>
      <w:pPr>
        <w:spacing w:after="0" w:line="142" w:lineRule="exact"/>
        <w:rPr>
          <w:rFonts w:ascii="Arial" w:cs="Arial" w:eastAsia="Arial" w:hAnsi="Arial"/>
          <w:sz w:val="17"/>
          <w:szCs w:val="17"/>
          <w:color w:val="auto"/>
        </w:rPr>
      </w:pPr>
    </w:p>
    <w:p>
      <w:pPr>
        <w:ind w:left="1420" w:hanging="430"/>
        <w:spacing w:after="0" w:line="259" w:lineRule="auto"/>
        <w:tabs>
          <w:tab w:leader="none" w:pos="14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the unfavorable impact to the benefit ratio associated with higher-than-expected individual Medicare Advantage membership growth for 2019. At the onset, on average, new Medicare Advantage members typically have a higher benefit ratio than existing Medicare Advantage members as they were not previously engaged in clinical programs or appropriately documented under the CMS risk-adjustment model.</w:t>
      </w:r>
    </w:p>
    <w:p>
      <w:pPr>
        <w:spacing w:after="0" w:line="7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above items were partially offset by the following factors:</w:t>
      </w:r>
    </w:p>
    <w:p>
      <w:pPr>
        <w:spacing w:after="0" w:line="131" w:lineRule="exact"/>
        <w:rPr>
          <w:sz w:val="20"/>
          <w:szCs w:val="20"/>
          <w:color w:val="auto"/>
        </w:rPr>
      </w:pPr>
    </w:p>
    <w:p>
      <w:pPr>
        <w:ind w:left="1420" w:right="220" w:hanging="430"/>
        <w:spacing w:after="0" w:line="277" w:lineRule="auto"/>
        <w:tabs>
          <w:tab w:leader="none" w:pos="14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the impact of engaging our new 2018 Medicare Advantage members in clinical programs and ensuring that they are appropriately documented under the CMS risk-adjustment model,</w:t>
      </w:r>
    </w:p>
    <w:p>
      <w:pPr>
        <w:spacing w:after="0" w:line="75" w:lineRule="exact"/>
        <w:rPr>
          <w:rFonts w:ascii="Arial" w:cs="Arial" w:eastAsia="Arial" w:hAnsi="Arial"/>
          <w:sz w:val="18"/>
          <w:szCs w:val="18"/>
          <w:color w:val="auto"/>
        </w:rPr>
      </w:pPr>
    </w:p>
    <w:p>
      <w:pPr>
        <w:ind w:left="1420" w:hanging="430"/>
        <w:spacing w:after="0"/>
        <w:tabs>
          <w:tab w:leader="none" w:pos="14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higher favorable Prior Period Development in the segment, and</w:t>
      </w:r>
    </w:p>
    <w:p>
      <w:pPr>
        <w:spacing w:after="0" w:line="130" w:lineRule="exact"/>
        <w:rPr>
          <w:rFonts w:ascii="Arial" w:cs="Arial" w:eastAsia="Arial" w:hAnsi="Arial"/>
          <w:sz w:val="18"/>
          <w:szCs w:val="18"/>
          <w:color w:val="auto"/>
        </w:rPr>
      </w:pPr>
    </w:p>
    <w:p>
      <w:pPr>
        <w:ind w:left="1420" w:hanging="430"/>
        <w:spacing w:after="0"/>
        <w:tabs>
          <w:tab w:leader="none" w:pos="14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the impact of a less severe flu season in 1Q19.</w:t>
      </w:r>
    </w:p>
    <w:p>
      <w:pPr>
        <w:spacing w:after="0" w:line="130" w:lineRule="exact"/>
        <w:rPr>
          <w:rFonts w:ascii="Arial" w:cs="Arial" w:eastAsia="Arial" w:hAnsi="Arial"/>
          <w:sz w:val="18"/>
          <w:szCs w:val="18"/>
          <w:color w:val="auto"/>
        </w:rPr>
      </w:pPr>
    </w:p>
    <w:p>
      <w:pPr>
        <w:ind w:left="860" w:right="140" w:hanging="316"/>
        <w:spacing w:after="0" w:line="342" w:lineRule="auto"/>
        <w:tabs>
          <w:tab w:leader="none" w:pos="8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Retail segment’s favorable Prior Period Development of $283 million in 1Q19 compared to favorable development of $187 million in 1Q18. Prior Period Development decreased the Retail segment benefit ratio by 200 basis points in 1Q19 and 150 basis points in 1Q18.</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Retail segment operating costs:</w:t>
      </w:r>
    </w:p>
    <w:p>
      <w:pPr>
        <w:spacing w:after="0" w:line="135" w:lineRule="exact"/>
        <w:rPr>
          <w:sz w:val="20"/>
          <w:szCs w:val="20"/>
          <w:color w:val="auto"/>
        </w:rPr>
      </w:pPr>
    </w:p>
    <w:p>
      <w:pPr>
        <w:ind w:left="860" w:right="100" w:hanging="316"/>
        <w:spacing w:after="0" w:line="277" w:lineRule="auto"/>
        <w:tabs>
          <w:tab w:leader="none" w:pos="8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Retail segment’s operating cost ratio of 8.2 percent in 1Q19 decreased 190 basis points from 10.1 percent in 1Q18. The year-over-year comparison was positively impacted by the following:</w:t>
      </w:r>
    </w:p>
    <w:p>
      <w:pPr>
        <w:spacing w:after="0" w:line="75" w:lineRule="exact"/>
        <w:rPr>
          <w:rFonts w:ascii="Arial" w:cs="Arial" w:eastAsia="Arial" w:hAnsi="Arial"/>
          <w:sz w:val="18"/>
          <w:szCs w:val="18"/>
          <w:color w:val="auto"/>
        </w:rPr>
      </w:pPr>
    </w:p>
    <w:p>
      <w:pPr>
        <w:ind w:left="1420" w:right="320" w:hanging="430"/>
        <w:spacing w:after="0" w:line="277" w:lineRule="auto"/>
        <w:tabs>
          <w:tab w:leader="none" w:pos="14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the suspension of the HIF in 2019, which increased the Retail segment’s 1Q18 GAAP operating cost ratio by approximately 190 basis points; and</w:t>
      </w:r>
    </w:p>
    <w:p>
      <w:pPr>
        <w:spacing w:after="0" w:line="75" w:lineRule="exact"/>
        <w:rPr>
          <w:rFonts w:ascii="Arial" w:cs="Arial" w:eastAsia="Arial" w:hAnsi="Arial"/>
          <w:sz w:val="18"/>
          <w:szCs w:val="18"/>
          <w:color w:val="auto"/>
        </w:rPr>
      </w:pPr>
    </w:p>
    <w:p>
      <w:pPr>
        <w:ind w:left="1420" w:hanging="430"/>
        <w:spacing w:after="0"/>
        <w:tabs>
          <w:tab w:leader="none" w:pos="14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significant operating cost efficiencies in 1Q19 driven by previously implemented productivity initiatives.</w:t>
      </w:r>
    </w:p>
    <w:p>
      <w:pPr>
        <w:spacing w:after="0" w:line="11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These improvements were partially offset by strategic investments in the company’s integrated care delivery model in 1Q19.</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Retail segment results:</w:t>
      </w:r>
    </w:p>
    <w:p>
      <w:pPr>
        <w:spacing w:after="0" w:line="118"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3980" w:type="dxa"/>
            <w:vAlign w:val="bottom"/>
            <w:gridSpan w:val="3"/>
          </w:tcPr>
          <w:p>
            <w:pPr>
              <w:spacing w:after="0"/>
              <w:rPr>
                <w:sz w:val="20"/>
                <w:szCs w:val="20"/>
                <w:color w:val="auto"/>
              </w:rPr>
            </w:pPr>
            <w:r>
              <w:rPr>
                <w:rFonts w:ascii="Arial" w:cs="Arial" w:eastAsia="Arial" w:hAnsi="Arial"/>
                <w:sz w:val="14"/>
                <w:szCs w:val="14"/>
                <w:b w:val="1"/>
                <w:bCs w:val="1"/>
                <w:color w:val="auto"/>
              </w:rPr>
              <w:t>Retail segment earnings</w:t>
            </w:r>
          </w:p>
        </w:tc>
        <w:tc>
          <w:tcPr>
            <w:tcW w:w="2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87"/>
        </w:trPr>
        <w:tc>
          <w:tcPr>
            <w:tcW w:w="3980" w:type="dxa"/>
            <w:vAlign w:val="bottom"/>
            <w:gridSpan w:val="3"/>
          </w:tcPr>
          <w:p>
            <w:pPr>
              <w:spacing w:after="0"/>
              <w:rPr>
                <w:sz w:val="20"/>
                <w:szCs w:val="20"/>
                <w:color w:val="auto"/>
              </w:rPr>
            </w:pPr>
            <w:r>
              <w:rPr>
                <w:rFonts w:ascii="Arial" w:cs="Arial" w:eastAsia="Arial" w:hAnsi="Arial"/>
                <w:sz w:val="14"/>
                <w:szCs w:val="14"/>
                <w:i w:val="1"/>
                <w:iCs w:val="1"/>
                <w:color w:val="auto"/>
              </w:rPr>
              <w:t>in millions</w:t>
            </w:r>
          </w:p>
        </w:tc>
        <w:tc>
          <w:tcPr>
            <w:tcW w:w="3220" w:type="dxa"/>
            <w:vAlign w:val="bottom"/>
            <w:gridSpan w:val="3"/>
          </w:tcPr>
          <w:p>
            <w:pPr>
              <w:jc w:val="right"/>
              <w:spacing w:after="0"/>
              <w:rPr>
                <w:sz w:val="20"/>
                <w:szCs w:val="20"/>
                <w:color w:val="auto"/>
              </w:rPr>
            </w:pPr>
            <w:r>
              <w:rPr>
                <w:rFonts w:ascii="Arial" w:cs="Arial" w:eastAsia="Arial" w:hAnsi="Arial"/>
                <w:sz w:val="14"/>
                <w:szCs w:val="14"/>
                <w:b w:val="1"/>
                <w:bCs w:val="1"/>
                <w:color w:val="auto"/>
              </w:rPr>
              <w:t>1Q19 (a)</w:t>
            </w:r>
          </w:p>
        </w:tc>
        <w:tc>
          <w:tcPr>
            <w:tcW w:w="1180" w:type="dxa"/>
            <w:vAlign w:val="bottom"/>
            <w:gridSpan w:val="4"/>
          </w:tcPr>
          <w:p>
            <w:pPr>
              <w:ind w:left="580"/>
              <w:spacing w:after="0"/>
              <w:rPr>
                <w:sz w:val="20"/>
                <w:szCs w:val="20"/>
                <w:color w:val="auto"/>
              </w:rPr>
            </w:pPr>
            <w:r>
              <w:rPr>
                <w:rFonts w:ascii="Arial" w:cs="Arial" w:eastAsia="Arial" w:hAnsi="Arial"/>
                <w:sz w:val="14"/>
                <w:szCs w:val="14"/>
                <w:b w:val="1"/>
                <w:bCs w:val="1"/>
                <w:color w:val="auto"/>
              </w:rPr>
              <w:t>1Q18 (b)</w:t>
            </w:r>
          </w:p>
        </w:tc>
      </w:tr>
      <w:tr>
        <w:trPr>
          <w:trHeight w:val="203"/>
        </w:trPr>
        <w:tc>
          <w:tcPr>
            <w:tcW w:w="20" w:type="dxa"/>
            <w:vAlign w:val="bottom"/>
          </w:tcPr>
          <w:p>
            <w:pPr>
              <w:spacing w:after="0"/>
              <w:rPr>
                <w:sz w:val="17"/>
                <w:szCs w:val="17"/>
                <w:color w:val="auto"/>
              </w:rPr>
            </w:pPr>
          </w:p>
        </w:tc>
        <w:tc>
          <w:tcPr>
            <w:tcW w:w="6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GAAP</w:t>
            </w:r>
          </w:p>
        </w:tc>
        <w:tc>
          <w:tcPr>
            <w:tcW w:w="3340" w:type="dxa"/>
            <w:vAlign w:val="bottom"/>
            <w:tcBorders>
              <w:top w:val="single" w:sz="8" w:color="CCEEFF"/>
            </w:tcBorders>
            <w:shd w:val="clear" w:color="auto" w:fill="CCEEFF"/>
          </w:tcPr>
          <w:p>
            <w:pPr>
              <w:spacing w:after="0"/>
              <w:rPr>
                <w:sz w:val="17"/>
                <w:szCs w:val="17"/>
                <w:color w:val="auto"/>
              </w:rPr>
            </w:pPr>
          </w:p>
        </w:tc>
        <w:tc>
          <w:tcPr>
            <w:tcW w:w="26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3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465</w:t>
            </w:r>
          </w:p>
        </w:tc>
        <w:tc>
          <w:tcPr>
            <w:tcW w:w="6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267</w:t>
            </w:r>
          </w:p>
        </w:tc>
        <w:tc>
          <w:tcPr>
            <w:tcW w:w="4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3960" w:type="dxa"/>
            <w:vAlign w:val="bottom"/>
            <w:gridSpan w:val="2"/>
          </w:tcPr>
          <w:p>
            <w:pPr>
              <w:spacing w:after="0"/>
              <w:rPr>
                <w:sz w:val="20"/>
                <w:szCs w:val="20"/>
                <w:color w:val="auto"/>
              </w:rPr>
            </w:pPr>
            <w:r>
              <w:rPr>
                <w:rFonts w:ascii="Arial" w:cs="Arial" w:eastAsia="Arial" w:hAnsi="Arial"/>
                <w:sz w:val="18"/>
                <w:szCs w:val="18"/>
                <w:color w:val="auto"/>
                <w:w w:val="96"/>
              </w:rPr>
              <w:t>Amortization associated with identifiable intangibles</w:t>
            </w:r>
          </w:p>
        </w:tc>
        <w:tc>
          <w:tcPr>
            <w:tcW w:w="2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6</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Adjusted (non-GAAP)</w:t>
            </w:r>
          </w:p>
        </w:tc>
        <w:tc>
          <w:tcPr>
            <w:tcW w:w="286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469</w:t>
            </w:r>
          </w:p>
        </w:tc>
        <w:tc>
          <w:tcPr>
            <w:tcW w:w="76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40" w:type="dxa"/>
            <w:vAlign w:val="bottom"/>
            <w:shd w:val="clear" w:color="auto" w:fill="CCEEFF"/>
          </w:tcPr>
          <w:p>
            <w:pPr>
              <w:spacing w:after="0"/>
              <w:rPr>
                <w:sz w:val="18"/>
                <w:szCs w:val="18"/>
                <w:color w:val="auto"/>
              </w:rPr>
            </w:pPr>
          </w:p>
        </w:tc>
      </w:tr>
      <w:tr>
        <w:trPr>
          <w:trHeight w:val="365"/>
        </w:trPr>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2680" w:type="dxa"/>
            <w:vAlign w:val="bottom"/>
          </w:tcPr>
          <w:p>
            <w:pPr>
              <w:jc w:val="right"/>
              <w:ind w:right="2336"/>
              <w:spacing w:after="0"/>
              <w:rPr>
                <w:sz w:val="20"/>
                <w:szCs w:val="20"/>
                <w:color w:val="auto"/>
              </w:rPr>
            </w:pPr>
            <w:r>
              <w:rPr>
                <w:rFonts w:ascii="Arial" w:cs="Arial" w:eastAsia="Arial" w:hAnsi="Arial"/>
                <w:sz w:val="18"/>
                <w:szCs w:val="18"/>
                <w:color w:val="auto"/>
              </w:rPr>
              <w:t>9</w:t>
            </w: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0980"/>
          </w:cols>
          <w:pgMar w:left="440" w:top="270" w:right="479" w:bottom="1440" w:gutter="0" w:footer="0" w:header="0"/>
        </w:sectPr>
      </w:pPr>
    </w:p>
    <w:bookmarkStart w:id="20" w:name="page21"/>
    <w:bookmarkEnd w:id="20"/>
    <w:p>
      <w:pPr>
        <w:ind w:left="860" w:hanging="316"/>
        <w:spacing w:after="0" w:line="255" w:lineRule="auto"/>
        <w:tabs>
          <w:tab w:leader="none" w:pos="860" w:val="left"/>
        </w:tabs>
        <w:numPr>
          <w:ilvl w:val="0"/>
          <w:numId w:val="1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Retail segment’s GAAP segment earnings of $465 million in 1Q19 increased $198 million, or 74 percent, from GAAP segment earnings of $267 million in 1Q18. The year-over-year favorable comparison was impacted by the segment’s lower operating cost ratio in 1Q19, partially offset by the segment’s higher benefit ratio in 1Q19, as described above. As expected, the company’s higher-than-anticipated individual Medicare Advantage membership growth during the recently completed AEP had a muted impact on the segment’s earnings in 1Q19. While new Medicare Advantage members increase revenues, on average, they have a breakeven impact on pretax earnings in the first year as they were not previously engaged in clinical programs or appropriately documented under the CMS risk-adjustment model, and accordingly, carry a higher benefit ratio.</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Humana’s Group and Specialty Segment</w:t>
      </w:r>
    </w:p>
    <w:p>
      <w:pPr>
        <w:spacing w:after="0" w:line="12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This segment consists of the company’s employer group fully-insured commercial medical products and specialty health insurance benefits marketed to individuals and groups, including dental, vision, and other supplemental health. In addition, the segment also includes the company’s administrative services only (ASO) products and its military services businesses.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Group and Specialty segment revenues:</w:t>
      </w:r>
    </w:p>
    <w:p>
      <w:pPr>
        <w:spacing w:after="0" w:line="135" w:lineRule="exact"/>
        <w:rPr>
          <w:sz w:val="20"/>
          <w:szCs w:val="20"/>
          <w:color w:val="auto"/>
        </w:rPr>
      </w:pPr>
    </w:p>
    <w:p>
      <w:pPr>
        <w:ind w:left="860" w:right="280" w:hanging="316"/>
        <w:spacing w:after="0" w:line="277" w:lineRule="auto"/>
        <w:tabs>
          <w:tab w:leader="none" w:pos="8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1Q19 revenues for the Group and Specialty segment were $1.89 billion, down $83 million, or 4 percent, from $1.97 billion in 1Q18. The year-over-year decrease was primarily due to the following factors:</w:t>
      </w:r>
    </w:p>
    <w:p>
      <w:pPr>
        <w:spacing w:after="0" w:line="75" w:lineRule="exact"/>
        <w:rPr>
          <w:rFonts w:ascii="Arial" w:cs="Arial" w:eastAsia="Arial" w:hAnsi="Arial"/>
          <w:sz w:val="18"/>
          <w:szCs w:val="18"/>
          <w:color w:val="auto"/>
        </w:rPr>
      </w:pPr>
    </w:p>
    <w:p>
      <w:pPr>
        <w:ind w:left="1420" w:hanging="430"/>
        <w:spacing w:after="0"/>
        <w:tabs>
          <w:tab w:leader="none" w:pos="142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 decline in the company’s fully-insured group commercial and specialty membership,</w:t>
      </w:r>
    </w:p>
    <w:p>
      <w:pPr>
        <w:spacing w:after="0" w:line="130" w:lineRule="exact"/>
        <w:rPr>
          <w:rFonts w:ascii="Arial" w:cs="Arial" w:eastAsia="Arial" w:hAnsi="Arial"/>
          <w:sz w:val="18"/>
          <w:szCs w:val="18"/>
          <w:color w:val="auto"/>
        </w:rPr>
      </w:pPr>
    </w:p>
    <w:p>
      <w:pPr>
        <w:ind w:left="1420" w:right="80" w:hanging="430"/>
        <w:spacing w:after="0" w:line="277" w:lineRule="auto"/>
        <w:tabs>
          <w:tab w:leader="none" w:pos="1420" w:val="left"/>
        </w:tabs>
        <w:numPr>
          <w:ilvl w:val="1"/>
          <w:numId w:val="19"/>
        </w:numPr>
        <w:rPr>
          <w:rFonts w:ascii="Arial" w:cs="Arial" w:eastAsia="Arial" w:hAnsi="Arial"/>
          <w:sz w:val="18"/>
          <w:szCs w:val="18"/>
          <w:color w:val="auto"/>
        </w:rPr>
      </w:pPr>
      <w:r>
        <w:rPr>
          <w:rFonts w:ascii="Arial" w:cs="Arial" w:eastAsia="Arial" w:hAnsi="Arial"/>
          <w:sz w:val="18"/>
          <w:szCs w:val="18"/>
          <w:color w:val="auto"/>
        </w:rPr>
        <w:t>the impact of certain contractual incentives and adjustments related to the previous TRICARE contract received in 1Q18, which did not recur in 1Q19, and</w:t>
      </w:r>
    </w:p>
    <w:p>
      <w:pPr>
        <w:spacing w:after="0" w:line="75" w:lineRule="exact"/>
        <w:rPr>
          <w:rFonts w:ascii="Arial" w:cs="Arial" w:eastAsia="Arial" w:hAnsi="Arial"/>
          <w:sz w:val="18"/>
          <w:szCs w:val="18"/>
          <w:color w:val="auto"/>
        </w:rPr>
      </w:pPr>
    </w:p>
    <w:p>
      <w:pPr>
        <w:jc w:val="both"/>
        <w:ind w:left="1420" w:right="420" w:hanging="430"/>
        <w:spacing w:after="0" w:line="264" w:lineRule="auto"/>
        <w:tabs>
          <w:tab w:leader="none" w:pos="1420" w:val="left"/>
        </w:tabs>
        <w:numPr>
          <w:ilvl w:val="1"/>
          <w:numId w:val="19"/>
        </w:numPr>
        <w:rPr>
          <w:rFonts w:ascii="Arial" w:cs="Arial" w:eastAsia="Arial" w:hAnsi="Arial"/>
          <w:sz w:val="18"/>
          <w:szCs w:val="18"/>
          <w:color w:val="auto"/>
        </w:rPr>
      </w:pPr>
      <w:r>
        <w:rPr>
          <w:rFonts w:ascii="Arial" w:cs="Arial" w:eastAsia="Arial" w:hAnsi="Arial"/>
          <w:sz w:val="18"/>
          <w:szCs w:val="18"/>
          <w:color w:val="auto"/>
        </w:rPr>
        <w:t>the reduction in year-over-year premium revenues related to the company’s workplace voluntary benefit (WVB) and Financial Protection Product (FPP) lines of business due to the exit of these businesses in connection with Humana’s divestiture of KMG during the second quarter of 2018.</w:t>
      </w:r>
    </w:p>
    <w:p>
      <w:pPr>
        <w:spacing w:after="0" w:line="73" w:lineRule="exact"/>
        <w:rPr>
          <w:sz w:val="20"/>
          <w:szCs w:val="20"/>
          <w:color w:val="auto"/>
        </w:rPr>
      </w:pPr>
    </w:p>
    <w:p>
      <w:pPr>
        <w:ind w:left="440" w:right="100"/>
        <w:spacing w:after="0" w:line="264" w:lineRule="auto"/>
        <w:rPr>
          <w:sz w:val="20"/>
          <w:szCs w:val="20"/>
          <w:color w:val="auto"/>
        </w:rPr>
      </w:pPr>
      <w:r>
        <w:rPr>
          <w:rFonts w:ascii="Arial" w:cs="Arial" w:eastAsia="Arial" w:hAnsi="Arial"/>
          <w:sz w:val="18"/>
          <w:szCs w:val="18"/>
          <w:color w:val="auto"/>
        </w:rPr>
        <w:t>These decreases were partially offset by higher stop-loss revenues related to the company’s level-funded ASO accounts resulting from membership growth in this product as more fully described below. Additionally, a lower commercial risk adjustment payable estimate in 1Q19 as compared to 1Q18 resulted in higher small group fully-insured commercial revenues year-over-year.</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Group and Specialty segment enrollment:</w:t>
      </w:r>
    </w:p>
    <w:p>
      <w:pPr>
        <w:spacing w:after="0" w:line="135" w:lineRule="exact"/>
        <w:rPr>
          <w:sz w:val="20"/>
          <w:szCs w:val="20"/>
          <w:color w:val="auto"/>
        </w:rPr>
      </w:pPr>
    </w:p>
    <w:p>
      <w:pPr>
        <w:ind w:left="860" w:right="60" w:hanging="316"/>
        <w:spacing w:after="0" w:line="273" w:lineRule="auto"/>
        <w:tabs>
          <w:tab w:leader="none" w:pos="860" w:val="left"/>
        </w:tabs>
        <w:numPr>
          <w:ilvl w:val="0"/>
          <w:numId w:val="20"/>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Group fully-insured commercial medical </w:t>
      </w:r>
      <w:r>
        <w:rPr>
          <w:rFonts w:ascii="Arial" w:cs="Arial" w:eastAsia="Arial" w:hAnsi="Arial"/>
          <w:sz w:val="17"/>
          <w:szCs w:val="17"/>
          <w:color w:val="auto"/>
        </w:rPr>
        <w:t>membership was 958,200 at March 31, 2019, a decrease of 116,900, or 11 percent, from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1,075,100 at March 31, 2018, and down 46,500, or 5 percent, from 1,004,700 at December 31, 2018. These anticipated declines primarily reflect lower membership in small group accounts due in part to the continuation of small group accounts selecting level-funded ASO products in 2019, as well as the loss of certain large group accounts due to the competitive pricing environment. The portion of group fully-insured commercial medical membership in small group accounts (2-99 sized employer groups) was approximately 61 percent at March 31, 2019 and December 31, 2018 compared to approximately 63 percent at March 31, 2018.</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274" w:right="459" w:bottom="1440" w:gutter="0" w:footer="0" w:header="0"/>
        </w:sectPr>
      </w:pPr>
    </w:p>
    <w:bookmarkStart w:id="21" w:name="page22"/>
    <w:bookmarkEnd w:id="21"/>
    <w:p>
      <w:pPr>
        <w:ind w:left="860" w:right="40" w:hanging="316"/>
        <w:spacing w:after="0" w:line="272" w:lineRule="auto"/>
        <w:tabs>
          <w:tab w:leader="none" w:pos="860" w:val="left"/>
        </w:tabs>
        <w:numPr>
          <w:ilvl w:val="0"/>
          <w:numId w:val="21"/>
        </w:numPr>
        <w:rPr>
          <w:rFonts w:ascii="Arial" w:cs="Arial" w:eastAsia="Arial" w:hAnsi="Arial"/>
          <w:sz w:val="17"/>
          <w:szCs w:val="17"/>
          <w:color w:val="auto"/>
        </w:rPr>
      </w:pPr>
      <w:r>
        <w:rPr>
          <w:rFonts w:ascii="Arial" w:cs="Arial" w:eastAsia="Arial" w:hAnsi="Arial"/>
          <w:sz w:val="17"/>
          <w:szCs w:val="17"/>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Group ASO commercial medical </w:t>
      </w:r>
      <w:r>
        <w:rPr>
          <w:rFonts w:ascii="Arial" w:cs="Arial" w:eastAsia="Arial" w:hAnsi="Arial"/>
          <w:sz w:val="17"/>
          <w:szCs w:val="17"/>
          <w:color w:val="auto"/>
        </w:rPr>
        <w:t>membership was 478,600 at March 31, 2019, an increase of 26,000, or 6 percent, from 452,600 at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March 31, 2018, but down 3,300, or 1 percent, from 481,900 at December 31, 2018. The year-over-year increase primarily reflects the continuation of more small group accounts selecting level-funded ASO products in 2019, partially offset by the loss of certain large group accounts due to continued discipline in pricing of services for self-funded accounts amid a highly competitive environment. The sequential change is a result of declining membership from the loss of large group accounts outpacing the growth from the small group level-funded ASO product. Small group membership comprised 34 percent of group ASO medical membership at March 31, 2019 versus 16 percent at March 31, 2018 and 26 percent at December 31, 2018.</w:t>
      </w:r>
    </w:p>
    <w:p>
      <w:pPr>
        <w:spacing w:after="0" w:line="83" w:lineRule="exact"/>
        <w:rPr>
          <w:rFonts w:ascii="Arial" w:cs="Arial" w:eastAsia="Arial" w:hAnsi="Arial"/>
          <w:sz w:val="17"/>
          <w:szCs w:val="17"/>
          <w:color w:val="auto"/>
        </w:rPr>
      </w:pPr>
    </w:p>
    <w:p>
      <w:pPr>
        <w:ind w:left="860" w:right="40" w:hanging="316"/>
        <w:spacing w:after="0" w:line="279" w:lineRule="auto"/>
        <w:tabs>
          <w:tab w:leader="none" w:pos="860" w:val="left"/>
        </w:tabs>
        <w:numPr>
          <w:ilvl w:val="0"/>
          <w:numId w:val="21"/>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Military services </w:t>
      </w:r>
      <w:r>
        <w:rPr>
          <w:rFonts w:ascii="Arial" w:cs="Arial" w:eastAsia="Arial" w:hAnsi="Arial"/>
          <w:sz w:val="17"/>
          <w:szCs w:val="17"/>
          <w:color w:val="auto"/>
        </w:rPr>
        <w:t>membership was 5,942,500 at March 31, 2019, an increase of 11,400, or less than 1 percent, from 5,931,100 at March 31,</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2018, and up 13,900 or less than 1 percent, versus 5,928,600 at December 31, 2018. Membership includes military service members, retirees, and their families to whom the company is providing healthcare services under the current TRICARE East Region contract. The current contract, which covers 32 states, became effective on January 1, 2018.</w:t>
      </w:r>
    </w:p>
    <w:p>
      <w:pPr>
        <w:spacing w:after="0" w:line="76" w:lineRule="exact"/>
        <w:rPr>
          <w:rFonts w:ascii="Arial" w:cs="Arial" w:eastAsia="Arial" w:hAnsi="Arial"/>
          <w:sz w:val="17"/>
          <w:szCs w:val="17"/>
          <w:color w:val="auto"/>
        </w:rPr>
      </w:pPr>
    </w:p>
    <w:p>
      <w:pPr>
        <w:ind w:left="860" w:hanging="316"/>
        <w:spacing w:after="0" w:line="302" w:lineRule="auto"/>
        <w:tabs>
          <w:tab w:leader="none" w:pos="8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 xml:space="preserve">Membership in </w:t>
      </w:r>
      <w:r>
        <w:rPr>
          <w:rFonts w:ascii="Arial" w:cs="Arial" w:eastAsia="Arial" w:hAnsi="Arial"/>
          <w:sz w:val="16"/>
          <w:szCs w:val="16"/>
          <w:b w:val="1"/>
          <w:bCs w:val="1"/>
          <w:i w:val="1"/>
          <w:iCs w:val="1"/>
          <w:color w:val="auto"/>
        </w:rPr>
        <w:t>specialty products</w:t>
      </w:r>
      <w:r>
        <w:rPr>
          <w:rFonts w:ascii="Arial" w:cs="Arial" w:eastAsia="Arial" w:hAnsi="Arial"/>
          <w:sz w:val="16"/>
          <w:szCs w:val="16"/>
          <w:color w:val="auto"/>
        </w:rPr>
        <w:t xml:space="preserve"> </w:t>
      </w:r>
      <w:r>
        <w:rPr>
          <w:rFonts w:ascii="Arial" w:cs="Arial" w:eastAsia="Arial" w:hAnsi="Arial"/>
          <w:sz w:val="13"/>
          <w:szCs w:val="13"/>
          <w:color w:val="auto"/>
        </w:rPr>
        <w:t>(h)</w:t>
      </w:r>
      <w:r>
        <w:rPr>
          <w:rFonts w:ascii="Arial" w:cs="Arial" w:eastAsia="Arial" w:hAnsi="Arial"/>
          <w:sz w:val="16"/>
          <w:szCs w:val="16"/>
          <w:color w:val="auto"/>
        </w:rPr>
        <w:t xml:space="preserve"> was 5,835,200 at March 31, 2019, a decrease of 903,700, or 13 percent, from 6,738,900, at March 31, 2018, and down 237,100, or 4 percent, from 6,072,300 at December 31, 2018. The decreases primarily resulted from the previously disclosed exit of the company’s WVB and FPP lines of business in connection with the KMG divestiture, which resulted in the loss of approximately 600,000 members, as well as the loss of some group accounts offering stand-alone dental and vision products.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Group and Specialty segment benefits expense:</w:t>
      </w:r>
    </w:p>
    <w:p>
      <w:pPr>
        <w:spacing w:after="0" w:line="135" w:lineRule="exact"/>
        <w:rPr>
          <w:sz w:val="20"/>
          <w:szCs w:val="20"/>
          <w:color w:val="auto"/>
        </w:rPr>
      </w:pPr>
    </w:p>
    <w:p>
      <w:pPr>
        <w:ind w:left="860" w:right="80" w:hanging="316"/>
        <w:spacing w:after="0" w:line="308" w:lineRule="auto"/>
        <w:tabs>
          <w:tab w:leader="none" w:pos="8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1Q19 benefit ratio for the Group and Specialty segment was 76.4 percent, an increase of 320 basis points from 73.2 percent for 1Q18. The year-over-year increase in the segment’s benefit ratio is primarily due to the impact of the following factors:</w:t>
      </w:r>
    </w:p>
    <w:p>
      <w:pPr>
        <w:spacing w:after="0" w:line="51" w:lineRule="exact"/>
        <w:rPr>
          <w:rFonts w:ascii="Arial" w:cs="Arial" w:eastAsia="Arial" w:hAnsi="Arial"/>
          <w:sz w:val="17"/>
          <w:szCs w:val="17"/>
          <w:color w:val="auto"/>
        </w:rPr>
      </w:pPr>
    </w:p>
    <w:p>
      <w:pPr>
        <w:ind w:left="1420" w:hanging="430"/>
        <w:spacing w:after="0"/>
        <w:tabs>
          <w:tab w:leader="none" w:pos="14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the impact of unfavorable Prior Period Development in 1Q19,</w:t>
      </w:r>
    </w:p>
    <w:p>
      <w:pPr>
        <w:spacing w:after="0" w:line="130" w:lineRule="exact"/>
        <w:rPr>
          <w:rFonts w:ascii="Arial" w:cs="Arial" w:eastAsia="Arial" w:hAnsi="Arial"/>
          <w:sz w:val="18"/>
          <w:szCs w:val="18"/>
          <w:color w:val="auto"/>
        </w:rPr>
      </w:pPr>
    </w:p>
    <w:p>
      <w:pPr>
        <w:ind w:left="1420" w:hanging="430"/>
        <w:spacing w:after="0"/>
        <w:tabs>
          <w:tab w:leader="none" w:pos="14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the impact of the suspension of the HIF in 2019 which was contemplated in the pricing of the company’s products, and</w:t>
      </w:r>
    </w:p>
    <w:p>
      <w:pPr>
        <w:spacing w:after="0" w:line="130" w:lineRule="exact"/>
        <w:rPr>
          <w:rFonts w:ascii="Arial" w:cs="Arial" w:eastAsia="Arial" w:hAnsi="Arial"/>
          <w:sz w:val="18"/>
          <w:szCs w:val="18"/>
          <w:color w:val="auto"/>
        </w:rPr>
      </w:pPr>
    </w:p>
    <w:p>
      <w:pPr>
        <w:ind w:left="1420" w:hanging="430"/>
        <w:spacing w:after="0"/>
        <w:tabs>
          <w:tab w:leader="none" w:pos="14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membership mix, including the continued migration of healthier groups to level-funded ASO products in 1Q19.</w:t>
      </w:r>
    </w:p>
    <w:p>
      <w:pPr>
        <w:spacing w:after="0" w:line="11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These increases were partially offset by lower ASO stop-loss claims.</w:t>
      </w:r>
    </w:p>
    <w:p>
      <w:pPr>
        <w:spacing w:after="0" w:line="131" w:lineRule="exact"/>
        <w:rPr>
          <w:sz w:val="20"/>
          <w:szCs w:val="20"/>
          <w:color w:val="auto"/>
        </w:rPr>
      </w:pPr>
    </w:p>
    <w:p>
      <w:pPr>
        <w:ind w:left="860" w:right="80" w:hanging="316"/>
        <w:spacing w:after="0" w:line="286" w:lineRule="auto"/>
        <w:tabs>
          <w:tab w:leader="none" w:pos="8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segment’s unfavorable Prior Period Development of $16 million in 1Q19 compared to favorable development of $34 million in 1Q18. The unfavorable Prior Period Development for the Group and Specialty segment increased the 1Q19 segment benefit ratio by 100 basis points while favorable Prior Period Development decreased the 1Q18 ratio by 200 basis points.</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20"/>
          </w:cols>
          <w:pgMar w:left="440" w:top="274" w:right="5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Group and Specialty segment operating costs:</w:t>
      </w:r>
    </w:p>
    <w:p>
      <w:pPr>
        <w:spacing w:after="0" w:line="135" w:lineRule="exact"/>
        <w:rPr>
          <w:sz w:val="20"/>
          <w:szCs w:val="20"/>
          <w:color w:val="auto"/>
        </w:rPr>
      </w:pPr>
    </w:p>
    <w:p>
      <w:pPr>
        <w:ind w:left="860" w:right="40" w:hanging="316"/>
        <w:spacing w:after="0" w:line="297" w:lineRule="auto"/>
        <w:tabs>
          <w:tab w:leader="none" w:pos="8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Group and Specialty segment’s operating cost ratio was 21.9 percent in 1Q19, a decrease of 170 basis points from 23.6 percent in 1Q18 primarily reflecting the temporary suspension of the HIF in 2019, as well as significant operating cost efficiencies in 1Q19 driven by previously implemented productivity initiatives. The non-deductible HIF increased the Group and Specialty segment’s operating cost ratio by approximately 160 basis points in 1Q18. The year-over-year improvement was further impacted by the exit of the WVB and FPP lines of business in connection with the KMG divestiture during the second quarter of 2018, which carried a higher operating cost ratio.</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Group and Specialty segment results:</w:t>
      </w:r>
    </w:p>
    <w:p>
      <w:pPr>
        <w:spacing w:after="0" w:line="239"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5240" w:type="dxa"/>
            <w:vAlign w:val="bottom"/>
            <w:gridSpan w:val="3"/>
          </w:tcPr>
          <w:p>
            <w:pPr>
              <w:spacing w:after="0"/>
              <w:rPr>
                <w:sz w:val="20"/>
                <w:szCs w:val="20"/>
                <w:color w:val="auto"/>
              </w:rPr>
            </w:pPr>
            <w:r>
              <w:rPr>
                <w:rFonts w:ascii="Arial" w:cs="Arial" w:eastAsia="Arial" w:hAnsi="Arial"/>
                <w:sz w:val="14"/>
                <w:szCs w:val="14"/>
                <w:b w:val="1"/>
                <w:bCs w:val="1"/>
                <w:color w:val="auto"/>
              </w:rPr>
              <w:t>Group and Specialty segment earnings</w:t>
            </w:r>
          </w:p>
        </w:tc>
        <w:tc>
          <w:tcPr>
            <w:tcW w:w="1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87"/>
        </w:trPr>
        <w:tc>
          <w:tcPr>
            <w:tcW w:w="5240" w:type="dxa"/>
            <w:vAlign w:val="bottom"/>
            <w:gridSpan w:val="3"/>
          </w:tcPr>
          <w:p>
            <w:pPr>
              <w:spacing w:after="0"/>
              <w:rPr>
                <w:sz w:val="20"/>
                <w:szCs w:val="20"/>
                <w:color w:val="auto"/>
              </w:rPr>
            </w:pPr>
            <w:r>
              <w:rPr>
                <w:rFonts w:ascii="Arial" w:cs="Arial" w:eastAsia="Arial" w:hAnsi="Arial"/>
                <w:sz w:val="14"/>
                <w:szCs w:val="14"/>
                <w:i w:val="1"/>
                <w:iCs w:val="1"/>
                <w:color w:val="auto"/>
              </w:rPr>
              <w:t>In millions</w:t>
            </w:r>
          </w:p>
        </w:tc>
        <w:tc>
          <w:tcPr>
            <w:tcW w:w="1980" w:type="dxa"/>
            <w:vAlign w:val="bottom"/>
            <w:gridSpan w:val="3"/>
          </w:tcPr>
          <w:p>
            <w:pPr>
              <w:ind w:left="1440"/>
              <w:spacing w:after="0"/>
              <w:rPr>
                <w:sz w:val="20"/>
                <w:szCs w:val="20"/>
                <w:color w:val="auto"/>
              </w:rPr>
            </w:pPr>
            <w:r>
              <w:rPr>
                <w:rFonts w:ascii="Arial" w:cs="Arial" w:eastAsia="Arial" w:hAnsi="Arial"/>
                <w:sz w:val="14"/>
                <w:szCs w:val="14"/>
                <w:b w:val="1"/>
                <w:bCs w:val="1"/>
                <w:color w:val="auto"/>
                <w:w w:val="94"/>
              </w:rPr>
              <w:t>1Q19 (a)</w:t>
            </w:r>
          </w:p>
        </w:tc>
        <w:tc>
          <w:tcPr>
            <w:tcW w:w="1160" w:type="dxa"/>
            <w:vAlign w:val="bottom"/>
            <w:gridSpan w:val="4"/>
          </w:tcPr>
          <w:p>
            <w:pPr>
              <w:ind w:left="580"/>
              <w:spacing w:after="0"/>
              <w:rPr>
                <w:sz w:val="20"/>
                <w:szCs w:val="20"/>
                <w:color w:val="auto"/>
              </w:rPr>
            </w:pPr>
            <w:r>
              <w:rPr>
                <w:rFonts w:ascii="Arial" w:cs="Arial" w:eastAsia="Arial" w:hAnsi="Arial"/>
                <w:sz w:val="14"/>
                <w:szCs w:val="14"/>
                <w:color w:val="auto"/>
              </w:rPr>
              <w:t>1Q18 (b)</w:t>
            </w:r>
          </w:p>
        </w:tc>
      </w:tr>
      <w:tr>
        <w:trPr>
          <w:trHeight w:val="203"/>
        </w:trPr>
        <w:tc>
          <w:tcPr>
            <w:tcW w:w="20" w:type="dxa"/>
            <w:vAlign w:val="bottom"/>
          </w:tcPr>
          <w:p>
            <w:pPr>
              <w:spacing w:after="0"/>
              <w:rPr>
                <w:sz w:val="17"/>
                <w:szCs w:val="17"/>
                <w:color w:val="auto"/>
              </w:rPr>
            </w:pPr>
          </w:p>
        </w:tc>
        <w:tc>
          <w:tcPr>
            <w:tcW w:w="6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GAAP</w:t>
            </w:r>
          </w:p>
        </w:tc>
        <w:tc>
          <w:tcPr>
            <w:tcW w:w="4600" w:type="dxa"/>
            <w:vAlign w:val="bottom"/>
            <w:tcBorders>
              <w:top w:val="single" w:sz="8" w:color="CCEEFF"/>
            </w:tcBorders>
            <w:shd w:val="clear" w:color="auto" w:fill="CCEEFF"/>
          </w:tcPr>
          <w:p>
            <w:pPr>
              <w:spacing w:after="0"/>
              <w:rPr>
                <w:sz w:val="17"/>
                <w:szCs w:val="17"/>
                <w:color w:val="auto"/>
              </w:rPr>
            </w:pPr>
          </w:p>
        </w:tc>
        <w:tc>
          <w:tcPr>
            <w:tcW w:w="14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w:t>
            </w:r>
          </w:p>
        </w:tc>
        <w:tc>
          <w:tcPr>
            <w:tcW w:w="3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165</w:t>
            </w:r>
          </w:p>
        </w:tc>
        <w:tc>
          <w:tcPr>
            <w:tcW w:w="5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3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211</w:t>
            </w:r>
          </w:p>
        </w:tc>
        <w:tc>
          <w:tcPr>
            <w:tcW w:w="4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Amortization associated with identifiable intangibles</w:t>
            </w: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Adjusted (non-GAAP)</w:t>
            </w:r>
          </w:p>
        </w:tc>
        <w:tc>
          <w:tcPr>
            <w:tcW w:w="1620" w:type="dxa"/>
            <w:vAlign w:val="bottom"/>
            <w:gridSpan w:val="2"/>
            <w:shd w:val="clear" w:color="auto" w:fill="CCEEFF"/>
          </w:tcPr>
          <w:p>
            <w:pPr>
              <w:ind w:left="1440"/>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166</w:t>
            </w:r>
          </w:p>
        </w:tc>
        <w:tc>
          <w:tcPr>
            <w:tcW w:w="7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40" w:type="dxa"/>
            <w:vAlign w:val="bottom"/>
            <w:shd w:val="clear" w:color="auto" w:fill="CCEEFF"/>
          </w:tcPr>
          <w:p>
            <w:pPr>
              <w:spacing w:after="0"/>
              <w:rPr>
                <w:sz w:val="18"/>
                <w:szCs w:val="18"/>
                <w:color w:val="auto"/>
              </w:rPr>
            </w:pPr>
          </w:p>
        </w:tc>
      </w:tr>
    </w:tbl>
    <w:p>
      <w:pPr>
        <w:spacing w:after="0" w:line="229" w:lineRule="exact"/>
        <w:rPr>
          <w:sz w:val="20"/>
          <w:szCs w:val="20"/>
          <w:color w:val="auto"/>
        </w:rPr>
      </w:pPr>
    </w:p>
    <w:p>
      <w:pPr>
        <w:ind w:left="860" w:hanging="316"/>
        <w:spacing w:after="0" w:line="286" w:lineRule="auto"/>
        <w:tabs>
          <w:tab w:leader="none" w:pos="8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Group and Specialty segment’s GAAP segment earnings of $165 million in 1Q19 compared to GAAP segment earnings of $211 million in 1Q18, a decrease of $46 million, or 22 percent. The decrease primarily reflects the same factors resulting in the segment’s higher benefit ratio, along with lower military services business earnings. Earnings related to the military services business were unfavorably impacted by the receipt of certain contractual incentives and adjustments in 1Q18 related to the previous TRICARE contract which did not recur in</w:t>
      </w:r>
    </w:p>
    <w:p>
      <w:pPr>
        <w:spacing w:after="0" w:line="1" w:lineRule="exact"/>
        <w:rPr>
          <w:rFonts w:ascii="Arial" w:cs="Arial" w:eastAsia="Arial" w:hAnsi="Arial"/>
          <w:sz w:val="16"/>
          <w:szCs w:val="16"/>
          <w:color w:val="auto"/>
        </w:rPr>
      </w:pPr>
    </w:p>
    <w:p>
      <w:pPr>
        <w:ind w:left="860" w:right="60"/>
        <w:spacing w:after="0" w:line="261" w:lineRule="auto"/>
        <w:rPr>
          <w:rFonts w:ascii="Arial" w:cs="Arial" w:eastAsia="Arial" w:hAnsi="Arial"/>
          <w:sz w:val="16"/>
          <w:szCs w:val="16"/>
          <w:color w:val="auto"/>
        </w:rPr>
      </w:pPr>
      <w:r>
        <w:rPr>
          <w:rFonts w:ascii="Arial" w:cs="Arial" w:eastAsia="Arial" w:hAnsi="Arial"/>
          <w:sz w:val="18"/>
          <w:szCs w:val="18"/>
          <w:color w:val="auto"/>
        </w:rPr>
        <w:t>1Q19. The declines were partially offset by a lower operating cost ratio in 1Q19 and a favorable year-over-year earnings comparison for the company’s group ASO commercial medical business.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Humana’s Healthcare Services Segment</w:t>
      </w:r>
    </w:p>
    <w:p>
      <w:pPr>
        <w:spacing w:after="0" w:line="121"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This segment includes services offered to the company’s health plan members as well as to third parties, including pharmacy solutions, provider services, and clinical programs, such as home health and other services and capabilities to promote wellness and advance population health, including the company’s minority investment in Kindred at Home.</w:t>
      </w:r>
    </w:p>
    <w:p>
      <w:pPr>
        <w:spacing w:after="0" w:line="181"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Services offered by this segment are designed to enhance members’ healthcare experience with Humana overall. These services may lead to lower utilization associated with improved member health and/or lower drug costs.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Healthcare Services segment revenues:</w:t>
      </w:r>
    </w:p>
    <w:p>
      <w:pPr>
        <w:spacing w:after="0" w:line="135" w:lineRule="exact"/>
        <w:rPr>
          <w:sz w:val="20"/>
          <w:szCs w:val="20"/>
          <w:color w:val="auto"/>
        </w:rPr>
      </w:pPr>
    </w:p>
    <w:p>
      <w:pPr>
        <w:ind w:left="860" w:right="40" w:hanging="316"/>
        <w:spacing w:after="0" w:line="277" w:lineRule="auto"/>
        <w:tabs>
          <w:tab w:leader="none" w:pos="8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Revenues of $6.10 billion in 1Q19 for the Healthcare Services segment increased by $435 million, or 8 percent, from $5.66 billion in 1Q18. The year-over-year comparison was favorably impacted by the following:</w:t>
      </w:r>
    </w:p>
    <w:p>
      <w:pPr>
        <w:spacing w:after="0" w:line="75" w:lineRule="exact"/>
        <w:rPr>
          <w:rFonts w:ascii="Arial" w:cs="Arial" w:eastAsia="Arial" w:hAnsi="Arial"/>
          <w:sz w:val="18"/>
          <w:szCs w:val="18"/>
          <w:color w:val="auto"/>
        </w:rPr>
      </w:pPr>
    </w:p>
    <w:p>
      <w:pPr>
        <w:ind w:left="1420" w:hanging="430"/>
        <w:spacing w:after="0"/>
        <w:tabs>
          <w:tab w:leader="none" w:pos="1420" w:val="left"/>
        </w:tabs>
        <w:numPr>
          <w:ilvl w:val="1"/>
          <w:numId w:val="26"/>
        </w:numPr>
        <w:rPr>
          <w:rFonts w:ascii="Arial" w:cs="Arial" w:eastAsia="Arial" w:hAnsi="Arial"/>
          <w:sz w:val="18"/>
          <w:szCs w:val="18"/>
          <w:color w:val="auto"/>
        </w:rPr>
      </w:pPr>
      <w:r>
        <w:rPr>
          <w:rFonts w:ascii="Arial" w:cs="Arial" w:eastAsia="Arial" w:hAnsi="Arial"/>
          <w:sz w:val="18"/>
          <w:szCs w:val="18"/>
          <w:color w:val="auto"/>
        </w:rPr>
        <w:t>strong Medicare Advantage membership growth; and</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0"/>
          </w:cols>
          <w:pgMar w:left="440" w:top="270" w:right="459" w:bottom="1440" w:gutter="0" w:footer="0" w:header="0"/>
        </w:sectPr>
      </w:pPr>
    </w:p>
    <w:bookmarkStart w:id="23" w:name="page24"/>
    <w:bookmarkEnd w:id="23"/>
    <w:p>
      <w:pPr>
        <w:ind w:left="1420" w:right="180" w:hanging="430"/>
        <w:spacing w:after="0" w:line="277" w:lineRule="auto"/>
        <w:tabs>
          <w:tab w:leader="none" w:pos="1420" w:val="left"/>
        </w:tabs>
        <w:numPr>
          <w:ilvl w:val="0"/>
          <w:numId w:val="2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higher revenues associated with the company’s provider services business reflecting the previously disclosed acquisition of MCCI Holdings, LLC (MCCI) and Family Physicians Group (FPG).</w:t>
      </w:r>
    </w:p>
    <w:p>
      <w:pPr>
        <w:spacing w:after="0" w:line="62" w:lineRule="exact"/>
        <w:rPr>
          <w:sz w:val="20"/>
          <w:szCs w:val="20"/>
          <w:color w:val="auto"/>
        </w:rPr>
      </w:pPr>
    </w:p>
    <w:p>
      <w:pPr>
        <w:ind w:left="440" w:right="520"/>
        <w:spacing w:after="0" w:line="277" w:lineRule="auto"/>
        <w:rPr>
          <w:sz w:val="20"/>
          <w:szCs w:val="20"/>
          <w:color w:val="auto"/>
        </w:rPr>
      </w:pPr>
      <w:r>
        <w:rPr>
          <w:rFonts w:ascii="Arial" w:cs="Arial" w:eastAsia="Arial" w:hAnsi="Arial"/>
          <w:sz w:val="18"/>
          <w:szCs w:val="18"/>
          <w:color w:val="auto"/>
        </w:rPr>
        <w:t>These increases were partially offset by the loss of intersegment revenues associated with the reduction of stand-alone PDP membership as previously discussed.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Healthcare Services segment operating costs:</w:t>
      </w:r>
    </w:p>
    <w:p>
      <w:pPr>
        <w:spacing w:after="0" w:line="135" w:lineRule="exact"/>
        <w:rPr>
          <w:sz w:val="20"/>
          <w:szCs w:val="20"/>
          <w:color w:val="auto"/>
        </w:rPr>
      </w:pPr>
    </w:p>
    <w:p>
      <w:pPr>
        <w:ind w:left="860" w:right="400" w:hanging="316"/>
        <w:spacing w:after="0" w:line="264" w:lineRule="auto"/>
        <w:tabs>
          <w:tab w:leader="none" w:pos="8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Healthcare Services segment’s operating cost ratio of 96.6 percent in 1Q19 increased 40 basis points from 96.2 percent in 1Q18 primarily due to investments in the company’s provider services business and a change in the mix of pharmacy spend as specialty drug spending continues to rise as a percentage of total spend.</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Healthcare Services segment operating statistics:</w:t>
      </w:r>
    </w:p>
    <w:p>
      <w:pPr>
        <w:spacing w:after="0" w:line="135" w:lineRule="exact"/>
        <w:rPr>
          <w:sz w:val="20"/>
          <w:szCs w:val="20"/>
          <w:color w:val="auto"/>
        </w:rPr>
      </w:pPr>
    </w:p>
    <w:p>
      <w:pPr>
        <w:ind w:left="860" w:right="280" w:hanging="316"/>
        <w:spacing w:after="0" w:line="288" w:lineRule="auto"/>
        <w:tabs>
          <w:tab w:leader="none" w:pos="8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Primary care providers in value-based (shared risk and path to risk) relationships of 57,600 at March 31, 2019 increased 13 percent from 51,000 at March 31, 2018, and increased 8 percent from 53,400 at December 31, 2018. The percentage of the company’s individual Medicare Advantage members in value-based relationships was 65 percent at both March 31, 2019 and March 31, 2018, compared to</w:t>
      </w:r>
    </w:p>
    <w:p>
      <w:pPr>
        <w:ind w:left="860" w:right="340"/>
        <w:spacing w:after="0" w:line="290" w:lineRule="auto"/>
        <w:rPr>
          <w:rFonts w:ascii="Arial" w:cs="Arial" w:eastAsia="Arial" w:hAnsi="Arial"/>
          <w:sz w:val="16"/>
          <w:szCs w:val="16"/>
          <w:color w:val="auto"/>
        </w:rPr>
      </w:pPr>
      <w:r>
        <w:rPr>
          <w:rFonts w:ascii="Arial" w:cs="Arial" w:eastAsia="Arial" w:hAnsi="Arial"/>
          <w:sz w:val="17"/>
          <w:szCs w:val="17"/>
          <w:color w:val="auto"/>
        </w:rPr>
        <w:t>67 percent December 31, 2018. The sequential decline was impacted by the strong AEP and OEP results which has resulted in a greater proportion of new individual Medicare Advantage members that are not yet assigned to a primary care provider.</w:t>
      </w:r>
    </w:p>
    <w:p>
      <w:pPr>
        <w:spacing w:after="0" w:line="67" w:lineRule="exact"/>
        <w:rPr>
          <w:rFonts w:ascii="Arial" w:cs="Arial" w:eastAsia="Arial" w:hAnsi="Arial"/>
          <w:sz w:val="16"/>
          <w:szCs w:val="16"/>
          <w:color w:val="auto"/>
        </w:rPr>
      </w:pPr>
    </w:p>
    <w:p>
      <w:pPr>
        <w:ind w:left="860" w:hanging="316"/>
        <w:spacing w:after="0" w:line="257" w:lineRule="auto"/>
        <w:tabs>
          <w:tab w:leader="none" w:pos="8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 xml:space="preserve">Medicare Advantage and dual demonstration program membership enrolled in a Humana chronic care management program </w:t>
      </w:r>
      <w:r>
        <w:rPr>
          <w:rFonts w:ascii="Arial" w:cs="Arial" w:eastAsia="Arial" w:hAnsi="Arial"/>
          <w:sz w:val="15"/>
          <w:szCs w:val="15"/>
          <w:color w:val="auto"/>
        </w:rPr>
        <w:t>(i</w:t>
      </w:r>
      <w:r>
        <w:rPr>
          <w:rFonts w:ascii="Arial" w:cs="Arial" w:eastAsia="Arial" w:hAnsi="Arial"/>
          <w:sz w:val="15"/>
          <w:szCs w:val="15"/>
          <w:i w:val="1"/>
          <w:iCs w:val="1"/>
          <w:color w:val="auto"/>
        </w:rPr>
        <w:t>)</w:t>
      </w:r>
      <w:r>
        <w:rPr>
          <w:rFonts w:ascii="Arial" w:cs="Arial" w:eastAsia="Arial" w:hAnsi="Arial"/>
          <w:sz w:val="18"/>
          <w:szCs w:val="18"/>
          <w:color w:val="auto"/>
        </w:rPr>
        <w:t xml:space="preserve"> was 834,700 at March 31, 2019, up 11 percent from 752,400 at March 31, 2018 and up 17 percent from 716,000 at December 31, 2018. The increases were driven by the company’s improved process for identifying and enrolling members in the appropriate program at the right time, coupled with growth in Special Need Plans (SNP) membership and the insourcing of certain SNP membership to Humana At Home’s care management program.</w:t>
      </w:r>
    </w:p>
    <w:p>
      <w:pPr>
        <w:spacing w:after="0" w:line="93" w:lineRule="exact"/>
        <w:rPr>
          <w:rFonts w:ascii="Arial" w:cs="Arial" w:eastAsia="Arial" w:hAnsi="Arial"/>
          <w:sz w:val="18"/>
          <w:szCs w:val="18"/>
          <w:color w:val="auto"/>
        </w:rPr>
      </w:pPr>
    </w:p>
    <w:p>
      <w:pPr>
        <w:jc w:val="both"/>
        <w:ind w:left="860" w:right="260" w:hanging="316"/>
        <w:spacing w:after="0" w:line="264" w:lineRule="auto"/>
        <w:tabs>
          <w:tab w:leader="none" w:pos="8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Pharmacy script volume on an adjusted 30-day equivalent basis of 110 million for 1Q19 increased 2 percent compared to 108 million for 1Q18. This increase primarily was driven by higher individual Medicare Advantage membership, partially offset by the decline in stand-alone PDP membership.</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Healthcare Services segment results:</w:t>
      </w:r>
    </w:p>
    <w:p>
      <w:pPr>
        <w:spacing w:after="0" w:line="239"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4880" w:type="dxa"/>
            <w:vAlign w:val="bottom"/>
            <w:gridSpan w:val="3"/>
          </w:tcPr>
          <w:p>
            <w:pPr>
              <w:spacing w:after="0"/>
              <w:rPr>
                <w:sz w:val="20"/>
                <w:szCs w:val="20"/>
                <w:color w:val="auto"/>
              </w:rPr>
            </w:pPr>
            <w:r>
              <w:rPr>
                <w:rFonts w:ascii="Arial" w:cs="Arial" w:eastAsia="Arial" w:hAnsi="Arial"/>
                <w:sz w:val="14"/>
                <w:szCs w:val="14"/>
                <w:b w:val="1"/>
                <w:bCs w:val="1"/>
                <w:color w:val="auto"/>
              </w:rPr>
              <w:t>Healthcare Services segment results</w:t>
            </w:r>
          </w:p>
        </w:tc>
        <w:tc>
          <w:tcPr>
            <w:tcW w:w="1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7"/>
        </w:trPr>
        <w:tc>
          <w:tcPr>
            <w:tcW w:w="4880" w:type="dxa"/>
            <w:vAlign w:val="bottom"/>
            <w:gridSpan w:val="3"/>
          </w:tcPr>
          <w:p>
            <w:pPr>
              <w:spacing w:after="0"/>
              <w:rPr>
                <w:sz w:val="20"/>
                <w:szCs w:val="20"/>
                <w:color w:val="auto"/>
              </w:rPr>
            </w:pPr>
            <w:r>
              <w:rPr>
                <w:rFonts w:ascii="Arial" w:cs="Arial" w:eastAsia="Arial" w:hAnsi="Arial"/>
                <w:sz w:val="14"/>
                <w:szCs w:val="14"/>
                <w:i w:val="1"/>
                <w:iCs w:val="1"/>
                <w:color w:val="auto"/>
              </w:rPr>
              <w:t>(in millions)</w:t>
            </w:r>
          </w:p>
        </w:tc>
        <w:tc>
          <w:tcPr>
            <w:tcW w:w="2440" w:type="dxa"/>
            <w:vAlign w:val="bottom"/>
            <w:gridSpan w:val="3"/>
          </w:tcPr>
          <w:p>
            <w:pPr>
              <w:jc w:val="right"/>
              <w:spacing w:after="0"/>
              <w:rPr>
                <w:sz w:val="20"/>
                <w:szCs w:val="20"/>
                <w:color w:val="auto"/>
              </w:rPr>
            </w:pPr>
            <w:r>
              <w:rPr>
                <w:rFonts w:ascii="Arial" w:cs="Arial" w:eastAsia="Arial" w:hAnsi="Arial"/>
                <w:sz w:val="14"/>
                <w:szCs w:val="14"/>
                <w:b w:val="1"/>
                <w:bCs w:val="1"/>
                <w:color w:val="auto"/>
              </w:rPr>
              <w:t>1Q19(a)</w:t>
            </w:r>
          </w:p>
        </w:tc>
        <w:tc>
          <w:tcPr>
            <w:tcW w:w="1060" w:type="dxa"/>
            <w:vAlign w:val="bottom"/>
            <w:gridSpan w:val="4"/>
          </w:tcPr>
          <w:p>
            <w:pPr>
              <w:jc w:val="right"/>
              <w:ind w:right="60"/>
              <w:spacing w:after="0"/>
              <w:rPr>
                <w:sz w:val="20"/>
                <w:szCs w:val="20"/>
                <w:color w:val="auto"/>
              </w:rPr>
            </w:pPr>
            <w:r>
              <w:rPr>
                <w:rFonts w:ascii="Arial" w:cs="Arial" w:eastAsia="Arial" w:hAnsi="Arial"/>
                <w:sz w:val="14"/>
                <w:szCs w:val="14"/>
                <w:color w:val="auto"/>
              </w:rPr>
              <w:t>1Q18(b)</w:t>
            </w:r>
          </w:p>
        </w:tc>
      </w:tr>
      <w:tr>
        <w:trPr>
          <w:trHeight w:val="20"/>
        </w:trPr>
        <w:tc>
          <w:tcPr>
            <w:tcW w:w="20" w:type="dxa"/>
            <w:vAlign w:val="bottom"/>
          </w:tcPr>
          <w:p>
            <w:pPr>
              <w:spacing w:after="0" w:line="20" w:lineRule="exact"/>
              <w:rPr>
                <w:sz w:val="1"/>
                <w:szCs w:val="1"/>
                <w:color w:val="auto"/>
              </w:rPr>
            </w:pPr>
          </w:p>
        </w:tc>
        <w:tc>
          <w:tcPr>
            <w:tcW w:w="700" w:type="dxa"/>
            <w:vAlign w:val="bottom"/>
            <w:tcBorders>
              <w:bottom w:val="single" w:sz="8" w:color="CCEEFF"/>
            </w:tcBorders>
            <w:shd w:val="clear" w:color="auto" w:fill="000000"/>
          </w:tcPr>
          <w:p>
            <w:pPr>
              <w:spacing w:after="0" w:line="20" w:lineRule="exact"/>
              <w:rPr>
                <w:sz w:val="1"/>
                <w:szCs w:val="1"/>
                <w:color w:val="auto"/>
              </w:rPr>
            </w:pPr>
          </w:p>
        </w:tc>
        <w:tc>
          <w:tcPr>
            <w:tcW w:w="4160" w:type="dxa"/>
            <w:vAlign w:val="bottom"/>
            <w:tcBorders>
              <w:bottom w:val="single" w:sz="8" w:color="CCEEFF"/>
            </w:tcBorders>
          </w:tcPr>
          <w:p>
            <w:pPr>
              <w:spacing w:after="0" w:line="20" w:lineRule="exact"/>
              <w:rPr>
                <w:sz w:val="1"/>
                <w:szCs w:val="1"/>
                <w:color w:val="auto"/>
              </w:rPr>
            </w:pPr>
          </w:p>
        </w:tc>
        <w:tc>
          <w:tcPr>
            <w:tcW w:w="19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86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GAAP segment earnings</w:t>
            </w:r>
          </w:p>
        </w:tc>
        <w:tc>
          <w:tcPr>
            <w:tcW w:w="194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3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175</w:t>
            </w: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173</w:t>
            </w:r>
          </w:p>
        </w:tc>
        <w:tc>
          <w:tcPr>
            <w:tcW w:w="4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860" w:type="dxa"/>
            <w:vAlign w:val="bottom"/>
            <w:gridSpan w:val="2"/>
          </w:tcPr>
          <w:p>
            <w:pPr>
              <w:spacing w:after="0"/>
              <w:rPr>
                <w:sz w:val="20"/>
                <w:szCs w:val="20"/>
                <w:color w:val="auto"/>
              </w:rPr>
            </w:pPr>
            <w:r>
              <w:rPr>
                <w:rFonts w:ascii="Arial" w:cs="Arial" w:eastAsia="Arial" w:hAnsi="Arial"/>
                <w:sz w:val="18"/>
                <w:szCs w:val="18"/>
                <w:color w:val="auto"/>
              </w:rPr>
              <w:t>Depreciation and amortization expense</w:t>
            </w:r>
          </w:p>
        </w:tc>
        <w:tc>
          <w:tcPr>
            <w:tcW w:w="1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b w:val="1"/>
                <w:bCs w:val="1"/>
                <w:color w:val="auto"/>
              </w:rPr>
              <w:t>42</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49</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and taxes from Kindred at Home</w:t>
            </w:r>
          </w:p>
        </w:tc>
        <w:tc>
          <w:tcPr>
            <w:tcW w:w="1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r>
      <w:tr>
        <w:trPr>
          <w:trHeight w:val="234"/>
        </w:trPr>
        <w:tc>
          <w:tcPr>
            <w:tcW w:w="20" w:type="dxa"/>
            <w:vAlign w:val="bottom"/>
          </w:tcPr>
          <w:p>
            <w:pPr>
              <w:spacing w:after="0"/>
              <w:rPr>
                <w:sz w:val="20"/>
                <w:szCs w:val="20"/>
                <w:color w:val="auto"/>
              </w:rPr>
            </w:pPr>
          </w:p>
        </w:tc>
        <w:tc>
          <w:tcPr>
            <w:tcW w:w="4860" w:type="dxa"/>
            <w:vAlign w:val="bottom"/>
            <w:gridSpan w:val="2"/>
          </w:tcPr>
          <w:p>
            <w:pPr>
              <w:spacing w:after="0"/>
              <w:rPr>
                <w:sz w:val="20"/>
                <w:szCs w:val="20"/>
                <w:color w:val="auto"/>
              </w:rPr>
            </w:pPr>
            <w:r>
              <w:rPr>
                <w:rFonts w:ascii="Arial" w:cs="Arial" w:eastAsia="Arial" w:hAnsi="Arial"/>
                <w:sz w:val="18"/>
                <w:szCs w:val="18"/>
                <w:b w:val="1"/>
                <w:bCs w:val="1"/>
                <w:color w:val="auto"/>
              </w:rPr>
              <w:t>Adjusted EBITDA</w:t>
            </w:r>
          </w:p>
        </w:tc>
        <w:tc>
          <w:tcPr>
            <w:tcW w:w="2100" w:type="dxa"/>
            <w:vAlign w:val="bottom"/>
            <w:gridSpan w:val="2"/>
          </w:tcPr>
          <w:p>
            <w:pPr>
              <w:jc w:val="right"/>
              <w:ind w:right="5"/>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jc w:val="right"/>
              <w:spacing w:after="0"/>
              <w:rPr>
                <w:sz w:val="20"/>
                <w:szCs w:val="20"/>
                <w:color w:val="auto"/>
              </w:rPr>
            </w:pPr>
            <w:r>
              <w:rPr>
                <w:rFonts w:ascii="Arial" w:cs="Arial" w:eastAsia="Arial" w:hAnsi="Arial"/>
                <w:sz w:val="18"/>
                <w:szCs w:val="18"/>
                <w:b w:val="1"/>
                <w:bCs w:val="1"/>
                <w:color w:val="auto"/>
              </w:rPr>
              <w:t>238</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222</w:t>
            </w:r>
          </w:p>
        </w:tc>
        <w:tc>
          <w:tcPr>
            <w:tcW w:w="40" w:type="dxa"/>
            <w:vAlign w:val="bottom"/>
          </w:tcPr>
          <w:p>
            <w:pPr>
              <w:spacing w:after="0"/>
              <w:rPr>
                <w:sz w:val="20"/>
                <w:szCs w:val="20"/>
                <w:color w:val="auto"/>
              </w:rPr>
            </w:pPr>
          </w:p>
        </w:tc>
      </w:tr>
    </w:tbl>
    <w:p>
      <w:pPr>
        <w:spacing w:after="0" w:line="210" w:lineRule="exact"/>
        <w:rPr>
          <w:sz w:val="20"/>
          <w:szCs w:val="20"/>
          <w:color w:val="auto"/>
        </w:rPr>
      </w:pPr>
    </w:p>
    <w:p>
      <w:pPr>
        <w:ind w:left="860" w:right="60" w:hanging="316"/>
        <w:spacing w:after="0" w:line="277" w:lineRule="auto"/>
        <w:tabs>
          <w:tab w:leader="none" w:pos="8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Healthcare Services segment’s 1Q19 GAAP segment earnings of $175 million were generally in-line with the GAAP segment earnings of $173 million in 1Q18.</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80"/>
          </w:cols>
          <w:pgMar w:left="440" w:top="274" w:right="479" w:bottom="1440" w:gutter="0" w:footer="0" w:header="0"/>
        </w:sectPr>
      </w:pPr>
    </w:p>
    <w:bookmarkStart w:id="24" w:name="page25"/>
    <w:bookmarkEnd w:id="24"/>
    <w:p>
      <w:pPr>
        <w:ind w:left="860" w:right="280" w:hanging="316"/>
        <w:spacing w:after="0" w:line="264" w:lineRule="auto"/>
        <w:tabs>
          <w:tab w:leader="none" w:pos="860" w:val="left"/>
        </w:tabs>
        <w:numPr>
          <w:ilvl w:val="0"/>
          <w:numId w:val="3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Adjusted EBITDA in 1Q19 for the Healthcare Services segment of $238 million was up $16 million, or 7 percent, compared to Adjusted EBITDA of $222 million in 1Q18. The increase in 1Q19 Adjusted EBITDA from 1Q18 Adjusted EBITDA primarily resulted from the impact of Kindred at Home.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Conference Call</w:t>
      </w:r>
    </w:p>
    <w:p>
      <w:pPr>
        <w:spacing w:after="0" w:line="12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Humana will host a conference call at 9:00 a.m. eastern time today to discuss its financial results for the quarter and the company’s expectations for future earnings.</w:t>
      </w:r>
    </w:p>
    <w:p>
      <w:pPr>
        <w:spacing w:after="0" w:line="170"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 xml:space="preserve">All parties interested in the company’s 1Q19 earnings conference call are invited to dial 888-625-7430. No password is required. The audio-only webcast of the 1Q19 earnings call may also be accessed via Humana’s Investor Relations page at </w:t>
      </w:r>
      <w:r>
        <w:rPr>
          <w:rFonts w:ascii="Arial" w:cs="Arial" w:eastAsia="Arial" w:hAnsi="Arial"/>
          <w:sz w:val="17"/>
          <w:szCs w:val="17"/>
          <w:u w:val="single" w:color="auto"/>
          <w:color w:val="auto"/>
        </w:rPr>
        <w:t>humana.com</w:t>
      </w:r>
      <w:r>
        <w:rPr>
          <w:rFonts w:ascii="Arial" w:cs="Arial" w:eastAsia="Arial" w:hAnsi="Arial"/>
          <w:sz w:val="17"/>
          <w:szCs w:val="17"/>
          <w:color w:val="auto"/>
        </w:rPr>
        <w:t>. The company suggests participants for both the conference call and those listening via the web dial in or sign on at least 15 minutes in advance of the call.</w:t>
      </w:r>
    </w:p>
    <w:p>
      <w:pPr>
        <w:spacing w:after="0" w:line="16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 xml:space="preserve">For those unable to participate in the live event, the archive will be available in the Historical Webcasts and Presentations section of the Investor Relations page at </w:t>
      </w:r>
      <w:r>
        <w:rPr>
          <w:rFonts w:ascii="Arial" w:cs="Arial" w:eastAsia="Arial" w:hAnsi="Arial"/>
          <w:sz w:val="18"/>
          <w:szCs w:val="18"/>
          <w:u w:val="single" w:color="auto"/>
          <w:color w:val="auto"/>
        </w:rPr>
        <w:t>humana.com,</w:t>
      </w:r>
      <w:r>
        <w:rPr>
          <w:rFonts w:ascii="Arial" w:cs="Arial" w:eastAsia="Arial" w:hAnsi="Arial"/>
          <w:sz w:val="18"/>
          <w:szCs w:val="18"/>
          <w:color w:val="auto"/>
        </w:rPr>
        <w:t xml:space="preserve"> approximately two hours following the live webcast. Telephone replays will also be available from approximately 2:00 p.m. eastern time on May 1, 2019 until 11:00 p.m. eastern time on June 26, 2019 and can be accessed by dialing 855-859-2056 and providing the conference ID #3292269.</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Footnotes</w:t>
      </w:r>
    </w:p>
    <w:p>
      <w:pPr>
        <w:spacing w:after="0" w:line="135" w:lineRule="exact"/>
        <w:rPr>
          <w:sz w:val="20"/>
          <w:szCs w:val="20"/>
          <w:color w:val="auto"/>
        </w:rPr>
      </w:pPr>
    </w:p>
    <w:p>
      <w:pPr>
        <w:ind w:left="860" w:hanging="424"/>
        <w:spacing w:after="0"/>
        <w:tabs>
          <w:tab w:leader="none" w:pos="860"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1Q19 Adjusted results exclude the following:</w:t>
      </w:r>
    </w:p>
    <w:p>
      <w:pPr>
        <w:spacing w:after="0" w:line="131" w:lineRule="exact"/>
        <w:rPr>
          <w:sz w:val="20"/>
          <w:szCs w:val="20"/>
          <w:color w:val="auto"/>
        </w:rPr>
      </w:pPr>
    </w:p>
    <w:p>
      <w:pPr>
        <w:ind w:left="860" w:right="20" w:hanging="316"/>
        <w:spacing w:after="0" w:line="264" w:lineRule="auto"/>
        <w:tabs>
          <w:tab w:leader="none" w:pos="8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Amortization expense for identifiable intangibles of approximately $18 million pretax, or $0.10 per diluted common share; GAAP measures affected in this release include consolidated pretax, EPS, and segment earnings (for respective amortization expense for the Retail and Group and Specialty segments).</w:t>
      </w:r>
    </w:p>
    <w:p>
      <w:pPr>
        <w:spacing w:after="0" w:line="86" w:lineRule="exact"/>
        <w:rPr>
          <w:rFonts w:ascii="Arial" w:cs="Arial" w:eastAsia="Arial" w:hAnsi="Arial"/>
          <w:sz w:val="18"/>
          <w:szCs w:val="18"/>
          <w:color w:val="auto"/>
        </w:rPr>
      </w:pPr>
    </w:p>
    <w:p>
      <w:pPr>
        <w:ind w:left="860" w:right="180" w:hanging="316"/>
        <w:spacing w:after="0" w:line="277" w:lineRule="auto"/>
        <w:tabs>
          <w:tab w:leader="none" w:pos="8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Put/call valuation adjustments of approximately $39 million, or $0.22 per diluted common share, associated with Humana’s 40% minority interest in Kindred at Home. GAAP measures affected in this release include consolidated pretax and EPS.</w:t>
      </w:r>
    </w:p>
    <w:p>
      <w:pPr>
        <w:spacing w:after="0" w:line="76" w:lineRule="exact"/>
        <w:rPr>
          <w:sz w:val="20"/>
          <w:szCs w:val="20"/>
          <w:color w:val="auto"/>
        </w:rPr>
      </w:pPr>
    </w:p>
    <w:p>
      <w:pPr>
        <w:ind w:left="860" w:hanging="424"/>
        <w:spacing w:after="0"/>
        <w:tabs>
          <w:tab w:leader="none" w:pos="860"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1Q18 Adjusted results exclude the following:</w:t>
      </w:r>
    </w:p>
    <w:p>
      <w:pPr>
        <w:spacing w:after="0" w:line="131" w:lineRule="exact"/>
        <w:rPr>
          <w:sz w:val="20"/>
          <w:szCs w:val="20"/>
          <w:color w:val="auto"/>
        </w:rPr>
      </w:pPr>
    </w:p>
    <w:p>
      <w:pPr>
        <w:ind w:left="860" w:right="20" w:hanging="316"/>
        <w:spacing w:after="0" w:line="264" w:lineRule="auto"/>
        <w:tabs>
          <w:tab w:leader="none" w:pos="8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Amortization expense for identifiable intangibles of approximately $30 million pretax, or $0.17 per diluted common share; GAAP measures affected in this release include consolidated pretax, EPS, and segment earnings (for respective amortization expense for the Retail and Group and Specialty segments).</w:t>
      </w:r>
    </w:p>
    <w:p>
      <w:pPr>
        <w:spacing w:after="0" w:line="86" w:lineRule="exact"/>
        <w:rPr>
          <w:rFonts w:ascii="Arial" w:cs="Arial" w:eastAsia="Arial" w:hAnsi="Arial"/>
          <w:sz w:val="18"/>
          <w:szCs w:val="18"/>
          <w:color w:val="auto"/>
        </w:rPr>
      </w:pPr>
    </w:p>
    <w:p>
      <w:pPr>
        <w:ind w:left="860" w:right="260" w:hanging="316"/>
        <w:spacing w:after="0" w:line="264" w:lineRule="auto"/>
        <w:tabs>
          <w:tab w:leader="none" w:pos="8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Segment earnings of $53 million, or $0.29 per diluted common share, for the company’s Individual Commercial segment given the company’s exit on January 1, 2018, as previously disclosed. GAAP measures affected in this release include consolidated pretax income, EPS, consolidated revenues, consolidated benefit ratio, and consolidated operating cost ratio.</w:t>
      </w:r>
    </w:p>
    <w:p>
      <w:pPr>
        <w:spacing w:after="0" w:line="86" w:lineRule="exact"/>
        <w:rPr>
          <w:rFonts w:ascii="Arial" w:cs="Arial" w:eastAsia="Arial" w:hAnsi="Arial"/>
          <w:sz w:val="18"/>
          <w:szCs w:val="18"/>
          <w:color w:val="auto"/>
        </w:rPr>
      </w:pPr>
    </w:p>
    <w:p>
      <w:pPr>
        <w:ind w:left="860" w:right="260" w:hanging="316"/>
        <w:spacing w:after="0" w:line="277" w:lineRule="auto"/>
        <w:tabs>
          <w:tab w:leader="none" w:pos="8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Adjustment of $0.05 per diluted common share related to provisional estimates for the income tax effects related to the Tax Reform Law. The only GAAP measure affected in this release is EPS.</w:t>
      </w:r>
    </w:p>
    <w:p>
      <w:pPr>
        <w:spacing w:after="0" w:line="76" w:lineRule="exact"/>
        <w:rPr>
          <w:sz w:val="20"/>
          <w:szCs w:val="20"/>
          <w:color w:val="auto"/>
        </w:rPr>
      </w:pPr>
    </w:p>
    <w:p>
      <w:pPr>
        <w:ind w:left="860" w:right="200" w:hanging="424"/>
        <w:spacing w:after="0" w:line="264" w:lineRule="auto"/>
        <w:tabs>
          <w:tab w:leader="none" w:pos="8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Healthcare Services segment Adjusted EBITDA includes GAAP segment earnings with adjustments to add back depreciation and amortization expense, interest expense, and income taxes. The Adjusted EBITDA includes results from the all lines of business within the segment and the impact of Humana’s 40% minority interest in Kindred at Home.</w:t>
      </w:r>
    </w:p>
    <w:p>
      <w:pPr>
        <w:spacing w:after="0" w:line="86" w:lineRule="exact"/>
        <w:rPr>
          <w:rFonts w:ascii="Arial" w:cs="Arial" w:eastAsia="Arial" w:hAnsi="Arial"/>
          <w:sz w:val="18"/>
          <w:szCs w:val="18"/>
          <w:color w:val="auto"/>
        </w:rPr>
      </w:pPr>
    </w:p>
    <w:p>
      <w:pPr>
        <w:ind w:left="860" w:hanging="424"/>
        <w:spacing w:after="0"/>
        <w:tabs>
          <w:tab w:leader="none" w:pos="860"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FY 2019 Adjusted EPS projections exclude the following:</w:t>
      </w:r>
    </w:p>
    <w:p>
      <w:pPr>
        <w:spacing w:after="0" w:line="130" w:lineRule="exact"/>
        <w:rPr>
          <w:rFonts w:ascii="Arial" w:cs="Arial" w:eastAsia="Arial" w:hAnsi="Arial"/>
          <w:sz w:val="18"/>
          <w:szCs w:val="18"/>
          <w:color w:val="auto"/>
        </w:rPr>
      </w:pPr>
    </w:p>
    <w:p>
      <w:pPr>
        <w:ind w:left="860" w:hanging="316"/>
        <w:spacing w:after="0"/>
        <w:tabs>
          <w:tab w:leader="none" w:pos="860" w:val="left"/>
        </w:tabs>
        <w:numPr>
          <w:ilvl w:val="1"/>
          <w:numId w:val="36"/>
        </w:numPr>
        <w:rPr>
          <w:rFonts w:ascii="Arial" w:cs="Arial" w:eastAsia="Arial" w:hAnsi="Arial"/>
          <w:sz w:val="18"/>
          <w:szCs w:val="18"/>
          <w:color w:val="auto"/>
        </w:rPr>
      </w:pPr>
      <w:r>
        <w:rPr>
          <w:rFonts w:ascii="Arial" w:cs="Arial" w:eastAsia="Arial" w:hAnsi="Arial"/>
          <w:sz w:val="18"/>
          <w:szCs w:val="18"/>
          <w:color w:val="auto"/>
        </w:rPr>
        <w:t>Amortization expense for identifiable intangibles of approximately $0.40 per diluted common share.</w:t>
      </w:r>
    </w:p>
    <w:p>
      <w:pPr>
        <w:spacing w:after="0" w:line="130" w:lineRule="exact"/>
        <w:rPr>
          <w:rFonts w:ascii="Arial" w:cs="Arial" w:eastAsia="Arial" w:hAnsi="Arial"/>
          <w:sz w:val="18"/>
          <w:szCs w:val="18"/>
          <w:color w:val="auto"/>
        </w:rPr>
      </w:pPr>
    </w:p>
    <w:p>
      <w:pPr>
        <w:ind w:left="860" w:hanging="316"/>
        <w:spacing w:after="0" w:line="264" w:lineRule="auto"/>
        <w:tabs>
          <w:tab w:leader="none" w:pos="860" w:val="left"/>
        </w:tabs>
        <w:numPr>
          <w:ilvl w:val="1"/>
          <w:numId w:val="36"/>
        </w:numPr>
        <w:rPr>
          <w:rFonts w:ascii="Arial" w:cs="Arial" w:eastAsia="Arial" w:hAnsi="Arial"/>
          <w:sz w:val="18"/>
          <w:szCs w:val="18"/>
          <w:color w:val="auto"/>
        </w:rPr>
      </w:pPr>
      <w:r>
        <w:rPr>
          <w:rFonts w:ascii="Arial" w:cs="Arial" w:eastAsia="Arial" w:hAnsi="Arial"/>
          <w:sz w:val="18"/>
          <w:szCs w:val="18"/>
          <w:color w:val="auto"/>
        </w:rPr>
        <w:t>Put/call valuation adjustments of approximately $0.22 per diluted common share, associated with Humana’s 40% minority interest in Kindred at Home. FY 2019 GAAP EPS guidance excludes the impact of future value changes of the Kindred at Home put/call option, which cannot be estimated.</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0"/>
          </w:cols>
          <w:pgMar w:left="440" w:top="274" w:right="459" w:bottom="1440" w:gutter="0" w:footer="0" w:header="0"/>
        </w:sectPr>
      </w:pPr>
    </w:p>
    <w:bookmarkStart w:id="25" w:name="page26"/>
    <w:bookmarkEnd w:id="25"/>
    <w:p>
      <w:pPr>
        <w:ind w:left="860" w:hanging="424"/>
        <w:spacing w:after="0"/>
        <w:tabs>
          <w:tab w:leader="none" w:pos="860"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FY 2018 Adjusted results exclude the following:</w:t>
      </w:r>
    </w:p>
    <w:p>
      <w:pPr>
        <w:spacing w:after="0" w:line="131" w:lineRule="exact"/>
        <w:rPr>
          <w:sz w:val="20"/>
          <w:szCs w:val="20"/>
          <w:color w:val="auto"/>
        </w:rPr>
      </w:pPr>
    </w:p>
    <w:p>
      <w:pPr>
        <w:ind w:left="860" w:hanging="316"/>
        <w:spacing w:after="0"/>
        <w:tabs>
          <w:tab w:leader="none" w:pos="8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Amortization expense for identifiable intangibles of approximately $90 million pretax, or $0.49 per diluted common share.</w:t>
      </w:r>
    </w:p>
    <w:p>
      <w:pPr>
        <w:spacing w:after="0" w:line="130" w:lineRule="exact"/>
        <w:rPr>
          <w:rFonts w:ascii="Arial" w:cs="Arial" w:eastAsia="Arial" w:hAnsi="Arial"/>
          <w:sz w:val="18"/>
          <w:szCs w:val="18"/>
          <w:color w:val="auto"/>
        </w:rPr>
      </w:pPr>
    </w:p>
    <w:p>
      <w:pPr>
        <w:ind w:left="860" w:right="160" w:hanging="316"/>
        <w:spacing w:after="0" w:line="277" w:lineRule="auto"/>
        <w:tabs>
          <w:tab w:leader="none" w:pos="8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Put/call valuation adjustments of approximately $33 million, or $0.18 per diluted common share, associated with Humana’s 40% minority interest in Kindred at Home.</w:t>
      </w:r>
    </w:p>
    <w:p>
      <w:pPr>
        <w:spacing w:after="0" w:line="75" w:lineRule="exact"/>
        <w:rPr>
          <w:rFonts w:ascii="Arial" w:cs="Arial" w:eastAsia="Arial" w:hAnsi="Arial"/>
          <w:sz w:val="18"/>
          <w:szCs w:val="18"/>
          <w:color w:val="auto"/>
        </w:rPr>
      </w:pPr>
    </w:p>
    <w:p>
      <w:pPr>
        <w:ind w:left="860" w:right="320" w:hanging="316"/>
        <w:spacing w:after="0" w:line="277" w:lineRule="auto"/>
        <w:tabs>
          <w:tab w:leader="none" w:pos="8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Loss of approximately $786 million pretax, or $2.41 per diluted common share, associated with the company’s sale of its wholly-owned subsidiary, KMG.</w:t>
      </w:r>
    </w:p>
    <w:p>
      <w:pPr>
        <w:spacing w:after="0" w:line="75" w:lineRule="exact"/>
        <w:rPr>
          <w:rFonts w:ascii="Arial" w:cs="Arial" w:eastAsia="Arial" w:hAnsi="Arial"/>
          <w:sz w:val="18"/>
          <w:szCs w:val="18"/>
          <w:color w:val="auto"/>
        </w:rPr>
      </w:pPr>
    </w:p>
    <w:p>
      <w:pPr>
        <w:ind w:left="860" w:right="300" w:hanging="316"/>
        <w:spacing w:after="0" w:line="277" w:lineRule="auto"/>
        <w:tabs>
          <w:tab w:leader="none" w:pos="8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Segment earnings of approximately $74 million, or $0.41 per diluted common share, for the company’s Individual Commercial segment given the company’s exit on January 1, 2018, as previously disclosed.</w:t>
      </w:r>
    </w:p>
    <w:p>
      <w:pPr>
        <w:spacing w:after="0" w:line="75" w:lineRule="exact"/>
        <w:rPr>
          <w:rFonts w:ascii="Arial" w:cs="Arial" w:eastAsia="Arial" w:hAnsi="Arial"/>
          <w:sz w:val="18"/>
          <w:szCs w:val="18"/>
          <w:color w:val="auto"/>
        </w:rPr>
      </w:pPr>
    </w:p>
    <w:p>
      <w:pPr>
        <w:ind w:left="860" w:hanging="316"/>
        <w:spacing w:after="0"/>
        <w:tabs>
          <w:tab w:leader="none" w:pos="8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Adjustment of $0.28 per diluted common share related to provisional estimates for the income tax effects related to the Tax Reform Law.</w:t>
      </w:r>
    </w:p>
    <w:p>
      <w:pPr>
        <w:spacing w:after="0" w:line="154" w:lineRule="exact"/>
        <w:rPr>
          <w:sz w:val="20"/>
          <w:szCs w:val="20"/>
          <w:color w:val="auto"/>
        </w:rPr>
      </w:pPr>
    </w:p>
    <w:p>
      <w:pPr>
        <w:ind w:left="860" w:hanging="424"/>
        <w:spacing w:after="0"/>
        <w:tabs>
          <w:tab w:leader="none" w:pos="8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Excludes estimates of changes in revenues associated with increased accuracy of risk coding.</w:t>
      </w:r>
    </w:p>
    <w:p>
      <w:pPr>
        <w:spacing w:after="0" w:line="130" w:lineRule="exact"/>
        <w:rPr>
          <w:rFonts w:ascii="Arial" w:cs="Arial" w:eastAsia="Arial" w:hAnsi="Arial"/>
          <w:sz w:val="18"/>
          <w:szCs w:val="18"/>
          <w:color w:val="auto"/>
        </w:rPr>
      </w:pPr>
    </w:p>
    <w:p>
      <w:pPr>
        <w:ind w:left="860" w:right="100" w:hanging="424"/>
        <w:spacing w:after="0" w:line="302" w:lineRule="auto"/>
        <w:tabs>
          <w:tab w:leader="none" w:pos="8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Generally, when the first day of a month falls on a weekend or holiday, with the exception of January 1 (New Year’s Day), the company receives its monthly Medicare premium payment from CMS on the last business day of the previous month. On a GAAP basis, this can result in certain quarterly cash flows from operations including more or less than three monthly payments. Consequently, when this occurs, the company reports Adjusted cash flows from operations to reflect three payments in each quarter to match the related expenses.</w:t>
      </w:r>
    </w:p>
    <w:p>
      <w:pPr>
        <w:spacing w:after="0" w:line="59" w:lineRule="exact"/>
        <w:rPr>
          <w:rFonts w:ascii="Arial" w:cs="Arial" w:eastAsia="Arial" w:hAnsi="Arial"/>
          <w:sz w:val="16"/>
          <w:szCs w:val="16"/>
          <w:color w:val="auto"/>
        </w:rPr>
      </w:pPr>
    </w:p>
    <w:p>
      <w:pPr>
        <w:ind w:left="860" w:right="100" w:hanging="424"/>
        <w:spacing w:after="0" w:line="264" w:lineRule="auto"/>
        <w:tabs>
          <w:tab w:leader="none" w:pos="8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company provides a full range of insured specialty products including dental, vision, and other supplemental health benefits, including group life benefits, marketed to individuals and groups. Members included in these products may not be unique to each product since members have the ability to enroll in multiple products.</w:t>
      </w:r>
    </w:p>
    <w:p>
      <w:pPr>
        <w:spacing w:after="0" w:line="86" w:lineRule="exact"/>
        <w:rPr>
          <w:rFonts w:ascii="Arial" w:cs="Arial" w:eastAsia="Arial" w:hAnsi="Arial"/>
          <w:sz w:val="18"/>
          <w:szCs w:val="18"/>
          <w:color w:val="auto"/>
        </w:rPr>
      </w:pPr>
    </w:p>
    <w:p>
      <w:pPr>
        <w:ind w:left="860" w:hanging="424"/>
        <w:spacing w:after="0" w:line="297" w:lineRule="auto"/>
        <w:tabs>
          <w:tab w:leader="none" w:pos="8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Includes Medicare Advantage (including Special Needs Plans (SNP)) and dual-eligible demonstration program members enrolled in one of Humana’s chronic care programs. These members may be enrolled in Humana At Home Chronic Care Program (HCCP), Humana At Home Remote Monitoring, or an Advance Illness Support program. Members included in these programs may not be unique to each program since members have the ability to enroll in multiple programs. In addition, the members in the HCCP program may receive varying levels of care management based on their health status and needs, ranging from active care management to ongoing monitoring.</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Cautionary Statement</w:t>
      </w:r>
    </w:p>
    <w:p>
      <w:pPr>
        <w:spacing w:after="0" w:line="121" w:lineRule="exact"/>
        <w:rPr>
          <w:sz w:val="20"/>
          <w:szCs w:val="20"/>
          <w:color w:val="auto"/>
        </w:rPr>
      </w:pPr>
    </w:p>
    <w:p>
      <w:pPr>
        <w:ind w:left="440" w:right="60"/>
        <w:spacing w:after="0" w:line="302" w:lineRule="auto"/>
        <w:rPr>
          <w:sz w:val="20"/>
          <w:szCs w:val="20"/>
          <w:color w:val="auto"/>
        </w:rPr>
      </w:pPr>
      <w:r>
        <w:rPr>
          <w:rFonts w:ascii="Arial" w:cs="Arial" w:eastAsia="Arial" w:hAnsi="Arial"/>
          <w:sz w:val="16"/>
          <w:szCs w:val="16"/>
          <w:color w:val="auto"/>
        </w:rPr>
        <w:t>This news release includes forward-looking statements regarding Humana within the meaning of the Private Securities Litigation Reform Act of 1995. When used in investor presentations, press releases, Securities and Exchange Commission (SEC) filings, and in oral statements made by or with the approval of one of Humana’s executive officers, the words or phrases like “expects,” “believes,” “anticipates,” “intends,” “likely will result,” “estimates,” “projects” or variations of such words and similar expressions are intended to identify such forward-looking statements.</w:t>
      </w:r>
    </w:p>
    <w:p>
      <w:pPr>
        <w:spacing w:after="0" w:line="46" w:lineRule="exact"/>
        <w:rPr>
          <w:sz w:val="20"/>
          <w:szCs w:val="20"/>
          <w:color w:val="auto"/>
        </w:rPr>
      </w:pPr>
    </w:p>
    <w:p>
      <w:pPr>
        <w:jc w:val="both"/>
        <w:ind w:left="440" w:right="300"/>
        <w:spacing w:after="0" w:line="264" w:lineRule="auto"/>
        <w:rPr>
          <w:sz w:val="20"/>
          <w:szCs w:val="20"/>
          <w:color w:val="auto"/>
        </w:rPr>
      </w:pPr>
      <w:r>
        <w:rPr>
          <w:rFonts w:ascii="Arial" w:cs="Arial" w:eastAsia="Arial" w:hAnsi="Arial"/>
          <w:sz w:val="18"/>
          <w:szCs w:val="18"/>
          <w:color w:val="auto"/>
        </w:rPr>
        <w:t>These forward-looking statements are not guarantees of future performance and are subject to risks, uncertainties, and assumptions, including, among other things, information set forth in the “Risk Factors” section of the company’s SEC filings, a summary of which includes but is not limited to the following:</w:t>
      </w:r>
    </w:p>
    <w:p>
      <w:pPr>
        <w:spacing w:after="0" w:line="87" w:lineRule="exact"/>
        <w:rPr>
          <w:sz w:val="20"/>
          <w:szCs w:val="20"/>
          <w:color w:val="auto"/>
        </w:rPr>
      </w:pPr>
    </w:p>
    <w:p>
      <w:pPr>
        <w:ind w:left="1420" w:right="40" w:hanging="430"/>
        <w:spacing w:after="0" w:line="287" w:lineRule="auto"/>
        <w:tabs>
          <w:tab w:leader="none" w:pos="1420" w:val="left"/>
        </w:tabs>
        <w:numPr>
          <w:ilvl w:val="0"/>
          <w:numId w:val="40"/>
        </w:numPr>
        <w:rPr>
          <w:rFonts w:ascii="Arial" w:cs="Arial" w:eastAsia="Arial" w:hAnsi="Arial"/>
          <w:sz w:val="16"/>
          <w:szCs w:val="16"/>
          <w:color w:val="auto"/>
        </w:rPr>
      </w:pPr>
      <w:r>
        <w:rPr>
          <w:rFonts w:ascii="Arial" w:cs="Arial" w:eastAsia="Arial" w:hAnsi="Arial"/>
          <w:sz w:val="16"/>
          <w:szCs w:val="16"/>
          <w:color w:val="auto"/>
        </w:rPr>
        <w:t>If Humana does not design and price its products properly and competitively, if the premiums Humana receives are insufficient to cover the cost of healthcare services delivered to its members, if the company is unable to implement clinical initiatives to provide a better healthcare experience for its members, lower costs and appropriately document the risk profile of its members, or if its estimates of benefits expense are inadequate, Humana’s profitability could be materially adversely affected. Humana estimates the costs of its benefit expense payments, and designs and prices its products accordingly, using actuarial methods and assumptions based upon, among other relevant factors, claim payment patterns, medical cost inflation, and historical developments such as claim inventory levels and claim receipt patterns. The company continually reviews estimates of future payments relating to benefit expenses for services incurred in the current and prior periods and makes necessary adjustments to its reserves, including premium deficiency reserves, where appropriate. These estimates, however, involve extensive judgment, and have considerable inherent variability because they are extremely sensitive to changes in claim payment patterns and medical cost trends, so any reserves the company may establish, including premium deficiency reserves, may be insufficient.</w:t>
      </w:r>
    </w:p>
    <w:p>
      <w:pPr>
        <w:spacing w:after="0" w:line="78" w:lineRule="exact"/>
        <w:rPr>
          <w:rFonts w:ascii="Arial" w:cs="Arial" w:eastAsia="Arial" w:hAnsi="Arial"/>
          <w:sz w:val="16"/>
          <w:szCs w:val="16"/>
          <w:color w:val="auto"/>
        </w:rPr>
      </w:pPr>
    </w:p>
    <w:p>
      <w:pPr>
        <w:ind w:left="1420" w:right="60" w:hanging="430"/>
        <w:spacing w:after="0" w:line="259" w:lineRule="auto"/>
        <w:tabs>
          <w:tab w:leader="none" w:pos="14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If Humana fails to effectively implement its operational and strategic initiatives, particularly its Medicare initiatives and state-based contract strategy, the company’s business may be materially adversely affected, which is of particular importance given the concentration of the company’s revenues in these products. In addition, there can be no assurances that the company will be successful in maintaining or improving its Star ratings in future years.</w:t>
      </w:r>
    </w:p>
    <w:p>
      <w:pPr>
        <w:spacing w:after="0" w:line="92" w:lineRule="exact"/>
        <w:rPr>
          <w:rFonts w:ascii="Arial" w:cs="Arial" w:eastAsia="Arial" w:hAnsi="Arial"/>
          <w:sz w:val="18"/>
          <w:szCs w:val="18"/>
          <w:color w:val="auto"/>
        </w:rPr>
      </w:pPr>
    </w:p>
    <w:p>
      <w:pPr>
        <w:ind w:left="1420" w:right="240" w:hanging="430"/>
        <w:spacing w:after="0" w:line="264" w:lineRule="auto"/>
        <w:tabs>
          <w:tab w:leader="none" w:pos="14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If Humana fails to properly maintain the integrity of its data, to strategically implement new information systems, to protect Humana’s proprietary rights to its systems, or to defend against cyber-security attacks, the company’s business may be materially adversely affected.</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80"/>
          </w:cols>
          <w:pgMar w:left="440" w:top="274" w:right="479" w:bottom="1440" w:gutter="0" w:footer="0" w:header="0"/>
        </w:sectPr>
      </w:pPr>
    </w:p>
    <w:bookmarkStart w:id="26" w:name="page27"/>
    <w:bookmarkEnd w:id="26"/>
    <w:p>
      <w:pPr>
        <w:ind w:left="1420" w:right="120" w:hanging="430"/>
        <w:spacing w:after="0" w:line="257" w:lineRule="auto"/>
        <w:tabs>
          <w:tab w:leader="none" w:pos="1420" w:val="left"/>
        </w:tabs>
        <w:numPr>
          <w:ilvl w:val="0"/>
          <w:numId w:val="4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Humana is involved in various legal actions, or disputes that could lead to legal actions (such as, among other things, provider contract disputes and qui tam litigation brought by individuals on behalf of the government), governmental and internal investigations, and routine internal review of business processes any of which, if resolved unfavorably to the company, could result in substantial monetary damages or changes in its business practices. Increased litigation and negative publicity could also increase the company’s cost of doing business.</w:t>
      </w:r>
    </w:p>
    <w:p>
      <w:pPr>
        <w:spacing w:after="0" w:line="93" w:lineRule="exact"/>
        <w:rPr>
          <w:rFonts w:ascii="Arial" w:cs="Arial" w:eastAsia="Arial" w:hAnsi="Arial"/>
          <w:sz w:val="18"/>
          <w:szCs w:val="18"/>
          <w:color w:val="auto"/>
        </w:rPr>
      </w:pPr>
    </w:p>
    <w:p>
      <w:pPr>
        <w:ind w:left="1420" w:right="40" w:hanging="430"/>
        <w:spacing w:after="0" w:line="270" w:lineRule="auto"/>
        <w:tabs>
          <w:tab w:leader="none" w:pos="1420" w:val="left"/>
        </w:tabs>
        <w:numPr>
          <w:ilvl w:val="0"/>
          <w:numId w:val="41"/>
        </w:numPr>
        <w:rPr>
          <w:rFonts w:ascii="Arial" w:cs="Arial" w:eastAsia="Arial" w:hAnsi="Arial"/>
          <w:sz w:val="17"/>
          <w:szCs w:val="17"/>
          <w:color w:val="auto"/>
        </w:rPr>
      </w:pPr>
      <w:r>
        <w:rPr>
          <w:rFonts w:ascii="Arial" w:cs="Arial" w:eastAsia="Arial" w:hAnsi="Arial"/>
          <w:sz w:val="17"/>
          <w:szCs w:val="17"/>
          <w:color w:val="auto"/>
        </w:rPr>
        <w:t>As a government contractor, Humana is exposed to risks that may materially adversely affect its business or its willingness or ability to participate in government healthcare programs including, among other things, loss of material government contracts, governmental audits and investigations, potential inadequacy of government determined payment rates, potential restrictions on profitability, including by comparison of profitability of the company’s Medicare Advantage business to non-Medicare Advantage business, or other changes in the governmental programs in which Humana participates. Changes to the risk-adjustment model utilized by CMS to adjust premiums paid to Medicare Advantage, or MA, plans according to the health status of covered members, including proposed changes to the methodology used by CMS for risk adjustment data validation audits that fail to address adequately the statutory requirement of actuarial equivalence, if implemented, could have a material adverse effect on our operating results, financial position and cash flows.</w:t>
      </w:r>
    </w:p>
    <w:p>
      <w:pPr>
        <w:spacing w:after="0" w:line="87" w:lineRule="exact"/>
        <w:rPr>
          <w:rFonts w:ascii="Arial" w:cs="Arial" w:eastAsia="Arial" w:hAnsi="Arial"/>
          <w:sz w:val="17"/>
          <w:szCs w:val="17"/>
          <w:color w:val="auto"/>
        </w:rPr>
      </w:pPr>
    </w:p>
    <w:p>
      <w:pPr>
        <w:ind w:left="1420" w:hanging="430"/>
        <w:spacing w:after="0" w:line="289" w:lineRule="auto"/>
        <w:tabs>
          <w:tab w:leader="none" w:pos="142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Healthcare Reform Law, including The Patient Protection and Affordable Care Act and The Healthcare and Education Reconciliation Act of 2010, could have a material adverse effect on Humana’s results of operations, including restricting revenue, enrollment and premium growth in certain products and market segments, restricting the company’s ability to expand into new markets, increasing the company’s medical and operating costs by, among other things, requiring a minimum benefit ratio on insured products, lowering the company’s Medicare payment rates and increasing the company’s expenses associated with a non-deductible health insurance industry fee and other assessments; the company’s financial position, including the company’s ability to maintain the value of its goodwill; and the company’s cash flows. Additionally, potential legislative or judicial changes, including activities to invalidate, repeal or replace, in whole or in part, the Health Care Reform Law, creates uncertainty for Humana’s business, and when, or in what form, such legislative or judicial changes may occur cannot be predicted with certainty.</w:t>
      </w:r>
    </w:p>
    <w:p>
      <w:pPr>
        <w:spacing w:after="0" w:line="72" w:lineRule="exact"/>
        <w:rPr>
          <w:rFonts w:ascii="Arial" w:cs="Arial" w:eastAsia="Arial" w:hAnsi="Arial"/>
          <w:sz w:val="16"/>
          <w:szCs w:val="16"/>
          <w:color w:val="auto"/>
        </w:rPr>
      </w:pPr>
    </w:p>
    <w:p>
      <w:pPr>
        <w:ind w:left="1420" w:right="120" w:hanging="430"/>
        <w:spacing w:after="0" w:line="264" w:lineRule="auto"/>
        <w:tabs>
          <w:tab w:leader="none" w:pos="14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Humana’s business activities are subject to substantial government regulation. New laws or regulations, or changes in existing laws or regulations or their manner of application could increase the company’s cost of doing business and may adversely affect the company’s business, profitability and cash flows.</w:t>
      </w:r>
    </w:p>
    <w:p>
      <w:pPr>
        <w:spacing w:after="0" w:line="86" w:lineRule="exact"/>
        <w:rPr>
          <w:rFonts w:ascii="Arial" w:cs="Arial" w:eastAsia="Arial" w:hAnsi="Arial"/>
          <w:sz w:val="18"/>
          <w:szCs w:val="18"/>
          <w:color w:val="auto"/>
        </w:rPr>
      </w:pPr>
    </w:p>
    <w:p>
      <w:pPr>
        <w:ind w:left="1420" w:right="280" w:hanging="430"/>
        <w:spacing w:after="0" w:line="277" w:lineRule="auto"/>
        <w:tabs>
          <w:tab w:leader="none" w:pos="14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Humana’s failure to manage acquisitions, divestitures and other significant transactions successfully may have a material adverse effect on the company’s results of operations, financial position, and cash flows.</w:t>
      </w:r>
    </w:p>
    <w:p>
      <w:pPr>
        <w:spacing w:after="0" w:line="75" w:lineRule="exact"/>
        <w:rPr>
          <w:rFonts w:ascii="Arial" w:cs="Arial" w:eastAsia="Arial" w:hAnsi="Arial"/>
          <w:sz w:val="18"/>
          <w:szCs w:val="18"/>
          <w:color w:val="auto"/>
        </w:rPr>
      </w:pPr>
    </w:p>
    <w:p>
      <w:pPr>
        <w:ind w:left="1420" w:right="40" w:hanging="430"/>
        <w:spacing w:after="0" w:line="277" w:lineRule="auto"/>
        <w:tabs>
          <w:tab w:leader="none" w:pos="14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If Humana fails to develop and maintain satisfactory relationships with the providers of care to its members, the company’s business may be adversely affected.</w:t>
      </w:r>
    </w:p>
    <w:p>
      <w:pPr>
        <w:spacing w:after="0" w:line="75" w:lineRule="exact"/>
        <w:rPr>
          <w:rFonts w:ascii="Arial" w:cs="Arial" w:eastAsia="Arial" w:hAnsi="Arial"/>
          <w:sz w:val="18"/>
          <w:szCs w:val="18"/>
          <w:color w:val="auto"/>
        </w:rPr>
      </w:pPr>
    </w:p>
    <w:p>
      <w:pPr>
        <w:ind w:left="1420" w:right="20" w:hanging="430"/>
        <w:spacing w:after="0" w:line="277" w:lineRule="auto"/>
        <w:tabs>
          <w:tab w:leader="none" w:pos="14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Humana’s pharmacy business is highly competitive and subjects it to regulations in addition to those the company faces with its core health benefits businesses.</w:t>
      </w:r>
    </w:p>
    <w:p>
      <w:pPr>
        <w:spacing w:after="0" w:line="75" w:lineRule="exact"/>
        <w:rPr>
          <w:rFonts w:ascii="Arial" w:cs="Arial" w:eastAsia="Arial" w:hAnsi="Arial"/>
          <w:sz w:val="18"/>
          <w:szCs w:val="18"/>
          <w:color w:val="auto"/>
        </w:rPr>
      </w:pPr>
    </w:p>
    <w:p>
      <w:pPr>
        <w:ind w:left="1420" w:hanging="430"/>
        <w:spacing w:after="0"/>
        <w:tabs>
          <w:tab w:leader="none" w:pos="14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Changes in the prescription drug industry pricing benchmarks may adversely affect Humana’s financial performance.</w:t>
      </w:r>
    </w:p>
    <w:p>
      <w:pPr>
        <w:spacing w:after="0" w:line="130" w:lineRule="exact"/>
        <w:rPr>
          <w:rFonts w:ascii="Arial" w:cs="Arial" w:eastAsia="Arial" w:hAnsi="Arial"/>
          <w:sz w:val="18"/>
          <w:szCs w:val="18"/>
          <w:color w:val="auto"/>
        </w:rPr>
      </w:pPr>
    </w:p>
    <w:p>
      <w:pPr>
        <w:ind w:left="1420" w:hanging="430"/>
        <w:spacing w:after="0" w:line="277" w:lineRule="auto"/>
        <w:tabs>
          <w:tab w:leader="none" w:pos="14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If Humana does not continue to earn and retain purchase discounts and volume rebates from pharmaceutical manufacturers at current levels, Humana’s gross margins may decline.</w:t>
      </w:r>
    </w:p>
    <w:p>
      <w:pPr>
        <w:spacing w:after="0" w:line="75" w:lineRule="exact"/>
        <w:rPr>
          <w:rFonts w:ascii="Arial" w:cs="Arial" w:eastAsia="Arial" w:hAnsi="Arial"/>
          <w:sz w:val="18"/>
          <w:szCs w:val="18"/>
          <w:color w:val="auto"/>
        </w:rPr>
      </w:pPr>
    </w:p>
    <w:p>
      <w:pPr>
        <w:ind w:left="1420" w:hanging="430"/>
        <w:spacing w:after="0"/>
        <w:tabs>
          <w:tab w:leader="none" w:pos="14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Humana’s ability to obtain funds from certain of its licensed subsidiaries is restricted by state insurance regulations.</w:t>
      </w:r>
    </w:p>
    <w:p>
      <w:pPr>
        <w:spacing w:after="0" w:line="130" w:lineRule="exact"/>
        <w:rPr>
          <w:rFonts w:ascii="Arial" w:cs="Arial" w:eastAsia="Arial" w:hAnsi="Arial"/>
          <w:sz w:val="18"/>
          <w:szCs w:val="18"/>
          <w:color w:val="auto"/>
        </w:rPr>
      </w:pPr>
    </w:p>
    <w:p>
      <w:pPr>
        <w:ind w:left="1420" w:right="420" w:hanging="430"/>
        <w:spacing w:after="0" w:line="277" w:lineRule="auto"/>
        <w:tabs>
          <w:tab w:leader="none" w:pos="14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Downgrades in Humana’s debt ratings, should they occur, may adversely affect its business, results of operations, and financial condition.</w:t>
      </w:r>
    </w:p>
    <w:p>
      <w:pPr>
        <w:spacing w:after="0" w:line="75" w:lineRule="exact"/>
        <w:rPr>
          <w:rFonts w:ascii="Arial" w:cs="Arial" w:eastAsia="Arial" w:hAnsi="Arial"/>
          <w:sz w:val="18"/>
          <w:szCs w:val="18"/>
          <w:color w:val="auto"/>
        </w:rPr>
      </w:pPr>
    </w:p>
    <w:p>
      <w:pPr>
        <w:ind w:left="1420" w:hanging="430"/>
        <w:spacing w:after="0"/>
        <w:tabs>
          <w:tab w:leader="none" w:pos="142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securities and credit markets may experience volatility and disruption, which may adversely affect Humana’s business.</w:t>
      </w:r>
    </w:p>
    <w:p>
      <w:pPr>
        <w:spacing w:after="0" w:line="129" w:lineRule="exact"/>
        <w:rPr>
          <w:sz w:val="20"/>
          <w:szCs w:val="20"/>
          <w:color w:val="auto"/>
        </w:rPr>
      </w:pPr>
    </w:p>
    <w:p>
      <w:pPr>
        <w:ind w:left="440" w:right="240"/>
        <w:spacing w:after="0" w:line="259" w:lineRule="auto"/>
        <w:rPr>
          <w:sz w:val="20"/>
          <w:szCs w:val="20"/>
          <w:color w:val="auto"/>
        </w:rPr>
      </w:pPr>
      <w:r>
        <w:rPr>
          <w:rFonts w:ascii="Arial" w:cs="Arial" w:eastAsia="Arial" w:hAnsi="Arial"/>
          <w:sz w:val="18"/>
          <w:szCs w:val="18"/>
          <w:color w:val="auto"/>
        </w:rPr>
        <w:t>In making forward-looking statements, Humana is not undertaking to address or update them in future filings or communications regarding its business or results. In light of these risks, uncertainties, and assumptions, the forward-looking events discussed herein may or may not occur. There also may be other risks that the company is unable to predict at this time. Any of these risks and uncertainties may cause actual results to differ materially from the results discussed in the forward-looking statements.</w:t>
      </w:r>
    </w:p>
    <w:p>
      <w:pPr>
        <w:spacing w:after="0" w:line="18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Humana advises investors to read the following documents as filed by the company with the SEC for further discussion both of the risks it faces and its historical performance:</w:t>
      </w:r>
    </w:p>
    <w:p>
      <w:pPr>
        <w:spacing w:after="0" w:line="76" w:lineRule="exact"/>
        <w:rPr>
          <w:sz w:val="20"/>
          <w:szCs w:val="20"/>
          <w:color w:val="auto"/>
        </w:rPr>
      </w:pPr>
    </w:p>
    <w:p>
      <w:pPr>
        <w:ind w:left="860" w:hanging="316"/>
        <w:spacing w:after="0"/>
        <w:tabs>
          <w:tab w:leader="none" w:pos="8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Form 10-K for the year ended December 31, 2018; and</w:t>
      </w:r>
    </w:p>
    <w:p>
      <w:pPr>
        <w:spacing w:after="0" w:line="130" w:lineRule="exact"/>
        <w:rPr>
          <w:rFonts w:ascii="Arial" w:cs="Arial" w:eastAsia="Arial" w:hAnsi="Arial"/>
          <w:sz w:val="18"/>
          <w:szCs w:val="18"/>
          <w:color w:val="auto"/>
        </w:rPr>
      </w:pPr>
    </w:p>
    <w:p>
      <w:pPr>
        <w:ind w:left="860" w:hanging="316"/>
        <w:spacing w:after="0"/>
        <w:tabs>
          <w:tab w:leader="none" w:pos="8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Form 8-Ks filed during 2019.</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0"/>
          </w:cols>
          <w:pgMar w:left="440" w:top="274" w:right="45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About Humana</w:t>
      </w:r>
    </w:p>
    <w:p>
      <w:pPr>
        <w:spacing w:after="0" w:line="12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Humana Inc. (NYSE: HUM) is committed to helping our millions of medical and specialty members achieve their best health. Our successful history in care delivery and health plan administration is helping us create a new kind of integrated care with the power to improve health and well-being and lower costs. Our efforts are leading to a better quality of life for people with Medicare, families, individuals, military service personnel, and communities at large.</w:t>
      </w:r>
    </w:p>
    <w:p>
      <w:pPr>
        <w:spacing w:after="0" w:line="187"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To accomplish that, we support physicians and other health care professionals as they work to deliver the right care in the right place for their patients, our members. Our range of clinical capabilities, resources and tools – such as in-home care, behavioral health, pharmacy services, data analytics and wellness solutions – combine to produce a simplified experience that makes health care easier to navigate and more effective.</w:t>
      </w:r>
    </w:p>
    <w:p>
      <w:pPr>
        <w:spacing w:after="0" w:line="14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More information regarding Humana is available to investors via the Investor Relations page of the company’s website at </w:t>
      </w:r>
      <w:r>
        <w:rPr>
          <w:rFonts w:ascii="Arial" w:cs="Arial" w:eastAsia="Arial" w:hAnsi="Arial"/>
          <w:sz w:val="18"/>
          <w:szCs w:val="18"/>
          <w:u w:val="single" w:color="auto"/>
          <w:color w:val="auto"/>
        </w:rPr>
        <w:t>humana.com,</w:t>
      </w:r>
      <w:r>
        <w:rPr>
          <w:rFonts w:ascii="Arial" w:cs="Arial" w:eastAsia="Arial" w:hAnsi="Arial"/>
          <w:sz w:val="18"/>
          <w:szCs w:val="18"/>
          <w:color w:val="auto"/>
        </w:rPr>
        <w:t xml:space="preserve"> including copies of:</w:t>
      </w:r>
    </w:p>
    <w:p>
      <w:pPr>
        <w:spacing w:after="0" w:line="76" w:lineRule="exact"/>
        <w:rPr>
          <w:sz w:val="20"/>
          <w:szCs w:val="20"/>
          <w:color w:val="auto"/>
        </w:rPr>
      </w:pPr>
    </w:p>
    <w:p>
      <w:pPr>
        <w:ind w:left="860" w:hanging="316"/>
        <w:spacing w:after="0"/>
        <w:tabs>
          <w:tab w:leader="none" w:pos="8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Annual reports to stockholders</w:t>
      </w:r>
    </w:p>
    <w:p>
      <w:pPr>
        <w:spacing w:after="0" w:line="130" w:lineRule="exact"/>
        <w:rPr>
          <w:rFonts w:ascii="Arial" w:cs="Arial" w:eastAsia="Arial" w:hAnsi="Arial"/>
          <w:sz w:val="18"/>
          <w:szCs w:val="18"/>
          <w:color w:val="auto"/>
        </w:rPr>
      </w:pPr>
    </w:p>
    <w:p>
      <w:pPr>
        <w:ind w:left="860" w:hanging="316"/>
        <w:spacing w:after="0"/>
        <w:tabs>
          <w:tab w:leader="none" w:pos="8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Securities and Exchange Commission filings</w:t>
      </w:r>
    </w:p>
    <w:p>
      <w:pPr>
        <w:spacing w:after="0" w:line="130" w:lineRule="exact"/>
        <w:rPr>
          <w:rFonts w:ascii="Arial" w:cs="Arial" w:eastAsia="Arial" w:hAnsi="Arial"/>
          <w:sz w:val="18"/>
          <w:szCs w:val="18"/>
          <w:color w:val="auto"/>
        </w:rPr>
      </w:pPr>
    </w:p>
    <w:p>
      <w:pPr>
        <w:ind w:left="860" w:hanging="316"/>
        <w:spacing w:after="0"/>
        <w:tabs>
          <w:tab w:leader="none" w:pos="8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Most recent investor conference presentations</w:t>
      </w:r>
    </w:p>
    <w:p>
      <w:pPr>
        <w:spacing w:after="0" w:line="130" w:lineRule="exact"/>
        <w:rPr>
          <w:rFonts w:ascii="Arial" w:cs="Arial" w:eastAsia="Arial" w:hAnsi="Arial"/>
          <w:sz w:val="18"/>
          <w:szCs w:val="18"/>
          <w:color w:val="auto"/>
        </w:rPr>
      </w:pPr>
    </w:p>
    <w:p>
      <w:pPr>
        <w:ind w:left="860" w:hanging="316"/>
        <w:spacing w:after="0"/>
        <w:tabs>
          <w:tab w:leader="none" w:pos="8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Quarterly earnings news releases and conference calls</w:t>
      </w:r>
    </w:p>
    <w:p>
      <w:pPr>
        <w:spacing w:after="0" w:line="130" w:lineRule="exact"/>
        <w:rPr>
          <w:rFonts w:ascii="Arial" w:cs="Arial" w:eastAsia="Arial" w:hAnsi="Arial"/>
          <w:sz w:val="18"/>
          <w:szCs w:val="18"/>
          <w:color w:val="auto"/>
        </w:rPr>
      </w:pPr>
    </w:p>
    <w:p>
      <w:pPr>
        <w:ind w:left="860" w:hanging="316"/>
        <w:spacing w:after="0"/>
        <w:tabs>
          <w:tab w:leader="none" w:pos="8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Calendar of events</w:t>
      </w:r>
    </w:p>
    <w:p>
      <w:pPr>
        <w:spacing w:after="0" w:line="130" w:lineRule="exact"/>
        <w:rPr>
          <w:rFonts w:ascii="Arial" w:cs="Arial" w:eastAsia="Arial" w:hAnsi="Arial"/>
          <w:sz w:val="18"/>
          <w:szCs w:val="18"/>
          <w:color w:val="auto"/>
        </w:rPr>
      </w:pPr>
    </w:p>
    <w:p>
      <w:pPr>
        <w:ind w:left="860" w:hanging="316"/>
        <w:spacing w:after="0"/>
        <w:tabs>
          <w:tab w:leader="none" w:pos="8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Corporate Governance information</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00"/>
          </w:cols>
          <w:pgMar w:left="440" w:top="270" w:right="459" w:bottom="1440" w:gutter="0" w:footer="0" w:header="0"/>
        </w:sectPr>
      </w:pPr>
    </w:p>
    <w:bookmarkStart w:id="28" w:name="page29"/>
    <w:bookmarkEnd w:id="28"/>
    <w:tbl>
      <w:tblPr>
        <w:tblLayout w:type="fixed"/>
        <w:tblInd w:w="180" w:type="dxa"/>
        <w:tblCellMar>
          <w:top w:w="0" w:type="dxa"/>
          <w:left w:w="0" w:type="dxa"/>
          <w:bottom w:w="0" w:type="dxa"/>
          <w:right w:w="0" w:type="dxa"/>
        </w:tblCellMar>
      </w:tblPr>
      <w:tr>
        <w:trPr>
          <w:trHeight w:val="161"/>
        </w:trPr>
        <w:tc>
          <w:tcPr>
            <w:tcW w:w="2180" w:type="dxa"/>
            <w:vAlign w:val="bottom"/>
          </w:tcPr>
          <w:p>
            <w:pPr>
              <w:jc w:val="center"/>
              <w:ind w:right="1248"/>
              <w:spacing w:after="0"/>
              <w:rPr>
                <w:sz w:val="20"/>
                <w:szCs w:val="20"/>
                <w:color w:val="auto"/>
              </w:rPr>
            </w:pPr>
            <w:r>
              <w:rPr>
                <w:rFonts w:ascii="Arial" w:cs="Arial" w:eastAsia="Arial" w:hAnsi="Arial"/>
                <w:sz w:val="14"/>
                <w:szCs w:val="14"/>
                <w:b w:val="1"/>
                <w:bCs w:val="1"/>
                <w:i w:val="1"/>
                <w:iCs w:val="1"/>
                <w:color w:val="auto"/>
                <w:w w:val="91"/>
              </w:rPr>
              <w:t>In accordance</w:t>
            </w:r>
          </w:p>
        </w:tc>
        <w:tc>
          <w:tcPr>
            <w:tcW w:w="486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180" w:type="dxa"/>
            <w:vAlign w:val="bottom"/>
          </w:tcPr>
          <w:p>
            <w:pPr>
              <w:jc w:val="center"/>
              <w:ind w:right="1268"/>
              <w:spacing w:after="0" w:line="149" w:lineRule="exact"/>
              <w:rPr>
                <w:sz w:val="20"/>
                <w:szCs w:val="20"/>
                <w:color w:val="auto"/>
              </w:rPr>
            </w:pPr>
            <w:r>
              <w:rPr>
                <w:rFonts w:ascii="Arial" w:cs="Arial" w:eastAsia="Arial" w:hAnsi="Arial"/>
                <w:sz w:val="14"/>
                <w:szCs w:val="14"/>
                <w:b w:val="1"/>
                <w:bCs w:val="1"/>
                <w:i w:val="1"/>
                <w:iCs w:val="1"/>
                <w:color w:val="auto"/>
                <w:w w:val="93"/>
              </w:rPr>
              <w:t>with GAAP</w:t>
            </w:r>
          </w:p>
        </w:tc>
        <w:tc>
          <w:tcPr>
            <w:tcW w:w="4860" w:type="dxa"/>
            <w:vAlign w:val="bottom"/>
            <w:vMerge w:val="restart"/>
          </w:tcPr>
          <w:p>
            <w:pPr>
              <w:jc w:val="center"/>
              <w:ind w:right="468"/>
              <w:spacing w:after="0"/>
              <w:rPr>
                <w:sz w:val="20"/>
                <w:szCs w:val="20"/>
                <w:color w:val="auto"/>
              </w:rPr>
            </w:pPr>
            <w:r>
              <w:rPr>
                <w:rFonts w:ascii="Arial" w:cs="Arial" w:eastAsia="Arial" w:hAnsi="Arial"/>
                <w:sz w:val="14"/>
                <w:szCs w:val="14"/>
                <w:b w:val="1"/>
                <w:bCs w:val="1"/>
                <w:color w:val="auto"/>
                <w:w w:val="96"/>
              </w:rPr>
              <w:t>Humana Inc.</w:t>
            </w:r>
          </w:p>
        </w:tc>
        <w:tc>
          <w:tcPr>
            <w:tcW w:w="2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180" w:type="dxa"/>
            <w:vAlign w:val="bottom"/>
          </w:tcPr>
          <w:p>
            <w:pPr>
              <w:jc w:val="center"/>
              <w:ind w:right="1248"/>
              <w:spacing w:after="0" w:line="145" w:lineRule="exact"/>
              <w:rPr>
                <w:sz w:val="20"/>
                <w:szCs w:val="20"/>
                <w:color w:val="auto"/>
              </w:rPr>
            </w:pPr>
            <w:r>
              <w:rPr>
                <w:rFonts w:ascii="Arial" w:cs="Arial" w:eastAsia="Arial" w:hAnsi="Arial"/>
                <w:sz w:val="14"/>
                <w:szCs w:val="14"/>
                <w:b w:val="1"/>
                <w:bCs w:val="1"/>
                <w:i w:val="1"/>
                <w:iCs w:val="1"/>
                <w:color w:val="auto"/>
                <w:w w:val="85"/>
              </w:rPr>
              <w:t>unless</w:t>
            </w:r>
          </w:p>
        </w:tc>
        <w:tc>
          <w:tcPr>
            <w:tcW w:w="4860" w:type="dxa"/>
            <w:vAlign w:val="bottom"/>
            <w:vMerge w:val="continue"/>
          </w:tcPr>
          <w:p>
            <w:pPr>
              <w:spacing w:after="0"/>
              <w:rPr>
                <w:sz w:val="12"/>
                <w:szCs w:val="12"/>
                <w:color w:val="auto"/>
              </w:rPr>
            </w:pPr>
          </w:p>
        </w:tc>
        <w:tc>
          <w:tcPr>
            <w:tcW w:w="2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80" w:type="dxa"/>
            <w:vAlign w:val="bottom"/>
          </w:tcPr>
          <w:p>
            <w:pPr>
              <w:jc w:val="center"/>
              <w:ind w:right="1268"/>
              <w:spacing w:after="0" w:line="149" w:lineRule="exact"/>
              <w:rPr>
                <w:sz w:val="20"/>
                <w:szCs w:val="20"/>
                <w:color w:val="auto"/>
              </w:rPr>
            </w:pPr>
            <w:r>
              <w:rPr>
                <w:rFonts w:ascii="Arial" w:cs="Arial" w:eastAsia="Arial" w:hAnsi="Arial"/>
                <w:sz w:val="14"/>
                <w:szCs w:val="14"/>
                <w:b w:val="1"/>
                <w:bCs w:val="1"/>
                <w:i w:val="1"/>
                <w:iCs w:val="1"/>
                <w:color w:val="auto"/>
                <w:w w:val="85"/>
              </w:rPr>
              <w:t>otherwise</w:t>
            </w:r>
          </w:p>
        </w:tc>
        <w:tc>
          <w:tcPr>
            <w:tcW w:w="4860" w:type="dxa"/>
            <w:vAlign w:val="bottom"/>
          </w:tcPr>
          <w:p>
            <w:pPr>
              <w:jc w:val="center"/>
              <w:ind w:right="468"/>
              <w:spacing w:after="0" w:line="149" w:lineRule="exact"/>
              <w:rPr>
                <w:sz w:val="20"/>
                <w:szCs w:val="20"/>
                <w:color w:val="auto"/>
              </w:rPr>
            </w:pPr>
            <w:r>
              <w:rPr>
                <w:rFonts w:ascii="Arial" w:cs="Arial" w:eastAsia="Arial" w:hAnsi="Arial"/>
                <w:sz w:val="14"/>
                <w:szCs w:val="14"/>
                <w:b w:val="1"/>
                <w:bCs w:val="1"/>
                <w:color w:val="auto"/>
                <w:w w:val="93"/>
              </w:rPr>
              <w:t>Full-Year 2019 Projections</w:t>
            </w:r>
          </w:p>
        </w:tc>
        <w:tc>
          <w:tcPr>
            <w:tcW w:w="2540" w:type="dxa"/>
            <w:vAlign w:val="bottom"/>
            <w:vMerge w:val="restart"/>
          </w:tcPr>
          <w:p>
            <w:pPr>
              <w:ind w:left="1880"/>
              <w:spacing w:after="0"/>
              <w:rPr>
                <w:sz w:val="20"/>
                <w:szCs w:val="20"/>
                <w:color w:val="auto"/>
              </w:rPr>
            </w:pPr>
            <w:r>
              <w:rPr>
                <w:rFonts w:ascii="Arial" w:cs="Arial" w:eastAsia="Arial" w:hAnsi="Arial"/>
                <w:sz w:val="14"/>
                <w:szCs w:val="14"/>
                <w:b w:val="1"/>
                <w:bCs w:val="1"/>
                <w:color w:val="auto"/>
                <w:w w:val="88"/>
              </w:rPr>
              <w:t>Comments</w:t>
            </w:r>
          </w:p>
        </w:tc>
        <w:tc>
          <w:tcPr>
            <w:tcW w:w="0" w:type="dxa"/>
            <w:vAlign w:val="bottom"/>
          </w:tcPr>
          <w:p>
            <w:pPr>
              <w:spacing w:after="0"/>
              <w:rPr>
                <w:sz w:val="1"/>
                <w:szCs w:val="1"/>
                <w:color w:val="auto"/>
              </w:rPr>
            </w:pPr>
          </w:p>
        </w:tc>
      </w:tr>
      <w:tr>
        <w:trPr>
          <w:trHeight w:val="185"/>
        </w:trPr>
        <w:tc>
          <w:tcPr>
            <w:tcW w:w="2180" w:type="dxa"/>
            <w:vAlign w:val="bottom"/>
          </w:tcPr>
          <w:p>
            <w:pPr>
              <w:jc w:val="center"/>
              <w:ind w:right="1268"/>
              <w:spacing w:after="0"/>
              <w:rPr>
                <w:sz w:val="20"/>
                <w:szCs w:val="20"/>
                <w:color w:val="auto"/>
              </w:rPr>
            </w:pPr>
            <w:r>
              <w:rPr>
                <w:rFonts w:ascii="Arial" w:cs="Arial" w:eastAsia="Arial" w:hAnsi="Arial"/>
                <w:sz w:val="14"/>
                <w:szCs w:val="14"/>
                <w:b w:val="1"/>
                <w:bCs w:val="1"/>
                <w:i w:val="1"/>
                <w:iCs w:val="1"/>
                <w:color w:val="auto"/>
                <w:w w:val="83"/>
              </w:rPr>
              <w:t>noted</w:t>
            </w:r>
          </w:p>
        </w:tc>
        <w:tc>
          <w:tcPr>
            <w:tcW w:w="4860" w:type="dxa"/>
            <w:vAlign w:val="bottom"/>
          </w:tcPr>
          <w:p>
            <w:pPr>
              <w:jc w:val="center"/>
              <w:ind w:right="448"/>
              <w:spacing w:after="0"/>
              <w:rPr>
                <w:sz w:val="20"/>
                <w:szCs w:val="20"/>
                <w:color w:val="auto"/>
              </w:rPr>
            </w:pPr>
            <w:r>
              <w:rPr>
                <w:rFonts w:ascii="Arial" w:cs="Arial" w:eastAsia="Arial" w:hAnsi="Arial"/>
                <w:sz w:val="14"/>
                <w:szCs w:val="14"/>
                <w:b w:val="1"/>
                <w:bCs w:val="1"/>
                <w:color w:val="auto"/>
                <w:w w:val="94"/>
              </w:rPr>
              <w:t>As of May 1, 2019</w:t>
            </w:r>
          </w:p>
        </w:tc>
        <w:tc>
          <w:tcPr>
            <w:tcW w:w="25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-8255</wp:posOffset>
            </wp:positionV>
            <wp:extent cx="4982845" cy="12261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982845" cy="1226185"/>
                    </a:xfrm>
                    <a:prstGeom prst="rect">
                      <a:avLst/>
                    </a:prstGeom>
                    <a:noFill/>
                  </pic:spPr>
                </pic:pic>
              </a:graphicData>
            </a:graphic>
          </wp:anchor>
        </w:drawing>
      </w:r>
    </w:p>
    <w:p>
      <w:pPr>
        <w:sectPr>
          <w:pgSz w:w="11900" w:h="16838" w:orient="portrait"/>
          <w:cols w:equalWidth="0" w:num="1">
            <w:col w:w="11040"/>
          </w:cols>
          <w:pgMar w:left="440" w:top="257" w:right="419" w:bottom="1440" w:gutter="0" w:footer="0" w:header="0"/>
        </w:sectPr>
      </w:pPr>
    </w:p>
    <w:p>
      <w:pPr>
        <w:spacing w:after="0"/>
        <w:tabs>
          <w:tab w:leader="none" w:pos="1280" w:val="left"/>
        </w:tabs>
        <w:rPr>
          <w:sz w:val="20"/>
          <w:szCs w:val="20"/>
          <w:color w:val="auto"/>
        </w:rPr>
      </w:pPr>
      <w:r>
        <w:rPr>
          <w:rFonts w:ascii="Arial" w:cs="Arial" w:eastAsia="Arial" w:hAnsi="Arial"/>
          <w:sz w:val="18"/>
          <w:szCs w:val="18"/>
          <w:b w:val="1"/>
          <w:bCs w:val="1"/>
          <w:color w:val="auto"/>
        </w:rPr>
        <w:t>Diluted</w:t>
      </w:r>
      <w:r>
        <w:rPr>
          <w:sz w:val="20"/>
          <w:szCs w:val="20"/>
          <w:color w:val="auto"/>
        </w:rPr>
        <w:tab/>
      </w:r>
      <w:r>
        <w:rPr>
          <w:rFonts w:ascii="Arial" w:cs="Arial" w:eastAsia="Arial" w:hAnsi="Arial"/>
          <w:sz w:val="18"/>
          <w:szCs w:val="18"/>
          <w:b w:val="1"/>
          <w:bCs w:val="1"/>
          <w:color w:val="auto"/>
        </w:rPr>
        <w:t>GAAP</w:t>
      </w:r>
    </w:p>
    <w:p>
      <w:pPr>
        <w:spacing w:after="0" w:line="11" w:lineRule="exact"/>
        <w:rPr>
          <w:sz w:val="20"/>
          <w:szCs w:val="20"/>
          <w:color w:val="auto"/>
        </w:rPr>
      </w:pPr>
    </w:p>
    <w:p>
      <w:pPr>
        <w:ind w:left="180"/>
        <w:spacing w:after="0"/>
        <w:rPr>
          <w:sz w:val="20"/>
          <w:szCs w:val="20"/>
          <w:color w:val="auto"/>
        </w:rPr>
      </w:pPr>
      <w:r>
        <w:rPr>
          <w:rFonts w:ascii="Arial" w:cs="Arial" w:eastAsia="Arial" w:hAnsi="Arial"/>
          <w:sz w:val="17"/>
          <w:szCs w:val="17"/>
          <w:b w:val="1"/>
          <w:bCs w:val="1"/>
          <w:color w:val="auto"/>
        </w:rPr>
        <w:t>earnings per</w:t>
      </w:r>
    </w:p>
    <w:p>
      <w:pPr>
        <w:spacing w:after="0" w:line="19"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common</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share (EPS)</w:t>
      </w:r>
    </w:p>
    <w:p>
      <w:pPr>
        <w:spacing w:after="0" w:line="89" w:lineRule="exact"/>
        <w:rPr>
          <w:sz w:val="20"/>
          <w:szCs w:val="20"/>
          <w:color w:val="auto"/>
        </w:rPr>
      </w:pPr>
    </w:p>
    <w:p>
      <w:pPr>
        <w:jc w:val="right"/>
        <w:ind w:right="3140"/>
        <w:spacing w:after="0"/>
        <w:rPr>
          <w:sz w:val="20"/>
          <w:szCs w:val="20"/>
          <w:color w:val="auto"/>
        </w:rPr>
      </w:pPr>
      <w:r>
        <w:rPr>
          <w:rFonts w:ascii="Arial" w:cs="Arial" w:eastAsia="Arial" w:hAnsi="Arial"/>
          <w:sz w:val="18"/>
          <w:szCs w:val="18"/>
          <w:color w:val="auto"/>
        </w:rPr>
        <w:t>Adjustments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1660" w:type="dxa"/>
            <w:vAlign w:val="bottom"/>
          </w:tcPr>
          <w:p>
            <w:pPr>
              <w:jc w:val="right"/>
              <w:spacing w:after="0" w:line="195" w:lineRule="exact"/>
              <w:rPr>
                <w:sz w:val="20"/>
                <w:szCs w:val="20"/>
                <w:color w:val="auto"/>
              </w:rPr>
            </w:pPr>
            <w:r>
              <w:rPr>
                <w:rFonts w:ascii="Arial" w:cs="Arial" w:eastAsia="Arial" w:hAnsi="Arial"/>
                <w:sz w:val="18"/>
                <w:szCs w:val="18"/>
                <w:color w:val="auto"/>
              </w:rPr>
              <w:t>$16.63 to $16.88</w:t>
            </w:r>
          </w:p>
        </w:tc>
        <w:tc>
          <w:tcPr>
            <w:tcW w:w="120" w:type="dxa"/>
            <w:vAlign w:val="bottom"/>
            <w:tcBorders>
              <w:top w:val="single" w:sz="8" w:color="CCEEFF"/>
            </w:tcBorders>
            <w:shd w:val="clear" w:color="auto" w:fill="CCEEFF"/>
          </w:tcPr>
          <w:p>
            <w:pPr>
              <w:spacing w:after="0"/>
              <w:rPr>
                <w:sz w:val="16"/>
                <w:szCs w:val="16"/>
                <w:color w:val="auto"/>
              </w:rPr>
            </w:pPr>
          </w:p>
        </w:tc>
        <w:tc>
          <w:tcPr>
            <w:tcW w:w="3180" w:type="dxa"/>
            <w:vAlign w:val="bottom"/>
            <w:tcBorders>
              <w:top w:val="single" w:sz="8" w:color="auto"/>
            </w:tcBorders>
            <w:shd w:val="clear" w:color="auto" w:fill="CCEEFF"/>
          </w:tcPr>
          <w:p>
            <w:pPr>
              <w:ind w:left="80"/>
              <w:spacing w:after="0" w:line="195" w:lineRule="exact"/>
              <w:rPr>
                <w:sz w:val="20"/>
                <w:szCs w:val="20"/>
                <w:color w:val="auto"/>
              </w:rPr>
            </w:pPr>
            <w:r>
              <w:rPr>
                <w:rFonts w:ascii="Arial" w:cs="Arial" w:eastAsia="Arial" w:hAnsi="Arial"/>
                <w:sz w:val="18"/>
                <w:szCs w:val="18"/>
                <w:color w:val="auto"/>
              </w:rPr>
              <w:t>•  GAAP EPS guidance excludes the</w:t>
            </w:r>
          </w:p>
        </w:tc>
      </w:tr>
      <w:tr>
        <w:trPr>
          <w:trHeight w:val="216"/>
        </w:trPr>
        <w:tc>
          <w:tcPr>
            <w:tcW w:w="1660" w:type="dxa"/>
            <w:vAlign w:val="bottom"/>
          </w:tcPr>
          <w:p>
            <w:pPr>
              <w:jc w:val="right"/>
              <w:spacing w:after="0"/>
              <w:rPr>
                <w:sz w:val="20"/>
                <w:szCs w:val="20"/>
                <w:color w:val="auto"/>
              </w:rPr>
            </w:pPr>
            <w:r>
              <w:rPr>
                <w:rFonts w:ascii="Arial" w:cs="Arial" w:eastAsia="Arial" w:hAnsi="Arial"/>
                <w:sz w:val="18"/>
                <w:szCs w:val="18"/>
                <w:color w:val="auto"/>
                <w:w w:val="89"/>
              </w:rPr>
              <w:t>(was $16.60 to $17.10)</w:t>
            </w:r>
          </w:p>
        </w:tc>
        <w:tc>
          <w:tcPr>
            <w:tcW w:w="120" w:type="dxa"/>
            <w:vAlign w:val="bottom"/>
            <w:shd w:val="clear" w:color="auto" w:fill="CCEEFF"/>
          </w:tcPr>
          <w:p>
            <w:pPr>
              <w:spacing w:after="0"/>
              <w:rPr>
                <w:sz w:val="18"/>
                <w:szCs w:val="18"/>
                <w:color w:val="auto"/>
              </w:rPr>
            </w:pPr>
          </w:p>
        </w:tc>
        <w:tc>
          <w:tcPr>
            <w:tcW w:w="318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4"/>
              </w:rPr>
              <w:t>impact of future fair value changes of</w:t>
            </w:r>
          </w:p>
        </w:tc>
      </w:tr>
      <w:tr>
        <w:trPr>
          <w:trHeight w:val="216"/>
        </w:trPr>
        <w:tc>
          <w:tcPr>
            <w:tcW w:w="1660" w:type="dxa"/>
            <w:vAlign w:val="bottom"/>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18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7"/>
              </w:rPr>
              <w:t>the Kindred at Home put/call option,</w:t>
            </w:r>
          </w:p>
        </w:tc>
      </w:tr>
      <w:tr>
        <w:trPr>
          <w:trHeight w:val="230"/>
        </w:trPr>
        <w:tc>
          <w:tcPr>
            <w:tcW w:w="1660" w:type="dxa"/>
            <w:vAlign w:val="bottom"/>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which cannot be estimated</w:t>
            </w:r>
          </w:p>
        </w:tc>
      </w:tr>
      <w:tr>
        <w:trPr>
          <w:trHeight w:val="284"/>
        </w:trPr>
        <w:tc>
          <w:tcPr>
            <w:tcW w:w="1660" w:type="dxa"/>
            <w:vAlign w:val="bottom"/>
          </w:tcPr>
          <w:p>
            <w:pPr>
              <w:jc w:val="right"/>
              <w:spacing w:after="0"/>
              <w:rPr>
                <w:sz w:val="20"/>
                <w:szCs w:val="20"/>
                <w:color w:val="auto"/>
              </w:rPr>
            </w:pPr>
            <w:r>
              <w:rPr>
                <w:rFonts w:ascii="Arial" w:cs="Arial" w:eastAsia="Arial" w:hAnsi="Arial"/>
                <w:sz w:val="18"/>
                <w:szCs w:val="18"/>
                <w:color w:val="auto"/>
              </w:rPr>
              <w:t>~$0.62</w:t>
            </w:r>
          </w:p>
        </w:tc>
        <w:tc>
          <w:tcPr>
            <w:tcW w:w="120" w:type="dxa"/>
            <w:vAlign w:val="bottom"/>
            <w:shd w:val="clear" w:color="auto" w:fill="CCEEFF"/>
          </w:tcPr>
          <w:p>
            <w:pPr>
              <w:spacing w:after="0"/>
              <w:rPr>
                <w:sz w:val="24"/>
                <w:szCs w:val="24"/>
                <w:color w:val="auto"/>
              </w:rPr>
            </w:pPr>
          </w:p>
        </w:tc>
        <w:tc>
          <w:tcPr>
            <w:tcW w:w="3180" w:type="dxa"/>
            <w:vAlign w:val="bottom"/>
            <w:shd w:val="clear" w:color="auto" w:fill="CCEEFF"/>
          </w:tcPr>
          <w:p>
            <w:pPr>
              <w:ind w:left="80"/>
              <w:spacing w:after="0"/>
              <w:rPr>
                <w:sz w:val="20"/>
                <w:szCs w:val="20"/>
                <w:color w:val="auto"/>
              </w:rPr>
            </w:pPr>
            <w:r>
              <w:rPr>
                <w:rFonts w:ascii="Arial" w:cs="Arial" w:eastAsia="Arial" w:hAnsi="Arial"/>
                <w:sz w:val="18"/>
                <w:szCs w:val="18"/>
                <w:color w:val="auto"/>
              </w:rPr>
              <w:t>•  See footnote (d) for detail of</w:t>
            </w:r>
          </w:p>
        </w:tc>
      </w:tr>
      <w:tr>
        <w:trPr>
          <w:trHeight w:val="284"/>
        </w:trPr>
        <w:tc>
          <w:tcPr>
            <w:tcW w:w="1660" w:type="dxa"/>
            <w:vAlign w:val="bottom"/>
          </w:tcPr>
          <w:p>
            <w:pPr>
              <w:jc w:val="right"/>
              <w:spacing w:after="0"/>
              <w:rPr>
                <w:sz w:val="20"/>
                <w:szCs w:val="20"/>
                <w:color w:val="auto"/>
              </w:rPr>
            </w:pPr>
            <w:r>
              <w:rPr>
                <w:rFonts w:ascii="Arial" w:cs="Arial" w:eastAsia="Arial" w:hAnsi="Arial"/>
                <w:sz w:val="18"/>
                <w:szCs w:val="18"/>
                <w:color w:val="auto"/>
              </w:rPr>
              <w:t>(was ~$0.40)</w:t>
            </w:r>
          </w:p>
        </w:tc>
        <w:tc>
          <w:tcPr>
            <w:tcW w:w="120" w:type="dxa"/>
            <w:vAlign w:val="bottom"/>
            <w:shd w:val="clear" w:color="auto" w:fill="CCEEFF"/>
          </w:tcPr>
          <w:p>
            <w:pPr>
              <w:spacing w:after="0"/>
              <w:rPr>
                <w:sz w:val="24"/>
                <w:szCs w:val="24"/>
                <w:color w:val="auto"/>
              </w:rPr>
            </w:pPr>
          </w:p>
        </w:tc>
        <w:tc>
          <w:tcPr>
            <w:tcW w:w="3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non-GAAP adjustments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1128395</wp:posOffset>
            </wp:positionH>
            <wp:positionV relativeFrom="paragraph">
              <wp:posOffset>0</wp:posOffset>
            </wp:positionV>
            <wp:extent cx="2015490" cy="3003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015490" cy="30035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5360" w:space="720"/>
            <w:col w:w="4960"/>
          </w:cols>
          <w:pgMar w:left="440" w:top="257" w:right="419" w:bottom="1440" w:gutter="0" w:footer="0" w:header="0"/>
          <w:type w:val="continuous"/>
        </w:sectPr>
      </w:pPr>
    </w:p>
    <w:tbl>
      <w:tblPr>
        <w:tblLayout w:type="fixed"/>
        <w:tblInd w:w="1300" w:type="dxa"/>
        <w:tblCellMar>
          <w:top w:w="0" w:type="dxa"/>
          <w:left w:w="0" w:type="dxa"/>
          <w:bottom w:w="0" w:type="dxa"/>
          <w:right w:w="0" w:type="dxa"/>
        </w:tblCellMar>
      </w:tblPr>
      <w:tr>
        <w:trPr>
          <w:trHeight w:val="209"/>
        </w:trPr>
        <w:tc>
          <w:tcPr>
            <w:tcW w:w="284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Non-GAAP</w:t>
            </w:r>
          </w:p>
        </w:tc>
        <w:tc>
          <w:tcPr>
            <w:tcW w:w="3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$17.25 to $17.50</w:t>
            </w:r>
          </w:p>
        </w:tc>
      </w:tr>
      <w:tr>
        <w:trPr>
          <w:trHeight w:val="230"/>
        </w:trPr>
        <w:tc>
          <w:tcPr>
            <w:tcW w:w="2840" w:type="dxa"/>
            <w:vAlign w:val="bottom"/>
          </w:tcPr>
          <w:p>
            <w:pPr>
              <w:spacing w:after="0"/>
              <w:rPr>
                <w:sz w:val="20"/>
                <w:szCs w:val="20"/>
                <w:color w:val="auto"/>
              </w:rPr>
            </w:pPr>
          </w:p>
        </w:tc>
        <w:tc>
          <w:tcPr>
            <w:tcW w:w="3600" w:type="dxa"/>
            <w:vAlign w:val="bottom"/>
          </w:tcPr>
          <w:p>
            <w:pPr>
              <w:jc w:val="right"/>
              <w:spacing w:after="0"/>
              <w:rPr>
                <w:sz w:val="20"/>
                <w:szCs w:val="20"/>
                <w:color w:val="auto"/>
              </w:rPr>
            </w:pPr>
            <w:r>
              <w:rPr>
                <w:rFonts w:ascii="Arial" w:cs="Arial" w:eastAsia="Arial" w:hAnsi="Arial"/>
                <w:sz w:val="18"/>
                <w:szCs w:val="18"/>
                <w:color w:val="auto"/>
              </w:rPr>
              <w:t>(was $17.00 to $17.50)</w:t>
            </w:r>
          </w:p>
        </w:tc>
      </w:tr>
    </w:tbl>
    <w:p>
      <w:pPr>
        <w:spacing w:after="0" w:line="117" w:lineRule="exact"/>
        <w:rPr>
          <w:sz w:val="20"/>
          <w:szCs w:val="20"/>
          <w:color w:val="auto"/>
        </w:rPr>
      </w:pPr>
    </w:p>
    <w:p>
      <w:pPr>
        <w:sectPr>
          <w:pgSz w:w="11900" w:h="16838" w:orient="portrait"/>
          <w:cols w:equalWidth="0" w:num="1">
            <w:col w:w="11040"/>
          </w:cols>
          <w:pgMar w:left="440" w:top="257" w:right="419" w:bottom="1440" w:gutter="0" w:footer="0" w:header="0"/>
          <w:type w:val="continuous"/>
        </w:sectPr>
      </w:pPr>
    </w:p>
    <w:tbl>
      <w:tblPr>
        <w:tblLayout w:type="fixed"/>
        <w:tblInd w:w="0" w:type="dxa"/>
        <w:tblCellMar>
          <w:top w:w="0" w:type="dxa"/>
          <w:left w:w="0" w:type="dxa"/>
          <w:bottom w:w="0" w:type="dxa"/>
          <w:right w:w="0" w:type="dxa"/>
        </w:tblCellMar>
      </w:tblPr>
      <w:tr>
        <w:trPr>
          <w:trHeight w:val="220"/>
        </w:trPr>
        <w:tc>
          <w:tcPr>
            <w:tcW w:w="426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Total revenues  </w:t>
            </w:r>
            <w:r>
              <w:rPr>
                <w:rFonts w:ascii="Arial" w:cs="Arial" w:eastAsia="Arial" w:hAnsi="Arial"/>
                <w:sz w:val="18"/>
                <w:szCs w:val="18"/>
                <w:b w:val="1"/>
                <w:bCs w:val="1"/>
                <w:i w:val="1"/>
                <w:iCs w:val="1"/>
                <w:color w:val="auto"/>
              </w:rPr>
              <w:t>Consolidated</w:t>
            </w:r>
          </w:p>
        </w:tc>
        <w:tc>
          <w:tcPr>
            <w:tcW w:w="3480" w:type="dxa"/>
            <w:vAlign w:val="bottom"/>
          </w:tcPr>
          <w:p>
            <w:pPr>
              <w:jc w:val="right"/>
              <w:spacing w:after="0"/>
              <w:rPr>
                <w:sz w:val="20"/>
                <w:szCs w:val="20"/>
                <w:color w:val="auto"/>
              </w:rPr>
            </w:pPr>
            <w:r>
              <w:rPr>
                <w:rFonts w:ascii="Arial" w:cs="Arial" w:eastAsia="Arial" w:hAnsi="Arial"/>
                <w:sz w:val="18"/>
                <w:szCs w:val="18"/>
                <w:color w:val="auto"/>
              </w:rPr>
              <w:t>$63.3 billion to $63.9 billion</w:t>
            </w:r>
          </w:p>
        </w:tc>
      </w:tr>
      <w:tr>
        <w:trPr>
          <w:trHeight w:val="230"/>
        </w:trPr>
        <w:tc>
          <w:tcPr>
            <w:tcW w:w="130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3480" w:type="dxa"/>
            <w:vAlign w:val="bottom"/>
          </w:tcPr>
          <w:p>
            <w:pPr>
              <w:jc w:val="right"/>
              <w:spacing w:after="0"/>
              <w:rPr>
                <w:sz w:val="20"/>
                <w:szCs w:val="20"/>
                <w:color w:val="auto"/>
              </w:rPr>
            </w:pPr>
            <w:r>
              <w:rPr>
                <w:rFonts w:ascii="Arial" w:cs="Arial" w:eastAsia="Arial" w:hAnsi="Arial"/>
                <w:sz w:val="18"/>
                <w:szCs w:val="18"/>
                <w:color w:val="auto"/>
              </w:rPr>
              <w:t>(was $63.1 billion to $63.7 billion)</w:t>
            </w:r>
          </w:p>
        </w:tc>
      </w:tr>
      <w:tr>
        <w:trPr>
          <w:trHeight w:val="284"/>
        </w:trPr>
        <w:tc>
          <w:tcPr>
            <w:tcW w:w="4260" w:type="dxa"/>
            <w:vAlign w:val="bottom"/>
            <w:gridSpan w:val="2"/>
          </w:tcPr>
          <w:p>
            <w:pPr>
              <w:spacing w:after="0"/>
              <w:rPr>
                <w:sz w:val="24"/>
                <w:szCs w:val="24"/>
                <w:color w:val="auto"/>
              </w:rPr>
            </w:pPr>
          </w:p>
        </w:tc>
        <w:tc>
          <w:tcPr>
            <w:tcW w:w="3480" w:type="dxa"/>
            <w:vAlign w:val="bottom"/>
          </w:tcPr>
          <w:p>
            <w:pPr>
              <w:spacing w:after="0"/>
              <w:rPr>
                <w:sz w:val="24"/>
                <w:szCs w:val="24"/>
                <w:color w:val="auto"/>
              </w:rPr>
            </w:pPr>
          </w:p>
        </w:tc>
      </w:tr>
      <w:tr>
        <w:trPr>
          <w:trHeight w:val="209"/>
        </w:trPr>
        <w:tc>
          <w:tcPr>
            <w:tcW w:w="1300" w:type="dxa"/>
            <w:vAlign w:val="bottom"/>
          </w:tcPr>
          <w:p>
            <w:pPr>
              <w:spacing w:after="0"/>
              <w:rPr>
                <w:sz w:val="18"/>
                <w:szCs w:val="18"/>
                <w:color w:val="auto"/>
              </w:rPr>
            </w:pPr>
          </w:p>
        </w:tc>
        <w:tc>
          <w:tcPr>
            <w:tcW w:w="2960" w:type="dxa"/>
            <w:vAlign w:val="bottom"/>
            <w:tcBorders>
              <w:top w:val="single" w:sz="8" w:color="auto"/>
            </w:tcBorders>
          </w:tcPr>
          <w:p>
            <w:pPr>
              <w:spacing w:after="0"/>
              <w:rPr>
                <w:sz w:val="20"/>
                <w:szCs w:val="20"/>
                <w:color w:val="auto"/>
              </w:rPr>
            </w:pPr>
            <w:r>
              <w:rPr>
                <w:rFonts w:ascii="Arial" w:cs="Arial" w:eastAsia="Arial" w:hAnsi="Arial"/>
                <w:sz w:val="18"/>
                <w:szCs w:val="18"/>
                <w:b w:val="1"/>
                <w:bCs w:val="1"/>
                <w:i w:val="1"/>
                <w:iCs w:val="1"/>
                <w:color w:val="auto"/>
              </w:rPr>
              <w:t>Retail segment</w:t>
            </w:r>
          </w:p>
        </w:tc>
        <w:tc>
          <w:tcPr>
            <w:tcW w:w="3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$55.1 billion to $55.7 billion</w:t>
            </w:r>
          </w:p>
        </w:tc>
      </w:tr>
      <w:tr>
        <w:trPr>
          <w:trHeight w:val="230"/>
        </w:trPr>
        <w:tc>
          <w:tcPr>
            <w:tcW w:w="130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3480" w:type="dxa"/>
            <w:vAlign w:val="bottom"/>
          </w:tcPr>
          <w:p>
            <w:pPr>
              <w:jc w:val="right"/>
              <w:spacing w:after="0"/>
              <w:rPr>
                <w:sz w:val="20"/>
                <w:szCs w:val="20"/>
                <w:color w:val="auto"/>
              </w:rPr>
            </w:pPr>
            <w:r>
              <w:rPr>
                <w:rFonts w:ascii="Arial" w:cs="Arial" w:eastAsia="Arial" w:hAnsi="Arial"/>
                <w:sz w:val="18"/>
                <w:szCs w:val="18"/>
                <w:color w:val="auto"/>
              </w:rPr>
              <w:t>(was $54.9 billion to $55.5 billion)</w:t>
            </w:r>
          </w:p>
        </w:tc>
      </w:tr>
      <w:tr>
        <w:trPr>
          <w:trHeight w:val="230"/>
        </w:trPr>
        <w:tc>
          <w:tcPr>
            <w:tcW w:w="4260" w:type="dxa"/>
            <w:vAlign w:val="bottom"/>
            <w:gridSpan w:val="2"/>
          </w:tcPr>
          <w:p>
            <w:pPr>
              <w:spacing w:after="0"/>
              <w:rPr>
                <w:sz w:val="19"/>
                <w:szCs w:val="19"/>
                <w:color w:val="auto"/>
              </w:rPr>
            </w:pPr>
          </w:p>
        </w:tc>
        <w:tc>
          <w:tcPr>
            <w:tcW w:w="3480" w:type="dxa"/>
            <w:vAlign w:val="bottom"/>
          </w:tcPr>
          <w:p>
            <w:pPr>
              <w:spacing w:after="0"/>
              <w:rPr>
                <w:sz w:val="19"/>
                <w:szCs w:val="19"/>
                <w:color w:val="auto"/>
              </w:rPr>
            </w:pPr>
          </w:p>
        </w:tc>
      </w:tr>
      <w:tr>
        <w:trPr>
          <w:trHeight w:val="209"/>
        </w:trPr>
        <w:tc>
          <w:tcPr>
            <w:tcW w:w="1300" w:type="dxa"/>
            <w:vAlign w:val="bottom"/>
          </w:tcPr>
          <w:p>
            <w:pPr>
              <w:spacing w:after="0"/>
              <w:rPr>
                <w:sz w:val="18"/>
                <w:szCs w:val="18"/>
                <w:color w:val="auto"/>
              </w:rPr>
            </w:pPr>
          </w:p>
        </w:tc>
        <w:tc>
          <w:tcPr>
            <w:tcW w:w="2960" w:type="dxa"/>
            <w:vAlign w:val="bottom"/>
            <w:tcBorders>
              <w:top w:val="single" w:sz="8" w:color="auto"/>
            </w:tcBorders>
          </w:tcPr>
          <w:p>
            <w:pPr>
              <w:spacing w:after="0"/>
              <w:rPr>
                <w:sz w:val="20"/>
                <w:szCs w:val="20"/>
                <w:color w:val="auto"/>
              </w:rPr>
            </w:pPr>
            <w:r>
              <w:rPr>
                <w:rFonts w:ascii="Arial" w:cs="Arial" w:eastAsia="Arial" w:hAnsi="Arial"/>
                <w:sz w:val="18"/>
                <w:szCs w:val="18"/>
                <w:b w:val="1"/>
                <w:bCs w:val="1"/>
                <w:i w:val="1"/>
                <w:iCs w:val="1"/>
                <w:color w:val="auto"/>
              </w:rPr>
              <w:t>Group and Specialty segment</w:t>
            </w:r>
          </w:p>
        </w:tc>
        <w:tc>
          <w:tcPr>
            <w:tcW w:w="3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 billion to $7.6 billion</w:t>
            </w:r>
          </w:p>
        </w:tc>
      </w:tr>
      <w:tr>
        <w:trPr>
          <w:trHeight w:val="237"/>
        </w:trPr>
        <w:tc>
          <w:tcPr>
            <w:tcW w:w="1300" w:type="dxa"/>
            <w:vAlign w:val="bottom"/>
          </w:tcPr>
          <w:p>
            <w:pPr>
              <w:spacing w:after="0"/>
              <w:rPr>
                <w:sz w:val="20"/>
                <w:szCs w:val="20"/>
                <w:color w:val="auto"/>
              </w:rPr>
            </w:pPr>
          </w:p>
        </w:tc>
        <w:tc>
          <w:tcPr>
            <w:tcW w:w="2960" w:type="dxa"/>
            <w:vAlign w:val="bottom"/>
            <w:tcBorders>
              <w:bottom w:val="single" w:sz="8" w:color="auto"/>
            </w:tcBorders>
          </w:tcPr>
          <w:p>
            <w:pPr>
              <w:spacing w:after="0"/>
              <w:rPr>
                <w:sz w:val="20"/>
                <w:szCs w:val="20"/>
                <w:color w:val="auto"/>
              </w:rPr>
            </w:pPr>
          </w:p>
        </w:tc>
        <w:tc>
          <w:tcPr>
            <w:tcW w:w="3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(no change)</w:t>
            </w:r>
          </w:p>
        </w:tc>
      </w:tr>
      <w:tr>
        <w:trPr>
          <w:trHeight w:val="215"/>
        </w:trPr>
        <w:tc>
          <w:tcPr>
            <w:tcW w:w="130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b w:val="1"/>
                <w:bCs w:val="1"/>
                <w:i w:val="1"/>
                <w:iCs w:val="1"/>
                <w:color w:val="auto"/>
              </w:rPr>
              <w:t>Healthcare Services segment</w:t>
            </w:r>
          </w:p>
        </w:tc>
        <w:tc>
          <w:tcPr>
            <w:tcW w:w="3480" w:type="dxa"/>
            <w:vAlign w:val="bottom"/>
          </w:tcPr>
          <w:p>
            <w:pPr>
              <w:jc w:val="right"/>
              <w:spacing w:after="0"/>
              <w:rPr>
                <w:sz w:val="20"/>
                <w:szCs w:val="20"/>
                <w:color w:val="auto"/>
              </w:rPr>
            </w:pPr>
            <w:r>
              <w:rPr>
                <w:rFonts w:ascii="Arial" w:cs="Arial" w:eastAsia="Arial" w:hAnsi="Arial"/>
                <w:sz w:val="18"/>
                <w:szCs w:val="18"/>
                <w:color w:val="auto"/>
              </w:rPr>
              <w:t>$25.1 billion to $25.6 billion</w:t>
            </w:r>
          </w:p>
        </w:tc>
      </w:tr>
      <w:tr>
        <w:trPr>
          <w:trHeight w:val="230"/>
        </w:trPr>
        <w:tc>
          <w:tcPr>
            <w:tcW w:w="130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3480" w:type="dxa"/>
            <w:vAlign w:val="bottom"/>
          </w:tcPr>
          <w:p>
            <w:pPr>
              <w:jc w:val="right"/>
              <w:spacing w:after="0"/>
              <w:rPr>
                <w:sz w:val="20"/>
                <w:szCs w:val="20"/>
                <w:color w:val="auto"/>
              </w:rPr>
            </w:pPr>
            <w:r>
              <w:rPr>
                <w:rFonts w:ascii="Arial" w:cs="Arial" w:eastAsia="Arial" w:hAnsi="Arial"/>
                <w:sz w:val="18"/>
                <w:szCs w:val="18"/>
                <w:color w:val="auto"/>
              </w:rPr>
              <w:t>(was $25.95 billion to $26.25 billion)</w:t>
            </w:r>
          </w:p>
        </w:tc>
      </w:tr>
    </w:tbl>
    <w:p>
      <w:pPr>
        <w:spacing w:after="0" w:line="20" w:lineRule="exact"/>
        <w:rPr>
          <w:sz w:val="20"/>
          <w:szCs w:val="20"/>
          <w:color w:val="auto"/>
        </w:rPr>
      </w:pPr>
      <w:r>
        <w:rPr>
          <w:sz w:val="20"/>
          <w:szCs w:val="20"/>
          <w:color w:val="auto"/>
        </w:rPr>
        <w:br w:type="column"/>
      </w:r>
    </w:p>
    <w:p>
      <w:pPr>
        <w:ind w:left="280" w:right="160" w:hanging="280"/>
        <w:spacing w:after="0" w:line="264" w:lineRule="auto"/>
        <w:tabs>
          <w:tab w:leader="none" w:pos="264"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Consolidated and segment-level revenue projections include expected investment income</w:t>
      </w:r>
    </w:p>
    <w:p>
      <w:pPr>
        <w:spacing w:after="0" w:line="86" w:lineRule="exact"/>
        <w:rPr>
          <w:rFonts w:ascii="Arial" w:cs="Arial" w:eastAsia="Arial" w:hAnsi="Arial"/>
          <w:sz w:val="18"/>
          <w:szCs w:val="18"/>
          <w:color w:val="auto"/>
        </w:rPr>
      </w:pPr>
    </w:p>
    <w:p>
      <w:pPr>
        <w:ind w:left="280" w:right="540" w:hanging="280"/>
        <w:spacing w:after="0" w:line="264" w:lineRule="auto"/>
        <w:tabs>
          <w:tab w:leader="none" w:pos="264" w:val="left"/>
        </w:tabs>
        <w:numPr>
          <w:ilvl w:val="0"/>
          <w:numId w:val="44"/>
        </w:numPr>
        <w:rPr>
          <w:rFonts w:ascii="Arial" w:cs="Arial" w:eastAsia="Arial" w:hAnsi="Arial"/>
          <w:sz w:val="18"/>
          <w:szCs w:val="18"/>
          <w:color w:val="auto"/>
        </w:rPr>
      </w:pPr>
      <w:r>
        <w:rPr>
          <w:rFonts w:ascii="Arial" w:cs="Arial" w:eastAsia="Arial" w:hAnsi="Arial"/>
          <w:sz w:val="18"/>
          <w:szCs w:val="18"/>
          <w:color w:val="auto"/>
        </w:rPr>
        <w:t>Segment-level revenues include amounts that eliminate in consolidation</w:t>
      </w:r>
    </w:p>
    <w:p>
      <w:pPr>
        <w:spacing w:after="0" w:line="1009" w:lineRule="exact"/>
        <w:rPr>
          <w:sz w:val="20"/>
          <w:szCs w:val="20"/>
          <w:color w:val="auto"/>
        </w:rPr>
      </w:pPr>
    </w:p>
    <w:p>
      <w:pPr>
        <w:sectPr>
          <w:pgSz w:w="11900" w:h="16838" w:orient="portrait"/>
          <w:cols w:equalWidth="0" w:num="2">
            <w:col w:w="7740" w:space="200"/>
            <w:col w:w="3100"/>
          </w:cols>
          <w:pgMar w:left="440" w:top="257" w:right="41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Change in</w:t>
            </w:r>
          </w:p>
        </w:tc>
        <w:tc>
          <w:tcPr>
            <w:tcW w:w="80" w:type="dxa"/>
            <w:vAlign w:val="bottom"/>
            <w:shd w:val="clear" w:color="auto" w:fill="CCEEFF"/>
          </w:tcPr>
          <w:p>
            <w:pPr>
              <w:spacing w:after="0"/>
              <w:rPr>
                <w:sz w:val="17"/>
                <w:szCs w:val="17"/>
                <w:color w:val="auto"/>
              </w:rPr>
            </w:pPr>
          </w:p>
        </w:tc>
        <w:tc>
          <w:tcPr>
            <w:tcW w:w="64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 xml:space="preserve">•  </w:t>
            </w:r>
            <w:r>
              <w:rPr>
                <w:rFonts w:ascii="Arial" w:cs="Arial" w:eastAsia="Arial" w:hAnsi="Arial"/>
                <w:sz w:val="18"/>
                <w:szCs w:val="18"/>
                <w:b w:val="1"/>
                <w:bCs w:val="1"/>
                <w:i w:val="1"/>
                <w:iCs w:val="1"/>
                <w:color w:val="auto"/>
                <w:w w:val="99"/>
              </w:rPr>
              <w:t>Individual Medicare Advantage:</w:t>
            </w:r>
            <w:r>
              <w:rPr>
                <w:rFonts w:ascii="Arial" w:cs="Arial" w:eastAsia="Arial" w:hAnsi="Arial"/>
                <w:sz w:val="18"/>
                <w:szCs w:val="18"/>
                <w:color w:val="auto"/>
                <w:w w:val="99"/>
              </w:rPr>
              <w:t xml:space="preserve"> Up 415,000 to 440,000 (was Up 375,000 to</w:t>
            </w:r>
          </w:p>
        </w:tc>
        <w:tc>
          <w:tcPr>
            <w:tcW w:w="3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  Group commercial medical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year-end</w:t>
            </w:r>
          </w:p>
        </w:tc>
        <w:tc>
          <w:tcPr>
            <w:tcW w:w="4660" w:type="dxa"/>
            <w:vAlign w:val="bottom"/>
            <w:gridSpan w:val="2"/>
            <w:shd w:val="clear" w:color="auto" w:fill="CCEEFF"/>
          </w:tcPr>
          <w:p>
            <w:pPr>
              <w:jc w:val="right"/>
              <w:ind w:right="3490"/>
              <w:spacing w:after="0"/>
              <w:rPr>
                <w:sz w:val="20"/>
                <w:szCs w:val="20"/>
                <w:color w:val="auto"/>
              </w:rPr>
            </w:pPr>
            <w:r>
              <w:rPr>
                <w:rFonts w:ascii="Arial" w:cs="Arial" w:eastAsia="Arial" w:hAnsi="Arial"/>
                <w:sz w:val="18"/>
                <w:szCs w:val="18"/>
                <w:color w:val="auto"/>
              </w:rPr>
              <w:t>400,000)</w:t>
            </w:r>
          </w:p>
        </w:tc>
        <w:tc>
          <w:tcPr>
            <w:tcW w:w="1860" w:type="dxa"/>
            <w:vAlign w:val="bottom"/>
            <w:shd w:val="clear" w:color="auto" w:fill="CCEEFF"/>
          </w:tcPr>
          <w:p>
            <w:pPr>
              <w:spacing w:after="0"/>
              <w:rPr>
                <w:sz w:val="18"/>
                <w:szCs w:val="18"/>
                <w:color w:val="auto"/>
              </w:rPr>
            </w:pPr>
          </w:p>
        </w:tc>
        <w:tc>
          <w:tcPr>
            <w:tcW w:w="33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membership includes fully-insured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medical</w:t>
            </w:r>
          </w:p>
        </w:tc>
        <w:tc>
          <w:tcPr>
            <w:tcW w:w="80" w:type="dxa"/>
            <w:vAlign w:val="bottom"/>
            <w:shd w:val="clear" w:color="auto" w:fill="CCEEFF"/>
          </w:tcPr>
          <w:p>
            <w:pPr>
              <w:spacing w:after="0"/>
              <w:rPr>
                <w:sz w:val="18"/>
                <w:szCs w:val="18"/>
                <w:color w:val="auto"/>
              </w:rPr>
            </w:pPr>
          </w:p>
        </w:tc>
        <w:tc>
          <w:tcPr>
            <w:tcW w:w="4580" w:type="dxa"/>
            <w:vAlign w:val="bottom"/>
            <w:vMerge w:val="restart"/>
            <w:shd w:val="clear" w:color="auto" w:fill="CCEEFF"/>
          </w:tcPr>
          <w:p>
            <w:pPr>
              <w:ind w:left="100"/>
              <w:spacing w:after="0"/>
              <w:rPr>
                <w:sz w:val="20"/>
                <w:szCs w:val="20"/>
                <w:color w:val="auto"/>
              </w:rPr>
            </w:pPr>
            <w:r>
              <w:rPr>
                <w:rFonts w:ascii="Arial" w:cs="Arial" w:eastAsia="Arial" w:hAnsi="Arial"/>
                <w:sz w:val="18"/>
                <w:szCs w:val="18"/>
                <w:color w:val="auto"/>
                <w:w w:val="97"/>
              </w:rPr>
              <w:t xml:space="preserve">•  </w:t>
            </w:r>
            <w:r>
              <w:rPr>
                <w:rFonts w:ascii="Arial" w:cs="Arial" w:eastAsia="Arial" w:hAnsi="Arial"/>
                <w:sz w:val="18"/>
                <w:szCs w:val="18"/>
                <w:b w:val="1"/>
                <w:bCs w:val="1"/>
                <w:i w:val="1"/>
                <w:iCs w:val="1"/>
                <w:color w:val="auto"/>
                <w:w w:val="97"/>
              </w:rPr>
              <w:t>Group Medicare Advantage:</w:t>
            </w:r>
            <w:r>
              <w:rPr>
                <w:rFonts w:ascii="Arial" w:cs="Arial" w:eastAsia="Arial" w:hAnsi="Arial"/>
                <w:sz w:val="18"/>
                <w:szCs w:val="18"/>
                <w:color w:val="auto"/>
                <w:w w:val="97"/>
              </w:rPr>
              <w:t xml:space="preserve"> Up ~30,000 (no change)</w:t>
            </w:r>
          </w:p>
        </w:tc>
        <w:tc>
          <w:tcPr>
            <w:tcW w:w="1860" w:type="dxa"/>
            <w:vAlign w:val="bottom"/>
            <w:shd w:val="clear" w:color="auto" w:fill="CCEEFF"/>
          </w:tcPr>
          <w:p>
            <w:pPr>
              <w:spacing w:after="0"/>
              <w:rPr>
                <w:sz w:val="18"/>
                <w:szCs w:val="18"/>
                <w:color w:val="auto"/>
              </w:rPr>
            </w:pPr>
          </w:p>
        </w:tc>
        <w:tc>
          <w:tcPr>
            <w:tcW w:w="33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and ASO (self-insured).</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200" w:type="dxa"/>
            <w:vAlign w:val="bottom"/>
            <w:vMerge w:val="restart"/>
            <w:shd w:val="clear" w:color="auto" w:fill="CCEEFF"/>
          </w:tcPr>
          <w:p>
            <w:pPr>
              <w:ind w:left="160"/>
              <w:spacing w:after="0"/>
              <w:rPr>
                <w:sz w:val="20"/>
                <w:szCs w:val="20"/>
                <w:color w:val="auto"/>
              </w:rPr>
            </w:pPr>
            <w:r>
              <w:rPr>
                <w:rFonts w:ascii="Arial" w:cs="Arial" w:eastAsia="Arial" w:hAnsi="Arial"/>
                <w:sz w:val="18"/>
                <w:szCs w:val="18"/>
                <w:b w:val="1"/>
                <w:bCs w:val="1"/>
                <w:color w:val="auto"/>
                <w:w w:val="95"/>
              </w:rPr>
              <w:t>membership</w:t>
            </w:r>
          </w:p>
        </w:tc>
        <w:tc>
          <w:tcPr>
            <w:tcW w:w="80" w:type="dxa"/>
            <w:vAlign w:val="bottom"/>
            <w:shd w:val="clear" w:color="auto" w:fill="CCEEFF"/>
          </w:tcPr>
          <w:p>
            <w:pPr>
              <w:spacing w:after="0"/>
              <w:rPr>
                <w:sz w:val="12"/>
                <w:szCs w:val="12"/>
                <w:color w:val="auto"/>
              </w:rPr>
            </w:pPr>
          </w:p>
        </w:tc>
        <w:tc>
          <w:tcPr>
            <w:tcW w:w="4580" w:type="dxa"/>
            <w:vAlign w:val="bottom"/>
            <w:vMerge w:val="continue"/>
            <w:shd w:val="clear" w:color="auto" w:fill="CCEEFF"/>
          </w:tcPr>
          <w:p>
            <w:pPr>
              <w:spacing w:after="0"/>
              <w:rPr>
                <w:sz w:val="12"/>
                <w:szCs w:val="12"/>
                <w:color w:val="auto"/>
              </w:rPr>
            </w:pPr>
          </w:p>
        </w:tc>
        <w:tc>
          <w:tcPr>
            <w:tcW w:w="1860" w:type="dxa"/>
            <w:vAlign w:val="bottom"/>
            <w:shd w:val="clear" w:color="auto" w:fill="CCEEFF"/>
          </w:tcPr>
          <w:p>
            <w:pPr>
              <w:spacing w:after="0"/>
              <w:rPr>
                <w:sz w:val="12"/>
                <w:szCs w:val="12"/>
                <w:color w:val="auto"/>
              </w:rPr>
            </w:pPr>
          </w:p>
        </w:tc>
        <w:tc>
          <w:tcPr>
            <w:tcW w:w="33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200" w:type="dxa"/>
            <w:vAlign w:val="bottom"/>
            <w:vMerge w:val="continue"/>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4580" w:type="dxa"/>
            <w:vAlign w:val="bottom"/>
            <w:shd w:val="clear" w:color="auto" w:fill="CCEEFF"/>
          </w:tcPr>
          <w:p>
            <w:pPr>
              <w:spacing w:after="0"/>
              <w:rPr>
                <w:sz w:val="6"/>
                <w:szCs w:val="6"/>
                <w:color w:val="auto"/>
              </w:rPr>
            </w:pPr>
          </w:p>
        </w:tc>
        <w:tc>
          <w:tcPr>
            <w:tcW w:w="1860" w:type="dxa"/>
            <w:vAlign w:val="bottom"/>
            <w:shd w:val="clear" w:color="auto" w:fill="CCEEFF"/>
          </w:tcPr>
          <w:p>
            <w:pPr>
              <w:spacing w:after="0"/>
              <w:rPr>
                <w:sz w:val="6"/>
                <w:szCs w:val="6"/>
                <w:color w:val="auto"/>
              </w:rPr>
            </w:pPr>
          </w:p>
        </w:tc>
        <w:tc>
          <w:tcPr>
            <w:tcW w:w="33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from prior</w:t>
            </w:r>
          </w:p>
        </w:tc>
        <w:tc>
          <w:tcPr>
            <w:tcW w:w="80" w:type="dxa"/>
            <w:vAlign w:val="bottom"/>
            <w:shd w:val="clear" w:color="auto" w:fill="CCEEFF"/>
          </w:tcPr>
          <w:p>
            <w:pPr>
              <w:spacing w:after="0"/>
              <w:rPr>
                <w:sz w:val="18"/>
                <w:szCs w:val="18"/>
                <w:color w:val="auto"/>
              </w:rPr>
            </w:pPr>
          </w:p>
        </w:tc>
        <w:tc>
          <w:tcPr>
            <w:tcW w:w="64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Medicare stand-alone PDP:</w:t>
            </w:r>
            <w:r>
              <w:rPr>
                <w:rFonts w:ascii="Arial" w:cs="Arial" w:eastAsia="Arial" w:hAnsi="Arial"/>
                <w:sz w:val="18"/>
                <w:szCs w:val="18"/>
                <w:color w:val="auto"/>
              </w:rPr>
              <w:t xml:space="preserve"> Down 700,000 to 750,000 (no change)</w:t>
            </w:r>
          </w:p>
        </w:tc>
        <w:tc>
          <w:tcPr>
            <w:tcW w:w="3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20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year end</w:t>
            </w:r>
          </w:p>
        </w:tc>
        <w:tc>
          <w:tcPr>
            <w:tcW w:w="80" w:type="dxa"/>
            <w:vAlign w:val="bottom"/>
            <w:shd w:val="clear" w:color="auto" w:fill="CCEEFF"/>
          </w:tcPr>
          <w:p>
            <w:pPr>
              <w:spacing w:after="0"/>
              <w:rPr>
                <w:sz w:val="20"/>
                <w:szCs w:val="20"/>
                <w:color w:val="auto"/>
              </w:rPr>
            </w:pPr>
          </w:p>
        </w:tc>
        <w:tc>
          <w:tcPr>
            <w:tcW w:w="6440" w:type="dxa"/>
            <w:vAlign w:val="bottom"/>
            <w:gridSpan w:val="2"/>
            <w:vMerge w:val="restart"/>
            <w:shd w:val="clear" w:color="auto" w:fill="CCEEFF"/>
          </w:tcPr>
          <w:p>
            <w:pPr>
              <w:ind w:left="10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Group commercial medical:</w:t>
            </w:r>
            <w:r>
              <w:rPr>
                <w:rFonts w:ascii="Arial" w:cs="Arial" w:eastAsia="Arial" w:hAnsi="Arial"/>
                <w:sz w:val="18"/>
                <w:szCs w:val="18"/>
                <w:color w:val="auto"/>
              </w:rPr>
              <w:t xml:space="preserve"> Down 60,000 to 80,000 (was Down 80,000 to</w:t>
            </w:r>
          </w:p>
        </w:tc>
        <w:tc>
          <w:tcPr>
            <w:tcW w:w="33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40" w:type="dxa"/>
            <w:vAlign w:val="bottom"/>
            <w:gridSpan w:val="2"/>
            <w:vMerge w:val="continue"/>
            <w:shd w:val="clear" w:color="auto" w:fill="CCEEFF"/>
          </w:tcPr>
          <w:p>
            <w:pPr>
              <w:spacing w:after="0"/>
              <w:rPr>
                <w:sz w:val="11"/>
                <w:szCs w:val="11"/>
                <w:color w:val="auto"/>
              </w:rPr>
            </w:pPr>
          </w:p>
        </w:tc>
        <w:tc>
          <w:tcPr>
            <w:tcW w:w="33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4660" w:type="dxa"/>
            <w:vAlign w:val="bottom"/>
            <w:gridSpan w:val="2"/>
            <w:shd w:val="clear" w:color="auto" w:fill="CCEEFF"/>
          </w:tcPr>
          <w:p>
            <w:pPr>
              <w:jc w:val="right"/>
              <w:ind w:right="3490"/>
              <w:spacing w:after="0"/>
              <w:rPr>
                <w:sz w:val="20"/>
                <w:szCs w:val="20"/>
                <w:color w:val="auto"/>
              </w:rPr>
            </w:pPr>
            <w:r>
              <w:rPr>
                <w:rFonts w:ascii="Arial" w:cs="Arial" w:eastAsia="Arial" w:hAnsi="Arial"/>
                <w:sz w:val="18"/>
                <w:szCs w:val="18"/>
                <w:color w:val="auto"/>
              </w:rPr>
              <w:t>100,000)</w:t>
            </w:r>
          </w:p>
        </w:tc>
        <w:tc>
          <w:tcPr>
            <w:tcW w:w="1860" w:type="dxa"/>
            <w:vAlign w:val="bottom"/>
            <w:shd w:val="clear" w:color="auto" w:fill="CCEEFF"/>
          </w:tcPr>
          <w:p>
            <w:pPr>
              <w:spacing w:after="0"/>
              <w:rPr>
                <w:sz w:val="21"/>
                <w:szCs w:val="21"/>
                <w:color w:val="auto"/>
              </w:rPr>
            </w:pPr>
          </w:p>
        </w:tc>
        <w:tc>
          <w:tcPr>
            <w:tcW w:w="33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23"/>
        </w:trPr>
        <w:tc>
          <w:tcPr>
            <w:tcW w:w="1220" w:type="dxa"/>
            <w:vAlign w:val="bottom"/>
            <w:gridSpan w:val="2"/>
          </w:tcPr>
          <w:p>
            <w:pPr>
              <w:spacing w:after="0"/>
              <w:rPr>
                <w:sz w:val="20"/>
                <w:szCs w:val="20"/>
                <w:color w:val="auto"/>
              </w:rPr>
            </w:pPr>
            <w:r>
              <w:rPr>
                <w:rFonts w:ascii="Arial" w:cs="Arial" w:eastAsia="Arial" w:hAnsi="Arial"/>
                <w:sz w:val="18"/>
                <w:szCs w:val="18"/>
                <w:b w:val="1"/>
                <w:bCs w:val="1"/>
                <w:color w:val="auto"/>
              </w:rPr>
              <w:t>Benefit ratios</w:t>
            </w:r>
          </w:p>
        </w:tc>
        <w:tc>
          <w:tcPr>
            <w:tcW w:w="4660" w:type="dxa"/>
            <w:vAlign w:val="bottom"/>
            <w:gridSpan w:val="2"/>
          </w:tcPr>
          <w:p>
            <w:pPr>
              <w:ind w:left="80"/>
              <w:spacing w:after="0"/>
              <w:rPr>
                <w:sz w:val="20"/>
                <w:szCs w:val="20"/>
                <w:color w:val="auto"/>
              </w:rPr>
            </w:pPr>
            <w:r>
              <w:rPr>
                <w:rFonts w:ascii="Arial" w:cs="Arial" w:eastAsia="Arial" w:hAnsi="Arial"/>
                <w:sz w:val="18"/>
                <w:szCs w:val="18"/>
                <w:b w:val="1"/>
                <w:bCs w:val="1"/>
                <w:i w:val="1"/>
                <w:iCs w:val="1"/>
                <w:color w:val="auto"/>
              </w:rPr>
              <w:t>Retail segment</w:t>
            </w:r>
          </w:p>
        </w:tc>
        <w:tc>
          <w:tcPr>
            <w:tcW w:w="1860" w:type="dxa"/>
            <w:vAlign w:val="bottom"/>
          </w:tcPr>
          <w:p>
            <w:pPr>
              <w:jc w:val="right"/>
              <w:spacing w:after="0"/>
              <w:rPr>
                <w:sz w:val="20"/>
                <w:szCs w:val="20"/>
                <w:color w:val="auto"/>
              </w:rPr>
            </w:pPr>
            <w:r>
              <w:rPr>
                <w:rFonts w:ascii="Arial" w:cs="Arial" w:eastAsia="Arial" w:hAnsi="Arial"/>
                <w:sz w:val="18"/>
                <w:szCs w:val="18"/>
                <w:color w:val="auto"/>
              </w:rPr>
              <w:t>86.4% to 87.4%</w:t>
            </w:r>
          </w:p>
        </w:tc>
        <w:tc>
          <w:tcPr>
            <w:tcW w:w="3300" w:type="dxa"/>
            <w:vAlign w:val="bottom"/>
          </w:tcPr>
          <w:p>
            <w:pPr>
              <w:ind w:left="200"/>
              <w:spacing w:after="0"/>
              <w:rPr>
                <w:sz w:val="20"/>
                <w:szCs w:val="20"/>
                <w:color w:val="auto"/>
              </w:rPr>
            </w:pPr>
            <w:r>
              <w:rPr>
                <w:rFonts w:ascii="Arial" w:cs="Arial" w:eastAsia="Arial" w:hAnsi="Arial"/>
                <w:sz w:val="18"/>
                <w:szCs w:val="18"/>
                <w:color w:val="auto"/>
                <w:w w:val="96"/>
              </w:rPr>
              <w:t>•  Ratio calculation: benefits expense as</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58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(was 86.6% to 87.6%)</w:t>
            </w:r>
          </w:p>
        </w:tc>
        <w:tc>
          <w:tcPr>
            <w:tcW w:w="3300" w:type="dxa"/>
            <w:vAlign w:val="bottom"/>
          </w:tcPr>
          <w:p>
            <w:pPr>
              <w:ind w:left="480"/>
              <w:spacing w:after="0"/>
              <w:rPr>
                <w:sz w:val="20"/>
                <w:szCs w:val="20"/>
                <w:color w:val="auto"/>
              </w:rPr>
            </w:pPr>
            <w:r>
              <w:rPr>
                <w:rFonts w:ascii="Arial" w:cs="Arial" w:eastAsia="Arial" w:hAnsi="Arial"/>
                <w:sz w:val="18"/>
                <w:szCs w:val="18"/>
                <w:color w:val="auto"/>
              </w:rPr>
              <w:t>a percent of premium revenues</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b w:val="1"/>
                <w:bCs w:val="1"/>
                <w:i w:val="1"/>
                <w:iCs w:val="1"/>
                <w:color w:val="auto"/>
              </w:rPr>
              <w:t>Group and Specialty segment</w:t>
            </w:r>
          </w:p>
        </w:tc>
        <w:tc>
          <w:tcPr>
            <w:tcW w:w="1860" w:type="dxa"/>
            <w:vAlign w:val="bottom"/>
          </w:tcPr>
          <w:p>
            <w:pPr>
              <w:jc w:val="right"/>
              <w:spacing w:after="0"/>
              <w:rPr>
                <w:sz w:val="20"/>
                <w:szCs w:val="20"/>
                <w:color w:val="auto"/>
              </w:rPr>
            </w:pPr>
            <w:r>
              <w:rPr>
                <w:rFonts w:ascii="Arial" w:cs="Arial" w:eastAsia="Arial" w:hAnsi="Arial"/>
                <w:sz w:val="18"/>
                <w:szCs w:val="18"/>
                <w:color w:val="auto"/>
              </w:rPr>
              <w:t>81.3% to 81.8%</w:t>
            </w:r>
          </w:p>
        </w:tc>
        <w:tc>
          <w:tcPr>
            <w:tcW w:w="3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(was 81.0% to 81.5%)</w:t>
            </w:r>
          </w:p>
        </w:tc>
        <w:tc>
          <w:tcPr>
            <w:tcW w:w="3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20" w:type="dxa"/>
            <w:vAlign w:val="bottom"/>
            <w:vMerge w:val="restart"/>
          </w:tcPr>
          <w:p>
            <w:pPr>
              <w:spacing w:after="0"/>
              <w:rPr>
                <w:sz w:val="10"/>
                <w:szCs w:val="10"/>
                <w:color w:val="auto"/>
              </w:rPr>
            </w:pPr>
          </w:p>
        </w:tc>
        <w:tc>
          <w:tcPr>
            <w:tcW w:w="1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58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3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120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Consolidated</w:t>
            </w:r>
          </w:p>
        </w:tc>
        <w:tc>
          <w:tcPr>
            <w:tcW w:w="4660" w:type="dxa"/>
            <w:vAlign w:val="bottom"/>
            <w:gridSpan w:val="2"/>
            <w:shd w:val="clear" w:color="auto" w:fill="CCEEFF"/>
          </w:tcPr>
          <w:p>
            <w:pPr>
              <w:ind w:left="80"/>
              <w:spacing w:after="0" w:line="198" w:lineRule="exact"/>
              <w:rPr>
                <w:sz w:val="20"/>
                <w:szCs w:val="20"/>
                <w:color w:val="auto"/>
              </w:rPr>
            </w:pPr>
            <w:r>
              <w:rPr>
                <w:rFonts w:ascii="Arial" w:cs="Arial" w:eastAsia="Arial" w:hAnsi="Arial"/>
                <w:sz w:val="18"/>
                <w:szCs w:val="18"/>
                <w:color w:val="auto"/>
              </w:rPr>
              <w:t>10.7% to 11.5% (was 10.6% to 11.4%)</w:t>
            </w:r>
          </w:p>
        </w:tc>
        <w:tc>
          <w:tcPr>
            <w:tcW w:w="1860" w:type="dxa"/>
            <w:vAlign w:val="bottom"/>
            <w:shd w:val="clear" w:color="auto" w:fill="CCEEFF"/>
          </w:tcPr>
          <w:p>
            <w:pPr>
              <w:spacing w:after="0"/>
              <w:rPr>
                <w:sz w:val="17"/>
                <w:szCs w:val="17"/>
                <w:color w:val="auto"/>
              </w:rPr>
            </w:pPr>
          </w:p>
        </w:tc>
        <w:tc>
          <w:tcPr>
            <w:tcW w:w="3300" w:type="dxa"/>
            <w:vAlign w:val="bottom"/>
            <w:shd w:val="clear" w:color="auto" w:fill="CCEEFF"/>
          </w:tcPr>
          <w:p>
            <w:pPr>
              <w:ind w:left="200"/>
              <w:spacing w:after="0" w:line="198" w:lineRule="exact"/>
              <w:rPr>
                <w:sz w:val="20"/>
                <w:szCs w:val="20"/>
                <w:color w:val="auto"/>
              </w:rPr>
            </w:pPr>
            <w:r>
              <w:rPr>
                <w:rFonts w:ascii="Arial" w:cs="Arial" w:eastAsia="Arial" w:hAnsi="Arial"/>
                <w:sz w:val="18"/>
                <w:szCs w:val="18"/>
                <w:color w:val="auto"/>
              </w:rPr>
              <w:t>•  Ratio calculation: operating costs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operating</w:t>
            </w:r>
          </w:p>
        </w:tc>
        <w:tc>
          <w:tcPr>
            <w:tcW w:w="80" w:type="dxa"/>
            <w:vAlign w:val="bottom"/>
            <w:shd w:val="clear" w:color="auto" w:fill="CCEEFF"/>
          </w:tcPr>
          <w:p>
            <w:pPr>
              <w:spacing w:after="0"/>
              <w:rPr>
                <w:sz w:val="18"/>
                <w:szCs w:val="18"/>
                <w:color w:val="auto"/>
              </w:rPr>
            </w:pPr>
          </w:p>
        </w:tc>
        <w:tc>
          <w:tcPr>
            <w:tcW w:w="458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33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excluding depreciation and</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20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cost ratio</w:t>
            </w:r>
          </w:p>
        </w:tc>
        <w:tc>
          <w:tcPr>
            <w:tcW w:w="80" w:type="dxa"/>
            <w:vAlign w:val="bottom"/>
            <w:shd w:val="clear" w:color="auto" w:fill="CCEEFF"/>
          </w:tcPr>
          <w:p>
            <w:pPr>
              <w:spacing w:after="0"/>
              <w:rPr>
                <w:sz w:val="19"/>
                <w:szCs w:val="19"/>
                <w:color w:val="auto"/>
              </w:rPr>
            </w:pPr>
          </w:p>
        </w:tc>
        <w:tc>
          <w:tcPr>
            <w:tcW w:w="458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330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2"/>
              </w:rPr>
              <w:t>amortization as a percent of revenues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580" w:type="dxa"/>
            <w:vAlign w:val="bottom"/>
            <w:shd w:val="clear" w:color="auto" w:fill="CCEEFF"/>
          </w:tcPr>
          <w:p>
            <w:pPr>
              <w:spacing w:after="0"/>
              <w:rPr>
                <w:sz w:val="20"/>
                <w:szCs w:val="20"/>
                <w:color w:val="auto"/>
              </w:rPr>
            </w:pPr>
          </w:p>
        </w:tc>
        <w:tc>
          <w:tcPr>
            <w:tcW w:w="1860" w:type="dxa"/>
            <w:vAlign w:val="bottom"/>
            <w:shd w:val="clear" w:color="auto" w:fill="CCEEFF"/>
          </w:tcPr>
          <w:p>
            <w:pPr>
              <w:spacing w:after="0"/>
              <w:rPr>
                <w:sz w:val="20"/>
                <w:szCs w:val="20"/>
                <w:color w:val="auto"/>
              </w:rPr>
            </w:pPr>
          </w:p>
        </w:tc>
        <w:tc>
          <w:tcPr>
            <w:tcW w:w="33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excluding investment income</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660" w:type="dxa"/>
            <w:vAlign w:val="bottom"/>
            <w:gridSpan w:val="2"/>
          </w:tcPr>
          <w:p>
            <w:pPr>
              <w:jc w:val="right"/>
              <w:ind w:right="190"/>
              <w:spacing w:after="0"/>
              <w:rPr>
                <w:sz w:val="20"/>
                <w:szCs w:val="20"/>
                <w:color w:val="auto"/>
              </w:rPr>
            </w:pPr>
            <w:r>
              <w:rPr>
                <w:rFonts w:ascii="Arial" w:cs="Arial" w:eastAsia="Arial" w:hAnsi="Arial"/>
                <w:sz w:val="18"/>
                <w:szCs w:val="18"/>
                <w:color w:val="auto"/>
              </w:rPr>
              <w:t>18</w:t>
            </w:r>
          </w:p>
        </w:tc>
        <w:tc>
          <w:tcPr>
            <w:tcW w:w="186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40"/>
          </w:cols>
          <w:pgMar w:left="440" w:top="257" w:right="419" w:bottom="1440" w:gutter="0" w:footer="0" w:header="0"/>
          <w:type w:val="continuous"/>
        </w:sectPr>
      </w:pPr>
    </w:p>
    <w:bookmarkStart w:id="29" w:name="page30"/>
    <w:bookmarkEnd w:id="2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20" w:type="dxa"/>
            <w:vAlign w:val="bottom"/>
            <w:gridSpan w:val="4"/>
          </w:tcPr>
          <w:p>
            <w:pPr>
              <w:jc w:val="center"/>
              <w:spacing w:after="0"/>
              <w:rPr>
                <w:sz w:val="20"/>
                <w:szCs w:val="20"/>
                <w:color w:val="auto"/>
              </w:rPr>
            </w:pPr>
            <w:r>
              <w:rPr>
                <w:rFonts w:ascii="Arial" w:cs="Arial" w:eastAsia="Arial" w:hAnsi="Arial"/>
                <w:sz w:val="14"/>
                <w:szCs w:val="14"/>
                <w:b w:val="1"/>
                <w:bCs w:val="1"/>
                <w:i w:val="1"/>
                <w:iCs w:val="1"/>
                <w:color w:val="auto"/>
                <w:w w:val="91"/>
              </w:rPr>
              <w:t>In accordance</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i w:val="1"/>
                <w:iCs w:val="1"/>
                <w:color w:val="auto"/>
                <w:w w:val="93"/>
              </w:rPr>
              <w:t>with GAAP</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820" w:type="dxa"/>
            <w:vAlign w:val="bottom"/>
            <w:vMerge w:val="restart"/>
          </w:tcPr>
          <w:p>
            <w:pPr>
              <w:jc w:val="center"/>
              <w:ind w:left="424"/>
              <w:spacing w:after="0"/>
              <w:rPr>
                <w:sz w:val="20"/>
                <w:szCs w:val="20"/>
                <w:color w:val="auto"/>
              </w:rPr>
            </w:pPr>
            <w:r>
              <w:rPr>
                <w:rFonts w:ascii="Arial" w:cs="Arial" w:eastAsia="Arial" w:hAnsi="Arial"/>
                <w:sz w:val="14"/>
                <w:szCs w:val="14"/>
                <w:b w:val="1"/>
                <w:bCs w:val="1"/>
                <w:color w:val="auto"/>
                <w:w w:val="96"/>
              </w:rPr>
              <w:t>Humana Inc.</w:t>
            </w: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3"/>
          </w:tcPr>
          <w:p>
            <w:pPr>
              <w:jc w:val="center"/>
              <w:ind w:right="140"/>
              <w:spacing w:after="0" w:line="145" w:lineRule="exact"/>
              <w:rPr>
                <w:sz w:val="20"/>
                <w:szCs w:val="20"/>
                <w:color w:val="auto"/>
              </w:rPr>
            </w:pPr>
            <w:r>
              <w:rPr>
                <w:rFonts w:ascii="Arial" w:cs="Arial" w:eastAsia="Arial" w:hAnsi="Arial"/>
                <w:sz w:val="14"/>
                <w:szCs w:val="14"/>
                <w:b w:val="1"/>
                <w:bCs w:val="1"/>
                <w:i w:val="1"/>
                <w:iCs w:val="1"/>
                <w:color w:val="auto"/>
                <w:w w:val="85"/>
              </w:rPr>
              <w:t>unless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820" w:type="dxa"/>
            <w:vAlign w:val="bottom"/>
            <w:vMerge w:val="continue"/>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i w:val="1"/>
                <w:iCs w:val="1"/>
                <w:color w:val="auto"/>
                <w:w w:val="85"/>
              </w:rPr>
              <w:t>otherwise</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660" w:type="dxa"/>
            <w:vAlign w:val="bottom"/>
            <w:gridSpan w:val="3"/>
          </w:tcPr>
          <w:p>
            <w:pPr>
              <w:jc w:val="center"/>
              <w:ind w:right="250"/>
              <w:spacing w:after="0" w:line="149" w:lineRule="exact"/>
              <w:rPr>
                <w:sz w:val="20"/>
                <w:szCs w:val="20"/>
                <w:color w:val="auto"/>
              </w:rPr>
            </w:pPr>
            <w:r>
              <w:rPr>
                <w:rFonts w:ascii="Arial" w:cs="Arial" w:eastAsia="Arial" w:hAnsi="Arial"/>
                <w:sz w:val="14"/>
                <w:szCs w:val="14"/>
                <w:b w:val="1"/>
                <w:bCs w:val="1"/>
                <w:color w:val="auto"/>
                <w:w w:val="93"/>
              </w:rPr>
              <w:t>Full-Year 2019 Projections</w:t>
            </w:r>
          </w:p>
        </w:tc>
        <w:tc>
          <w:tcPr>
            <w:tcW w:w="1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40" w:type="dxa"/>
            <w:vAlign w:val="bottom"/>
            <w:gridSpan w:val="3"/>
            <w:vMerge w:val="restart"/>
          </w:tcPr>
          <w:p>
            <w:pPr>
              <w:ind w:left="360"/>
              <w:spacing w:after="0"/>
              <w:rPr>
                <w:sz w:val="20"/>
                <w:szCs w:val="20"/>
                <w:color w:val="auto"/>
              </w:rPr>
            </w:pPr>
            <w:r>
              <w:rPr>
                <w:rFonts w:ascii="Arial" w:cs="Arial" w:eastAsia="Arial" w:hAnsi="Arial"/>
                <w:sz w:val="14"/>
                <w:szCs w:val="14"/>
                <w:b w:val="1"/>
                <w:bCs w:val="1"/>
                <w:color w:val="auto"/>
              </w:rPr>
              <w:t>Comments</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i w:val="1"/>
                <w:iCs w:val="1"/>
                <w:color w:val="auto"/>
                <w:w w:val="83"/>
              </w:rPr>
              <w:t>noted</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820" w:type="dxa"/>
            <w:vAlign w:val="bottom"/>
          </w:tcPr>
          <w:p>
            <w:pPr>
              <w:jc w:val="center"/>
              <w:ind w:left="444"/>
              <w:spacing w:after="0"/>
              <w:rPr>
                <w:sz w:val="20"/>
                <w:szCs w:val="20"/>
                <w:color w:val="auto"/>
              </w:rPr>
            </w:pPr>
            <w:r>
              <w:rPr>
                <w:rFonts w:ascii="Arial" w:cs="Arial" w:eastAsia="Arial" w:hAnsi="Arial"/>
                <w:sz w:val="14"/>
                <w:szCs w:val="14"/>
                <w:b w:val="1"/>
                <w:bCs w:val="1"/>
                <w:color w:val="auto"/>
                <w:w w:val="94"/>
              </w:rPr>
              <w:t>As of May 1, 2019</w:t>
            </w:r>
          </w:p>
        </w:tc>
        <w:tc>
          <w:tcPr>
            <w:tcW w:w="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4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320" w:type="dxa"/>
            <w:vAlign w:val="bottom"/>
            <w:tcBorders>
              <w:top w:val="single" w:sz="8" w:color="CCEEFF"/>
            </w:tcBorders>
            <w:gridSpan w:val="5"/>
            <w:shd w:val="clear" w:color="auto" w:fill="CCEEFF"/>
          </w:tcPr>
          <w:p>
            <w:pPr>
              <w:spacing w:after="0" w:line="189" w:lineRule="exact"/>
              <w:rPr>
                <w:sz w:val="20"/>
                <w:szCs w:val="20"/>
                <w:color w:val="auto"/>
              </w:rPr>
            </w:pPr>
            <w:r>
              <w:rPr>
                <w:rFonts w:ascii="Arial" w:cs="Arial" w:eastAsia="Arial" w:hAnsi="Arial"/>
                <w:sz w:val="18"/>
                <w:szCs w:val="18"/>
                <w:b w:val="1"/>
                <w:bCs w:val="1"/>
                <w:color w:val="auto"/>
                <w:w w:val="92"/>
              </w:rPr>
              <w:t>Segment results</w:t>
            </w:r>
          </w:p>
        </w:tc>
        <w:tc>
          <w:tcPr>
            <w:tcW w:w="120" w:type="dxa"/>
            <w:vAlign w:val="bottom"/>
            <w:tcBorders>
              <w:top w:val="single" w:sz="8" w:color="CCEEFF"/>
            </w:tcBorders>
            <w:shd w:val="clear" w:color="auto" w:fill="CCEEFF"/>
          </w:tcPr>
          <w:p>
            <w:pPr>
              <w:spacing w:after="0"/>
              <w:rPr>
                <w:sz w:val="16"/>
                <w:szCs w:val="16"/>
                <w:color w:val="auto"/>
              </w:rPr>
            </w:pPr>
          </w:p>
        </w:tc>
        <w:tc>
          <w:tcPr>
            <w:tcW w:w="3840" w:type="dxa"/>
            <w:vAlign w:val="bottom"/>
            <w:tcBorders>
              <w:top w:val="single" w:sz="8" w:color="auto"/>
            </w:tcBorders>
            <w:gridSpan w:val="3"/>
            <w:shd w:val="clear" w:color="auto" w:fill="CCEEFF"/>
          </w:tcPr>
          <w:p>
            <w:pPr>
              <w:spacing w:after="0" w:line="189" w:lineRule="exact"/>
              <w:rPr>
                <w:sz w:val="20"/>
                <w:szCs w:val="20"/>
                <w:color w:val="auto"/>
              </w:rPr>
            </w:pPr>
            <w:r>
              <w:rPr>
                <w:rFonts w:ascii="Arial" w:cs="Arial" w:eastAsia="Arial" w:hAnsi="Arial"/>
                <w:sz w:val="18"/>
                <w:szCs w:val="18"/>
                <w:b w:val="1"/>
                <w:bCs w:val="1"/>
                <w:i w:val="1"/>
                <w:iCs w:val="1"/>
                <w:color w:val="auto"/>
              </w:rPr>
              <w:t>Retail segment earnings</w:t>
            </w:r>
          </w:p>
        </w:tc>
        <w:tc>
          <w:tcPr>
            <w:tcW w:w="2540" w:type="dxa"/>
            <w:vAlign w:val="bottom"/>
            <w:tcBorders>
              <w:top w:val="single" w:sz="8" w:color="auto"/>
            </w:tcBorders>
            <w:gridSpan w:val="6"/>
            <w:shd w:val="clear" w:color="auto" w:fill="CCEEFF"/>
          </w:tcPr>
          <w:p>
            <w:pPr>
              <w:jc w:val="right"/>
              <w:spacing w:after="0" w:line="189" w:lineRule="exact"/>
              <w:rPr>
                <w:sz w:val="20"/>
                <w:szCs w:val="20"/>
                <w:color w:val="auto"/>
              </w:rPr>
            </w:pPr>
            <w:r>
              <w:rPr>
                <w:rFonts w:ascii="Arial" w:cs="Arial" w:eastAsia="Arial" w:hAnsi="Arial"/>
                <w:sz w:val="18"/>
                <w:szCs w:val="18"/>
                <w:color w:val="auto"/>
              </w:rPr>
              <w:t>$1.925 billion to $2.125 billion</w:t>
            </w:r>
          </w:p>
        </w:tc>
        <w:tc>
          <w:tcPr>
            <w:tcW w:w="120" w:type="dxa"/>
            <w:vAlign w:val="bottom"/>
            <w:tcBorders>
              <w:top w:val="single" w:sz="8" w:color="CCEEFF"/>
            </w:tcBorders>
            <w:shd w:val="clear" w:color="auto" w:fill="CCEEFF"/>
          </w:tcPr>
          <w:p>
            <w:pPr>
              <w:spacing w:after="0"/>
              <w:rPr>
                <w:sz w:val="16"/>
                <w:szCs w:val="16"/>
                <w:color w:val="auto"/>
              </w:rPr>
            </w:pPr>
          </w:p>
        </w:tc>
        <w:tc>
          <w:tcPr>
            <w:tcW w:w="3080" w:type="dxa"/>
            <w:vAlign w:val="bottom"/>
            <w:tcBorders>
              <w:top w:val="single" w:sz="8" w:color="auto"/>
            </w:tcBorders>
            <w:gridSpan w:val="6"/>
            <w:shd w:val="clear" w:color="auto" w:fill="CCEEFF"/>
          </w:tcPr>
          <w:p>
            <w:pPr>
              <w:ind w:left="80"/>
              <w:spacing w:after="0" w:line="189" w:lineRule="exact"/>
              <w:rPr>
                <w:sz w:val="20"/>
                <w:szCs w:val="20"/>
                <w:color w:val="auto"/>
              </w:rPr>
            </w:pPr>
            <w:r>
              <w:rPr>
                <w:rFonts w:ascii="Arial" w:cs="Arial" w:eastAsia="Arial" w:hAnsi="Arial"/>
                <w:sz w:val="18"/>
                <w:szCs w:val="18"/>
                <w:color w:val="auto"/>
              </w:rPr>
              <w:t>•  No material impact to segment</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4360" w:type="dxa"/>
            <w:vAlign w:val="bottom"/>
            <w:tcBorders>
              <w:bottom w:val="single" w:sz="8" w:color="CCEEFF"/>
            </w:tcBorders>
            <w:gridSpan w:val="7"/>
            <w:shd w:val="clear" w:color="auto" w:fill="CCEEFF"/>
          </w:tcPr>
          <w:p>
            <w:pPr>
              <w:jc w:val="right"/>
              <w:spacing w:after="0"/>
              <w:rPr>
                <w:sz w:val="20"/>
                <w:szCs w:val="20"/>
                <w:color w:val="auto"/>
              </w:rPr>
            </w:pPr>
            <w:r>
              <w:rPr>
                <w:rFonts w:ascii="Arial" w:cs="Arial" w:eastAsia="Arial" w:hAnsi="Arial"/>
                <w:sz w:val="18"/>
                <w:szCs w:val="18"/>
                <w:color w:val="auto"/>
              </w:rPr>
              <w:t>(was $1.875 billion to $2.075 billion)</w:t>
            </w:r>
          </w:p>
        </w:tc>
        <w:tc>
          <w:tcPr>
            <w:tcW w:w="120" w:type="dxa"/>
            <w:vAlign w:val="bottom"/>
            <w:tcBorders>
              <w:bottom w:val="single" w:sz="8" w:color="CCEEFF"/>
            </w:tcBorders>
            <w:shd w:val="clear" w:color="auto" w:fill="CCEEFF"/>
          </w:tcPr>
          <w:p>
            <w:pPr>
              <w:spacing w:after="0"/>
              <w:rPr>
                <w:sz w:val="21"/>
                <w:szCs w:val="21"/>
                <w:color w:val="auto"/>
              </w:rPr>
            </w:pPr>
          </w:p>
        </w:tc>
        <w:tc>
          <w:tcPr>
            <w:tcW w:w="3080" w:type="dxa"/>
            <w:vAlign w:val="bottom"/>
            <w:tcBorders>
              <w:bottom w:val="single" w:sz="8" w:color="CCEEFF"/>
            </w:tcBorders>
            <w:gridSpan w:val="6"/>
            <w:shd w:val="clear" w:color="auto" w:fill="CCEEFF"/>
          </w:tcPr>
          <w:p>
            <w:pPr>
              <w:ind w:left="340"/>
              <w:spacing w:after="0"/>
              <w:rPr>
                <w:sz w:val="20"/>
                <w:szCs w:val="20"/>
                <w:color w:val="auto"/>
              </w:rPr>
            </w:pPr>
            <w:r>
              <w:rPr>
                <w:rFonts w:ascii="Arial" w:cs="Arial" w:eastAsia="Arial" w:hAnsi="Arial"/>
                <w:sz w:val="18"/>
                <w:szCs w:val="18"/>
                <w:color w:val="auto"/>
                <w:w w:val="92"/>
              </w:rPr>
              <w:t>earnings anticipated from non-GAAP</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840" w:type="dxa"/>
            <w:vAlign w:val="bottom"/>
            <w:tcBorders>
              <w:top w:val="single" w:sz="8" w:color="auto"/>
            </w:tcBorders>
            <w:gridSpan w:val="3"/>
            <w:shd w:val="clear" w:color="auto" w:fill="CCEEFF"/>
          </w:tcPr>
          <w:p>
            <w:pPr>
              <w:spacing w:after="0"/>
              <w:rPr>
                <w:sz w:val="20"/>
                <w:szCs w:val="20"/>
                <w:color w:val="auto"/>
              </w:rPr>
            </w:pPr>
            <w:r>
              <w:rPr>
                <w:rFonts w:ascii="Arial" w:cs="Arial" w:eastAsia="Arial" w:hAnsi="Arial"/>
                <w:sz w:val="18"/>
                <w:szCs w:val="18"/>
                <w:b w:val="1"/>
                <w:bCs w:val="1"/>
                <w:i w:val="1"/>
                <w:iCs w:val="1"/>
                <w:color w:val="auto"/>
              </w:rPr>
              <w:t>Group and Specialty segment earnings</w:t>
            </w:r>
          </w:p>
        </w:tc>
        <w:tc>
          <w:tcPr>
            <w:tcW w:w="2540" w:type="dxa"/>
            <w:vAlign w:val="bottom"/>
            <w:tcBorders>
              <w:top w:val="single" w:sz="8" w:color="auto"/>
            </w:tcBorders>
            <w:gridSpan w:val="6"/>
            <w:shd w:val="clear" w:color="auto" w:fill="CCEEFF"/>
          </w:tcPr>
          <w:p>
            <w:pPr>
              <w:jc w:val="right"/>
              <w:spacing w:after="0"/>
              <w:rPr>
                <w:sz w:val="20"/>
                <w:szCs w:val="20"/>
                <w:color w:val="auto"/>
              </w:rPr>
            </w:pPr>
            <w:r>
              <w:rPr>
                <w:rFonts w:ascii="Arial" w:cs="Arial" w:eastAsia="Arial" w:hAnsi="Arial"/>
                <w:sz w:val="18"/>
                <w:szCs w:val="18"/>
                <w:color w:val="auto"/>
              </w:rPr>
              <w:t>$300 million to $350 million</w:t>
            </w:r>
          </w:p>
        </w:tc>
        <w:tc>
          <w:tcPr>
            <w:tcW w:w="120" w:type="dxa"/>
            <w:vAlign w:val="bottom"/>
            <w:tcBorders>
              <w:top w:val="single" w:sz="8" w:color="CCEEFF"/>
            </w:tcBorders>
            <w:shd w:val="clear" w:color="auto" w:fill="CCEEFF"/>
          </w:tcPr>
          <w:p>
            <w:pPr>
              <w:spacing w:after="0"/>
              <w:rPr>
                <w:sz w:val="18"/>
                <w:szCs w:val="18"/>
                <w:color w:val="auto"/>
              </w:rPr>
            </w:pPr>
          </w:p>
        </w:tc>
        <w:tc>
          <w:tcPr>
            <w:tcW w:w="3080" w:type="dxa"/>
            <w:vAlign w:val="bottom"/>
            <w:tcBorders>
              <w:top w:val="single" w:sz="8" w:color="CCEEFF"/>
            </w:tcBorders>
            <w:gridSpan w:val="6"/>
            <w:shd w:val="clear" w:color="auto" w:fill="CCEEFF"/>
          </w:tcPr>
          <w:p>
            <w:pPr>
              <w:ind w:left="340"/>
              <w:spacing w:after="0" w:line="182" w:lineRule="exact"/>
              <w:rPr>
                <w:sz w:val="20"/>
                <w:szCs w:val="20"/>
                <w:color w:val="auto"/>
              </w:rPr>
            </w:pPr>
            <w:r>
              <w:rPr>
                <w:rFonts w:ascii="Arial" w:cs="Arial" w:eastAsia="Arial" w:hAnsi="Arial"/>
                <w:sz w:val="18"/>
                <w:szCs w:val="18"/>
                <w:color w:val="auto"/>
              </w:rPr>
              <w:t>adjustments</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spacing w:after="0"/>
              <w:rPr>
                <w:sz w:val="20"/>
                <w:szCs w:val="20"/>
                <w:color w:val="auto"/>
              </w:rPr>
            </w:pPr>
          </w:p>
        </w:tc>
        <w:tc>
          <w:tcPr>
            <w:tcW w:w="1820" w:type="dxa"/>
            <w:vAlign w:val="bottom"/>
            <w:tcBorders>
              <w:bottom w:val="single" w:sz="8" w:color="auto"/>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70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(no change)</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i w:val="1"/>
                <w:iCs w:val="1"/>
                <w:color w:val="auto"/>
              </w:rPr>
              <w:t>Healthcare Services Adjusted EBITDA</w:t>
            </w:r>
          </w:p>
        </w:tc>
        <w:tc>
          <w:tcPr>
            <w:tcW w:w="254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$1.00 billion to $1.05 billion</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82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7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(no change)</w:t>
            </w: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24"/>
        </w:trPr>
        <w:tc>
          <w:tcPr>
            <w:tcW w:w="5300" w:type="dxa"/>
            <w:vAlign w:val="bottom"/>
            <w:gridSpan w:val="10"/>
          </w:tcPr>
          <w:p>
            <w:pPr>
              <w:spacing w:after="0"/>
              <w:rPr>
                <w:sz w:val="20"/>
                <w:szCs w:val="20"/>
                <w:color w:val="auto"/>
              </w:rPr>
            </w:pPr>
            <w:r>
              <w:rPr>
                <w:rFonts w:ascii="Arial" w:cs="Arial" w:eastAsia="Arial" w:hAnsi="Arial"/>
                <w:sz w:val="18"/>
                <w:szCs w:val="18"/>
                <w:b w:val="1"/>
                <w:bCs w:val="1"/>
                <w:color w:val="auto"/>
              </w:rPr>
              <w:t xml:space="preserve">Effective tax rate  </w:t>
            </w:r>
            <w:r>
              <w:rPr>
                <w:rFonts w:ascii="Arial" w:cs="Arial" w:eastAsia="Arial" w:hAnsi="Arial"/>
                <w:sz w:val="18"/>
                <w:szCs w:val="18"/>
                <w:color w:val="auto"/>
              </w:rPr>
              <w:t>23.8% to 24.3% (was 23.3% to 23.8%)</w:t>
            </w: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20" w:type="dxa"/>
            <w:vAlign w:val="bottom"/>
            <w:vMerge w:val="restart"/>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tcPr>
          <w:p>
            <w:pPr>
              <w:spacing w:after="0"/>
              <w:rPr>
                <w:sz w:val="10"/>
                <w:szCs w:val="10"/>
                <w:color w:val="auto"/>
              </w:rPr>
            </w:pPr>
          </w:p>
        </w:tc>
        <w:tc>
          <w:tcPr>
            <w:tcW w:w="136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60" w:type="dxa"/>
            <w:vAlign w:val="bottom"/>
            <w:gridSpan w:val="3"/>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1220" w:type="dxa"/>
            <w:vAlign w:val="bottom"/>
            <w:gridSpan w:val="4"/>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Weighted</w:t>
            </w:r>
          </w:p>
        </w:tc>
        <w:tc>
          <w:tcPr>
            <w:tcW w:w="100" w:type="dxa"/>
            <w:vAlign w:val="bottom"/>
            <w:shd w:val="clear" w:color="auto" w:fill="CCEEFF"/>
          </w:tcPr>
          <w:p>
            <w:pPr>
              <w:spacing w:after="0"/>
              <w:rPr>
                <w:sz w:val="17"/>
                <w:szCs w:val="17"/>
                <w:color w:val="auto"/>
              </w:rPr>
            </w:pPr>
          </w:p>
        </w:tc>
        <w:tc>
          <w:tcPr>
            <w:tcW w:w="3960" w:type="dxa"/>
            <w:vAlign w:val="bottom"/>
            <w:gridSpan w:val="4"/>
            <w:shd w:val="clear" w:color="auto" w:fill="CCEEFF"/>
          </w:tcPr>
          <w:p>
            <w:pPr>
              <w:ind w:left="100"/>
              <w:spacing w:after="0" w:line="198" w:lineRule="exact"/>
              <w:rPr>
                <w:sz w:val="20"/>
                <w:szCs w:val="20"/>
                <w:color w:val="auto"/>
              </w:rPr>
            </w:pPr>
            <w:r>
              <w:rPr>
                <w:rFonts w:ascii="Arial" w:cs="Arial" w:eastAsia="Arial" w:hAnsi="Arial"/>
                <w:sz w:val="18"/>
                <w:szCs w:val="18"/>
                <w:color w:val="auto"/>
              </w:rPr>
              <w:t>135.3 million to 136.3 million (no change)</w:t>
            </w:r>
          </w:p>
        </w:tc>
        <w:tc>
          <w:tcPr>
            <w:tcW w:w="5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80" w:type="dxa"/>
            <w:vAlign w:val="bottom"/>
            <w:gridSpan w:val="6"/>
            <w:shd w:val="clear" w:color="auto" w:fill="CCEEFF"/>
          </w:tcPr>
          <w:p>
            <w:pPr>
              <w:ind w:left="80"/>
              <w:spacing w:after="0" w:line="198" w:lineRule="exact"/>
              <w:rPr>
                <w:sz w:val="20"/>
                <w:szCs w:val="20"/>
                <w:color w:val="auto"/>
              </w:rPr>
            </w:pPr>
            <w:r>
              <w:rPr>
                <w:rFonts w:ascii="Arial" w:cs="Arial" w:eastAsia="Arial" w:hAnsi="Arial"/>
                <w:sz w:val="18"/>
                <w:szCs w:val="18"/>
                <w:color w:val="auto"/>
                <w:w w:val="94"/>
              </w:rPr>
              <w:t>•  Includes impact of share repurchases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20" w:type="dxa"/>
            <w:vAlign w:val="bottom"/>
            <w:gridSpan w:val="4"/>
            <w:shd w:val="clear" w:color="auto" w:fill="CCEEFF"/>
          </w:tcPr>
          <w:p>
            <w:pPr>
              <w:ind w:left="160"/>
              <w:spacing w:after="0"/>
              <w:rPr>
                <w:sz w:val="20"/>
                <w:szCs w:val="20"/>
                <w:color w:val="auto"/>
              </w:rPr>
            </w:pPr>
            <w:r>
              <w:rPr>
                <w:rFonts w:ascii="Arial" w:cs="Arial" w:eastAsia="Arial" w:hAnsi="Arial"/>
                <w:sz w:val="18"/>
                <w:szCs w:val="18"/>
                <w:b w:val="1"/>
                <w:bCs w:val="1"/>
                <w:color w:val="auto"/>
                <w:w w:val="85"/>
              </w:rPr>
              <w:t>average share</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80" w:type="dxa"/>
            <w:vAlign w:val="bottom"/>
            <w:gridSpan w:val="6"/>
            <w:shd w:val="clear" w:color="auto" w:fill="CCEEFF"/>
          </w:tcPr>
          <w:p>
            <w:pPr>
              <w:ind w:left="340"/>
              <w:spacing w:after="0"/>
              <w:rPr>
                <w:sz w:val="20"/>
                <w:szCs w:val="20"/>
                <w:color w:val="auto"/>
              </w:rPr>
            </w:pPr>
            <w:r>
              <w:rPr>
                <w:rFonts w:ascii="Arial" w:cs="Arial" w:eastAsia="Arial" w:hAnsi="Arial"/>
                <w:sz w:val="18"/>
                <w:szCs w:val="18"/>
                <w:color w:val="auto"/>
              </w:rPr>
              <w:t>already completed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20" w:type="dxa"/>
            <w:vAlign w:val="bottom"/>
            <w:gridSpan w:val="4"/>
            <w:shd w:val="clear" w:color="auto" w:fill="CCEEFF"/>
          </w:tcPr>
          <w:p>
            <w:pPr>
              <w:ind w:left="160"/>
              <w:spacing w:after="0"/>
              <w:rPr>
                <w:sz w:val="20"/>
                <w:szCs w:val="20"/>
                <w:color w:val="auto"/>
              </w:rPr>
            </w:pPr>
            <w:r>
              <w:rPr>
                <w:rFonts w:ascii="Arial" w:cs="Arial" w:eastAsia="Arial" w:hAnsi="Arial"/>
                <w:sz w:val="18"/>
                <w:szCs w:val="18"/>
                <w:b w:val="1"/>
                <w:bCs w:val="1"/>
                <w:color w:val="auto"/>
              </w:rPr>
              <w:t>count for</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220" w:type="dxa"/>
            <w:vAlign w:val="bottom"/>
            <w:gridSpan w:val="4"/>
            <w:shd w:val="clear" w:color="auto" w:fill="CCEEFF"/>
          </w:tcPr>
          <w:p>
            <w:pPr>
              <w:ind w:left="160"/>
              <w:spacing w:after="0"/>
              <w:rPr>
                <w:sz w:val="20"/>
                <w:szCs w:val="20"/>
                <w:color w:val="auto"/>
              </w:rPr>
            </w:pPr>
            <w:r>
              <w:rPr>
                <w:rFonts w:ascii="Arial" w:cs="Arial" w:eastAsia="Arial" w:hAnsi="Arial"/>
                <w:sz w:val="18"/>
                <w:szCs w:val="18"/>
                <w:b w:val="1"/>
                <w:bCs w:val="1"/>
                <w:color w:val="auto"/>
              </w:rPr>
              <w:t>diluted EPS</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8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5300" w:type="dxa"/>
            <w:vAlign w:val="bottom"/>
            <w:gridSpan w:val="10"/>
          </w:tcPr>
          <w:p>
            <w:pPr>
              <w:spacing w:after="0"/>
              <w:rPr>
                <w:sz w:val="20"/>
                <w:szCs w:val="20"/>
                <w:color w:val="auto"/>
              </w:rPr>
            </w:pPr>
            <w:r>
              <w:rPr>
                <w:rFonts w:ascii="Arial" w:cs="Arial" w:eastAsia="Arial" w:hAnsi="Arial"/>
                <w:sz w:val="18"/>
                <w:szCs w:val="18"/>
                <w:b w:val="1"/>
                <w:bCs w:val="1"/>
                <w:color w:val="auto"/>
              </w:rPr>
              <w:t xml:space="preserve">Cash flows from  </w:t>
            </w:r>
            <w:r>
              <w:rPr>
                <w:rFonts w:ascii="Arial" w:cs="Arial" w:eastAsia="Arial" w:hAnsi="Arial"/>
                <w:sz w:val="18"/>
                <w:szCs w:val="18"/>
                <w:color w:val="auto"/>
              </w:rPr>
              <w:t>$2.5 billion to $2.9 billion (no change)</w:t>
            </w: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220" w:type="dxa"/>
            <w:vAlign w:val="bottom"/>
            <w:gridSpan w:val="4"/>
          </w:tcPr>
          <w:p>
            <w:pPr>
              <w:ind w:left="160"/>
              <w:spacing w:after="0"/>
              <w:rPr>
                <w:sz w:val="20"/>
                <w:szCs w:val="20"/>
                <w:color w:val="auto"/>
              </w:rPr>
            </w:pPr>
            <w:r>
              <w:rPr>
                <w:rFonts w:ascii="Arial" w:cs="Arial" w:eastAsia="Arial" w:hAnsi="Arial"/>
                <w:sz w:val="18"/>
                <w:szCs w:val="18"/>
                <w:b w:val="1"/>
                <w:bCs w:val="1"/>
                <w:color w:val="auto"/>
              </w:rPr>
              <w:t>operations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gridSpan w:val="2"/>
          </w:tcPr>
          <w:p>
            <w:pPr>
              <w:spacing w:after="0"/>
              <w:rPr>
                <w:sz w:val="9"/>
                <w:szCs w:val="9"/>
                <w:color w:val="auto"/>
              </w:rPr>
            </w:pPr>
          </w:p>
        </w:tc>
        <w:tc>
          <w:tcPr>
            <w:tcW w:w="1360" w:type="dxa"/>
            <w:vAlign w:val="bottom"/>
          </w:tcPr>
          <w:p>
            <w:pPr>
              <w:spacing w:after="0"/>
              <w:rPr>
                <w:sz w:val="9"/>
                <w:szCs w:val="9"/>
                <w:color w:val="auto"/>
              </w:rPr>
            </w:pPr>
          </w:p>
        </w:tc>
        <w:tc>
          <w:tcPr>
            <w:tcW w:w="18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1220" w:type="dxa"/>
            <w:vAlign w:val="bottom"/>
            <w:gridSpan w:val="4"/>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Capital</w:t>
            </w:r>
          </w:p>
        </w:tc>
        <w:tc>
          <w:tcPr>
            <w:tcW w:w="100" w:type="dxa"/>
            <w:vAlign w:val="bottom"/>
            <w:shd w:val="clear" w:color="auto" w:fill="CCEEFF"/>
          </w:tcPr>
          <w:p>
            <w:pPr>
              <w:spacing w:after="0"/>
              <w:rPr>
                <w:sz w:val="17"/>
                <w:szCs w:val="17"/>
                <w:color w:val="auto"/>
              </w:rPr>
            </w:pPr>
          </w:p>
        </w:tc>
        <w:tc>
          <w:tcPr>
            <w:tcW w:w="3960" w:type="dxa"/>
            <w:vAlign w:val="bottom"/>
            <w:gridSpan w:val="4"/>
            <w:shd w:val="clear" w:color="auto" w:fill="CCEEFF"/>
          </w:tcPr>
          <w:p>
            <w:pPr>
              <w:ind w:left="100"/>
              <w:spacing w:after="0" w:line="198" w:lineRule="exact"/>
              <w:rPr>
                <w:sz w:val="20"/>
                <w:szCs w:val="20"/>
                <w:color w:val="auto"/>
              </w:rPr>
            </w:pPr>
            <w:r>
              <w:rPr>
                <w:rFonts w:ascii="Arial" w:cs="Arial" w:eastAsia="Arial" w:hAnsi="Arial"/>
                <w:sz w:val="18"/>
                <w:szCs w:val="18"/>
                <w:color w:val="auto"/>
              </w:rPr>
              <w:t>$725 million to $775 million (no change)</w:t>
            </w:r>
          </w:p>
        </w:tc>
        <w:tc>
          <w:tcPr>
            <w:tcW w:w="5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220" w:type="dxa"/>
            <w:vAlign w:val="bottom"/>
            <w:gridSpan w:val="4"/>
            <w:shd w:val="clear" w:color="auto" w:fill="CCEEFF"/>
          </w:tcPr>
          <w:p>
            <w:pPr>
              <w:jc w:val="center"/>
              <w:ind w:left="12"/>
              <w:spacing w:after="0"/>
              <w:rPr>
                <w:sz w:val="20"/>
                <w:szCs w:val="20"/>
                <w:color w:val="auto"/>
              </w:rPr>
            </w:pPr>
            <w:r>
              <w:rPr>
                <w:rFonts w:ascii="Arial" w:cs="Arial" w:eastAsia="Arial" w:hAnsi="Arial"/>
                <w:sz w:val="18"/>
                <w:szCs w:val="18"/>
                <w:b w:val="1"/>
                <w:bCs w:val="1"/>
                <w:color w:val="auto"/>
                <w:w w:val="89"/>
              </w:rPr>
              <w:t>expenditures</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8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500"/>
        </w:trPr>
        <w:tc>
          <w:tcPr>
            <w:tcW w:w="7580" w:type="dxa"/>
            <w:vAlign w:val="bottom"/>
            <w:gridSpan w:val="15"/>
          </w:tcPr>
          <w:p>
            <w:pPr>
              <w:spacing w:after="0"/>
              <w:rPr>
                <w:sz w:val="20"/>
                <w:szCs w:val="20"/>
                <w:color w:val="auto"/>
              </w:rPr>
            </w:pPr>
            <w:r>
              <w:rPr>
                <w:rFonts w:ascii="Arial" w:cs="Arial" w:eastAsia="Arial" w:hAnsi="Arial"/>
                <w:sz w:val="18"/>
                <w:szCs w:val="18"/>
                <w:b w:val="1"/>
                <w:bCs w:val="1"/>
                <w:color w:val="auto"/>
                <w:w w:val="91"/>
              </w:rPr>
              <w:t>Humana Inc. – Rollforward of FY 2019 Guidance (published in 4Q18 earnings release) to FY 2019</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300" w:type="dxa"/>
            <w:vAlign w:val="bottom"/>
            <w:tcBorders>
              <w:top w:val="single" w:sz="8" w:color="auto"/>
            </w:tcBorders>
            <w:gridSpan w:val="10"/>
          </w:tcPr>
          <w:p>
            <w:pPr>
              <w:spacing w:after="0" w:line="196" w:lineRule="exact"/>
              <w:rPr>
                <w:sz w:val="20"/>
                <w:szCs w:val="20"/>
                <w:color w:val="auto"/>
              </w:rPr>
            </w:pPr>
            <w:r>
              <w:rPr>
                <w:rFonts w:ascii="Arial" w:cs="Arial" w:eastAsia="Arial" w:hAnsi="Arial"/>
                <w:sz w:val="18"/>
                <w:szCs w:val="18"/>
                <w:b w:val="1"/>
                <w:bCs w:val="1"/>
                <w:color w:val="auto"/>
              </w:rPr>
              <w:t>Guidance as of May 1, 2019</w:t>
            </w:r>
          </w:p>
        </w:tc>
        <w:tc>
          <w:tcPr>
            <w:tcW w:w="56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40" w:type="dxa"/>
            <w:vAlign w:val="bottom"/>
            <w:gridSpan w:val="3"/>
            <w:vMerge w:val="restart"/>
          </w:tcPr>
          <w:p>
            <w:pPr>
              <w:jc w:val="center"/>
              <w:ind w:right="480"/>
              <w:spacing w:after="0"/>
              <w:rPr>
                <w:sz w:val="20"/>
                <w:szCs w:val="20"/>
                <w:color w:val="auto"/>
              </w:rPr>
            </w:pPr>
            <w:r>
              <w:rPr>
                <w:rFonts w:ascii="Arial" w:cs="Arial" w:eastAsia="Arial" w:hAnsi="Arial"/>
                <w:sz w:val="14"/>
                <w:szCs w:val="14"/>
                <w:b w:val="1"/>
                <w:bCs w:val="1"/>
                <w:color w:val="auto"/>
                <w:w w:val="98"/>
              </w:rPr>
              <w:t>GAAP</w:t>
            </w:r>
          </w:p>
        </w:tc>
        <w:tc>
          <w:tcPr>
            <w:tcW w:w="94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Adjustments</w:t>
            </w:r>
          </w:p>
        </w:tc>
        <w:tc>
          <w:tcPr>
            <w:tcW w:w="280" w:type="dxa"/>
            <w:vAlign w:val="bottom"/>
          </w:tcPr>
          <w:p>
            <w:pPr>
              <w:spacing w:after="0" w:line="20" w:lineRule="exact"/>
              <w:rPr>
                <w:sz w:val="1"/>
                <w:szCs w:val="1"/>
                <w:color w:val="auto"/>
              </w:rPr>
            </w:pPr>
          </w:p>
        </w:tc>
        <w:tc>
          <w:tcPr>
            <w:tcW w:w="2240" w:type="dxa"/>
            <w:vAlign w:val="bottom"/>
            <w:gridSpan w:val="3"/>
            <w:vMerge w:val="restart"/>
          </w:tcPr>
          <w:p>
            <w:pPr>
              <w:ind w:left="200"/>
              <w:spacing w:after="0"/>
              <w:rPr>
                <w:sz w:val="20"/>
                <w:szCs w:val="20"/>
                <w:color w:val="auto"/>
              </w:rPr>
            </w:pPr>
            <w:r>
              <w:rPr>
                <w:rFonts w:ascii="Arial" w:cs="Arial" w:eastAsia="Arial" w:hAnsi="Arial"/>
                <w:sz w:val="14"/>
                <w:szCs w:val="14"/>
                <w:b w:val="1"/>
                <w:bCs w:val="1"/>
                <w:color w:val="auto"/>
              </w:rPr>
              <w:t>Adjusted</w:t>
            </w:r>
          </w:p>
        </w:tc>
        <w:tc>
          <w:tcPr>
            <w:tcW w:w="0" w:type="dxa"/>
            <w:vAlign w:val="bottom"/>
          </w:tcPr>
          <w:p>
            <w:pPr>
              <w:spacing w:after="0" w:line="20" w:lineRule="exact"/>
              <w:rPr>
                <w:sz w:val="1"/>
                <w:szCs w:val="1"/>
                <w:color w:val="auto"/>
              </w:rPr>
            </w:pPr>
          </w:p>
        </w:tc>
      </w:tr>
      <w:tr>
        <w:trPr>
          <w:trHeight w:val="389"/>
        </w:trPr>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vMerge w:val="restart"/>
          </w:tcPr>
          <w:p>
            <w:pPr>
              <w:spacing w:after="0"/>
              <w:rPr>
                <w:sz w:val="24"/>
                <w:szCs w:val="24"/>
                <w:color w:val="auto"/>
              </w:rPr>
            </w:pPr>
          </w:p>
        </w:tc>
        <w:tc>
          <w:tcPr>
            <w:tcW w:w="4420" w:type="dxa"/>
            <w:vAlign w:val="bottom"/>
            <w:gridSpan w:val="7"/>
            <w:vMerge w:val="restart"/>
          </w:tcPr>
          <w:p>
            <w:pPr>
              <w:spacing w:after="0"/>
              <w:rPr>
                <w:sz w:val="20"/>
                <w:szCs w:val="20"/>
                <w:color w:val="auto"/>
              </w:rPr>
            </w:pPr>
            <w:r>
              <w:rPr>
                <w:rFonts w:ascii="Arial" w:cs="Arial" w:eastAsia="Arial" w:hAnsi="Arial"/>
                <w:sz w:val="14"/>
                <w:szCs w:val="14"/>
                <w:b w:val="1"/>
                <w:bCs w:val="1"/>
                <w:color w:val="auto"/>
              </w:rPr>
              <w:t>Diluted earnings per common share (EPS)</w:t>
            </w: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gridSpan w:val="3"/>
            <w:vMerge w:val="continue"/>
          </w:tcPr>
          <w:p>
            <w:pPr>
              <w:spacing w:after="0"/>
              <w:rPr>
                <w:sz w:val="24"/>
                <w:szCs w:val="24"/>
                <w:color w:val="auto"/>
              </w:rPr>
            </w:pPr>
          </w:p>
        </w:tc>
        <w:tc>
          <w:tcPr>
            <w:tcW w:w="940" w:type="dxa"/>
            <w:vAlign w:val="bottom"/>
            <w:gridSpan w:val="4"/>
            <w:vMerge w:val="continue"/>
          </w:tcPr>
          <w:p>
            <w:pPr>
              <w:spacing w:after="0"/>
              <w:rPr>
                <w:sz w:val="24"/>
                <w:szCs w:val="24"/>
                <w:color w:val="auto"/>
              </w:rPr>
            </w:pPr>
          </w:p>
        </w:tc>
        <w:tc>
          <w:tcPr>
            <w:tcW w:w="280" w:type="dxa"/>
            <w:vAlign w:val="bottom"/>
          </w:tcPr>
          <w:p>
            <w:pPr>
              <w:spacing w:after="0"/>
              <w:rPr>
                <w:sz w:val="24"/>
                <w:szCs w:val="24"/>
                <w:color w:val="auto"/>
              </w:rPr>
            </w:pPr>
          </w:p>
        </w:tc>
        <w:tc>
          <w:tcPr>
            <w:tcW w:w="2240" w:type="dxa"/>
            <w:vAlign w:val="bottom"/>
            <w:gridSpan w:val="3"/>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4420" w:type="dxa"/>
            <w:vAlign w:val="bottom"/>
            <w:gridSpan w:val="7"/>
            <w:vMerge w:val="continue"/>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40" w:type="dxa"/>
            <w:vAlign w:val="bottom"/>
            <w:gridSpan w:val="3"/>
          </w:tcPr>
          <w:p>
            <w:pPr>
              <w:jc w:val="center"/>
              <w:ind w:right="500"/>
              <w:spacing w:after="0" w:line="158" w:lineRule="exact"/>
              <w:rPr>
                <w:sz w:val="20"/>
                <w:szCs w:val="20"/>
                <w:color w:val="auto"/>
              </w:rPr>
            </w:pPr>
            <w:r>
              <w:rPr>
                <w:rFonts w:ascii="Arial" w:cs="Arial" w:eastAsia="Arial" w:hAnsi="Arial"/>
                <w:sz w:val="14"/>
                <w:szCs w:val="14"/>
                <w:b w:val="1"/>
                <w:bCs w:val="1"/>
                <w:color w:val="auto"/>
                <w:w w:val="92"/>
              </w:rPr>
              <w:t>EPS</w:t>
            </w:r>
          </w:p>
        </w:tc>
        <w:tc>
          <w:tcPr>
            <w:tcW w:w="940" w:type="dxa"/>
            <w:vAlign w:val="bottom"/>
            <w:gridSpan w:val="4"/>
          </w:tcPr>
          <w:p>
            <w:pPr>
              <w:ind w:left="120"/>
              <w:spacing w:after="0" w:line="158" w:lineRule="exact"/>
              <w:rPr>
                <w:sz w:val="20"/>
                <w:szCs w:val="20"/>
                <w:color w:val="auto"/>
              </w:rPr>
            </w:pPr>
            <w:r>
              <w:rPr>
                <w:rFonts w:ascii="Arial" w:cs="Arial" w:eastAsia="Arial" w:hAnsi="Arial"/>
                <w:sz w:val="14"/>
                <w:szCs w:val="14"/>
                <w:b w:val="1"/>
                <w:bCs w:val="1"/>
                <w:color w:val="auto"/>
              </w:rPr>
              <w:t>to GAAP</w:t>
            </w:r>
          </w:p>
        </w:tc>
        <w:tc>
          <w:tcPr>
            <w:tcW w:w="280" w:type="dxa"/>
            <w:vAlign w:val="bottom"/>
          </w:tcPr>
          <w:p>
            <w:pPr>
              <w:spacing w:after="0"/>
              <w:rPr>
                <w:sz w:val="13"/>
                <w:szCs w:val="13"/>
                <w:color w:val="auto"/>
              </w:rPr>
            </w:pPr>
          </w:p>
        </w:tc>
        <w:tc>
          <w:tcPr>
            <w:tcW w:w="2240" w:type="dxa"/>
            <w:vAlign w:val="bottom"/>
            <w:gridSpan w:val="3"/>
          </w:tcPr>
          <w:p>
            <w:pPr>
              <w:ind w:left="340"/>
              <w:spacing w:after="0" w:line="158" w:lineRule="exact"/>
              <w:rPr>
                <w:sz w:val="20"/>
                <w:szCs w:val="20"/>
                <w:color w:val="auto"/>
              </w:rPr>
            </w:pPr>
            <w:r>
              <w:rPr>
                <w:rFonts w:ascii="Arial" w:cs="Arial" w:eastAsia="Arial" w:hAnsi="Arial"/>
                <w:sz w:val="14"/>
                <w:szCs w:val="14"/>
                <w:b w:val="1"/>
                <w:bCs w:val="1"/>
                <w:color w:val="auto"/>
              </w:rPr>
              <w:t>EPS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Borders>
              <w:bottom w:val="single" w:sz="8" w:color="CCEEFF"/>
            </w:tcBorders>
            <w:shd w:val="clear" w:color="auto" w:fill="000000"/>
          </w:tcPr>
          <w:p>
            <w:pPr>
              <w:spacing w:after="0" w:line="20" w:lineRule="exact"/>
              <w:rPr>
                <w:sz w:val="1"/>
                <w:szCs w:val="1"/>
                <w:color w:val="auto"/>
              </w:rPr>
            </w:pPr>
          </w:p>
        </w:tc>
        <w:tc>
          <w:tcPr>
            <w:tcW w:w="140" w:type="dxa"/>
            <w:vAlign w:val="bottom"/>
            <w:tcBorders>
              <w:bottom w:val="single" w:sz="8" w:color="CCEEFF"/>
            </w:tcBorders>
            <w:shd w:val="clear" w:color="auto" w:fill="000000"/>
          </w:tcPr>
          <w:p>
            <w:pPr>
              <w:spacing w:after="0" w:line="20" w:lineRule="exact"/>
              <w:rPr>
                <w:sz w:val="1"/>
                <w:szCs w:val="1"/>
                <w:color w:val="auto"/>
              </w:rPr>
            </w:pPr>
          </w:p>
        </w:tc>
        <w:tc>
          <w:tcPr>
            <w:tcW w:w="100" w:type="dxa"/>
            <w:vAlign w:val="bottom"/>
            <w:tcBorders>
              <w:bottom w:val="single" w:sz="8" w:color="CCEEFF"/>
            </w:tcBorders>
            <w:shd w:val="clear" w:color="auto" w:fill="000000"/>
          </w:tcPr>
          <w:p>
            <w:pPr>
              <w:spacing w:after="0" w:line="20" w:lineRule="exact"/>
              <w:rPr>
                <w:sz w:val="1"/>
                <w:szCs w:val="1"/>
                <w:color w:val="auto"/>
              </w:rPr>
            </w:pPr>
          </w:p>
        </w:tc>
        <w:tc>
          <w:tcPr>
            <w:tcW w:w="120" w:type="dxa"/>
            <w:vAlign w:val="bottom"/>
            <w:tcBorders>
              <w:bottom w:val="single" w:sz="8" w:color="CCEEFF"/>
            </w:tcBorders>
            <w:shd w:val="clear" w:color="auto" w:fill="000000"/>
          </w:tcPr>
          <w:p>
            <w:pPr>
              <w:spacing w:after="0" w:line="20" w:lineRule="exact"/>
              <w:rPr>
                <w:sz w:val="1"/>
                <w:szCs w:val="1"/>
                <w:color w:val="auto"/>
              </w:rPr>
            </w:pPr>
          </w:p>
        </w:tc>
        <w:tc>
          <w:tcPr>
            <w:tcW w:w="660" w:type="dxa"/>
            <w:vAlign w:val="bottom"/>
            <w:tcBorders>
              <w:bottom w:val="single" w:sz="8" w:color="CCEEFF"/>
            </w:tcBorders>
            <w:shd w:val="clear" w:color="auto" w:fill="000000"/>
          </w:tcPr>
          <w:p>
            <w:pPr>
              <w:spacing w:after="0" w:line="20" w:lineRule="exact"/>
              <w:rPr>
                <w:sz w:val="1"/>
                <w:szCs w:val="1"/>
                <w:color w:val="auto"/>
              </w:rPr>
            </w:pPr>
          </w:p>
        </w:tc>
        <w:tc>
          <w:tcPr>
            <w:tcW w:w="1360" w:type="dxa"/>
            <w:vAlign w:val="bottom"/>
            <w:tcBorders>
              <w:bottom w:val="single" w:sz="8" w:color="CCEEFF"/>
            </w:tcBorders>
            <w:shd w:val="clear" w:color="auto" w:fill="000000"/>
          </w:tcPr>
          <w:p>
            <w:pPr>
              <w:spacing w:after="0" w:line="20" w:lineRule="exact"/>
              <w:rPr>
                <w:sz w:val="1"/>
                <w:szCs w:val="1"/>
                <w:color w:val="auto"/>
              </w:rPr>
            </w:pPr>
          </w:p>
        </w:tc>
        <w:tc>
          <w:tcPr>
            <w:tcW w:w="18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420" w:type="dxa"/>
            <w:vAlign w:val="bottom"/>
            <w:gridSpan w:val="7"/>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FY 2019 guidance issued on February 6, 2019</w:t>
            </w:r>
          </w:p>
        </w:tc>
        <w:tc>
          <w:tcPr>
            <w:tcW w:w="56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
              <w:spacing w:after="0" w:line="203" w:lineRule="exact"/>
              <w:rPr>
                <w:sz w:val="20"/>
                <w:szCs w:val="20"/>
                <w:color w:val="auto"/>
              </w:rPr>
            </w:pPr>
            <w:r>
              <w:rPr>
                <w:rFonts w:ascii="Arial" w:cs="Arial" w:eastAsia="Arial" w:hAnsi="Arial"/>
                <w:sz w:val="18"/>
                <w:szCs w:val="18"/>
                <w:b w:val="1"/>
                <w:bCs w:val="1"/>
                <w:color w:val="auto"/>
                <w:w w:val="77"/>
              </w:rPr>
              <w:t>~$</w:t>
            </w:r>
          </w:p>
        </w:tc>
        <w:tc>
          <w:tcPr>
            <w:tcW w:w="12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95"/>
              </w:rPr>
              <w:t>16.60 to $17.10</w:t>
            </w: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w:t>
            </w:r>
          </w:p>
        </w:tc>
        <w:tc>
          <w:tcPr>
            <w:tcW w:w="540" w:type="dxa"/>
            <w:vAlign w:val="bottom"/>
            <w:gridSpan w:val="2"/>
            <w:shd w:val="clear" w:color="auto" w:fill="CCEEFF"/>
          </w:tcPr>
          <w:p>
            <w:pPr>
              <w:ind w:left="220"/>
              <w:spacing w:after="0" w:line="203" w:lineRule="exact"/>
              <w:rPr>
                <w:sz w:val="20"/>
                <w:szCs w:val="20"/>
                <w:color w:val="auto"/>
              </w:rPr>
            </w:pPr>
            <w:r>
              <w:rPr>
                <w:rFonts w:ascii="Arial" w:cs="Arial" w:eastAsia="Arial" w:hAnsi="Arial"/>
                <w:sz w:val="18"/>
                <w:szCs w:val="18"/>
                <w:b w:val="1"/>
                <w:bCs w:val="1"/>
                <w:color w:val="auto"/>
                <w:w w:val="85"/>
              </w:rPr>
              <w:t>0.40</w:t>
            </w: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w:t>
            </w:r>
          </w:p>
        </w:tc>
        <w:tc>
          <w:tcPr>
            <w:tcW w:w="12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95"/>
              </w:rPr>
              <w:t>17.00 to $17.50</w:t>
            </w:r>
          </w:p>
        </w:tc>
        <w:tc>
          <w:tcPr>
            <w:tcW w:w="100" w:type="dxa"/>
            <w:vAlign w:val="bottom"/>
            <w:shd w:val="clear" w:color="auto" w:fill="CCEEFF"/>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20" w:type="dxa"/>
            <w:vAlign w:val="bottom"/>
            <w:gridSpan w:val="7"/>
          </w:tcPr>
          <w:p>
            <w:pPr>
              <w:spacing w:after="0"/>
              <w:rPr>
                <w:sz w:val="20"/>
                <w:szCs w:val="20"/>
                <w:color w:val="auto"/>
              </w:rPr>
            </w:pPr>
            <w:r>
              <w:rPr>
                <w:rFonts w:ascii="Arial" w:cs="Arial" w:eastAsia="Arial" w:hAnsi="Arial"/>
                <w:sz w:val="18"/>
                <w:szCs w:val="18"/>
                <w:color w:val="auto"/>
              </w:rPr>
              <w:t>Changes in projected operating performance:</w:t>
            </w: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Retail segment</w:t>
            </w: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0.28</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0.28</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900" w:type="dxa"/>
            <w:vAlign w:val="bottom"/>
            <w:gridSpan w:val="7"/>
          </w:tcPr>
          <w:p>
            <w:pPr>
              <w:spacing w:after="0" w:line="201" w:lineRule="exact"/>
              <w:rPr>
                <w:sz w:val="20"/>
                <w:szCs w:val="20"/>
                <w:color w:val="auto"/>
              </w:rPr>
            </w:pPr>
            <w:r>
              <w:rPr>
                <w:rFonts w:ascii="Arial" w:cs="Arial" w:eastAsia="Arial" w:hAnsi="Arial"/>
                <w:sz w:val="18"/>
                <w:szCs w:val="18"/>
                <w:color w:val="auto"/>
              </w:rPr>
              <w:t>Put/call valuation adjustments associated with 40% minority</w:t>
            </w: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960" w:type="dxa"/>
            <w:vAlign w:val="bottom"/>
            <w:gridSpan w:val="4"/>
          </w:tcPr>
          <w:p>
            <w:pPr>
              <w:ind w:left="80"/>
              <w:spacing w:after="0"/>
              <w:rPr>
                <w:sz w:val="20"/>
                <w:szCs w:val="20"/>
                <w:color w:val="auto"/>
              </w:rPr>
            </w:pPr>
            <w:r>
              <w:rPr>
                <w:rFonts w:ascii="Arial" w:cs="Arial" w:eastAsia="Arial" w:hAnsi="Arial"/>
                <w:sz w:val="18"/>
                <w:szCs w:val="18"/>
                <w:color w:val="auto"/>
              </w:rPr>
              <w:t>ownership in Kindred at Home</w:t>
            </w: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(0.22)</w:t>
            </w: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gridSpan w:val="3"/>
          </w:tcPr>
          <w:p>
            <w:pPr>
              <w:ind w:left="220"/>
              <w:spacing w:after="0"/>
              <w:rPr>
                <w:sz w:val="20"/>
                <w:szCs w:val="20"/>
                <w:color w:val="auto"/>
              </w:rPr>
            </w:pPr>
            <w:r>
              <w:rPr>
                <w:rFonts w:ascii="Arial" w:cs="Arial" w:eastAsia="Arial" w:hAnsi="Arial"/>
                <w:sz w:val="18"/>
                <w:szCs w:val="18"/>
                <w:color w:val="auto"/>
              </w:rPr>
              <w:t>0.22</w:t>
            </w:r>
          </w:p>
        </w:tc>
        <w:tc>
          <w:tcPr>
            <w:tcW w:w="280" w:type="dxa"/>
            <w:vAlign w:val="bottom"/>
          </w:tcPr>
          <w:p>
            <w:pPr>
              <w:spacing w:after="0"/>
              <w:rPr>
                <w:sz w:val="20"/>
                <w:szCs w:val="20"/>
                <w:color w:val="auto"/>
              </w:rPr>
            </w:pPr>
          </w:p>
        </w:tc>
        <w:tc>
          <w:tcPr>
            <w:tcW w:w="2240" w:type="dxa"/>
            <w:vAlign w:val="bottom"/>
            <w:gridSpan w:val="3"/>
          </w:tcPr>
          <w:p>
            <w:pPr>
              <w:ind w:left="9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Other</w:t>
            </w: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(0.15)</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(0.15)</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420" w:type="dxa"/>
            <w:vAlign w:val="bottom"/>
            <w:gridSpan w:val="7"/>
          </w:tcPr>
          <w:p>
            <w:pPr>
              <w:spacing w:after="0"/>
              <w:rPr>
                <w:sz w:val="20"/>
                <w:szCs w:val="20"/>
                <w:color w:val="auto"/>
              </w:rPr>
            </w:pPr>
            <w:r>
              <w:rPr>
                <w:rFonts w:ascii="Arial" w:cs="Arial" w:eastAsia="Arial" w:hAnsi="Arial"/>
                <w:sz w:val="18"/>
                <w:szCs w:val="18"/>
                <w:b w:val="1"/>
                <w:bCs w:val="1"/>
                <w:color w:val="auto"/>
              </w:rPr>
              <w:t>FY 2019 guidance issued on May 1, 2019</w:t>
            </w:r>
          </w:p>
        </w:tc>
        <w:tc>
          <w:tcPr>
            <w:tcW w:w="84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w:t>
            </w:r>
          </w:p>
        </w:tc>
        <w:tc>
          <w:tcPr>
            <w:tcW w:w="144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95"/>
              </w:rPr>
              <w:t>16.63 to $16.88</w:t>
            </w:r>
          </w:p>
        </w:tc>
        <w:tc>
          <w:tcPr>
            <w:tcW w:w="260" w:type="dxa"/>
            <w:vAlign w:val="bottom"/>
          </w:tcPr>
          <w:p>
            <w:pPr>
              <w:spacing w:after="0"/>
              <w:rPr>
                <w:sz w:val="20"/>
                <w:szCs w:val="20"/>
                <w:color w:val="auto"/>
              </w:rPr>
            </w:pPr>
            <w:r>
              <w:rPr>
                <w:rFonts w:ascii="Arial" w:cs="Arial" w:eastAsia="Arial" w:hAnsi="Arial"/>
                <w:sz w:val="18"/>
                <w:szCs w:val="18"/>
                <w:b w:val="1"/>
                <w:bCs w:val="1"/>
                <w:color w:val="auto"/>
              </w:rPr>
              <w:t>~$</w:t>
            </w:r>
          </w:p>
        </w:tc>
        <w:tc>
          <w:tcPr>
            <w:tcW w:w="680" w:type="dxa"/>
            <w:vAlign w:val="bottom"/>
            <w:gridSpan w:val="3"/>
          </w:tcPr>
          <w:p>
            <w:pPr>
              <w:ind w:left="220"/>
              <w:spacing w:after="0"/>
              <w:rPr>
                <w:sz w:val="20"/>
                <w:szCs w:val="20"/>
                <w:color w:val="auto"/>
              </w:rPr>
            </w:pPr>
            <w:r>
              <w:rPr>
                <w:rFonts w:ascii="Arial" w:cs="Arial" w:eastAsia="Arial" w:hAnsi="Arial"/>
                <w:sz w:val="18"/>
                <w:szCs w:val="18"/>
                <w:b w:val="1"/>
                <w:bCs w:val="1"/>
                <w:color w:val="auto"/>
              </w:rPr>
              <w:t>0.62</w:t>
            </w:r>
          </w:p>
        </w:tc>
        <w:tc>
          <w:tcPr>
            <w:tcW w:w="280" w:type="dxa"/>
            <w:vAlign w:val="bottom"/>
          </w:tcPr>
          <w:p>
            <w:pPr>
              <w:spacing w:after="0"/>
              <w:rPr>
                <w:sz w:val="20"/>
                <w:szCs w:val="20"/>
                <w:color w:val="auto"/>
              </w:rPr>
            </w:pPr>
            <w:r>
              <w:rPr>
                <w:rFonts w:ascii="Arial" w:cs="Arial" w:eastAsia="Arial" w:hAnsi="Arial"/>
                <w:sz w:val="18"/>
                <w:szCs w:val="18"/>
                <w:b w:val="1"/>
                <w:bCs w:val="1"/>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5"/>
              </w:rPr>
              <w:t>17.25 to $17.50</w:t>
            </w: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60" w:type="dxa"/>
            <w:vAlign w:val="bottom"/>
          </w:tcPr>
          <w:p>
            <w:pPr>
              <w:jc w:val="right"/>
              <w:ind w:right="170"/>
              <w:spacing w:after="0"/>
              <w:rPr>
                <w:sz w:val="20"/>
                <w:szCs w:val="20"/>
                <w:color w:val="auto"/>
              </w:rPr>
            </w:pPr>
            <w:r>
              <w:rPr>
                <w:rFonts w:ascii="Arial" w:cs="Arial" w:eastAsia="Arial" w:hAnsi="Arial"/>
                <w:sz w:val="18"/>
                <w:szCs w:val="18"/>
                <w:color w:val="auto"/>
              </w:rPr>
              <w:t>19</w:t>
            </w: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40"/>
          </w:cols>
          <w:pgMar w:left="440" w:top="257" w:right="419" w:bottom="1440" w:gutter="0" w:footer="0" w:header="0"/>
        </w:sectPr>
      </w:pPr>
    </w:p>
    <w:bookmarkStart w:id="30" w:name="page31"/>
    <w:bookmarkEnd w:id="30"/>
    <w:p>
      <w:pPr>
        <w:jc w:val="center"/>
        <w:ind w:righ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Humana Inc.</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Statistical Schedules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And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Supplementary Information</w:t>
      </w:r>
    </w:p>
    <w:p>
      <w:pPr>
        <w:spacing w:after="0" w:line="3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1Q19 Earnings Release</w:t>
      </w:r>
    </w:p>
    <w:p>
      <w:pPr>
        <w:spacing w:after="0" w:line="14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9019"/>
          </w:cols>
          <w:pgMar w:left="1440" w:top="274" w:right="1440" w:bottom="1440" w:gutter="0" w:footer="0" w:header="0"/>
        </w:sectPr>
      </w:pPr>
    </w:p>
    <w:bookmarkStart w:id="31" w:name="page32"/>
    <w:bookmarkEnd w:id="3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Humana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Statistical Schedules and Supplementary Information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1Q19 Earnings Release</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20" w:type="dxa"/>
            <w:vAlign w:val="bottom"/>
          </w:tcPr>
          <w:p>
            <w:pPr>
              <w:spacing w:after="0"/>
              <w:rPr>
                <w:sz w:val="20"/>
                <w:szCs w:val="20"/>
                <w:color w:val="auto"/>
              </w:rPr>
            </w:pPr>
            <w:r>
              <w:rPr>
                <w:rFonts w:ascii="Arial" w:cs="Arial" w:eastAsia="Arial" w:hAnsi="Arial"/>
                <w:sz w:val="14"/>
                <w:szCs w:val="14"/>
                <w:color w:val="auto"/>
              </w:rPr>
              <w:t>Contents</w:t>
            </w:r>
          </w:p>
        </w:tc>
        <w:tc>
          <w:tcPr>
            <w:tcW w:w="4000" w:type="dxa"/>
            <w:vAlign w:val="bottom"/>
          </w:tcPr>
          <w:p>
            <w:pPr>
              <w:spacing w:after="0"/>
              <w:rPr>
                <w:sz w:val="15"/>
                <w:szCs w:val="15"/>
                <w:color w:val="auto"/>
              </w:rPr>
            </w:pPr>
          </w:p>
        </w:tc>
        <w:tc>
          <w:tcPr>
            <w:tcW w:w="6260" w:type="dxa"/>
            <w:vAlign w:val="bottom"/>
          </w:tcPr>
          <w:p>
            <w:pPr>
              <w:spacing w:after="0"/>
              <w:rPr>
                <w:sz w:val="15"/>
                <w:szCs w:val="15"/>
                <w:color w:val="auto"/>
              </w:rPr>
            </w:pPr>
          </w:p>
        </w:tc>
      </w:tr>
      <w:tr>
        <w:trPr>
          <w:trHeight w:val="295"/>
        </w:trPr>
        <w:tc>
          <w:tcPr>
            <w:tcW w:w="4720" w:type="dxa"/>
            <w:vAlign w:val="bottom"/>
            <w:gridSpan w:val="2"/>
          </w:tcPr>
          <w:p>
            <w:pPr>
              <w:spacing w:after="0"/>
              <w:rPr>
                <w:sz w:val="20"/>
                <w:szCs w:val="20"/>
                <w:color w:val="auto"/>
              </w:rPr>
            </w:pPr>
            <w:r>
              <w:rPr>
                <w:rFonts w:ascii="Arial" w:cs="Arial" w:eastAsia="Arial" w:hAnsi="Arial"/>
                <w:sz w:val="18"/>
                <w:szCs w:val="18"/>
                <w:color w:val="auto"/>
              </w:rPr>
              <w:t>Consolidated Financial Statements</w:t>
            </w:r>
          </w:p>
        </w:tc>
        <w:tc>
          <w:tcPr>
            <w:tcW w:w="6260" w:type="dxa"/>
            <w:vAlign w:val="bottom"/>
          </w:tcPr>
          <w:p>
            <w:pPr>
              <w:spacing w:after="0"/>
              <w:rPr>
                <w:sz w:val="24"/>
                <w:szCs w:val="24"/>
                <w:color w:val="auto"/>
              </w:rPr>
            </w:pPr>
          </w:p>
        </w:tc>
      </w:tr>
      <w:tr>
        <w:trPr>
          <w:trHeight w:val="216"/>
        </w:trPr>
        <w:tc>
          <w:tcPr>
            <w:tcW w:w="720" w:type="dxa"/>
            <w:vAlign w:val="bottom"/>
          </w:tcPr>
          <w:p>
            <w:pPr>
              <w:jc w:val="right"/>
              <w:ind w:right="131"/>
              <w:spacing w:after="0"/>
              <w:rPr>
                <w:sz w:val="20"/>
                <w:szCs w:val="20"/>
                <w:color w:val="auto"/>
              </w:rPr>
            </w:pPr>
            <w:r>
              <w:rPr>
                <w:rFonts w:ascii="Arial" w:cs="Arial" w:eastAsia="Arial" w:hAnsi="Arial"/>
                <w:sz w:val="18"/>
                <w:szCs w:val="18"/>
                <w:color w:val="auto"/>
              </w:rPr>
              <w:t>1.</w:t>
            </w:r>
          </w:p>
        </w:tc>
        <w:tc>
          <w:tcPr>
            <w:tcW w:w="4000" w:type="dxa"/>
            <w:vAlign w:val="bottom"/>
          </w:tcPr>
          <w:p>
            <w:pPr>
              <w:spacing w:after="0"/>
              <w:rPr>
                <w:sz w:val="20"/>
                <w:szCs w:val="20"/>
                <w:color w:val="auto"/>
              </w:rPr>
            </w:pPr>
            <w:r>
              <w:rPr>
                <w:rFonts w:ascii="Arial" w:cs="Arial" w:eastAsia="Arial" w:hAnsi="Arial"/>
                <w:sz w:val="18"/>
                <w:szCs w:val="18"/>
                <w:color w:val="auto"/>
              </w:rPr>
              <w:t>Consolidated Statements of Income</w:t>
            </w:r>
          </w:p>
        </w:tc>
        <w:tc>
          <w:tcPr>
            <w:tcW w:w="6260" w:type="dxa"/>
            <w:vAlign w:val="bottom"/>
          </w:tcPr>
          <w:p>
            <w:pPr>
              <w:jc w:val="right"/>
              <w:spacing w:after="0"/>
              <w:rPr>
                <w:sz w:val="20"/>
                <w:szCs w:val="20"/>
                <w:color w:val="auto"/>
              </w:rPr>
            </w:pPr>
            <w:r>
              <w:rPr>
                <w:rFonts w:ascii="Arial" w:cs="Arial" w:eastAsia="Arial" w:hAnsi="Arial"/>
                <w:sz w:val="18"/>
                <w:szCs w:val="18"/>
                <w:color w:val="auto"/>
              </w:rPr>
              <w:t>S-3</w:t>
            </w:r>
          </w:p>
        </w:tc>
      </w:tr>
      <w:tr>
        <w:trPr>
          <w:trHeight w:val="216"/>
        </w:trPr>
        <w:tc>
          <w:tcPr>
            <w:tcW w:w="720" w:type="dxa"/>
            <w:vAlign w:val="bottom"/>
          </w:tcPr>
          <w:p>
            <w:pPr>
              <w:jc w:val="right"/>
              <w:ind w:right="131"/>
              <w:spacing w:after="0"/>
              <w:rPr>
                <w:sz w:val="20"/>
                <w:szCs w:val="20"/>
                <w:color w:val="auto"/>
              </w:rPr>
            </w:pPr>
            <w:r>
              <w:rPr>
                <w:rFonts w:ascii="Arial" w:cs="Arial" w:eastAsia="Arial" w:hAnsi="Arial"/>
                <w:sz w:val="18"/>
                <w:szCs w:val="18"/>
                <w:color w:val="auto"/>
              </w:rPr>
              <w:t>2.</w:t>
            </w:r>
          </w:p>
        </w:tc>
        <w:tc>
          <w:tcPr>
            <w:tcW w:w="4000" w:type="dxa"/>
            <w:vAlign w:val="bottom"/>
          </w:tcPr>
          <w:p>
            <w:pPr>
              <w:spacing w:after="0"/>
              <w:rPr>
                <w:sz w:val="20"/>
                <w:szCs w:val="20"/>
                <w:color w:val="auto"/>
              </w:rPr>
            </w:pPr>
            <w:r>
              <w:rPr>
                <w:rFonts w:ascii="Arial" w:cs="Arial" w:eastAsia="Arial" w:hAnsi="Arial"/>
                <w:sz w:val="18"/>
                <w:szCs w:val="18"/>
                <w:color w:val="auto"/>
              </w:rPr>
              <w:t>Consolidated Balance Sheets</w:t>
            </w:r>
          </w:p>
        </w:tc>
        <w:tc>
          <w:tcPr>
            <w:tcW w:w="6260" w:type="dxa"/>
            <w:vAlign w:val="bottom"/>
          </w:tcPr>
          <w:p>
            <w:pPr>
              <w:jc w:val="right"/>
              <w:spacing w:after="0"/>
              <w:rPr>
                <w:sz w:val="20"/>
                <w:szCs w:val="20"/>
                <w:color w:val="auto"/>
              </w:rPr>
            </w:pPr>
            <w:r>
              <w:rPr>
                <w:rFonts w:ascii="Arial" w:cs="Arial" w:eastAsia="Arial" w:hAnsi="Arial"/>
                <w:sz w:val="18"/>
                <w:szCs w:val="18"/>
                <w:color w:val="auto"/>
              </w:rPr>
              <w:t>S-4</w:t>
            </w:r>
          </w:p>
        </w:tc>
      </w:tr>
      <w:tr>
        <w:trPr>
          <w:trHeight w:val="216"/>
        </w:trPr>
        <w:tc>
          <w:tcPr>
            <w:tcW w:w="720" w:type="dxa"/>
            <w:vAlign w:val="bottom"/>
          </w:tcPr>
          <w:p>
            <w:pPr>
              <w:jc w:val="right"/>
              <w:ind w:right="131"/>
              <w:spacing w:after="0"/>
              <w:rPr>
                <w:sz w:val="20"/>
                <w:szCs w:val="20"/>
                <w:color w:val="auto"/>
              </w:rPr>
            </w:pPr>
            <w:r>
              <w:rPr>
                <w:rFonts w:ascii="Arial" w:cs="Arial" w:eastAsia="Arial" w:hAnsi="Arial"/>
                <w:sz w:val="18"/>
                <w:szCs w:val="18"/>
                <w:color w:val="auto"/>
              </w:rPr>
              <w:t>3.</w:t>
            </w:r>
          </w:p>
        </w:tc>
        <w:tc>
          <w:tcPr>
            <w:tcW w:w="4000" w:type="dxa"/>
            <w:vAlign w:val="bottom"/>
          </w:tcPr>
          <w:p>
            <w:pPr>
              <w:spacing w:after="0"/>
              <w:rPr>
                <w:sz w:val="20"/>
                <w:szCs w:val="20"/>
                <w:color w:val="auto"/>
              </w:rPr>
            </w:pPr>
            <w:r>
              <w:rPr>
                <w:rFonts w:ascii="Arial" w:cs="Arial" w:eastAsia="Arial" w:hAnsi="Arial"/>
                <w:sz w:val="18"/>
                <w:szCs w:val="18"/>
                <w:color w:val="auto"/>
              </w:rPr>
              <w:t>Consolidated Statements of Cash Flows</w:t>
            </w:r>
          </w:p>
        </w:tc>
        <w:tc>
          <w:tcPr>
            <w:tcW w:w="6260" w:type="dxa"/>
            <w:vAlign w:val="bottom"/>
          </w:tcPr>
          <w:p>
            <w:pPr>
              <w:jc w:val="right"/>
              <w:spacing w:after="0"/>
              <w:rPr>
                <w:sz w:val="20"/>
                <w:szCs w:val="20"/>
                <w:color w:val="auto"/>
              </w:rPr>
            </w:pPr>
            <w:r>
              <w:rPr>
                <w:rFonts w:ascii="Arial" w:cs="Arial" w:eastAsia="Arial" w:hAnsi="Arial"/>
                <w:sz w:val="18"/>
                <w:szCs w:val="18"/>
                <w:color w:val="auto"/>
              </w:rPr>
              <w:t>S-5</w:t>
            </w:r>
          </w:p>
        </w:tc>
      </w:tr>
      <w:tr>
        <w:trPr>
          <w:trHeight w:val="216"/>
        </w:trPr>
        <w:tc>
          <w:tcPr>
            <w:tcW w:w="4720" w:type="dxa"/>
            <w:vAlign w:val="bottom"/>
            <w:gridSpan w:val="2"/>
          </w:tcPr>
          <w:p>
            <w:pPr>
              <w:spacing w:after="0"/>
              <w:rPr>
                <w:sz w:val="20"/>
                <w:szCs w:val="20"/>
                <w:color w:val="auto"/>
              </w:rPr>
            </w:pPr>
            <w:r>
              <w:rPr>
                <w:rFonts w:ascii="Arial" w:cs="Arial" w:eastAsia="Arial" w:hAnsi="Arial"/>
                <w:sz w:val="18"/>
                <w:szCs w:val="18"/>
                <w:color w:val="auto"/>
              </w:rPr>
              <w:t>Operating Results Detail</w:t>
            </w:r>
          </w:p>
        </w:tc>
        <w:tc>
          <w:tcPr>
            <w:tcW w:w="6260" w:type="dxa"/>
            <w:vAlign w:val="bottom"/>
          </w:tcPr>
          <w:p>
            <w:pPr>
              <w:spacing w:after="0"/>
              <w:rPr>
                <w:sz w:val="18"/>
                <w:szCs w:val="18"/>
                <w:color w:val="auto"/>
              </w:rPr>
            </w:pPr>
          </w:p>
        </w:tc>
      </w:tr>
      <w:tr>
        <w:trPr>
          <w:trHeight w:val="216"/>
        </w:trPr>
        <w:tc>
          <w:tcPr>
            <w:tcW w:w="720" w:type="dxa"/>
            <w:vAlign w:val="bottom"/>
          </w:tcPr>
          <w:p>
            <w:pPr>
              <w:jc w:val="right"/>
              <w:ind w:right="131"/>
              <w:spacing w:after="0"/>
              <w:rPr>
                <w:sz w:val="20"/>
                <w:szCs w:val="20"/>
                <w:color w:val="auto"/>
              </w:rPr>
            </w:pPr>
            <w:r>
              <w:rPr>
                <w:rFonts w:ascii="Arial" w:cs="Arial" w:eastAsia="Arial" w:hAnsi="Arial"/>
                <w:sz w:val="18"/>
                <w:szCs w:val="18"/>
                <w:color w:val="auto"/>
              </w:rPr>
              <w:t>4.</w:t>
            </w:r>
          </w:p>
        </w:tc>
        <w:tc>
          <w:tcPr>
            <w:tcW w:w="4000" w:type="dxa"/>
            <w:vAlign w:val="bottom"/>
          </w:tcPr>
          <w:p>
            <w:pPr>
              <w:spacing w:after="0"/>
              <w:rPr>
                <w:sz w:val="20"/>
                <w:szCs w:val="20"/>
                <w:color w:val="auto"/>
              </w:rPr>
            </w:pPr>
            <w:r>
              <w:rPr>
                <w:rFonts w:ascii="Arial" w:cs="Arial" w:eastAsia="Arial" w:hAnsi="Arial"/>
                <w:sz w:val="18"/>
                <w:szCs w:val="18"/>
                <w:color w:val="auto"/>
              </w:rPr>
              <w:t>Consolidating Statements of Income - Quarter</w:t>
            </w:r>
          </w:p>
        </w:tc>
        <w:tc>
          <w:tcPr>
            <w:tcW w:w="6260" w:type="dxa"/>
            <w:vAlign w:val="bottom"/>
          </w:tcPr>
          <w:p>
            <w:pPr>
              <w:jc w:val="right"/>
              <w:spacing w:after="0"/>
              <w:rPr>
                <w:sz w:val="20"/>
                <w:szCs w:val="20"/>
                <w:color w:val="auto"/>
              </w:rPr>
            </w:pPr>
            <w:r>
              <w:rPr>
                <w:rFonts w:ascii="Arial" w:cs="Arial" w:eastAsia="Arial" w:hAnsi="Arial"/>
                <w:sz w:val="18"/>
                <w:szCs w:val="18"/>
                <w:color w:val="auto"/>
              </w:rPr>
              <w:t>S-6 -S-7</w:t>
            </w:r>
          </w:p>
        </w:tc>
      </w:tr>
      <w:tr>
        <w:trPr>
          <w:trHeight w:val="216"/>
        </w:trPr>
        <w:tc>
          <w:tcPr>
            <w:tcW w:w="720" w:type="dxa"/>
            <w:vAlign w:val="bottom"/>
          </w:tcPr>
          <w:p>
            <w:pPr>
              <w:jc w:val="right"/>
              <w:ind w:right="131"/>
              <w:spacing w:after="0"/>
              <w:rPr>
                <w:sz w:val="20"/>
                <w:szCs w:val="20"/>
                <w:color w:val="auto"/>
              </w:rPr>
            </w:pPr>
            <w:r>
              <w:rPr>
                <w:rFonts w:ascii="Arial" w:cs="Arial" w:eastAsia="Arial" w:hAnsi="Arial"/>
                <w:sz w:val="18"/>
                <w:szCs w:val="18"/>
                <w:color w:val="auto"/>
              </w:rPr>
              <w:t>5.</w:t>
            </w:r>
          </w:p>
        </w:tc>
        <w:tc>
          <w:tcPr>
            <w:tcW w:w="4000" w:type="dxa"/>
            <w:vAlign w:val="bottom"/>
          </w:tcPr>
          <w:p>
            <w:pPr>
              <w:spacing w:after="0"/>
              <w:rPr>
                <w:sz w:val="20"/>
                <w:szCs w:val="20"/>
                <w:color w:val="auto"/>
              </w:rPr>
            </w:pPr>
            <w:r>
              <w:rPr>
                <w:rFonts w:ascii="Arial" w:cs="Arial" w:eastAsia="Arial" w:hAnsi="Arial"/>
                <w:sz w:val="18"/>
                <w:szCs w:val="18"/>
                <w:color w:val="auto"/>
              </w:rPr>
              <w:t>Ending Membership Detail</w:t>
            </w:r>
          </w:p>
        </w:tc>
        <w:tc>
          <w:tcPr>
            <w:tcW w:w="6260" w:type="dxa"/>
            <w:vAlign w:val="bottom"/>
          </w:tcPr>
          <w:p>
            <w:pPr>
              <w:jc w:val="right"/>
              <w:spacing w:after="0"/>
              <w:rPr>
                <w:sz w:val="20"/>
                <w:szCs w:val="20"/>
                <w:color w:val="auto"/>
              </w:rPr>
            </w:pPr>
            <w:r>
              <w:rPr>
                <w:rFonts w:ascii="Arial" w:cs="Arial" w:eastAsia="Arial" w:hAnsi="Arial"/>
                <w:sz w:val="18"/>
                <w:szCs w:val="18"/>
                <w:color w:val="auto"/>
              </w:rPr>
              <w:t>S-8</w:t>
            </w:r>
          </w:p>
        </w:tc>
      </w:tr>
      <w:tr>
        <w:trPr>
          <w:trHeight w:val="216"/>
        </w:trPr>
        <w:tc>
          <w:tcPr>
            <w:tcW w:w="720" w:type="dxa"/>
            <w:vAlign w:val="bottom"/>
          </w:tcPr>
          <w:p>
            <w:pPr>
              <w:jc w:val="right"/>
              <w:ind w:right="131"/>
              <w:spacing w:after="0"/>
              <w:rPr>
                <w:sz w:val="20"/>
                <w:szCs w:val="20"/>
                <w:color w:val="auto"/>
              </w:rPr>
            </w:pPr>
            <w:r>
              <w:rPr>
                <w:rFonts w:ascii="Arial" w:cs="Arial" w:eastAsia="Arial" w:hAnsi="Arial"/>
                <w:sz w:val="18"/>
                <w:szCs w:val="18"/>
                <w:color w:val="auto"/>
              </w:rPr>
              <w:t>6.</w:t>
            </w:r>
          </w:p>
        </w:tc>
        <w:tc>
          <w:tcPr>
            <w:tcW w:w="4000" w:type="dxa"/>
            <w:vAlign w:val="bottom"/>
          </w:tcPr>
          <w:p>
            <w:pPr>
              <w:spacing w:after="0"/>
              <w:rPr>
                <w:sz w:val="20"/>
                <w:szCs w:val="20"/>
                <w:color w:val="auto"/>
              </w:rPr>
            </w:pPr>
            <w:r>
              <w:rPr>
                <w:rFonts w:ascii="Arial" w:cs="Arial" w:eastAsia="Arial" w:hAnsi="Arial"/>
                <w:sz w:val="18"/>
                <w:szCs w:val="18"/>
                <w:color w:val="auto"/>
              </w:rPr>
              <w:t>Premiums and Services Revenue Detail</w:t>
            </w:r>
          </w:p>
        </w:tc>
        <w:tc>
          <w:tcPr>
            <w:tcW w:w="6260" w:type="dxa"/>
            <w:vAlign w:val="bottom"/>
          </w:tcPr>
          <w:p>
            <w:pPr>
              <w:jc w:val="right"/>
              <w:spacing w:after="0"/>
              <w:rPr>
                <w:sz w:val="20"/>
                <w:szCs w:val="20"/>
                <w:color w:val="auto"/>
              </w:rPr>
            </w:pPr>
            <w:r>
              <w:rPr>
                <w:rFonts w:ascii="Arial" w:cs="Arial" w:eastAsia="Arial" w:hAnsi="Arial"/>
                <w:sz w:val="18"/>
                <w:szCs w:val="18"/>
                <w:color w:val="auto"/>
              </w:rPr>
              <w:t>S-9</w:t>
            </w:r>
          </w:p>
        </w:tc>
      </w:tr>
      <w:tr>
        <w:trPr>
          <w:trHeight w:val="216"/>
        </w:trPr>
        <w:tc>
          <w:tcPr>
            <w:tcW w:w="720" w:type="dxa"/>
            <w:vAlign w:val="bottom"/>
          </w:tcPr>
          <w:p>
            <w:pPr>
              <w:jc w:val="right"/>
              <w:ind w:right="131"/>
              <w:spacing w:after="0"/>
              <w:rPr>
                <w:sz w:val="20"/>
                <w:szCs w:val="20"/>
                <w:color w:val="auto"/>
              </w:rPr>
            </w:pPr>
            <w:r>
              <w:rPr>
                <w:rFonts w:ascii="Arial" w:cs="Arial" w:eastAsia="Arial" w:hAnsi="Arial"/>
                <w:sz w:val="18"/>
                <w:szCs w:val="18"/>
                <w:color w:val="auto"/>
              </w:rPr>
              <w:t>7.</w:t>
            </w:r>
          </w:p>
        </w:tc>
        <w:tc>
          <w:tcPr>
            <w:tcW w:w="4000" w:type="dxa"/>
            <w:vAlign w:val="bottom"/>
          </w:tcPr>
          <w:p>
            <w:pPr>
              <w:spacing w:after="0"/>
              <w:rPr>
                <w:sz w:val="20"/>
                <w:szCs w:val="20"/>
                <w:color w:val="auto"/>
              </w:rPr>
            </w:pPr>
            <w:r>
              <w:rPr>
                <w:rFonts w:ascii="Arial" w:cs="Arial" w:eastAsia="Arial" w:hAnsi="Arial"/>
                <w:sz w:val="18"/>
                <w:szCs w:val="18"/>
                <w:color w:val="auto"/>
              </w:rPr>
              <w:t>Healthcare Services Segment Metrics</w:t>
            </w:r>
          </w:p>
        </w:tc>
        <w:tc>
          <w:tcPr>
            <w:tcW w:w="6260" w:type="dxa"/>
            <w:vAlign w:val="bottom"/>
          </w:tcPr>
          <w:p>
            <w:pPr>
              <w:jc w:val="right"/>
              <w:spacing w:after="0"/>
              <w:rPr>
                <w:sz w:val="20"/>
                <w:szCs w:val="20"/>
                <w:color w:val="auto"/>
              </w:rPr>
            </w:pPr>
            <w:r>
              <w:rPr>
                <w:rFonts w:ascii="Arial" w:cs="Arial" w:eastAsia="Arial" w:hAnsi="Arial"/>
                <w:sz w:val="18"/>
                <w:szCs w:val="18"/>
                <w:color w:val="auto"/>
              </w:rPr>
              <w:t>S-10 -S-11</w:t>
            </w:r>
          </w:p>
        </w:tc>
      </w:tr>
      <w:tr>
        <w:trPr>
          <w:trHeight w:val="216"/>
        </w:trPr>
        <w:tc>
          <w:tcPr>
            <w:tcW w:w="4720" w:type="dxa"/>
            <w:vAlign w:val="bottom"/>
            <w:gridSpan w:val="2"/>
          </w:tcPr>
          <w:p>
            <w:pPr>
              <w:spacing w:after="0"/>
              <w:rPr>
                <w:sz w:val="20"/>
                <w:szCs w:val="20"/>
                <w:color w:val="auto"/>
              </w:rPr>
            </w:pPr>
            <w:r>
              <w:rPr>
                <w:rFonts w:ascii="Arial" w:cs="Arial" w:eastAsia="Arial" w:hAnsi="Arial"/>
                <w:sz w:val="18"/>
                <w:szCs w:val="18"/>
                <w:color w:val="auto"/>
              </w:rPr>
              <w:t>Balance Sheet Detail</w:t>
            </w:r>
          </w:p>
        </w:tc>
        <w:tc>
          <w:tcPr>
            <w:tcW w:w="6260" w:type="dxa"/>
            <w:vAlign w:val="bottom"/>
          </w:tcPr>
          <w:p>
            <w:pPr>
              <w:spacing w:after="0"/>
              <w:rPr>
                <w:sz w:val="18"/>
                <w:szCs w:val="18"/>
                <w:color w:val="auto"/>
              </w:rPr>
            </w:pPr>
          </w:p>
        </w:tc>
      </w:tr>
      <w:tr>
        <w:trPr>
          <w:trHeight w:val="216"/>
        </w:trPr>
        <w:tc>
          <w:tcPr>
            <w:tcW w:w="720" w:type="dxa"/>
            <w:vAlign w:val="bottom"/>
          </w:tcPr>
          <w:p>
            <w:pPr>
              <w:jc w:val="right"/>
              <w:ind w:right="131"/>
              <w:spacing w:after="0"/>
              <w:rPr>
                <w:sz w:val="20"/>
                <w:szCs w:val="20"/>
                <w:color w:val="auto"/>
              </w:rPr>
            </w:pPr>
            <w:r>
              <w:rPr>
                <w:rFonts w:ascii="Arial" w:cs="Arial" w:eastAsia="Arial" w:hAnsi="Arial"/>
                <w:sz w:val="18"/>
                <w:szCs w:val="18"/>
                <w:color w:val="auto"/>
              </w:rPr>
              <w:t>8.</w:t>
            </w:r>
          </w:p>
        </w:tc>
        <w:tc>
          <w:tcPr>
            <w:tcW w:w="4000" w:type="dxa"/>
            <w:vAlign w:val="bottom"/>
          </w:tcPr>
          <w:p>
            <w:pPr>
              <w:spacing w:after="0"/>
              <w:rPr>
                <w:sz w:val="20"/>
                <w:szCs w:val="20"/>
                <w:color w:val="auto"/>
              </w:rPr>
            </w:pPr>
            <w:r>
              <w:rPr>
                <w:rFonts w:ascii="Arial" w:cs="Arial" w:eastAsia="Arial" w:hAnsi="Arial"/>
                <w:sz w:val="18"/>
                <w:szCs w:val="18"/>
                <w:color w:val="auto"/>
              </w:rPr>
              <w:t>Benefits Payable Detail and Statistics</w:t>
            </w:r>
          </w:p>
        </w:tc>
        <w:tc>
          <w:tcPr>
            <w:tcW w:w="6260" w:type="dxa"/>
            <w:vAlign w:val="bottom"/>
          </w:tcPr>
          <w:p>
            <w:pPr>
              <w:jc w:val="right"/>
              <w:spacing w:after="0"/>
              <w:rPr>
                <w:sz w:val="20"/>
                <w:szCs w:val="20"/>
                <w:color w:val="auto"/>
              </w:rPr>
            </w:pPr>
            <w:r>
              <w:rPr>
                <w:rFonts w:ascii="Arial" w:cs="Arial" w:eastAsia="Arial" w:hAnsi="Arial"/>
                <w:sz w:val="18"/>
                <w:szCs w:val="18"/>
                <w:color w:val="auto"/>
              </w:rPr>
              <w:t>S-12 -S-13</w:t>
            </w:r>
          </w:p>
        </w:tc>
      </w:tr>
      <w:tr>
        <w:trPr>
          <w:trHeight w:val="230"/>
        </w:trPr>
        <w:tc>
          <w:tcPr>
            <w:tcW w:w="720" w:type="dxa"/>
            <w:vAlign w:val="bottom"/>
          </w:tcPr>
          <w:p>
            <w:pPr>
              <w:spacing w:after="0"/>
              <w:rPr>
                <w:sz w:val="20"/>
                <w:szCs w:val="20"/>
                <w:color w:val="auto"/>
              </w:rPr>
            </w:pPr>
            <w:r>
              <w:rPr>
                <w:rFonts w:ascii="Arial" w:cs="Arial" w:eastAsia="Arial" w:hAnsi="Arial"/>
                <w:sz w:val="18"/>
                <w:szCs w:val="18"/>
                <w:color w:val="auto"/>
                <w:w w:val="87"/>
              </w:rPr>
              <w:t>Footnotes</w:t>
            </w:r>
          </w:p>
        </w:tc>
        <w:tc>
          <w:tcPr>
            <w:tcW w:w="4000" w:type="dxa"/>
            <w:vAlign w:val="bottom"/>
          </w:tcPr>
          <w:p>
            <w:pPr>
              <w:spacing w:after="0"/>
              <w:rPr>
                <w:sz w:val="20"/>
                <w:szCs w:val="20"/>
                <w:color w:val="auto"/>
              </w:rPr>
            </w:pPr>
          </w:p>
        </w:tc>
        <w:tc>
          <w:tcPr>
            <w:tcW w:w="6260" w:type="dxa"/>
            <w:vAlign w:val="bottom"/>
          </w:tcPr>
          <w:p>
            <w:pPr>
              <w:jc w:val="right"/>
              <w:spacing w:after="0"/>
              <w:rPr>
                <w:sz w:val="20"/>
                <w:szCs w:val="20"/>
                <w:color w:val="auto"/>
              </w:rPr>
            </w:pPr>
            <w:r>
              <w:rPr>
                <w:rFonts w:ascii="Arial" w:cs="Arial" w:eastAsia="Arial" w:hAnsi="Arial"/>
                <w:sz w:val="18"/>
                <w:szCs w:val="18"/>
                <w:color w:val="auto"/>
              </w:rPr>
              <w:t>S-14</w:t>
            </w:r>
          </w:p>
        </w:tc>
      </w:tr>
      <w:tr>
        <w:trPr>
          <w:trHeight w:val="365"/>
        </w:trPr>
        <w:tc>
          <w:tcPr>
            <w:tcW w:w="72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6260" w:type="dxa"/>
            <w:vAlign w:val="bottom"/>
          </w:tcPr>
          <w:p>
            <w:pPr>
              <w:jc w:val="right"/>
              <w:ind w:right="5250"/>
              <w:spacing w:after="0"/>
              <w:rPr>
                <w:sz w:val="20"/>
                <w:szCs w:val="20"/>
                <w:color w:val="auto"/>
              </w:rPr>
            </w:pPr>
            <w:r>
              <w:rPr>
                <w:rFonts w:ascii="Arial" w:cs="Arial" w:eastAsia="Arial" w:hAnsi="Arial"/>
                <w:sz w:val="18"/>
                <w:szCs w:val="18"/>
                <w:color w:val="auto"/>
              </w:rPr>
              <w:t>S-2</w:t>
            </w:r>
          </w:p>
        </w:tc>
      </w:tr>
    </w:tbl>
    <w:p>
      <w:pPr>
        <w:sectPr>
          <w:pgSz w:w="11900" w:h="16838" w:orient="portrait"/>
          <w:cols w:equalWidth="0" w:num="1">
            <w:col w:w="10980"/>
          </w:cols>
          <w:pgMar w:left="440" w:top="274" w:right="479" w:bottom="1440" w:gutter="0" w:footer="0" w:header="0"/>
        </w:sectPr>
      </w:pPr>
    </w:p>
    <w:bookmarkStart w:id="32" w:name="page33"/>
    <w:bookmarkEnd w:id="3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Humana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Income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Dollars in millions, except per common share results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50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4"/>
              </w:rPr>
              <w:t>For the three months ended March 31,</w:t>
            </w:r>
          </w:p>
        </w:tc>
        <w:tc>
          <w:tcPr>
            <w:tcW w:w="320" w:type="dxa"/>
            <w:vAlign w:val="bottom"/>
          </w:tcPr>
          <w:p>
            <w:pPr>
              <w:spacing w:after="0"/>
              <w:rPr>
                <w:sz w:val="14"/>
                <w:szCs w:val="14"/>
                <w:color w:val="auto"/>
              </w:rPr>
            </w:pPr>
          </w:p>
        </w:tc>
        <w:tc>
          <w:tcPr>
            <w:tcW w:w="720" w:type="dxa"/>
            <w:vAlign w:val="bottom"/>
            <w:gridSpan w:val="3"/>
          </w:tcPr>
          <w:p>
            <w:pPr>
              <w:jc w:val="right"/>
              <w:ind w:right="280"/>
              <w:spacing w:after="0"/>
              <w:rPr>
                <w:sz w:val="20"/>
                <w:szCs w:val="20"/>
                <w:color w:val="auto"/>
              </w:rPr>
            </w:pPr>
            <w:r>
              <w:rPr>
                <w:rFonts w:ascii="Arial" w:cs="Arial" w:eastAsia="Arial" w:hAnsi="Arial"/>
                <w:sz w:val="14"/>
                <w:szCs w:val="14"/>
                <w:color w:val="auto"/>
              </w:rPr>
              <w:t>Dollar</w:t>
            </w:r>
          </w:p>
        </w:tc>
        <w:tc>
          <w:tcPr>
            <w:tcW w:w="1000" w:type="dxa"/>
            <w:vAlign w:val="bottom"/>
            <w:gridSpan w:val="3"/>
          </w:tcPr>
          <w:p>
            <w:pPr>
              <w:jc w:val="right"/>
              <w:ind w:right="220"/>
              <w:spacing w:after="0"/>
              <w:rPr>
                <w:sz w:val="20"/>
                <w:szCs w:val="20"/>
                <w:color w:val="auto"/>
              </w:rPr>
            </w:pPr>
            <w:r>
              <w:rPr>
                <w:rFonts w:ascii="Arial" w:cs="Arial" w:eastAsia="Arial" w:hAnsi="Arial"/>
                <w:sz w:val="14"/>
                <w:szCs w:val="14"/>
                <w:color w:val="auto"/>
              </w:rPr>
              <w:t>Percentage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right"/>
              <w:ind w:right="291"/>
              <w:spacing w:after="0" w:line="142" w:lineRule="exact"/>
              <w:rPr>
                <w:sz w:val="20"/>
                <w:szCs w:val="20"/>
                <w:color w:val="auto"/>
              </w:rPr>
            </w:pPr>
            <w:r>
              <w:rPr>
                <w:rFonts w:ascii="Arial" w:cs="Arial" w:eastAsia="Arial" w:hAnsi="Arial"/>
                <w:sz w:val="14"/>
                <w:szCs w:val="14"/>
                <w:b w:val="1"/>
                <w:bCs w:val="1"/>
                <w:color w:val="auto"/>
              </w:rPr>
              <w:t>2019</w:t>
            </w: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jc w:val="right"/>
              <w:ind w:right="311"/>
              <w:spacing w:after="0" w:line="142" w:lineRule="exact"/>
              <w:rPr>
                <w:sz w:val="20"/>
                <w:szCs w:val="20"/>
                <w:color w:val="auto"/>
              </w:rPr>
            </w:pPr>
            <w:r>
              <w:rPr>
                <w:rFonts w:ascii="Arial" w:cs="Arial" w:eastAsia="Arial" w:hAnsi="Arial"/>
                <w:sz w:val="14"/>
                <w:szCs w:val="14"/>
                <w:color w:val="auto"/>
              </w:rPr>
              <w:t>2018</w:t>
            </w:r>
          </w:p>
        </w:tc>
        <w:tc>
          <w:tcPr>
            <w:tcW w:w="320" w:type="dxa"/>
            <w:vAlign w:val="bottom"/>
          </w:tcPr>
          <w:p>
            <w:pPr>
              <w:spacing w:after="0"/>
              <w:rPr>
                <w:sz w:val="12"/>
                <w:szCs w:val="12"/>
                <w:color w:val="auto"/>
              </w:rPr>
            </w:pPr>
          </w:p>
        </w:tc>
        <w:tc>
          <w:tcPr>
            <w:tcW w:w="720" w:type="dxa"/>
            <w:vAlign w:val="bottom"/>
            <w:gridSpan w:val="3"/>
          </w:tcPr>
          <w:p>
            <w:pPr>
              <w:jc w:val="right"/>
              <w:ind w:right="240"/>
              <w:spacing w:after="0" w:line="142" w:lineRule="exact"/>
              <w:rPr>
                <w:sz w:val="20"/>
                <w:szCs w:val="20"/>
                <w:color w:val="auto"/>
              </w:rPr>
            </w:pPr>
            <w:r>
              <w:rPr>
                <w:rFonts w:ascii="Arial" w:cs="Arial" w:eastAsia="Arial" w:hAnsi="Arial"/>
                <w:sz w:val="14"/>
                <w:szCs w:val="14"/>
                <w:color w:val="auto"/>
                <w:w w:val="93"/>
              </w:rPr>
              <w:t>Change</w:t>
            </w:r>
          </w:p>
        </w:tc>
        <w:tc>
          <w:tcPr>
            <w:tcW w:w="160" w:type="dxa"/>
            <w:vAlign w:val="bottom"/>
          </w:tcPr>
          <w:p>
            <w:pPr>
              <w:spacing w:after="0"/>
              <w:rPr>
                <w:sz w:val="12"/>
                <w:szCs w:val="12"/>
                <w:color w:val="auto"/>
              </w:rPr>
            </w:pPr>
          </w:p>
        </w:tc>
        <w:tc>
          <w:tcPr>
            <w:tcW w:w="840" w:type="dxa"/>
            <w:vAlign w:val="bottom"/>
            <w:gridSpan w:val="2"/>
          </w:tcPr>
          <w:p>
            <w:pPr>
              <w:jc w:val="right"/>
              <w:ind w:right="320"/>
              <w:spacing w:after="0" w:line="142" w:lineRule="exact"/>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1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Revenues:</w:t>
            </w:r>
          </w:p>
        </w:tc>
        <w:tc>
          <w:tcPr>
            <w:tcW w:w="13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340"/>
              <w:spacing w:after="0"/>
              <w:rPr>
                <w:sz w:val="20"/>
                <w:szCs w:val="20"/>
                <w:color w:val="auto"/>
              </w:rPr>
            </w:pPr>
            <w:r>
              <w:rPr>
                <w:rFonts w:ascii="Arial" w:cs="Arial" w:eastAsia="Arial" w:hAnsi="Arial"/>
                <w:sz w:val="18"/>
                <w:szCs w:val="18"/>
                <w:color w:val="auto"/>
              </w:rPr>
              <w:t>Premiums</w:t>
            </w:r>
          </w:p>
        </w:tc>
        <w:tc>
          <w:tcPr>
            <w:tcW w:w="1540" w:type="dxa"/>
            <w:vAlign w:val="bottom"/>
            <w:gridSpan w:val="2"/>
          </w:tcPr>
          <w:p>
            <w:pPr>
              <w:jc w:val="right"/>
              <w:ind w:right="67"/>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15,651</w:t>
            </w:r>
          </w:p>
        </w:tc>
        <w:tc>
          <w:tcPr>
            <w:tcW w:w="6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13,811</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1,840</w:t>
            </w:r>
          </w:p>
        </w:tc>
        <w:tc>
          <w:tcPr>
            <w:tcW w:w="220" w:type="dxa"/>
            <w:vAlign w:val="bottom"/>
          </w:tcPr>
          <w:p>
            <w:pPr>
              <w:spacing w:after="0"/>
              <w:rPr>
                <w:sz w:val="18"/>
                <w:szCs w:val="18"/>
                <w:color w:val="auto"/>
              </w:rPr>
            </w:pP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Services</w:t>
            </w:r>
          </w:p>
        </w:tc>
        <w:tc>
          <w:tcPr>
            <w:tcW w:w="1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355</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60" w:type="dxa"/>
            <w:vAlign w:val="bottom"/>
          </w:tcPr>
          <w:p>
            <w:pPr>
              <w:ind w:left="340"/>
              <w:spacing w:after="0"/>
              <w:rPr>
                <w:sz w:val="20"/>
                <w:szCs w:val="20"/>
                <w:color w:val="auto"/>
              </w:rPr>
            </w:pPr>
            <w:r>
              <w:rPr>
                <w:rFonts w:ascii="Arial" w:cs="Arial" w:eastAsia="Arial" w:hAnsi="Arial"/>
                <w:sz w:val="18"/>
                <w:szCs w:val="18"/>
                <w:color w:val="auto"/>
              </w:rPr>
              <w:t>Investment income</w:t>
            </w:r>
          </w:p>
        </w:tc>
        <w:tc>
          <w:tcPr>
            <w:tcW w:w="1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101</w:t>
            </w: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141</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(40)</w:t>
            </w: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700"/>
              <w:spacing w:after="0"/>
              <w:rPr>
                <w:sz w:val="20"/>
                <w:szCs w:val="20"/>
                <w:color w:val="auto"/>
              </w:rPr>
            </w:pPr>
            <w:r>
              <w:rPr>
                <w:rFonts w:ascii="Arial" w:cs="Arial" w:eastAsia="Arial" w:hAnsi="Arial"/>
                <w:sz w:val="18"/>
                <w:szCs w:val="18"/>
                <w:b w:val="1"/>
                <w:bCs w:val="1"/>
                <w:color w:val="auto"/>
              </w:rPr>
              <w:t>Total revenues</w:t>
            </w:r>
          </w:p>
        </w:tc>
        <w:tc>
          <w:tcPr>
            <w:tcW w:w="1320" w:type="dxa"/>
            <w:vAlign w:val="bottom"/>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16,107</w:t>
            </w:r>
          </w:p>
        </w:tc>
        <w:tc>
          <w:tcPr>
            <w:tcW w:w="380" w:type="dxa"/>
            <w:vAlign w:val="bottom"/>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14,279</w:t>
            </w: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1,828</w:t>
            </w:r>
          </w:p>
        </w:tc>
        <w:tc>
          <w:tcPr>
            <w:tcW w:w="2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23"/>
        </w:trPr>
        <w:tc>
          <w:tcPr>
            <w:tcW w:w="518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Benefits</w:t>
            </w:r>
          </w:p>
        </w:tc>
        <w:tc>
          <w:tcPr>
            <w:tcW w:w="1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13,493</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11,670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1,823</w:t>
            </w:r>
          </w:p>
        </w:tc>
        <w:tc>
          <w:tcPr>
            <w:tcW w:w="2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340"/>
              <w:spacing w:after="0"/>
              <w:rPr>
                <w:sz w:val="20"/>
                <w:szCs w:val="20"/>
                <w:color w:val="auto"/>
              </w:rPr>
            </w:pPr>
            <w:r>
              <w:rPr>
                <w:rFonts w:ascii="Arial" w:cs="Arial" w:eastAsia="Arial" w:hAnsi="Arial"/>
                <w:sz w:val="18"/>
                <w:szCs w:val="18"/>
                <w:color w:val="auto"/>
              </w:rPr>
              <w:t>Operating costs</w:t>
            </w: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1,660</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1,749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(89)</w:t>
            </w: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13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107</w:t>
            </w:r>
          </w:p>
        </w:tc>
        <w:tc>
          <w:tcPr>
            <w:tcW w:w="3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60" w:type="dxa"/>
            <w:vAlign w:val="bottom"/>
          </w:tcPr>
          <w:p>
            <w:pPr>
              <w:ind w:left="700"/>
              <w:spacing w:after="0"/>
              <w:rPr>
                <w:sz w:val="20"/>
                <w:szCs w:val="20"/>
                <w:color w:val="auto"/>
              </w:rPr>
            </w:pPr>
            <w:r>
              <w:rPr>
                <w:rFonts w:ascii="Arial" w:cs="Arial" w:eastAsia="Arial" w:hAnsi="Arial"/>
                <w:sz w:val="18"/>
                <w:szCs w:val="18"/>
                <w:b w:val="1"/>
                <w:bCs w:val="1"/>
                <w:color w:val="auto"/>
              </w:rPr>
              <w:t>Total operating expenses</w:t>
            </w:r>
          </w:p>
        </w:tc>
        <w:tc>
          <w:tcPr>
            <w:tcW w:w="13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15,260</w:t>
            </w:r>
          </w:p>
        </w:tc>
        <w:tc>
          <w:tcPr>
            <w:tcW w:w="3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13,519</w:t>
            </w:r>
          </w:p>
        </w:tc>
        <w:tc>
          <w:tcPr>
            <w:tcW w:w="3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1,741</w:t>
            </w:r>
          </w:p>
        </w:tc>
        <w:tc>
          <w:tcPr>
            <w:tcW w:w="220" w:type="dxa"/>
            <w:vAlign w:val="bottom"/>
          </w:tcPr>
          <w:p>
            <w:pPr>
              <w:spacing w:after="0"/>
              <w:rPr>
                <w:sz w:val="20"/>
                <w:szCs w:val="20"/>
                <w:color w:val="auto"/>
              </w:rPr>
            </w:pP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from operations</w:t>
            </w:r>
          </w:p>
        </w:tc>
        <w:tc>
          <w:tcPr>
            <w:tcW w:w="1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847</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2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Interest expense</w:t>
            </w: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62</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53</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9</w:t>
            </w:r>
          </w:p>
        </w:tc>
        <w:tc>
          <w:tcPr>
            <w:tcW w:w="220" w:type="dxa"/>
            <w:vAlign w:val="bottom"/>
          </w:tcPr>
          <w:p>
            <w:pPr>
              <w:spacing w:after="0"/>
              <w:rPr>
                <w:sz w:val="18"/>
                <w:szCs w:val="18"/>
                <w:color w:val="auto"/>
              </w:rPr>
            </w:pP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Other expense, net (A)</w:t>
            </w:r>
          </w:p>
        </w:tc>
        <w:tc>
          <w:tcPr>
            <w:tcW w:w="13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w:t>
            </w:r>
          </w:p>
        </w:tc>
        <w:tc>
          <w:tcPr>
            <w:tcW w:w="3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3"/>
        </w:trPr>
        <w:tc>
          <w:tcPr>
            <w:tcW w:w="5180" w:type="dxa"/>
            <w:vAlign w:val="bottom"/>
            <w:gridSpan w:val="2"/>
          </w:tcPr>
          <w:p>
            <w:pPr>
              <w:spacing w:after="0"/>
              <w:rPr>
                <w:sz w:val="20"/>
                <w:szCs w:val="20"/>
                <w:color w:val="auto"/>
              </w:rPr>
            </w:pPr>
            <w:r>
              <w:rPr>
                <w:rFonts w:ascii="Arial" w:cs="Arial" w:eastAsia="Arial" w:hAnsi="Arial"/>
                <w:sz w:val="18"/>
                <w:szCs w:val="18"/>
                <w:b w:val="1"/>
                <w:bCs w:val="1"/>
                <w:color w:val="auto"/>
              </w:rPr>
              <w:t>Income before income taxes and equity in net earnings</w:t>
            </w:r>
          </w:p>
        </w:tc>
        <w:tc>
          <w:tcPr>
            <w:tcW w:w="1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746</w:t>
            </w: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707</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39</w:t>
            </w:r>
          </w:p>
        </w:tc>
        <w:tc>
          <w:tcPr>
            <w:tcW w:w="220" w:type="dxa"/>
            <w:vAlign w:val="bottom"/>
          </w:tcPr>
          <w:p>
            <w:pPr>
              <w:spacing w:after="0"/>
              <w:rPr>
                <w:sz w:val="19"/>
                <w:szCs w:val="19"/>
                <w:color w:val="auto"/>
              </w:rPr>
            </w:pP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183</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w:t>
            </w: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Equity in net earnings of Kindred at Home (B)</w:t>
            </w:r>
          </w:p>
        </w:tc>
        <w:tc>
          <w:tcPr>
            <w:tcW w:w="13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w:t>
            </w:r>
          </w:p>
        </w:tc>
        <w:tc>
          <w:tcPr>
            <w:tcW w:w="3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54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b w:val="1"/>
                <w:bCs w:val="1"/>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566</w:t>
            </w:r>
          </w:p>
        </w:tc>
        <w:tc>
          <w:tcPr>
            <w:tcW w:w="62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2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0"/>
        </w:trPr>
        <w:tc>
          <w:tcPr>
            <w:tcW w:w="5180" w:type="dxa"/>
            <w:vAlign w:val="bottom"/>
            <w:gridSpan w:val="2"/>
            <w:vMerge w:val="restart"/>
          </w:tcPr>
          <w:p>
            <w:pPr>
              <w:spacing w:after="0"/>
              <w:rPr>
                <w:sz w:val="20"/>
                <w:szCs w:val="20"/>
                <w:color w:val="auto"/>
              </w:rPr>
            </w:pPr>
            <w:r>
              <w:rPr>
                <w:rFonts w:ascii="Arial" w:cs="Arial" w:eastAsia="Arial" w:hAnsi="Arial"/>
                <w:sz w:val="18"/>
                <w:szCs w:val="18"/>
                <w:color w:val="auto"/>
              </w:rPr>
              <w:t>Basic earnings per common share</w:t>
            </w:r>
          </w:p>
        </w:tc>
        <w:tc>
          <w:tcPr>
            <w:tcW w:w="1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gridSpan w:val="3"/>
            <w:vMerge w:val="restart"/>
          </w:tcPr>
          <w:p>
            <w:pPr>
              <w:jc w:val="right"/>
              <w:ind w:right="60"/>
              <w:spacing w:after="0"/>
              <w:rPr>
                <w:sz w:val="20"/>
                <w:szCs w:val="20"/>
                <w:color w:val="auto"/>
              </w:rPr>
            </w:pPr>
            <w:r>
              <w:rPr>
                <w:rFonts w:ascii="Arial" w:cs="Arial" w:eastAsia="Arial" w:hAnsi="Arial"/>
                <w:sz w:val="18"/>
                <w:szCs w:val="18"/>
                <w:color w:val="auto"/>
              </w:rPr>
              <w:t>17.4%</w:t>
            </w:r>
          </w:p>
        </w:tc>
        <w:tc>
          <w:tcPr>
            <w:tcW w:w="0" w:type="dxa"/>
            <w:vAlign w:val="bottom"/>
          </w:tcPr>
          <w:p>
            <w:pPr>
              <w:spacing w:after="0" w:line="20" w:lineRule="exact"/>
              <w:rPr>
                <w:sz w:val="1"/>
                <w:szCs w:val="1"/>
                <w:color w:val="auto"/>
              </w:rPr>
            </w:pPr>
          </w:p>
        </w:tc>
      </w:tr>
      <w:tr>
        <w:trPr>
          <w:trHeight w:val="210"/>
        </w:trPr>
        <w:tc>
          <w:tcPr>
            <w:tcW w:w="5180" w:type="dxa"/>
            <w:vAlign w:val="bottom"/>
            <w:gridSpan w:val="2"/>
            <w:vMerge w:val="continue"/>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b w:val="1"/>
                <w:bCs w:val="1"/>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4.18</w:t>
            </w:r>
          </w:p>
        </w:tc>
        <w:tc>
          <w:tcPr>
            <w:tcW w:w="380" w:type="dxa"/>
            <w:vAlign w:val="bottom"/>
          </w:tcPr>
          <w:p>
            <w:pPr>
              <w:spacing w:after="0"/>
              <w:rPr>
                <w:sz w:val="18"/>
                <w:szCs w:val="18"/>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3.56</w:t>
            </w:r>
          </w:p>
        </w:tc>
        <w:tc>
          <w:tcPr>
            <w:tcW w:w="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0.62</w:t>
            </w:r>
          </w:p>
        </w:tc>
        <w:tc>
          <w:tcPr>
            <w:tcW w:w="220" w:type="dxa"/>
            <w:vAlign w:val="bottom"/>
          </w:tcPr>
          <w:p>
            <w:pPr>
              <w:spacing w:after="0"/>
              <w:rPr>
                <w:sz w:val="18"/>
                <w:szCs w:val="18"/>
                <w:color w:val="auto"/>
              </w:rPr>
            </w:pPr>
          </w:p>
        </w:tc>
        <w:tc>
          <w:tcPr>
            <w:tcW w:w="100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earnings per common share</w:t>
            </w:r>
          </w:p>
        </w:tc>
        <w:tc>
          <w:tcPr>
            <w:tcW w:w="154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b w:val="1"/>
                <w:bCs w:val="1"/>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4.16</w:t>
            </w:r>
          </w:p>
        </w:tc>
        <w:tc>
          <w:tcPr>
            <w:tcW w:w="62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0.63</w:t>
            </w:r>
          </w:p>
        </w:tc>
        <w:tc>
          <w:tcPr>
            <w:tcW w:w="2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w w:val="94"/>
              </w:rPr>
              <w:t>Shares used in computing basic earnings per common share (000’s)</w:t>
            </w: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135,382</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137,903</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w w:val="92"/>
              </w:rPr>
              <w:t>Shares used in computing diluted earnings per common share (000’s)</w:t>
            </w:r>
          </w:p>
        </w:tc>
        <w:tc>
          <w:tcPr>
            <w:tcW w:w="1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135,962</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138,830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1540" w:type="dxa"/>
            <w:vAlign w:val="bottom"/>
            <w:gridSpan w:val="2"/>
          </w:tcPr>
          <w:p>
            <w:pPr>
              <w:jc w:val="right"/>
              <w:ind w:right="1007"/>
              <w:spacing w:after="0"/>
              <w:rPr>
                <w:sz w:val="20"/>
                <w:szCs w:val="20"/>
                <w:color w:val="auto"/>
              </w:rPr>
            </w:pPr>
            <w:r>
              <w:rPr>
                <w:rFonts w:ascii="Arial" w:cs="Arial" w:eastAsia="Arial" w:hAnsi="Arial"/>
                <w:sz w:val="18"/>
                <w:szCs w:val="18"/>
                <w:color w:val="auto"/>
              </w:rPr>
              <w:t>S-3</w:t>
            </w: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40"/>
          </w:cols>
          <w:pgMar w:left="440" w:top="274" w:right="419" w:bottom="1440" w:gutter="0" w:footer="0" w:header="0"/>
        </w:sectPr>
      </w:pPr>
    </w:p>
    <w:bookmarkStart w:id="33" w:name="page34"/>
    <w:bookmarkEnd w:id="3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Humana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Consolidated Balance Sheets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Dollars in millions, except share amounts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780" w:type="dxa"/>
            <w:vAlign w:val="bottom"/>
          </w:tcPr>
          <w:p>
            <w:pPr>
              <w:spacing w:after="0"/>
              <w:rPr>
                <w:sz w:val="14"/>
                <w:szCs w:val="14"/>
                <w:color w:val="auto"/>
              </w:rPr>
            </w:pPr>
          </w:p>
        </w:tc>
        <w:tc>
          <w:tcPr>
            <w:tcW w:w="1300" w:type="dxa"/>
            <w:vAlign w:val="bottom"/>
            <w:gridSpan w:val="4"/>
          </w:tcPr>
          <w:p>
            <w:pPr>
              <w:ind w:left="320"/>
              <w:spacing w:after="0"/>
              <w:rPr>
                <w:sz w:val="20"/>
                <w:szCs w:val="20"/>
                <w:color w:val="auto"/>
              </w:rPr>
            </w:pPr>
            <w:r>
              <w:rPr>
                <w:rFonts w:ascii="Arial" w:cs="Arial" w:eastAsia="Arial" w:hAnsi="Arial"/>
                <w:sz w:val="14"/>
                <w:szCs w:val="14"/>
                <w:b w:val="1"/>
                <w:bCs w:val="1"/>
                <w:color w:val="auto"/>
              </w:rPr>
              <w:t>March 31,</w:t>
            </w:r>
          </w:p>
        </w:tc>
        <w:tc>
          <w:tcPr>
            <w:tcW w:w="1280" w:type="dxa"/>
            <w:vAlign w:val="bottom"/>
            <w:gridSpan w:val="4"/>
          </w:tcPr>
          <w:p>
            <w:pPr>
              <w:ind w:left="160"/>
              <w:spacing w:after="0"/>
              <w:rPr>
                <w:sz w:val="20"/>
                <w:szCs w:val="20"/>
                <w:color w:val="auto"/>
              </w:rPr>
            </w:pPr>
            <w:r>
              <w:rPr>
                <w:rFonts w:ascii="Arial" w:cs="Arial" w:eastAsia="Arial" w:hAnsi="Arial"/>
                <w:sz w:val="14"/>
                <w:szCs w:val="14"/>
                <w:color w:val="auto"/>
              </w:rPr>
              <w:t>December 31,</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4"/>
          </w:tcPr>
          <w:p>
            <w:pPr>
              <w:jc w:val="right"/>
              <w:ind w:right="320"/>
              <w:spacing w:after="0"/>
              <w:rPr>
                <w:sz w:val="20"/>
                <w:szCs w:val="20"/>
                <w:color w:val="auto"/>
              </w:rPr>
            </w:pPr>
            <w:r>
              <w:rPr>
                <w:rFonts w:ascii="Arial" w:cs="Arial" w:eastAsia="Arial" w:hAnsi="Arial"/>
                <w:sz w:val="14"/>
                <w:szCs w:val="14"/>
                <w:color w:val="auto"/>
                <w:w w:val="88"/>
              </w:rPr>
              <w:t>Sequential 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ind w:right="91"/>
              <w:spacing w:after="0" w:line="142" w:lineRule="exact"/>
              <w:rPr>
                <w:sz w:val="20"/>
                <w:szCs w:val="20"/>
                <w:color w:val="auto"/>
              </w:rPr>
            </w:pPr>
            <w:r>
              <w:rPr>
                <w:rFonts w:ascii="Arial" w:cs="Arial" w:eastAsia="Arial" w:hAnsi="Arial"/>
                <w:sz w:val="14"/>
                <w:szCs w:val="14"/>
                <w:b w:val="1"/>
                <w:bCs w:val="1"/>
                <w:color w:val="auto"/>
              </w:rPr>
              <w:t>2019</w:t>
            </w: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ind w:right="191"/>
              <w:spacing w:after="0" w:line="142" w:lineRule="exact"/>
              <w:rPr>
                <w:sz w:val="20"/>
                <w:szCs w:val="20"/>
                <w:color w:val="auto"/>
              </w:rPr>
            </w:pPr>
            <w:r>
              <w:rPr>
                <w:rFonts w:ascii="Arial" w:cs="Arial" w:eastAsia="Arial" w:hAnsi="Arial"/>
                <w:sz w:val="14"/>
                <w:szCs w:val="14"/>
                <w:color w:val="auto"/>
              </w:rPr>
              <w:t>2018</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Borders>
              <w:top w:val="single" w:sz="8" w:color="auto"/>
            </w:tcBorders>
            <w:gridSpan w:val="3"/>
          </w:tcPr>
          <w:p>
            <w:pPr>
              <w:ind w:left="60"/>
              <w:spacing w:after="0" w:line="142" w:lineRule="exact"/>
              <w:rPr>
                <w:sz w:val="20"/>
                <w:szCs w:val="20"/>
                <w:color w:val="auto"/>
              </w:rPr>
            </w:pPr>
            <w:r>
              <w:rPr>
                <w:rFonts w:ascii="Arial" w:cs="Arial" w:eastAsia="Arial" w:hAnsi="Arial"/>
                <w:sz w:val="14"/>
                <w:szCs w:val="14"/>
                <w:color w:val="auto"/>
              </w:rPr>
              <w:t>Dollar</w:t>
            </w:r>
          </w:p>
        </w:tc>
        <w:tc>
          <w:tcPr>
            <w:tcW w:w="4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86"/>
              </w:rPr>
              <w:t>Percent</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7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3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Current assets:</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440" w:type="dxa"/>
            <w:vAlign w:val="bottom"/>
            <w:gridSpan w:val="2"/>
            <w:shd w:val="clear" w:color="auto" w:fill="CCEEFF"/>
          </w:tcPr>
          <w:p>
            <w:pPr>
              <w:ind w:left="320"/>
              <w:spacing w:after="0"/>
              <w:rPr>
                <w:sz w:val="20"/>
                <w:szCs w:val="20"/>
                <w:color w:val="auto"/>
              </w:rPr>
            </w:pPr>
            <w:r>
              <w:rPr>
                <w:rFonts w:ascii="Arial" w:cs="Arial" w:eastAsia="Arial" w:hAnsi="Arial"/>
                <w:sz w:val="18"/>
                <w:szCs w:val="18"/>
                <w:b w:val="1"/>
                <w:bCs w:val="1"/>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3,877</w:t>
            </w:r>
          </w:p>
        </w:tc>
        <w:tc>
          <w:tcPr>
            <w:tcW w:w="3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2,343</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340"/>
              <w:spacing w:after="0"/>
              <w:rPr>
                <w:sz w:val="20"/>
                <w:szCs w:val="20"/>
                <w:color w:val="auto"/>
              </w:rPr>
            </w:pPr>
            <w:r>
              <w:rPr>
                <w:rFonts w:ascii="Arial" w:cs="Arial" w:eastAsia="Arial" w:hAnsi="Arial"/>
                <w:sz w:val="18"/>
                <w:szCs w:val="18"/>
                <w:color w:val="auto"/>
              </w:rPr>
              <w:t>Investment securities</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9,876</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10,026</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Receivables, net</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1,955</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1,015</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80" w:type="dxa"/>
            <w:vAlign w:val="bottom"/>
          </w:tcPr>
          <w:p>
            <w:pPr>
              <w:ind w:left="340"/>
              <w:spacing w:after="0"/>
              <w:rPr>
                <w:sz w:val="20"/>
                <w:szCs w:val="20"/>
                <w:color w:val="auto"/>
              </w:rPr>
            </w:pPr>
            <w:r>
              <w:rPr>
                <w:rFonts w:ascii="Arial" w:cs="Arial" w:eastAsia="Arial" w:hAnsi="Arial"/>
                <w:sz w:val="18"/>
                <w:szCs w:val="18"/>
                <w:color w:val="auto"/>
              </w:rPr>
              <w:t>Other current assets</w:t>
            </w:r>
          </w:p>
        </w:tc>
        <w:tc>
          <w:tcPr>
            <w:tcW w:w="3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3,965</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3,564</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current assets</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0"/>
              </w:rPr>
              <w:t>19,673</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16,948</w:t>
            </w:r>
          </w:p>
        </w:tc>
        <w:tc>
          <w:tcPr>
            <w:tcW w:w="3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2,725</w:t>
            </w:r>
          </w:p>
        </w:tc>
        <w:tc>
          <w:tcPr>
            <w:tcW w:w="3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1,754</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1,735</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Long-term investment securities</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422</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Goodwill</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3,897</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3,897</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Equity method investment in Kindred at Home</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1,048</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1,047</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Other long-term assets</w:t>
            </w:r>
          </w:p>
        </w:tc>
        <w:tc>
          <w:tcPr>
            <w:tcW w:w="3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1,555</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1,375</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440" w:type="dxa"/>
            <w:vAlign w:val="bottom"/>
            <w:gridSpan w:val="2"/>
            <w:shd w:val="clear" w:color="auto" w:fill="CCEEFF"/>
          </w:tcPr>
          <w:p>
            <w:pPr>
              <w:ind w:left="320"/>
              <w:spacing w:after="0"/>
              <w:rPr>
                <w:sz w:val="20"/>
                <w:szCs w:val="20"/>
                <w:color w:val="auto"/>
              </w:rPr>
            </w:pPr>
            <w:r>
              <w:rPr>
                <w:rFonts w:ascii="Arial" w:cs="Arial" w:eastAsia="Arial" w:hAnsi="Arial"/>
                <w:sz w:val="18"/>
                <w:szCs w:val="18"/>
                <w:b w:val="1"/>
                <w:bCs w:val="1"/>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0"/>
              </w:rPr>
              <w:t>28,349</w:t>
            </w:r>
          </w:p>
        </w:tc>
        <w:tc>
          <w:tcPr>
            <w:tcW w:w="3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25,413</w:t>
            </w:r>
          </w:p>
        </w:tc>
        <w:tc>
          <w:tcPr>
            <w:tcW w:w="3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2,936</w:t>
            </w:r>
          </w:p>
        </w:tc>
        <w:tc>
          <w:tcPr>
            <w:tcW w:w="3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0"/>
        </w:trPr>
        <w:tc>
          <w:tcPr>
            <w:tcW w:w="68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00" w:type="dxa"/>
            <w:vAlign w:val="bottom"/>
            <w:gridSpan w:val="2"/>
            <w:vMerge w:val="continue"/>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340"/>
              <w:spacing w:after="0"/>
              <w:rPr>
                <w:sz w:val="20"/>
                <w:szCs w:val="20"/>
                <w:color w:val="auto"/>
              </w:rPr>
            </w:pPr>
            <w:r>
              <w:rPr>
                <w:rFonts w:ascii="Arial" w:cs="Arial" w:eastAsia="Arial" w:hAnsi="Arial"/>
                <w:sz w:val="18"/>
                <w:szCs w:val="18"/>
                <w:color w:val="auto"/>
              </w:rPr>
              <w:t>Benefits payable</w:t>
            </w:r>
          </w:p>
        </w:tc>
        <w:tc>
          <w:tcPr>
            <w:tcW w:w="440" w:type="dxa"/>
            <w:vAlign w:val="bottom"/>
            <w:gridSpan w:val="2"/>
          </w:tcPr>
          <w:p>
            <w:pPr>
              <w:ind w:left="320"/>
              <w:spacing w:after="0"/>
              <w:rPr>
                <w:sz w:val="20"/>
                <w:szCs w:val="20"/>
                <w:color w:val="auto"/>
              </w:rPr>
            </w:pPr>
            <w:r>
              <w:rPr>
                <w:rFonts w:ascii="Arial" w:cs="Arial" w:eastAsia="Arial" w:hAnsi="Arial"/>
                <w:sz w:val="18"/>
                <w:szCs w:val="18"/>
                <w:b w:val="1"/>
                <w:bCs w:val="1"/>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6,024</w:t>
            </w:r>
          </w:p>
        </w:tc>
        <w:tc>
          <w:tcPr>
            <w:tcW w:w="340" w:type="dxa"/>
            <w:vAlign w:val="bottom"/>
          </w:tcPr>
          <w:p>
            <w:pPr>
              <w:spacing w:after="0"/>
              <w:rPr>
                <w:sz w:val="18"/>
                <w:szCs w:val="18"/>
                <w:color w:val="auto"/>
              </w:rPr>
            </w:pPr>
          </w:p>
        </w:tc>
        <w:tc>
          <w:tcPr>
            <w:tcW w:w="3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4,862</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Trade accounts payable and accrued expenses</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3,719</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3,067</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340"/>
              <w:spacing w:after="0"/>
              <w:rPr>
                <w:sz w:val="20"/>
                <w:szCs w:val="20"/>
                <w:color w:val="auto"/>
              </w:rPr>
            </w:pPr>
            <w:r>
              <w:rPr>
                <w:rFonts w:ascii="Arial" w:cs="Arial" w:eastAsia="Arial" w:hAnsi="Arial"/>
                <w:sz w:val="18"/>
                <w:szCs w:val="18"/>
                <w:color w:val="auto"/>
              </w:rPr>
              <w:t>Book overdraft</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154</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171</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Unearned revenues</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312</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80" w:type="dxa"/>
            <w:vAlign w:val="bottom"/>
          </w:tcPr>
          <w:p>
            <w:pPr>
              <w:ind w:left="340"/>
              <w:spacing w:after="0"/>
              <w:rPr>
                <w:sz w:val="20"/>
                <w:szCs w:val="20"/>
                <w:color w:val="auto"/>
              </w:rPr>
            </w:pPr>
            <w:r>
              <w:rPr>
                <w:rFonts w:ascii="Arial" w:cs="Arial" w:eastAsia="Arial" w:hAnsi="Arial"/>
                <w:sz w:val="18"/>
                <w:szCs w:val="18"/>
                <w:color w:val="auto"/>
              </w:rPr>
              <w:t>Short-term debt</w:t>
            </w:r>
          </w:p>
        </w:tc>
        <w:tc>
          <w:tcPr>
            <w:tcW w:w="3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1,718</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1,694</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current liabilities</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0"/>
              </w:rPr>
              <w:t>11,927</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10,077</w:t>
            </w:r>
          </w:p>
        </w:tc>
        <w:tc>
          <w:tcPr>
            <w:tcW w:w="3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1,850</w:t>
            </w:r>
          </w:p>
        </w:tc>
        <w:tc>
          <w:tcPr>
            <w:tcW w:w="3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Long-term debt</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4,376</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4,375</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Future policy benefits payable</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213</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3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992</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581</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700"/>
              <w:spacing w:after="0"/>
              <w:rPr>
                <w:sz w:val="20"/>
                <w:szCs w:val="20"/>
                <w:color w:val="auto"/>
              </w:rPr>
            </w:pPr>
            <w:r>
              <w:rPr>
                <w:rFonts w:ascii="Arial" w:cs="Arial" w:eastAsia="Arial" w:hAnsi="Arial"/>
                <w:sz w:val="18"/>
                <w:szCs w:val="18"/>
                <w:b w:val="1"/>
                <w:bCs w:val="1"/>
                <w:color w:val="auto"/>
              </w:rPr>
              <w:t>Total liabilities</w:t>
            </w:r>
          </w:p>
        </w:tc>
        <w:tc>
          <w:tcPr>
            <w:tcW w:w="3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0"/>
              </w:rPr>
              <w:t>17,508</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15,252</w:t>
            </w:r>
          </w:p>
        </w:tc>
        <w:tc>
          <w:tcPr>
            <w:tcW w:w="3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2,256</w:t>
            </w:r>
          </w:p>
        </w:tc>
        <w:tc>
          <w:tcPr>
            <w:tcW w:w="3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23"/>
        </w:trPr>
        <w:tc>
          <w:tcPr>
            <w:tcW w:w="6800" w:type="dxa"/>
            <w:vAlign w:val="bottom"/>
            <w:gridSpan w:val="2"/>
          </w:tcPr>
          <w:p>
            <w:pPr>
              <w:spacing w:after="0"/>
              <w:rPr>
                <w:sz w:val="20"/>
                <w:szCs w:val="20"/>
                <w:color w:val="auto"/>
              </w:rPr>
            </w:pPr>
            <w:r>
              <w:rPr>
                <w:rFonts w:ascii="Arial" w:cs="Arial" w:eastAsia="Arial" w:hAnsi="Arial"/>
                <w:sz w:val="18"/>
                <w:szCs w:val="18"/>
                <w:color w:val="auto"/>
              </w:rPr>
              <w:t>Commitments and contingencies</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340"/>
              <w:spacing w:after="0"/>
              <w:rPr>
                <w:sz w:val="20"/>
                <w:szCs w:val="20"/>
                <w:color w:val="auto"/>
              </w:rPr>
            </w:pPr>
            <w:r>
              <w:rPr>
                <w:rFonts w:ascii="Arial" w:cs="Arial" w:eastAsia="Arial" w:hAnsi="Arial"/>
                <w:sz w:val="18"/>
                <w:szCs w:val="18"/>
                <w:color w:val="auto"/>
              </w:rPr>
              <w:t>Preferred stock, $1 par; 10,000,000 shares authorized, none issued</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78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4"/>
              </w:rPr>
              <w:t>Common stock, $0.16 2/3 par; 300,000,000 shares authorized; 198,594,841 issued at</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33</w:t>
            </w: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7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March 31, 2019</w:t>
            </w:r>
          </w:p>
        </w:tc>
        <w:tc>
          <w:tcPr>
            <w:tcW w:w="3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20" w:type="dxa"/>
            <w:vAlign w:val="bottom"/>
            <w:vMerge w:val="continue"/>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3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340"/>
              <w:spacing w:after="0"/>
              <w:rPr>
                <w:sz w:val="20"/>
                <w:szCs w:val="20"/>
                <w:color w:val="auto"/>
              </w:rPr>
            </w:pPr>
            <w:r>
              <w:rPr>
                <w:rFonts w:ascii="Arial" w:cs="Arial" w:eastAsia="Arial" w:hAnsi="Arial"/>
                <w:sz w:val="18"/>
                <w:szCs w:val="18"/>
                <w:color w:val="auto"/>
              </w:rPr>
              <w:t>Capital in excess of par value</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2,722</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2,535</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Retained earnings</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0"/>
              </w:rPr>
              <w:t>15,563</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15,072</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340"/>
              <w:spacing w:after="0"/>
              <w:rPr>
                <w:sz w:val="20"/>
                <w:szCs w:val="20"/>
                <w:color w:val="auto"/>
              </w:rPr>
            </w:pPr>
            <w:r>
              <w:rPr>
                <w:rFonts w:ascii="Arial" w:cs="Arial" w:eastAsia="Arial" w:hAnsi="Arial"/>
                <w:sz w:val="18"/>
                <w:szCs w:val="18"/>
                <w:color w:val="auto"/>
              </w:rPr>
              <w:t>Accumulated other comprehensive loss</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(10)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(159)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Treasury stock, at cost, 63,559,823 shares at March 31, 2019</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w w:val="98"/>
              </w:rPr>
              <w:t>(7,467)</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(7,320)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780" w:type="dxa"/>
            <w:vAlign w:val="bottom"/>
          </w:tcPr>
          <w:p>
            <w:pPr>
              <w:ind w:left="700"/>
              <w:spacing w:after="0"/>
              <w:rPr>
                <w:sz w:val="20"/>
                <w:szCs w:val="20"/>
                <w:color w:val="auto"/>
              </w:rPr>
            </w:pPr>
            <w:r>
              <w:rPr>
                <w:rFonts w:ascii="Arial" w:cs="Arial" w:eastAsia="Arial" w:hAnsi="Arial"/>
                <w:sz w:val="18"/>
                <w:szCs w:val="18"/>
                <w:b w:val="1"/>
                <w:bCs w:val="1"/>
                <w:color w:val="auto"/>
              </w:rPr>
              <w:t>Total stockholders’ equity</w:t>
            </w:r>
          </w:p>
        </w:tc>
        <w:tc>
          <w:tcPr>
            <w:tcW w:w="3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10,841</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10,161</w:t>
            </w:r>
          </w:p>
        </w:tc>
        <w:tc>
          <w:tcPr>
            <w:tcW w:w="300" w:type="dxa"/>
            <w:vAlign w:val="bottom"/>
          </w:tcPr>
          <w:p>
            <w:pPr>
              <w:spacing w:after="0"/>
              <w:rPr>
                <w:sz w:val="20"/>
                <w:szCs w:val="20"/>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680</w:t>
            </w:r>
          </w:p>
        </w:tc>
        <w:tc>
          <w:tcPr>
            <w:tcW w:w="340" w:type="dxa"/>
            <w:vAlign w:val="bottom"/>
          </w:tcPr>
          <w:p>
            <w:pPr>
              <w:spacing w:after="0"/>
              <w:rPr>
                <w:sz w:val="20"/>
                <w:szCs w:val="20"/>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0"/>
              </w:rPr>
              <w:t>28,349</w:t>
            </w:r>
          </w:p>
        </w:tc>
        <w:tc>
          <w:tcPr>
            <w:tcW w:w="3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25,413</w:t>
            </w:r>
          </w:p>
        </w:tc>
        <w:tc>
          <w:tcPr>
            <w:tcW w:w="3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2,936</w:t>
            </w:r>
          </w:p>
        </w:tc>
        <w:tc>
          <w:tcPr>
            <w:tcW w:w="3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0"/>
        </w:trPr>
        <w:tc>
          <w:tcPr>
            <w:tcW w:w="6800" w:type="dxa"/>
            <w:vAlign w:val="bottom"/>
            <w:gridSpan w:val="2"/>
            <w:vMerge w:val="restart"/>
          </w:tcPr>
          <w:p>
            <w:pPr>
              <w:spacing w:after="0"/>
              <w:rPr>
                <w:sz w:val="20"/>
                <w:szCs w:val="20"/>
                <w:color w:val="auto"/>
              </w:rPr>
            </w:pPr>
            <w:r>
              <w:rPr>
                <w:rFonts w:ascii="Arial" w:cs="Arial" w:eastAsia="Arial" w:hAnsi="Arial"/>
                <w:sz w:val="18"/>
                <w:szCs w:val="18"/>
                <w:color w:val="auto"/>
              </w:rPr>
              <w:t>Debt-to-total capitalization ratio</w:t>
            </w: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00" w:type="dxa"/>
            <w:vAlign w:val="bottom"/>
            <w:gridSpan w:val="2"/>
            <w:vMerge w:val="continue"/>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36.0%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37.4%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7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Return on Invested Capital (ROIC) based on Net Operating Profit After Tax</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11.7%</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(NOPAT)—trailing 12 months</w:t>
            </w:r>
          </w:p>
        </w:tc>
        <w:tc>
          <w:tcPr>
            <w:tcW w:w="3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gridSpan w:val="2"/>
            <w:vMerge w:val="continue"/>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11.9%</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6780" w:type="dxa"/>
            <w:vAlign w:val="bottom"/>
          </w:tcPr>
          <w:p>
            <w:pPr>
              <w:ind w:left="5360"/>
              <w:spacing w:after="0"/>
              <w:rPr>
                <w:sz w:val="20"/>
                <w:szCs w:val="20"/>
                <w:color w:val="auto"/>
              </w:rPr>
            </w:pPr>
            <w:r>
              <w:rPr>
                <w:rFonts w:ascii="Arial" w:cs="Arial" w:eastAsia="Arial" w:hAnsi="Arial"/>
                <w:sz w:val="18"/>
                <w:szCs w:val="18"/>
                <w:color w:val="auto"/>
              </w:rPr>
              <w:t>S-4</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40"/>
          </w:cols>
          <w:pgMar w:left="440" w:top="274" w:right="419" w:bottom="1440" w:gutter="0" w:footer="0" w:header="0"/>
        </w:sectPr>
      </w:pPr>
    </w:p>
    <w:bookmarkStart w:id="34" w:name="page35"/>
    <w:bookmarkEnd w:id="3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Humana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Cash Flows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Dollars in millions</w:t>
      </w:r>
    </w:p>
    <w:tbl>
      <w:tblPr>
        <w:tblLayout w:type="fixed"/>
        <w:tblInd w:w="0" w:type="dxa"/>
        <w:tblCellMar>
          <w:top w:w="0" w:type="dxa"/>
          <w:left w:w="0" w:type="dxa"/>
          <w:bottom w:w="0" w:type="dxa"/>
          <w:right w:w="0" w:type="dxa"/>
        </w:tblCellMar>
      </w:tblPr>
      <w:tr>
        <w:trPr>
          <w:trHeight w:val="158"/>
        </w:trPr>
        <w:tc>
          <w:tcPr>
            <w:tcW w:w="20" w:type="dxa"/>
            <w:vAlign w:val="bottom"/>
          </w:tcPr>
          <w:p>
            <w:pPr>
              <w:spacing w:after="0"/>
              <w:rPr>
                <w:sz w:val="13"/>
                <w:szCs w:val="13"/>
                <w:color w:val="auto"/>
              </w:rPr>
            </w:pPr>
          </w:p>
        </w:tc>
        <w:tc>
          <w:tcPr>
            <w:tcW w:w="5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740" w:type="dxa"/>
            <w:vAlign w:val="bottom"/>
            <w:gridSpan w:val="6"/>
          </w:tcPr>
          <w:p>
            <w:pPr>
              <w:jc w:val="right"/>
              <w:ind w:right="360"/>
              <w:spacing w:after="0" w:line="158" w:lineRule="exact"/>
              <w:rPr>
                <w:sz w:val="20"/>
                <w:szCs w:val="20"/>
                <w:color w:val="auto"/>
              </w:rPr>
            </w:pPr>
            <w:r>
              <w:rPr>
                <w:rFonts w:ascii="Arial" w:cs="Arial" w:eastAsia="Arial" w:hAnsi="Arial"/>
                <w:sz w:val="14"/>
                <w:szCs w:val="14"/>
                <w:b w:val="1"/>
                <w:bCs w:val="1"/>
                <w:color w:val="auto"/>
                <w:w w:val="93"/>
              </w:rPr>
              <w:t>For the three months ended March 31,</w:t>
            </w:r>
          </w:p>
        </w:tc>
        <w:tc>
          <w:tcPr>
            <w:tcW w:w="200" w:type="dxa"/>
            <w:vAlign w:val="bottom"/>
          </w:tcPr>
          <w:p>
            <w:pPr>
              <w:spacing w:after="0"/>
              <w:rPr>
                <w:sz w:val="13"/>
                <w:szCs w:val="13"/>
                <w:color w:val="auto"/>
              </w:rPr>
            </w:pPr>
          </w:p>
        </w:tc>
        <w:tc>
          <w:tcPr>
            <w:tcW w:w="800" w:type="dxa"/>
            <w:vAlign w:val="bottom"/>
            <w:gridSpan w:val="2"/>
          </w:tcPr>
          <w:p>
            <w:pPr>
              <w:jc w:val="center"/>
              <w:ind w:right="260"/>
              <w:spacing w:after="0" w:line="158" w:lineRule="exact"/>
              <w:rPr>
                <w:sz w:val="20"/>
                <w:szCs w:val="20"/>
                <w:color w:val="auto"/>
              </w:rPr>
            </w:pPr>
            <w:r>
              <w:rPr>
                <w:rFonts w:ascii="Arial" w:cs="Arial" w:eastAsia="Arial" w:hAnsi="Arial"/>
                <w:sz w:val="14"/>
                <w:szCs w:val="14"/>
                <w:color w:val="auto"/>
              </w:rPr>
              <w:t>Dollar</w:t>
            </w:r>
          </w:p>
        </w:tc>
        <w:tc>
          <w:tcPr>
            <w:tcW w:w="1040" w:type="dxa"/>
            <w:vAlign w:val="bottom"/>
            <w:gridSpan w:val="3"/>
          </w:tcPr>
          <w:p>
            <w:pPr>
              <w:jc w:val="right"/>
              <w:ind w:right="220"/>
              <w:spacing w:after="0" w:line="158" w:lineRule="exact"/>
              <w:rPr>
                <w:sz w:val="20"/>
                <w:szCs w:val="20"/>
                <w:color w:val="auto"/>
              </w:rPr>
            </w:pPr>
            <w:r>
              <w:rPr>
                <w:rFonts w:ascii="Arial" w:cs="Arial" w:eastAsia="Arial" w:hAnsi="Arial"/>
                <w:sz w:val="14"/>
                <w:szCs w:val="14"/>
                <w:color w:val="auto"/>
              </w:rPr>
              <w:t>Percentage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ind w:right="291"/>
              <w:spacing w:after="0" w:line="142" w:lineRule="exact"/>
              <w:rPr>
                <w:sz w:val="20"/>
                <w:szCs w:val="20"/>
                <w:color w:val="auto"/>
              </w:rPr>
            </w:pPr>
            <w:r>
              <w:rPr>
                <w:rFonts w:ascii="Arial" w:cs="Arial" w:eastAsia="Arial" w:hAnsi="Arial"/>
                <w:sz w:val="14"/>
                <w:szCs w:val="14"/>
                <w:b w:val="1"/>
                <w:bCs w:val="1"/>
                <w:color w:val="auto"/>
              </w:rPr>
              <w:t>2019</w:t>
            </w:r>
          </w:p>
        </w:tc>
        <w:tc>
          <w:tcPr>
            <w:tcW w:w="2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ind w:right="291"/>
              <w:spacing w:after="0" w:line="142" w:lineRule="exact"/>
              <w:rPr>
                <w:sz w:val="20"/>
                <w:szCs w:val="20"/>
                <w:color w:val="auto"/>
              </w:rPr>
            </w:pPr>
            <w:r>
              <w:rPr>
                <w:rFonts w:ascii="Arial" w:cs="Arial" w:eastAsia="Arial" w:hAnsi="Arial"/>
                <w:sz w:val="14"/>
                <w:szCs w:val="14"/>
                <w:color w:val="auto"/>
              </w:rPr>
              <w:t>2018</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gridSpan w:val="2"/>
          </w:tcPr>
          <w:p>
            <w:pPr>
              <w:jc w:val="center"/>
              <w:ind w:right="240"/>
              <w:spacing w:after="0" w:line="142" w:lineRule="exact"/>
              <w:rPr>
                <w:sz w:val="20"/>
                <w:szCs w:val="20"/>
                <w:color w:val="auto"/>
              </w:rPr>
            </w:pPr>
            <w:r>
              <w:rPr>
                <w:rFonts w:ascii="Arial" w:cs="Arial" w:eastAsia="Arial" w:hAnsi="Arial"/>
                <w:sz w:val="14"/>
                <w:szCs w:val="14"/>
                <w:color w:val="auto"/>
                <w:w w:val="89"/>
              </w:rPr>
              <w:t>Change</w:t>
            </w:r>
          </w:p>
        </w:tc>
        <w:tc>
          <w:tcPr>
            <w:tcW w:w="200" w:type="dxa"/>
            <w:vAlign w:val="bottom"/>
          </w:tcPr>
          <w:p>
            <w:pPr>
              <w:spacing w:after="0"/>
              <w:rPr>
                <w:sz w:val="12"/>
                <w:szCs w:val="12"/>
                <w:color w:val="auto"/>
              </w:rPr>
            </w:pPr>
          </w:p>
        </w:tc>
        <w:tc>
          <w:tcPr>
            <w:tcW w:w="840" w:type="dxa"/>
            <w:vAlign w:val="bottom"/>
            <w:gridSpan w:val="2"/>
          </w:tcPr>
          <w:p>
            <w:pPr>
              <w:jc w:val="right"/>
              <w:ind w:right="320"/>
              <w:spacing w:after="0" w:line="142" w:lineRule="exact"/>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9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ind w:left="340"/>
              <w:spacing w:after="0"/>
              <w:rPr>
                <w:sz w:val="20"/>
                <w:szCs w:val="20"/>
                <w:color w:val="auto"/>
              </w:rPr>
            </w:pPr>
            <w:r>
              <w:rPr>
                <w:rFonts w:ascii="Arial" w:cs="Arial" w:eastAsia="Arial" w:hAnsi="Arial"/>
                <w:sz w:val="18"/>
                <w:szCs w:val="18"/>
                <w:color w:val="auto"/>
              </w:rPr>
              <w:t>Net income</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566</w:t>
            </w:r>
          </w:p>
        </w:tc>
        <w:tc>
          <w:tcPr>
            <w:tcW w:w="280" w:type="dxa"/>
            <w:vAlign w:val="bottom"/>
          </w:tcPr>
          <w:p>
            <w:pPr>
              <w:spacing w:after="0"/>
              <w:rPr>
                <w:sz w:val="18"/>
                <w:szCs w:val="18"/>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491</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90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9"/>
              </w:rPr>
              <w:t>Adjustments to reconcile net income to net cash provided by (used in)</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operating activities:</w:t>
            </w: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ind w:left="700"/>
              <w:spacing w:after="0"/>
              <w:rPr>
                <w:sz w:val="20"/>
                <w:szCs w:val="20"/>
                <w:color w:val="auto"/>
              </w:rPr>
            </w:pPr>
            <w:r>
              <w:rPr>
                <w:rFonts w:ascii="Arial" w:cs="Arial" w:eastAsia="Arial" w:hAnsi="Arial"/>
                <w:sz w:val="18"/>
                <w:szCs w:val="18"/>
                <w:color w:val="auto"/>
              </w:rPr>
              <w:t>Depreciation</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118</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109</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Amortization</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ind w:left="700"/>
              <w:spacing w:after="0"/>
              <w:rPr>
                <w:sz w:val="20"/>
                <w:szCs w:val="20"/>
                <w:color w:val="auto"/>
              </w:rPr>
            </w:pPr>
            <w:r>
              <w:rPr>
                <w:rFonts w:ascii="Arial" w:cs="Arial" w:eastAsia="Arial" w:hAnsi="Arial"/>
                <w:sz w:val="18"/>
                <w:szCs w:val="18"/>
                <w:color w:val="auto"/>
              </w:rPr>
              <w:t>Net realized capital loss (gain)</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(29)</w:t>
            </w: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Equity in net earnings of Kindred at Home</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ind w:left="700"/>
              <w:spacing w:after="0"/>
              <w:rPr>
                <w:sz w:val="20"/>
                <w:szCs w:val="20"/>
                <w:color w:val="auto"/>
              </w:rPr>
            </w:pPr>
            <w:r>
              <w:rPr>
                <w:rFonts w:ascii="Arial" w:cs="Arial" w:eastAsia="Arial" w:hAnsi="Arial"/>
                <w:sz w:val="18"/>
                <w:szCs w:val="18"/>
                <w:color w:val="auto"/>
              </w:rPr>
              <w:t>Stock-based compensation</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33</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35</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(Benefit) provision for deferred income taxes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(21)</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900" w:type="dxa"/>
            <w:vAlign w:val="bottom"/>
          </w:tcPr>
          <w:p>
            <w:pPr>
              <w:ind w:left="700"/>
              <w:spacing w:after="0" w:line="201" w:lineRule="exact"/>
              <w:rPr>
                <w:sz w:val="20"/>
                <w:szCs w:val="20"/>
                <w:color w:val="auto"/>
              </w:rPr>
            </w:pPr>
            <w:r>
              <w:rPr>
                <w:rFonts w:ascii="Arial" w:cs="Arial" w:eastAsia="Arial" w:hAnsi="Arial"/>
                <w:sz w:val="18"/>
                <w:szCs w:val="18"/>
                <w:color w:val="auto"/>
                <w:w w:val="93"/>
              </w:rPr>
              <w:t>Changes in operating assets and liabilities, net of effect of businesses</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00" w:type="dxa"/>
            <w:vAlign w:val="bottom"/>
          </w:tcPr>
          <w:p>
            <w:pPr>
              <w:ind w:left="880"/>
              <w:spacing w:after="0"/>
              <w:rPr>
                <w:sz w:val="20"/>
                <w:szCs w:val="20"/>
                <w:color w:val="auto"/>
              </w:rPr>
            </w:pPr>
            <w:r>
              <w:rPr>
                <w:rFonts w:ascii="Arial" w:cs="Arial" w:eastAsia="Arial" w:hAnsi="Arial"/>
                <w:sz w:val="18"/>
                <w:szCs w:val="18"/>
                <w:color w:val="auto"/>
              </w:rPr>
              <w:t>acquired and dispositions:</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Receivables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(940)</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(422)</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ind w:left="1060"/>
              <w:spacing w:after="0"/>
              <w:rPr>
                <w:sz w:val="20"/>
                <w:szCs w:val="20"/>
                <w:color w:val="auto"/>
              </w:rPr>
            </w:pPr>
            <w:r>
              <w:rPr>
                <w:rFonts w:ascii="Arial" w:cs="Arial" w:eastAsia="Arial" w:hAnsi="Arial"/>
                <w:sz w:val="18"/>
                <w:szCs w:val="18"/>
                <w:color w:val="auto"/>
              </w:rPr>
              <w:t>Other assets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(102)</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(1,164)</w:t>
            </w: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Benefits payable</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1,162</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ind w:left="1060"/>
              <w:spacing w:after="0"/>
              <w:rPr>
                <w:sz w:val="20"/>
                <w:szCs w:val="20"/>
                <w:color w:val="auto"/>
              </w:rPr>
            </w:pPr>
            <w:r>
              <w:rPr>
                <w:rFonts w:ascii="Arial" w:cs="Arial" w:eastAsia="Arial" w:hAnsi="Arial"/>
                <w:sz w:val="18"/>
                <w:szCs w:val="18"/>
                <w:color w:val="auto"/>
              </w:rPr>
              <w:t>Other liabilities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16</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885</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Unearned revenues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00" w:type="dxa"/>
            <w:vAlign w:val="bottom"/>
          </w:tcPr>
          <w:p>
            <w:pPr>
              <w:ind w:left="700"/>
              <w:spacing w:after="0"/>
              <w:rPr>
                <w:sz w:val="20"/>
                <w:szCs w:val="20"/>
                <w:color w:val="auto"/>
              </w:rPr>
            </w:pPr>
            <w:r>
              <w:rPr>
                <w:rFonts w:ascii="Arial" w:cs="Arial" w:eastAsia="Arial" w:hAnsi="Arial"/>
                <w:sz w:val="18"/>
                <w:szCs w:val="18"/>
                <w:color w:val="auto"/>
              </w:rPr>
              <w:t>Other, net</w:t>
            </w: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896</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3,686</w:t>
            </w:r>
          </w:p>
        </w:tc>
        <w:tc>
          <w:tcPr>
            <w:tcW w:w="24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($2,790)</w:t>
            </w:r>
          </w:p>
        </w:tc>
        <w:tc>
          <w:tcPr>
            <w:tcW w:w="10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-75.7%</w:t>
            </w:r>
          </w:p>
        </w:tc>
        <w:tc>
          <w:tcPr>
            <w:tcW w:w="0" w:type="dxa"/>
            <w:vAlign w:val="bottom"/>
          </w:tcPr>
          <w:p>
            <w:pPr>
              <w:spacing w:after="0"/>
              <w:rPr>
                <w:sz w:val="1"/>
                <w:szCs w:val="1"/>
                <w:color w:val="auto"/>
              </w:rPr>
            </w:pPr>
          </w:p>
        </w:tc>
      </w:tr>
      <w:tr>
        <w:trPr>
          <w:trHeight w:val="223"/>
        </w:trPr>
        <w:tc>
          <w:tcPr>
            <w:tcW w:w="5920" w:type="dxa"/>
            <w:vAlign w:val="bottom"/>
            <w:gridSpan w:val="2"/>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Acquisitions, net of cash acquired</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(169)</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ind w:left="340"/>
              <w:spacing w:after="0"/>
              <w:rPr>
                <w:sz w:val="20"/>
                <w:szCs w:val="20"/>
                <w:color w:val="auto"/>
              </w:rPr>
            </w:pPr>
            <w:r>
              <w:rPr>
                <w:rFonts w:ascii="Arial" w:cs="Arial" w:eastAsia="Arial" w:hAnsi="Arial"/>
                <w:sz w:val="18"/>
                <w:szCs w:val="18"/>
                <w:color w:val="auto"/>
              </w:rPr>
              <w:t>Purchases of property and equipment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(139)</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(134)</w:t>
            </w: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Purchases of investment securities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(2,175)</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(1,711)</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ind w:left="340"/>
              <w:spacing w:after="0"/>
              <w:rPr>
                <w:sz w:val="20"/>
                <w:szCs w:val="20"/>
                <w:color w:val="auto"/>
              </w:rPr>
            </w:pPr>
            <w:r>
              <w:rPr>
                <w:rFonts w:ascii="Arial" w:cs="Arial" w:eastAsia="Arial" w:hAnsi="Arial"/>
                <w:sz w:val="18"/>
                <w:szCs w:val="18"/>
                <w:color w:val="auto"/>
              </w:rPr>
              <w:t>Maturities of investment securities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397</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217</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sales of investment securities</w:t>
            </w: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2,062</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1,392</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20" w:type="dxa"/>
            <w:vAlign w:val="bottom"/>
            <w:gridSpan w:val="2"/>
          </w:tcPr>
          <w:p>
            <w:pPr>
              <w:spacing w:after="0"/>
              <w:rPr>
                <w:sz w:val="20"/>
                <w:szCs w:val="20"/>
                <w:color w:val="auto"/>
              </w:rPr>
            </w:pPr>
            <w:r>
              <w:rPr>
                <w:rFonts w:ascii="Arial" w:cs="Arial" w:eastAsia="Arial" w:hAnsi="Arial"/>
                <w:sz w:val="18"/>
                <w:szCs w:val="18"/>
                <w:b w:val="1"/>
                <w:bCs w:val="1"/>
                <w:color w:val="auto"/>
              </w:rPr>
              <w:t>Net cash provided by (used in) investing activities</w:t>
            </w: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145</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(405)</w:t>
            </w:r>
          </w:p>
        </w:tc>
        <w:tc>
          <w:tcPr>
            <w:tcW w:w="240" w:type="dxa"/>
            <w:vAlign w:val="bottom"/>
          </w:tcPr>
          <w:p>
            <w:pPr>
              <w:spacing w:after="0"/>
              <w:rPr>
                <w:sz w:val="20"/>
                <w:szCs w:val="20"/>
                <w:color w:val="auto"/>
              </w:rPr>
            </w:pPr>
          </w:p>
        </w:tc>
        <w:tc>
          <w:tcPr>
            <w:tcW w:w="760" w:type="dxa"/>
            <w:vAlign w:val="bottom"/>
            <w:gridSpan w:val="2"/>
          </w:tcPr>
          <w:p>
            <w:pPr>
              <w:ind w:left="180"/>
              <w:spacing w:after="0"/>
              <w:rPr>
                <w:sz w:val="20"/>
                <w:szCs w:val="20"/>
                <w:color w:val="auto"/>
              </w:rPr>
            </w:pPr>
            <w:r>
              <w:rPr>
                <w:rFonts w:ascii="Arial" w:cs="Arial" w:eastAsia="Arial" w:hAnsi="Arial"/>
                <w:sz w:val="18"/>
                <w:szCs w:val="18"/>
                <w:color w:val="auto"/>
              </w:rPr>
              <w:t>$   550</w:t>
            </w:r>
          </w:p>
        </w:tc>
        <w:tc>
          <w:tcPr>
            <w:tcW w:w="240" w:type="dxa"/>
            <w:vAlign w:val="bottom"/>
          </w:tcPr>
          <w:p>
            <w:pPr>
              <w:spacing w:after="0"/>
              <w:rPr>
                <w:sz w:val="20"/>
                <w:szCs w:val="20"/>
                <w:color w:val="auto"/>
              </w:rPr>
            </w:pPr>
          </w:p>
        </w:tc>
        <w:tc>
          <w:tcPr>
            <w:tcW w:w="1040" w:type="dxa"/>
            <w:vAlign w:val="bottom"/>
            <w:gridSpan w:val="3"/>
          </w:tcPr>
          <w:p>
            <w:pPr>
              <w:jc w:val="right"/>
              <w:ind w:right="60"/>
              <w:spacing w:after="0"/>
              <w:rPr>
                <w:sz w:val="20"/>
                <w:szCs w:val="20"/>
                <w:color w:val="auto"/>
              </w:rPr>
            </w:pPr>
            <w:r>
              <w:rPr>
                <w:rFonts w:ascii="Arial" w:cs="Arial" w:eastAsia="Arial" w:hAnsi="Arial"/>
                <w:sz w:val="18"/>
                <w:szCs w:val="18"/>
                <w:color w:val="auto"/>
              </w:rPr>
              <w:t>135.8%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ind w:left="340"/>
              <w:spacing w:after="0"/>
              <w:rPr>
                <w:sz w:val="20"/>
                <w:szCs w:val="20"/>
                <w:color w:val="auto"/>
              </w:rPr>
            </w:pPr>
            <w:r>
              <w:rPr>
                <w:rFonts w:ascii="Arial" w:cs="Arial" w:eastAsia="Arial" w:hAnsi="Arial"/>
                <w:sz w:val="18"/>
                <w:szCs w:val="18"/>
                <w:color w:val="auto"/>
              </w:rPr>
              <w:t>Receipts (withdrawals) from contract deposits, net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554</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1,401</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issuance of commercial paper, net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ind w:left="340"/>
              <w:spacing w:after="0"/>
              <w:rPr>
                <w:sz w:val="20"/>
                <w:szCs w:val="20"/>
                <w:color w:val="auto"/>
              </w:rPr>
            </w:pPr>
            <w:r>
              <w:rPr>
                <w:rFonts w:ascii="Arial" w:cs="Arial" w:eastAsia="Arial" w:hAnsi="Arial"/>
                <w:sz w:val="18"/>
                <w:szCs w:val="18"/>
                <w:color w:val="auto"/>
              </w:rPr>
              <w:t>Change in book overdraft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(17)</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(17)</w:t>
            </w: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Common stock repurchases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(10)</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(51)</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ind w:left="340"/>
              <w:spacing w:after="0"/>
              <w:rPr>
                <w:sz w:val="20"/>
                <w:szCs w:val="20"/>
                <w:color w:val="auto"/>
              </w:rPr>
            </w:pPr>
            <w:r>
              <w:rPr>
                <w:rFonts w:ascii="Arial" w:cs="Arial" w:eastAsia="Arial" w:hAnsi="Arial"/>
                <w:sz w:val="18"/>
                <w:szCs w:val="18"/>
                <w:color w:val="auto"/>
              </w:rPr>
              <w:t>Dividends paid</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(68)</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(57)</w:t>
            </w: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stock option exercises and other</w:t>
            </w: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20" w:type="dxa"/>
            <w:vAlign w:val="bottom"/>
            <w:gridSpan w:val="2"/>
          </w:tcPr>
          <w:p>
            <w:pPr>
              <w:spacing w:after="0"/>
              <w:rPr>
                <w:sz w:val="20"/>
                <w:szCs w:val="20"/>
                <w:color w:val="auto"/>
              </w:rPr>
            </w:pPr>
            <w:r>
              <w:rPr>
                <w:rFonts w:ascii="Arial" w:cs="Arial" w:eastAsia="Arial" w:hAnsi="Arial"/>
                <w:sz w:val="18"/>
                <w:szCs w:val="18"/>
                <w:b w:val="1"/>
                <w:bCs w:val="1"/>
                <w:color w:val="auto"/>
              </w:rPr>
              <w:t>Net cash provided by financing activities</w:t>
            </w: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493</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1,532</w:t>
            </w:r>
          </w:p>
        </w:tc>
        <w:tc>
          <w:tcPr>
            <w:tcW w:w="240" w:type="dxa"/>
            <w:vAlign w:val="bottom"/>
          </w:tcPr>
          <w:p>
            <w:pPr>
              <w:spacing w:after="0"/>
              <w:rPr>
                <w:sz w:val="20"/>
                <w:szCs w:val="20"/>
                <w:color w:val="auto"/>
              </w:rPr>
            </w:pPr>
          </w:p>
        </w:tc>
        <w:tc>
          <w:tcPr>
            <w:tcW w:w="1000" w:type="dxa"/>
            <w:vAlign w:val="bottom"/>
            <w:gridSpan w:val="3"/>
          </w:tcPr>
          <w:p>
            <w:pPr>
              <w:ind w:left="180"/>
              <w:spacing w:after="0"/>
              <w:rPr>
                <w:sz w:val="20"/>
                <w:szCs w:val="20"/>
                <w:color w:val="auto"/>
              </w:rPr>
            </w:pPr>
            <w:r>
              <w:rPr>
                <w:rFonts w:ascii="Arial" w:cs="Arial" w:eastAsia="Arial" w:hAnsi="Arial"/>
                <w:sz w:val="18"/>
                <w:szCs w:val="18"/>
                <w:color w:val="auto"/>
              </w:rPr>
              <w:t>($1,039)</w:t>
            </w:r>
          </w:p>
        </w:tc>
        <w:tc>
          <w:tcPr>
            <w:tcW w:w="1040" w:type="dxa"/>
            <w:vAlign w:val="bottom"/>
            <w:gridSpan w:val="3"/>
          </w:tcPr>
          <w:p>
            <w:pPr>
              <w:jc w:val="right"/>
              <w:ind w:right="60"/>
              <w:spacing w:after="0"/>
              <w:rPr>
                <w:sz w:val="20"/>
                <w:szCs w:val="20"/>
                <w:color w:val="auto"/>
              </w:rPr>
            </w:pPr>
            <w:r>
              <w:rPr>
                <w:rFonts w:ascii="Arial" w:cs="Arial" w:eastAsia="Arial" w:hAnsi="Arial"/>
                <w:sz w:val="18"/>
                <w:szCs w:val="18"/>
                <w:color w:val="auto"/>
              </w:rPr>
              <w:t>-67.8%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Increase in cash and cash equivalents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1,534</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4,813</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2,343</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4,042</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3,877</w:t>
            </w:r>
          </w:p>
        </w:tc>
        <w:tc>
          <w:tcPr>
            <w:tcW w:w="2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8,855</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00" w:type="dxa"/>
            <w:vAlign w:val="bottom"/>
            <w:vMerge w:val="restart"/>
          </w:tcPr>
          <w:p>
            <w:pPr>
              <w:ind w:left="5360"/>
              <w:spacing w:after="0"/>
              <w:rPr>
                <w:sz w:val="20"/>
                <w:szCs w:val="20"/>
                <w:color w:val="auto"/>
              </w:rPr>
            </w:pPr>
            <w:r>
              <w:rPr>
                <w:rFonts w:ascii="Arial" w:cs="Arial" w:eastAsia="Arial" w:hAnsi="Arial"/>
                <w:sz w:val="18"/>
                <w:szCs w:val="18"/>
                <w:color w:val="auto"/>
              </w:rPr>
              <w:t>S-5</w:t>
            </w: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9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40"/>
          </w:cols>
          <w:pgMar w:left="440" w:top="274" w:right="419" w:bottom="1440" w:gutter="0" w:footer="0" w:header="0"/>
        </w:sectPr>
      </w:pPr>
    </w:p>
    <w:bookmarkStart w:id="35" w:name="page36"/>
    <w:bookmarkEnd w:id="3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Humana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Consolidating Statements of Income—For the three months ended March 31, 2019 (C)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millions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w w:val="94"/>
              </w:rPr>
              <w:t>Retail</w:t>
            </w:r>
          </w:p>
        </w:tc>
        <w:tc>
          <w:tcPr>
            <w:tcW w:w="1220" w:type="dxa"/>
            <w:vAlign w:val="bottom"/>
            <w:gridSpan w:val="4"/>
          </w:tcPr>
          <w:p>
            <w:pPr>
              <w:ind w:left="200"/>
              <w:spacing w:after="0"/>
              <w:rPr>
                <w:sz w:val="20"/>
                <w:szCs w:val="20"/>
                <w:color w:val="auto"/>
              </w:rPr>
            </w:pPr>
            <w:r>
              <w:rPr>
                <w:rFonts w:ascii="Arial" w:cs="Arial" w:eastAsia="Arial" w:hAnsi="Arial"/>
                <w:sz w:val="14"/>
                <w:szCs w:val="14"/>
                <w:b w:val="1"/>
                <w:bCs w:val="1"/>
                <w:color w:val="auto"/>
              </w:rPr>
              <w:t>Group and</w:t>
            </w:r>
          </w:p>
        </w:tc>
        <w:tc>
          <w:tcPr>
            <w:tcW w:w="1240" w:type="dxa"/>
            <w:vAlign w:val="bottom"/>
            <w:gridSpan w:val="4"/>
          </w:tcPr>
          <w:p>
            <w:pPr>
              <w:ind w:left="220"/>
              <w:spacing w:after="0"/>
              <w:rPr>
                <w:sz w:val="20"/>
                <w:szCs w:val="20"/>
                <w:color w:val="auto"/>
              </w:rPr>
            </w:pPr>
            <w:r>
              <w:rPr>
                <w:rFonts w:ascii="Arial" w:cs="Arial" w:eastAsia="Arial" w:hAnsi="Arial"/>
                <w:sz w:val="14"/>
                <w:szCs w:val="14"/>
                <w:b w:val="1"/>
                <w:bCs w:val="1"/>
                <w:color w:val="auto"/>
              </w:rPr>
              <w:t>Healthcare</w:t>
            </w:r>
          </w:p>
        </w:tc>
        <w:tc>
          <w:tcPr>
            <w:tcW w:w="1300" w:type="dxa"/>
            <w:vAlign w:val="bottom"/>
            <w:gridSpan w:val="4"/>
          </w:tcPr>
          <w:p>
            <w:pPr>
              <w:ind w:left="200"/>
              <w:spacing w:after="0"/>
              <w:rPr>
                <w:sz w:val="20"/>
                <w:szCs w:val="20"/>
                <w:color w:val="auto"/>
              </w:rPr>
            </w:pPr>
            <w:r>
              <w:rPr>
                <w:rFonts w:ascii="Arial" w:cs="Arial" w:eastAsia="Arial" w:hAnsi="Arial"/>
                <w:sz w:val="14"/>
                <w:szCs w:val="14"/>
                <w:b w:val="1"/>
                <w:bCs w:val="1"/>
                <w:color w:val="auto"/>
              </w:rPr>
              <w:t>Eliminations/</w:t>
            </w:r>
          </w:p>
        </w:tc>
        <w:tc>
          <w:tcPr>
            <w:tcW w:w="1220" w:type="dxa"/>
            <w:vAlign w:val="bottom"/>
            <w:gridSpan w:val="4"/>
            <w:vMerge w:val="restart"/>
          </w:tcPr>
          <w:p>
            <w:pPr>
              <w:ind w:left="200"/>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w w:val="97"/>
              </w:rPr>
              <w:t>Specialty</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spacing w:after="0"/>
              <w:rPr>
                <w:sz w:val="20"/>
                <w:szCs w:val="20"/>
                <w:color w:val="auto"/>
              </w:rPr>
            </w:pPr>
            <w:r>
              <w:rPr>
                <w:rFonts w:ascii="Arial" w:cs="Arial" w:eastAsia="Arial" w:hAnsi="Arial"/>
                <w:sz w:val="14"/>
                <w:szCs w:val="14"/>
                <w:b w:val="1"/>
                <w:bCs w:val="1"/>
                <w:color w:val="auto"/>
              </w:rPr>
              <w:t>Services</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2"/>
              </w:rPr>
              <w:t>Corporate</w:t>
            </w:r>
          </w:p>
        </w:tc>
        <w:tc>
          <w:tcPr>
            <w:tcW w:w="122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8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Revenues—external customers</w:t>
            </w:r>
          </w:p>
        </w:tc>
        <w:tc>
          <w:tcPr>
            <w:tcW w:w="2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340"/>
              <w:spacing w:after="0"/>
              <w:rPr>
                <w:sz w:val="20"/>
                <w:szCs w:val="20"/>
                <w:color w:val="auto"/>
              </w:rPr>
            </w:pPr>
            <w:r>
              <w:rPr>
                <w:rFonts w:ascii="Arial" w:cs="Arial" w:eastAsia="Arial" w:hAnsi="Arial"/>
                <w:sz w:val="18"/>
                <w:szCs w:val="18"/>
                <w:b w:val="1"/>
                <w:bCs w:val="1"/>
                <w:color w:val="auto"/>
              </w:rPr>
              <w:t>Premiums:</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Individual Medicare Advantage</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10,709</w:t>
            </w:r>
          </w:p>
        </w:tc>
        <w:tc>
          <w:tcPr>
            <w:tcW w:w="3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10,709</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700"/>
              <w:spacing w:after="0"/>
              <w:rPr>
                <w:sz w:val="20"/>
                <w:szCs w:val="20"/>
                <w:color w:val="auto"/>
              </w:rPr>
            </w:pPr>
            <w:r>
              <w:rPr>
                <w:rFonts w:ascii="Arial" w:cs="Arial" w:eastAsia="Arial" w:hAnsi="Arial"/>
                <w:sz w:val="18"/>
                <w:szCs w:val="18"/>
                <w:color w:val="auto"/>
              </w:rPr>
              <w:t>Group Medicare Advantage</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1,632</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1,632</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Medicare stand-alone PDP</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40" w:type="dxa"/>
            <w:vAlign w:val="bottom"/>
          </w:tcPr>
          <w:p>
            <w:pPr>
              <w:ind w:left="1060"/>
              <w:spacing w:after="0"/>
              <w:rPr>
                <w:sz w:val="20"/>
                <w:szCs w:val="20"/>
                <w:color w:val="auto"/>
              </w:rPr>
            </w:pPr>
            <w:r>
              <w:rPr>
                <w:rFonts w:ascii="Arial" w:cs="Arial" w:eastAsia="Arial" w:hAnsi="Arial"/>
                <w:sz w:val="18"/>
                <w:szCs w:val="18"/>
                <w:b w:val="1"/>
                <w:bCs w:val="1"/>
                <w:color w:val="auto"/>
              </w:rPr>
              <w:t>Total Medicare</w:t>
            </w:r>
          </w:p>
        </w:tc>
        <w:tc>
          <w:tcPr>
            <w:tcW w:w="2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13,150</w:t>
            </w: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13,150</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Fully-insured</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1,311</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1,451</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700"/>
              <w:spacing w:after="0"/>
              <w:rPr>
                <w:sz w:val="20"/>
                <w:szCs w:val="20"/>
                <w:color w:val="auto"/>
              </w:rPr>
            </w:pPr>
            <w:r>
              <w:rPr>
                <w:rFonts w:ascii="Arial" w:cs="Arial" w:eastAsia="Arial" w:hAnsi="Arial"/>
                <w:sz w:val="18"/>
                <w:szCs w:val="18"/>
                <w:color w:val="auto"/>
              </w:rPr>
              <w:t>Specialty</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373</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373</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Medicaid and other (D)</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40" w:type="dxa"/>
            <w:vAlign w:val="bottom"/>
          </w:tcPr>
          <w:p>
            <w:pPr>
              <w:ind w:left="1060"/>
              <w:spacing w:after="0"/>
              <w:rPr>
                <w:sz w:val="20"/>
                <w:szCs w:val="20"/>
                <w:color w:val="auto"/>
              </w:rPr>
            </w:pPr>
            <w:r>
              <w:rPr>
                <w:rFonts w:ascii="Arial" w:cs="Arial" w:eastAsia="Arial" w:hAnsi="Arial"/>
                <w:sz w:val="18"/>
                <w:szCs w:val="18"/>
                <w:b w:val="1"/>
                <w:bCs w:val="1"/>
                <w:color w:val="auto"/>
              </w:rPr>
              <w:t>Total premiums</w:t>
            </w:r>
          </w:p>
        </w:tc>
        <w:tc>
          <w:tcPr>
            <w:tcW w:w="2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13,967</w:t>
            </w: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1,684</w:t>
            </w: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15,651</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Services revenue:</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700"/>
              <w:spacing w:after="0"/>
              <w:rPr>
                <w:sz w:val="20"/>
                <w:szCs w:val="20"/>
                <w:color w:val="auto"/>
              </w:rPr>
            </w:pPr>
            <w:r>
              <w:rPr>
                <w:rFonts w:ascii="Arial" w:cs="Arial" w:eastAsia="Arial" w:hAnsi="Arial"/>
                <w:sz w:val="18"/>
                <w:szCs w:val="18"/>
                <w:color w:val="auto"/>
              </w:rPr>
              <w:t>Provider</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ind w:left="320"/>
              <w:spacing w:after="0"/>
              <w:rPr>
                <w:sz w:val="20"/>
                <w:szCs w:val="20"/>
                <w:color w:val="auto"/>
              </w:rPr>
            </w:pPr>
            <w:r>
              <w:rPr>
                <w:rFonts w:ascii="Arial" w:cs="Arial" w:eastAsia="Arial" w:hAnsi="Arial"/>
                <w:sz w:val="18"/>
                <w:szCs w:val="18"/>
                <w:color w:val="auto"/>
                <w:w w:val="86"/>
              </w:rPr>
              <w:t>120</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ASO and other (E)</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40" w:type="dxa"/>
            <w:vAlign w:val="bottom"/>
          </w:tcPr>
          <w:p>
            <w:pPr>
              <w:ind w:left="700"/>
              <w:spacing w:after="0"/>
              <w:rPr>
                <w:sz w:val="20"/>
                <w:szCs w:val="20"/>
                <w:color w:val="auto"/>
              </w:rPr>
            </w:pPr>
            <w:r>
              <w:rPr>
                <w:rFonts w:ascii="Arial" w:cs="Arial" w:eastAsia="Arial" w:hAnsi="Arial"/>
                <w:sz w:val="18"/>
                <w:szCs w:val="18"/>
                <w:color w:val="auto"/>
              </w:rPr>
              <w:t>Pharmacy</w:t>
            </w:r>
          </w:p>
        </w:tc>
        <w:tc>
          <w:tcPr>
            <w:tcW w:w="2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1060"/>
              <w:spacing w:after="0"/>
              <w:rPr>
                <w:sz w:val="20"/>
                <w:szCs w:val="20"/>
                <w:color w:val="auto"/>
              </w:rPr>
            </w:pPr>
            <w:r>
              <w:rPr>
                <w:rFonts w:ascii="Arial" w:cs="Arial" w:eastAsia="Arial" w:hAnsi="Arial"/>
                <w:sz w:val="18"/>
                <w:szCs w:val="18"/>
                <w:b w:val="1"/>
                <w:bCs w:val="1"/>
                <w:color w:val="auto"/>
              </w:rPr>
              <w:t>Total services revenue</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ind w:left="320"/>
              <w:spacing w:after="0"/>
              <w:rPr>
                <w:sz w:val="20"/>
                <w:szCs w:val="20"/>
                <w:color w:val="auto"/>
              </w:rPr>
            </w:pPr>
            <w:r>
              <w:rPr>
                <w:rFonts w:ascii="Arial" w:cs="Arial" w:eastAsia="Arial" w:hAnsi="Arial"/>
                <w:sz w:val="18"/>
                <w:szCs w:val="18"/>
                <w:color w:val="auto"/>
                <w:w w:val="86"/>
              </w:rPr>
              <w:t>156</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60" w:type="dxa"/>
            <w:vAlign w:val="bottom"/>
            <w:gridSpan w:val="2"/>
          </w:tcPr>
          <w:p>
            <w:pPr>
              <w:spacing w:after="0"/>
              <w:rPr>
                <w:sz w:val="20"/>
                <w:szCs w:val="20"/>
                <w:color w:val="auto"/>
              </w:rPr>
            </w:pPr>
            <w:r>
              <w:rPr>
                <w:rFonts w:ascii="Arial" w:cs="Arial" w:eastAsia="Arial" w:hAnsi="Arial"/>
                <w:sz w:val="18"/>
                <w:szCs w:val="18"/>
                <w:b w:val="1"/>
                <w:bCs w:val="1"/>
                <w:color w:val="auto"/>
              </w:rPr>
              <w:t>Total revenues—external customers</w:t>
            </w:r>
          </w:p>
        </w:tc>
        <w:tc>
          <w:tcPr>
            <w:tcW w:w="2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13,972</w:t>
            </w: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1,878</w:t>
            </w: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ind w:left="320"/>
              <w:spacing w:after="0"/>
              <w:rPr>
                <w:sz w:val="20"/>
                <w:szCs w:val="20"/>
                <w:color w:val="auto"/>
              </w:rPr>
            </w:pPr>
            <w:r>
              <w:rPr>
                <w:rFonts w:ascii="Arial" w:cs="Arial" w:eastAsia="Arial" w:hAnsi="Arial"/>
                <w:sz w:val="18"/>
                <w:szCs w:val="18"/>
                <w:color w:val="auto"/>
                <w:w w:val="86"/>
              </w:rPr>
              <w:t>156</w:t>
            </w: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16,006</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Intersegment revenues</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340"/>
              <w:spacing w:after="0"/>
              <w:rPr>
                <w:sz w:val="20"/>
                <w:szCs w:val="20"/>
                <w:color w:val="auto"/>
              </w:rPr>
            </w:pPr>
            <w:r>
              <w:rPr>
                <w:rFonts w:ascii="Arial" w:cs="Arial" w:eastAsia="Arial" w:hAnsi="Arial"/>
                <w:sz w:val="18"/>
                <w:szCs w:val="18"/>
                <w:color w:val="auto"/>
              </w:rPr>
              <w:t>Services</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4,306</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(4,310)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Products</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1,636</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(1,636)</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860" w:type="dxa"/>
            <w:vAlign w:val="bottom"/>
            <w:gridSpan w:val="2"/>
          </w:tcPr>
          <w:p>
            <w:pPr>
              <w:spacing w:after="0"/>
              <w:rPr>
                <w:sz w:val="20"/>
                <w:szCs w:val="20"/>
                <w:color w:val="auto"/>
              </w:rPr>
            </w:pPr>
            <w:r>
              <w:rPr>
                <w:rFonts w:ascii="Arial" w:cs="Arial" w:eastAsia="Arial" w:hAnsi="Arial"/>
                <w:sz w:val="18"/>
                <w:szCs w:val="18"/>
                <w:b w:val="1"/>
                <w:bCs w:val="1"/>
                <w:color w:val="auto"/>
              </w:rPr>
              <w:t>Total intersegment revenues</w:t>
            </w:r>
          </w:p>
        </w:tc>
        <w:tc>
          <w:tcPr>
            <w:tcW w:w="2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5,942</w:t>
            </w: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(5,946)</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Investment income</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40" w:type="dxa"/>
            <w:vAlign w:val="bottom"/>
          </w:tcPr>
          <w:p>
            <w:pPr>
              <w:ind w:left="340"/>
              <w:spacing w:after="0"/>
              <w:rPr>
                <w:sz w:val="20"/>
                <w:szCs w:val="20"/>
                <w:color w:val="auto"/>
              </w:rPr>
            </w:pPr>
            <w:r>
              <w:rPr>
                <w:rFonts w:ascii="Arial" w:cs="Arial" w:eastAsia="Arial" w:hAnsi="Arial"/>
                <w:sz w:val="18"/>
                <w:szCs w:val="18"/>
                <w:b w:val="1"/>
                <w:bCs w:val="1"/>
                <w:color w:val="auto"/>
              </w:rPr>
              <w:t>Total revenues</w:t>
            </w:r>
          </w:p>
        </w:tc>
        <w:tc>
          <w:tcPr>
            <w:tcW w:w="2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14,013</w:t>
            </w: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1,887</w:t>
            </w: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6,098</w:t>
            </w: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(5,891)</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16,107</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340"/>
              <w:spacing w:after="0"/>
              <w:rPr>
                <w:sz w:val="20"/>
                <w:szCs w:val="20"/>
                <w:color w:val="auto"/>
              </w:rPr>
            </w:pPr>
            <w:r>
              <w:rPr>
                <w:rFonts w:ascii="Arial" w:cs="Arial" w:eastAsia="Arial" w:hAnsi="Arial"/>
                <w:sz w:val="18"/>
                <w:szCs w:val="18"/>
                <w:color w:val="auto"/>
              </w:rPr>
              <w:t>Benefits</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12,327</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1,287</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(121)</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13,493</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Operating costs</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1,148</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5,888</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(5,789)</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1,660</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73</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22</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38</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(26)</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107</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700"/>
              <w:spacing w:after="0"/>
              <w:rPr>
                <w:sz w:val="20"/>
                <w:szCs w:val="20"/>
                <w:color w:val="auto"/>
              </w:rPr>
            </w:pPr>
            <w:r>
              <w:rPr>
                <w:rFonts w:ascii="Arial" w:cs="Arial" w:eastAsia="Arial" w:hAnsi="Arial"/>
                <w:sz w:val="18"/>
                <w:szCs w:val="18"/>
                <w:b w:val="1"/>
                <w:bCs w:val="1"/>
                <w:color w:val="auto"/>
              </w:rPr>
              <w:t>Total operating expenses</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13,548</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1,722</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5,926</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(5,936)</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15,260</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860" w:type="dxa"/>
            <w:vAlign w:val="bottom"/>
            <w:gridSpan w:val="2"/>
          </w:tcPr>
          <w:p>
            <w:pPr>
              <w:spacing w:after="0"/>
              <w:rPr>
                <w:sz w:val="20"/>
                <w:szCs w:val="20"/>
                <w:color w:val="auto"/>
              </w:rPr>
            </w:pPr>
            <w:r>
              <w:rPr>
                <w:rFonts w:ascii="Arial" w:cs="Arial" w:eastAsia="Arial" w:hAnsi="Arial"/>
                <w:sz w:val="18"/>
                <w:szCs w:val="18"/>
                <w:b w:val="1"/>
                <w:bCs w:val="1"/>
                <w:color w:val="auto"/>
              </w:rPr>
              <w:t>Income from operations</w:t>
            </w:r>
          </w:p>
        </w:tc>
        <w:tc>
          <w:tcPr>
            <w:tcW w:w="2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465</w:t>
            </w: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165</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ind w:left="320"/>
              <w:spacing w:after="0"/>
              <w:rPr>
                <w:sz w:val="20"/>
                <w:szCs w:val="20"/>
                <w:color w:val="auto"/>
              </w:rPr>
            </w:pPr>
            <w:r>
              <w:rPr>
                <w:rFonts w:ascii="Arial" w:cs="Arial" w:eastAsia="Arial" w:hAnsi="Arial"/>
                <w:sz w:val="18"/>
                <w:szCs w:val="18"/>
                <w:color w:val="auto"/>
                <w:w w:val="86"/>
              </w:rPr>
              <w:t>172</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847</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Other expense, net (A)</w:t>
            </w:r>
          </w:p>
        </w:tc>
        <w:tc>
          <w:tcPr>
            <w:tcW w:w="2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2"/>
              </w:rPr>
              <w:t>Income (loss) before income taxes and equity in net earnings</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ind w:left="320"/>
              <w:spacing w:after="0"/>
              <w:rPr>
                <w:sz w:val="20"/>
                <w:szCs w:val="20"/>
                <w:color w:val="auto"/>
              </w:rPr>
            </w:pPr>
            <w:r>
              <w:rPr>
                <w:rFonts w:ascii="Arial" w:cs="Arial" w:eastAsia="Arial" w:hAnsi="Arial"/>
                <w:sz w:val="18"/>
                <w:szCs w:val="18"/>
                <w:color w:val="auto"/>
                <w:w w:val="86"/>
              </w:rPr>
              <w:t>172</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(56)</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60" w:type="dxa"/>
            <w:vAlign w:val="bottom"/>
            <w:gridSpan w:val="2"/>
          </w:tcPr>
          <w:p>
            <w:pPr>
              <w:spacing w:after="0"/>
              <w:rPr>
                <w:sz w:val="20"/>
                <w:szCs w:val="20"/>
                <w:color w:val="auto"/>
              </w:rPr>
            </w:pPr>
            <w:r>
              <w:rPr>
                <w:rFonts w:ascii="Arial" w:cs="Arial" w:eastAsia="Arial" w:hAnsi="Arial"/>
                <w:sz w:val="18"/>
                <w:szCs w:val="18"/>
                <w:color w:val="auto"/>
              </w:rPr>
              <w:t>Equity in net earnings of Kindred at Home (B)</w:t>
            </w:r>
          </w:p>
        </w:tc>
        <w:tc>
          <w:tcPr>
            <w:tcW w:w="2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Segment earnings (loss)</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w:t>
            </w:r>
          </w:p>
        </w:tc>
        <w:tc>
          <w:tcPr>
            <w:tcW w:w="3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3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ind w:left="320"/>
              <w:spacing w:after="0"/>
              <w:rPr>
                <w:sz w:val="20"/>
                <w:szCs w:val="20"/>
                <w:color w:val="auto"/>
              </w:rPr>
            </w:pPr>
            <w:r>
              <w:rPr>
                <w:rFonts w:ascii="Arial" w:cs="Arial" w:eastAsia="Arial" w:hAnsi="Arial"/>
                <w:sz w:val="18"/>
                <w:szCs w:val="18"/>
                <w:color w:val="auto"/>
                <w:w w:val="86"/>
              </w:rPr>
              <w:t>175</w:t>
            </w:r>
          </w:p>
        </w:tc>
        <w:tc>
          <w:tcPr>
            <w:tcW w:w="3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(56)</w:t>
            </w:r>
          </w:p>
        </w:tc>
        <w:tc>
          <w:tcPr>
            <w:tcW w:w="4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Benefit ratio</w:t>
            </w: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6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88.3%</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76.4%</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86.2%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cost ratio</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8.2%</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21.9%</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96.6%</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gridSpan w:val="2"/>
          </w:tcPr>
          <w:p>
            <w:pPr>
              <w:jc w:val="right"/>
              <w:ind w:right="420"/>
              <w:spacing w:after="0"/>
              <w:rPr>
                <w:sz w:val="20"/>
                <w:szCs w:val="20"/>
                <w:color w:val="auto"/>
              </w:rPr>
            </w:pPr>
            <w:r>
              <w:rPr>
                <w:rFonts w:ascii="Arial" w:cs="Arial" w:eastAsia="Arial" w:hAnsi="Arial"/>
                <w:sz w:val="18"/>
                <w:szCs w:val="18"/>
                <w:color w:val="auto"/>
              </w:rPr>
              <w:t>S-6</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40"/>
          </w:cols>
          <w:pgMar w:left="440" w:top="274" w:right="419" w:bottom="1440" w:gutter="0" w:footer="0" w:header="0"/>
        </w:sectPr>
      </w:pPr>
    </w:p>
    <w:bookmarkStart w:id="36" w:name="page37"/>
    <w:bookmarkEnd w:id="3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Humana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Consolidating Statements of Income—For the three months ended March 31, 2018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millions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w w:val="94"/>
              </w:rPr>
              <w:t>Retail</w:t>
            </w:r>
          </w:p>
        </w:tc>
        <w:tc>
          <w:tcPr>
            <w:tcW w:w="960" w:type="dxa"/>
            <w:vAlign w:val="bottom"/>
            <w:gridSpan w:val="4"/>
          </w:tcPr>
          <w:p>
            <w:pPr>
              <w:ind w:left="60"/>
              <w:spacing w:after="0"/>
              <w:rPr>
                <w:sz w:val="20"/>
                <w:szCs w:val="20"/>
                <w:color w:val="auto"/>
              </w:rPr>
            </w:pPr>
            <w:r>
              <w:rPr>
                <w:rFonts w:ascii="Arial" w:cs="Arial" w:eastAsia="Arial" w:hAnsi="Arial"/>
                <w:sz w:val="14"/>
                <w:szCs w:val="14"/>
                <w:b w:val="1"/>
                <w:bCs w:val="1"/>
                <w:color w:val="auto"/>
              </w:rPr>
              <w:t>Group and</w:t>
            </w:r>
          </w:p>
        </w:tc>
        <w:tc>
          <w:tcPr>
            <w:tcW w:w="960" w:type="dxa"/>
            <w:vAlign w:val="bottom"/>
            <w:gridSpan w:val="4"/>
          </w:tcPr>
          <w:p>
            <w:pPr>
              <w:ind w:left="60"/>
              <w:spacing w:after="0"/>
              <w:rPr>
                <w:sz w:val="20"/>
                <w:szCs w:val="20"/>
                <w:color w:val="auto"/>
              </w:rPr>
            </w:pPr>
            <w:r>
              <w:rPr>
                <w:rFonts w:ascii="Arial" w:cs="Arial" w:eastAsia="Arial" w:hAnsi="Arial"/>
                <w:sz w:val="14"/>
                <w:szCs w:val="14"/>
                <w:b w:val="1"/>
                <w:bCs w:val="1"/>
                <w:color w:val="auto"/>
              </w:rPr>
              <w:t>Healthcare</w:t>
            </w:r>
          </w:p>
        </w:tc>
        <w:tc>
          <w:tcPr>
            <w:tcW w:w="80" w:type="dxa"/>
            <w:vAlign w:val="bottom"/>
          </w:tcPr>
          <w:p>
            <w:pPr>
              <w:spacing w:after="0"/>
              <w:rPr>
                <w:sz w:val="14"/>
                <w:szCs w:val="14"/>
                <w:color w:val="auto"/>
              </w:rPr>
            </w:pPr>
          </w:p>
        </w:tc>
        <w:tc>
          <w:tcPr>
            <w:tcW w:w="88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Individual</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ind w:right="51"/>
              <w:spacing w:after="0"/>
              <w:rPr>
                <w:sz w:val="20"/>
                <w:szCs w:val="20"/>
                <w:color w:val="auto"/>
              </w:rPr>
            </w:pPr>
            <w:r>
              <w:rPr>
                <w:rFonts w:ascii="Arial" w:cs="Arial" w:eastAsia="Arial" w:hAnsi="Arial"/>
                <w:sz w:val="14"/>
                <w:szCs w:val="14"/>
                <w:b w:val="1"/>
                <w:bCs w:val="1"/>
                <w:color w:val="auto"/>
              </w:rPr>
              <w:t>Other</w:t>
            </w:r>
          </w:p>
        </w:tc>
        <w:tc>
          <w:tcPr>
            <w:tcW w:w="1100" w:type="dxa"/>
            <w:vAlign w:val="bottom"/>
            <w:gridSpan w:val="4"/>
          </w:tcPr>
          <w:p>
            <w:pPr>
              <w:ind w:left="160"/>
              <w:spacing w:after="0"/>
              <w:rPr>
                <w:sz w:val="20"/>
                <w:szCs w:val="20"/>
                <w:color w:val="auto"/>
              </w:rPr>
            </w:pPr>
            <w:r>
              <w:rPr>
                <w:rFonts w:ascii="Arial" w:cs="Arial" w:eastAsia="Arial" w:hAnsi="Arial"/>
                <w:sz w:val="14"/>
                <w:szCs w:val="14"/>
                <w:b w:val="1"/>
                <w:bCs w:val="1"/>
                <w:color w:val="auto"/>
              </w:rPr>
              <w:t>Eliminations/</w:t>
            </w:r>
          </w:p>
        </w:tc>
        <w:tc>
          <w:tcPr>
            <w:tcW w:w="1100" w:type="dxa"/>
            <w:vAlign w:val="bottom"/>
            <w:gridSpan w:val="4"/>
            <w:vMerge w:val="restart"/>
          </w:tcPr>
          <w:p>
            <w:pPr>
              <w:jc w:val="right"/>
              <w:ind w:right="220"/>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w w:val="97"/>
              </w:rPr>
              <w:t>Specialty</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spacing w:after="0"/>
              <w:rPr>
                <w:sz w:val="20"/>
                <w:szCs w:val="20"/>
                <w:color w:val="auto"/>
              </w:rPr>
            </w:pPr>
            <w:r>
              <w:rPr>
                <w:rFonts w:ascii="Arial" w:cs="Arial" w:eastAsia="Arial" w:hAnsi="Arial"/>
                <w:sz w:val="14"/>
                <w:szCs w:val="14"/>
                <w:b w:val="1"/>
                <w:bCs w:val="1"/>
                <w:color w:val="auto"/>
              </w:rPr>
              <w:t>Services</w:t>
            </w:r>
          </w:p>
        </w:tc>
        <w:tc>
          <w:tcPr>
            <w:tcW w:w="96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rPr>
              <w:t>Commercial</w:t>
            </w:r>
          </w:p>
        </w:tc>
        <w:tc>
          <w:tcPr>
            <w:tcW w:w="720" w:type="dxa"/>
            <w:vAlign w:val="bottom"/>
            <w:gridSpan w:val="3"/>
          </w:tcPr>
          <w:p>
            <w:pPr>
              <w:jc w:val="right"/>
              <w:spacing w:after="0"/>
              <w:rPr>
                <w:sz w:val="20"/>
                <w:szCs w:val="20"/>
                <w:color w:val="auto"/>
              </w:rPr>
            </w:pPr>
            <w:r>
              <w:rPr>
                <w:rFonts w:ascii="Arial" w:cs="Arial" w:eastAsia="Arial" w:hAnsi="Arial"/>
                <w:sz w:val="14"/>
                <w:szCs w:val="14"/>
                <w:b w:val="1"/>
                <w:bCs w:val="1"/>
                <w:color w:val="auto"/>
                <w:w w:val="89"/>
              </w:rPr>
              <w:t>Businesses</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5"/>
              </w:rPr>
              <w:t>Corporate</w:t>
            </w:r>
          </w:p>
        </w:tc>
        <w:tc>
          <w:tcPr>
            <w:tcW w:w="11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1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Revenues—external customers</w:t>
            </w: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ind w:left="340"/>
              <w:spacing w:after="0"/>
              <w:rPr>
                <w:sz w:val="20"/>
                <w:szCs w:val="20"/>
                <w:color w:val="auto"/>
              </w:rPr>
            </w:pPr>
            <w:r>
              <w:rPr>
                <w:rFonts w:ascii="Arial" w:cs="Arial" w:eastAsia="Arial" w:hAnsi="Arial"/>
                <w:sz w:val="18"/>
                <w:szCs w:val="18"/>
                <w:b w:val="1"/>
                <w:bCs w:val="1"/>
                <w:color w:val="auto"/>
              </w:rPr>
              <w:t>Premiums: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Individual Medicare Advantage</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8,970</w:t>
            </w:r>
          </w:p>
        </w:tc>
        <w:tc>
          <w:tcPr>
            <w:tcW w:w="2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ind w:left="60"/>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gridSpan w:val="2"/>
            <w:shd w:val="clear" w:color="auto" w:fill="CCEEFF"/>
          </w:tcPr>
          <w:p>
            <w:pPr>
              <w:ind w:left="60"/>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127"/>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8,970</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ind w:left="700"/>
              <w:spacing w:after="0"/>
              <w:rPr>
                <w:sz w:val="20"/>
                <w:szCs w:val="20"/>
                <w:color w:val="auto"/>
              </w:rPr>
            </w:pPr>
            <w:r>
              <w:rPr>
                <w:rFonts w:ascii="Arial" w:cs="Arial" w:eastAsia="Arial" w:hAnsi="Arial"/>
                <w:sz w:val="18"/>
                <w:szCs w:val="18"/>
                <w:color w:val="auto"/>
              </w:rPr>
              <w:t>Group Medicare Advantage</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1,524</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1,524</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Medicare stand-alone PDP</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60" w:type="dxa"/>
            <w:vAlign w:val="bottom"/>
          </w:tcPr>
          <w:p>
            <w:pPr>
              <w:ind w:left="1060"/>
              <w:spacing w:after="0"/>
              <w:rPr>
                <w:sz w:val="20"/>
                <w:szCs w:val="20"/>
                <w:color w:val="auto"/>
              </w:rPr>
            </w:pPr>
            <w:r>
              <w:rPr>
                <w:rFonts w:ascii="Arial" w:cs="Arial" w:eastAsia="Arial" w:hAnsi="Arial"/>
                <w:sz w:val="18"/>
                <w:szCs w:val="18"/>
                <w:b w:val="1"/>
                <w:bCs w:val="1"/>
                <w:color w:val="auto"/>
              </w:rPr>
              <w:t>Total Medicare</w:t>
            </w: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11,390</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ind w:lef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11,390</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Fully-insured</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1,392</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1,512</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ind w:left="700"/>
              <w:spacing w:after="0"/>
              <w:rPr>
                <w:sz w:val="20"/>
                <w:szCs w:val="20"/>
                <w:color w:val="auto"/>
              </w:rPr>
            </w:pPr>
            <w:r>
              <w:rPr>
                <w:rFonts w:ascii="Arial" w:cs="Arial" w:eastAsia="Arial" w:hAnsi="Arial"/>
                <w:sz w:val="18"/>
                <w:szCs w:val="18"/>
                <w:color w:val="auto"/>
              </w:rPr>
              <w:t>Specialty</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347</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347</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Medicaid and other (D)</w:t>
            </w: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553</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60" w:type="dxa"/>
            <w:vAlign w:val="bottom"/>
          </w:tcPr>
          <w:p>
            <w:pPr>
              <w:ind w:left="1060"/>
              <w:spacing w:after="0"/>
              <w:rPr>
                <w:sz w:val="20"/>
                <w:szCs w:val="20"/>
                <w:color w:val="auto"/>
              </w:rPr>
            </w:pPr>
            <w:r>
              <w:rPr>
                <w:rFonts w:ascii="Arial" w:cs="Arial" w:eastAsia="Arial" w:hAnsi="Arial"/>
                <w:sz w:val="18"/>
                <w:szCs w:val="18"/>
                <w:b w:val="1"/>
                <w:bCs w:val="1"/>
                <w:color w:val="auto"/>
              </w:rPr>
              <w:t>Total premiums</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12,068</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1,739</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ind w:lef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13,811</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Services revenue:</w:t>
            </w: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ind w:left="700"/>
              <w:spacing w:after="0"/>
              <w:rPr>
                <w:sz w:val="20"/>
                <w:szCs w:val="20"/>
                <w:color w:val="auto"/>
              </w:rPr>
            </w:pPr>
            <w:r>
              <w:rPr>
                <w:rFonts w:ascii="Arial" w:cs="Arial" w:eastAsia="Arial" w:hAnsi="Arial"/>
                <w:sz w:val="18"/>
                <w:szCs w:val="18"/>
                <w:color w:val="auto"/>
              </w:rPr>
              <w:t>Provider</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65</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65</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ASO and other (E)</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60" w:type="dxa"/>
            <w:vAlign w:val="bottom"/>
          </w:tcPr>
          <w:p>
            <w:pPr>
              <w:ind w:left="700"/>
              <w:spacing w:after="0"/>
              <w:rPr>
                <w:sz w:val="20"/>
                <w:szCs w:val="20"/>
                <w:color w:val="auto"/>
              </w:rPr>
            </w:pPr>
            <w:r>
              <w:rPr>
                <w:rFonts w:ascii="Arial" w:cs="Arial" w:eastAsia="Arial" w:hAnsi="Arial"/>
                <w:sz w:val="18"/>
                <w:szCs w:val="18"/>
                <w:color w:val="auto"/>
              </w:rPr>
              <w:t>Pharmacy</w:t>
            </w: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ind w:left="1060"/>
              <w:spacing w:after="0"/>
              <w:rPr>
                <w:sz w:val="20"/>
                <w:szCs w:val="20"/>
                <w:color w:val="auto"/>
              </w:rPr>
            </w:pPr>
            <w:r>
              <w:rPr>
                <w:rFonts w:ascii="Arial" w:cs="Arial" w:eastAsia="Arial" w:hAnsi="Arial"/>
                <w:sz w:val="18"/>
                <w:szCs w:val="18"/>
                <w:b w:val="1"/>
                <w:bCs w:val="1"/>
                <w:color w:val="auto"/>
              </w:rPr>
              <w:t>Total services revenue</w:t>
            </w: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w w:val="86"/>
              </w:rPr>
              <w:t>104</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80" w:type="dxa"/>
            <w:vAlign w:val="bottom"/>
            <w:gridSpan w:val="2"/>
          </w:tcPr>
          <w:p>
            <w:pPr>
              <w:spacing w:after="0"/>
              <w:rPr>
                <w:sz w:val="20"/>
                <w:szCs w:val="20"/>
                <w:color w:val="auto"/>
              </w:rPr>
            </w:pPr>
            <w:r>
              <w:rPr>
                <w:rFonts w:ascii="Arial" w:cs="Arial" w:eastAsia="Arial" w:hAnsi="Arial"/>
                <w:sz w:val="18"/>
                <w:szCs w:val="18"/>
                <w:b w:val="1"/>
                <w:bCs w:val="1"/>
                <w:color w:val="auto"/>
              </w:rPr>
              <w:t>Total revenues—external customers</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12,070</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1,958</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ind w:left="340"/>
              <w:spacing w:after="0"/>
              <w:rPr>
                <w:sz w:val="20"/>
                <w:szCs w:val="20"/>
                <w:color w:val="auto"/>
              </w:rPr>
            </w:pPr>
            <w:r>
              <w:rPr>
                <w:rFonts w:ascii="Arial" w:cs="Arial" w:eastAsia="Arial" w:hAnsi="Arial"/>
                <w:sz w:val="18"/>
                <w:szCs w:val="18"/>
                <w:color w:val="auto"/>
                <w:w w:val="86"/>
              </w:rPr>
              <w:t>104</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14,138</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Intersegment revenues</w:t>
            </w: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ind w:left="340"/>
              <w:spacing w:after="0"/>
              <w:rPr>
                <w:sz w:val="20"/>
                <w:szCs w:val="20"/>
                <w:color w:val="auto"/>
              </w:rPr>
            </w:pPr>
            <w:r>
              <w:rPr>
                <w:rFonts w:ascii="Arial" w:cs="Arial" w:eastAsia="Arial" w:hAnsi="Arial"/>
                <w:sz w:val="18"/>
                <w:szCs w:val="18"/>
                <w:color w:val="auto"/>
              </w:rPr>
              <w:t>Services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4,018</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(4,023)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Products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1,535</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(1,535)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180" w:type="dxa"/>
            <w:vAlign w:val="bottom"/>
            <w:gridSpan w:val="2"/>
          </w:tcPr>
          <w:p>
            <w:pPr>
              <w:spacing w:after="0"/>
              <w:rPr>
                <w:sz w:val="20"/>
                <w:szCs w:val="20"/>
                <w:color w:val="auto"/>
              </w:rPr>
            </w:pPr>
            <w:r>
              <w:rPr>
                <w:rFonts w:ascii="Arial" w:cs="Arial" w:eastAsia="Arial" w:hAnsi="Arial"/>
                <w:sz w:val="18"/>
                <w:szCs w:val="18"/>
                <w:b w:val="1"/>
                <w:bCs w:val="1"/>
                <w:color w:val="auto"/>
              </w:rPr>
              <w:t>Total intersegment revenues</w:t>
            </w: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5,553</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(5,558)</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Investment income</w:t>
            </w: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60" w:type="dxa"/>
            <w:vAlign w:val="bottom"/>
          </w:tcPr>
          <w:p>
            <w:pPr>
              <w:ind w:left="340"/>
              <w:spacing w:after="0"/>
              <w:rPr>
                <w:sz w:val="20"/>
                <w:szCs w:val="20"/>
                <w:color w:val="auto"/>
              </w:rPr>
            </w:pPr>
            <w:r>
              <w:rPr>
                <w:rFonts w:ascii="Arial" w:cs="Arial" w:eastAsia="Arial" w:hAnsi="Arial"/>
                <w:sz w:val="18"/>
                <w:szCs w:val="18"/>
                <w:b w:val="1"/>
                <w:bCs w:val="1"/>
                <w:color w:val="auto"/>
              </w:rPr>
              <w:t>Total revenues</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12,107</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1,970</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5,663</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46</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(5,502)</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14,279</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ind w:left="340"/>
              <w:spacing w:after="0"/>
              <w:rPr>
                <w:sz w:val="20"/>
                <w:szCs w:val="20"/>
                <w:color w:val="auto"/>
              </w:rPr>
            </w:pPr>
            <w:r>
              <w:rPr>
                <w:rFonts w:ascii="Arial" w:cs="Arial" w:eastAsia="Arial" w:hAnsi="Arial"/>
                <w:sz w:val="18"/>
                <w:szCs w:val="18"/>
                <w:color w:val="auto"/>
              </w:rPr>
              <w:t>Benefits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10,552</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1,273</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(60)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(121)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11,670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Operating costs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1,222</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5,441</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(5,381)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1,749</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66</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23</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49</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(38)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ind w:left="700"/>
              <w:spacing w:after="0"/>
              <w:rPr>
                <w:sz w:val="20"/>
                <w:szCs w:val="20"/>
                <w:color w:val="auto"/>
              </w:rPr>
            </w:pPr>
            <w:r>
              <w:rPr>
                <w:rFonts w:ascii="Arial" w:cs="Arial" w:eastAsia="Arial" w:hAnsi="Arial"/>
                <w:sz w:val="18"/>
                <w:szCs w:val="18"/>
                <w:b w:val="1"/>
                <w:bCs w:val="1"/>
                <w:color w:val="auto"/>
              </w:rPr>
              <w:t>Total operating expenses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11,840</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1,759</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5,490</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(5,540)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13,519</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180" w:type="dxa"/>
            <w:vAlign w:val="bottom"/>
            <w:gridSpan w:val="2"/>
          </w:tcPr>
          <w:p>
            <w:pPr>
              <w:spacing w:after="0"/>
              <w:rPr>
                <w:sz w:val="20"/>
                <w:szCs w:val="20"/>
                <w:color w:val="auto"/>
              </w:rPr>
            </w:pPr>
            <w:r>
              <w:rPr>
                <w:rFonts w:ascii="Arial" w:cs="Arial" w:eastAsia="Arial" w:hAnsi="Arial"/>
                <w:sz w:val="18"/>
                <w:szCs w:val="18"/>
                <w:b w:val="1"/>
                <w:bCs w:val="1"/>
                <w:color w:val="auto"/>
              </w:rPr>
              <w:t>Income from operations</w:t>
            </w: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267</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211</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ind w:left="340"/>
              <w:spacing w:after="0"/>
              <w:rPr>
                <w:sz w:val="20"/>
                <w:szCs w:val="20"/>
                <w:color w:val="auto"/>
              </w:rPr>
            </w:pPr>
            <w:r>
              <w:rPr>
                <w:rFonts w:ascii="Arial" w:cs="Arial" w:eastAsia="Arial" w:hAnsi="Arial"/>
                <w:sz w:val="18"/>
                <w:szCs w:val="18"/>
                <w:color w:val="auto"/>
                <w:w w:val="86"/>
              </w:rPr>
              <w:t>173</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760</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180" w:type="dxa"/>
            <w:vAlign w:val="bottom"/>
            <w:gridSpan w:val="2"/>
          </w:tcPr>
          <w:p>
            <w:pPr>
              <w:spacing w:after="0" w:line="205" w:lineRule="exact"/>
              <w:rPr>
                <w:sz w:val="20"/>
                <w:szCs w:val="20"/>
                <w:color w:val="auto"/>
              </w:rPr>
            </w:pPr>
            <w:r>
              <w:rPr>
                <w:rFonts w:ascii="Arial" w:cs="Arial" w:eastAsia="Arial" w:hAnsi="Arial"/>
                <w:sz w:val="18"/>
                <w:szCs w:val="18"/>
                <w:b w:val="1"/>
                <w:bCs w:val="1"/>
                <w:color w:val="auto"/>
                <w:w w:val="93"/>
              </w:rPr>
              <w:t>Income (loss) before income taxes and equity in net</w:t>
            </w:r>
          </w:p>
        </w:tc>
        <w:tc>
          <w:tcPr>
            <w:tcW w:w="2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160" w:type="dxa"/>
            <w:vAlign w:val="bottom"/>
          </w:tcPr>
          <w:p>
            <w:pPr>
              <w:ind w:left="160"/>
              <w:spacing w:after="0"/>
              <w:rPr>
                <w:sz w:val="20"/>
                <w:szCs w:val="20"/>
                <w:color w:val="auto"/>
              </w:rPr>
            </w:pPr>
            <w:r>
              <w:rPr>
                <w:rFonts w:ascii="Arial" w:cs="Arial" w:eastAsia="Arial" w:hAnsi="Arial"/>
                <w:sz w:val="18"/>
                <w:szCs w:val="18"/>
                <w:b w:val="1"/>
                <w:bCs w:val="1"/>
                <w:color w:val="auto"/>
              </w:rPr>
              <w:t>earnings</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267</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211</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ind w:left="340"/>
              <w:spacing w:after="0"/>
              <w:rPr>
                <w:sz w:val="20"/>
                <w:szCs w:val="20"/>
                <w:color w:val="auto"/>
              </w:rPr>
            </w:pPr>
            <w:r>
              <w:rPr>
                <w:rFonts w:ascii="Arial" w:cs="Arial" w:eastAsia="Arial" w:hAnsi="Arial"/>
                <w:sz w:val="18"/>
                <w:szCs w:val="18"/>
                <w:color w:val="auto"/>
                <w:w w:val="86"/>
              </w:rPr>
              <w:t>173</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18</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707</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Equity in net earnings of Kindred at Home (B)</w:t>
            </w: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180" w:type="dxa"/>
            <w:vAlign w:val="bottom"/>
            <w:gridSpan w:val="2"/>
          </w:tcPr>
          <w:p>
            <w:pPr>
              <w:spacing w:after="0"/>
              <w:rPr>
                <w:sz w:val="20"/>
                <w:szCs w:val="20"/>
                <w:color w:val="auto"/>
              </w:rPr>
            </w:pPr>
            <w:r>
              <w:rPr>
                <w:rFonts w:ascii="Arial" w:cs="Arial" w:eastAsia="Arial" w:hAnsi="Arial"/>
                <w:sz w:val="18"/>
                <w:szCs w:val="18"/>
                <w:b w:val="1"/>
                <w:bCs w:val="1"/>
                <w:color w:val="auto"/>
              </w:rPr>
              <w:t>Segment earnings (loss)</w:t>
            </w:r>
          </w:p>
        </w:tc>
        <w:tc>
          <w:tcPr>
            <w:tcW w:w="2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Borders>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Borders>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w w:val="86"/>
              </w:rPr>
              <w:t>173</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60" w:type="dxa"/>
            <w:vAlign w:val="bottom"/>
          </w:tcPr>
          <w:p>
            <w:pPr>
              <w:spacing w:after="0"/>
              <w:rPr>
                <w:sz w:val="19"/>
                <w:szCs w:val="19"/>
                <w:color w:val="auto"/>
              </w:rPr>
            </w:pPr>
          </w:p>
        </w:tc>
        <w:tc>
          <w:tcPr>
            <w:tcW w:w="80" w:type="dxa"/>
            <w:vAlign w:val="bottom"/>
            <w:tcBorders>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707</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Benefit ratio</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87.4%</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73.2%</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84.5%</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160" w:type="dxa"/>
            <w:vAlign w:val="bottom"/>
          </w:tcPr>
          <w:p>
            <w:pPr>
              <w:spacing w:after="0"/>
              <w:rPr>
                <w:sz w:val="20"/>
                <w:szCs w:val="20"/>
                <w:color w:val="auto"/>
              </w:rPr>
            </w:pPr>
            <w:r>
              <w:rPr>
                <w:rFonts w:ascii="Arial" w:cs="Arial" w:eastAsia="Arial" w:hAnsi="Arial"/>
                <w:sz w:val="18"/>
                <w:szCs w:val="18"/>
                <w:b w:val="1"/>
                <w:bCs w:val="1"/>
                <w:color w:val="auto"/>
              </w:rPr>
              <w:t>Operating cost ratio</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10.1%</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23.6%</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96.2%</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gridSpan w:val="2"/>
          </w:tcPr>
          <w:p>
            <w:pPr>
              <w:jc w:val="right"/>
              <w:ind w:right="560"/>
              <w:spacing w:after="0"/>
              <w:rPr>
                <w:sz w:val="20"/>
                <w:szCs w:val="20"/>
                <w:color w:val="auto"/>
              </w:rPr>
            </w:pPr>
            <w:r>
              <w:rPr>
                <w:rFonts w:ascii="Arial" w:cs="Arial" w:eastAsia="Arial" w:hAnsi="Arial"/>
                <w:sz w:val="18"/>
                <w:szCs w:val="18"/>
                <w:color w:val="auto"/>
                <w:w w:val="85"/>
              </w:rPr>
              <w:t>S-7</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40"/>
          </w:cols>
          <w:pgMar w:left="440" w:top="274" w:right="419" w:bottom="1440" w:gutter="0" w:footer="0" w:header="0"/>
        </w:sectPr>
      </w:pPr>
    </w:p>
    <w:bookmarkStart w:id="37" w:name="page38"/>
    <w:bookmarkEnd w:id="3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Humana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Ending Membership Detail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March 31, 2019</w:t>
            </w:r>
          </w:p>
        </w:tc>
        <w:tc>
          <w:tcPr>
            <w:tcW w:w="160" w:type="dxa"/>
            <w:vAlign w:val="bottom"/>
          </w:tcPr>
          <w:p>
            <w:pPr>
              <w:spacing w:after="0"/>
              <w:rPr>
                <w:sz w:val="14"/>
                <w:szCs w:val="14"/>
                <w:color w:val="auto"/>
              </w:rPr>
            </w:pPr>
          </w:p>
        </w:tc>
        <w:tc>
          <w:tcPr>
            <w:tcW w:w="11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Average 1Q19</w:t>
            </w:r>
          </w:p>
        </w:tc>
        <w:tc>
          <w:tcPr>
            <w:tcW w:w="980" w:type="dxa"/>
            <w:vAlign w:val="bottom"/>
            <w:gridSpan w:val="2"/>
            <w:vMerge w:val="restart"/>
          </w:tcPr>
          <w:p>
            <w:pPr>
              <w:jc w:val="right"/>
              <w:spacing w:after="0"/>
              <w:rPr>
                <w:sz w:val="20"/>
                <w:szCs w:val="20"/>
                <w:color w:val="auto"/>
              </w:rPr>
            </w:pPr>
            <w:r>
              <w:rPr>
                <w:rFonts w:ascii="Arial" w:cs="Arial" w:eastAsia="Arial" w:hAnsi="Arial"/>
                <w:sz w:val="14"/>
                <w:szCs w:val="14"/>
                <w:color w:val="auto"/>
                <w:w w:val="98"/>
              </w:rPr>
              <w:t>March 31, 2018</w:t>
            </w:r>
          </w:p>
        </w:tc>
        <w:tc>
          <w:tcPr>
            <w:tcW w:w="180" w:type="dxa"/>
            <w:vAlign w:val="bottom"/>
          </w:tcPr>
          <w:p>
            <w:pPr>
              <w:spacing w:after="0"/>
              <w:rPr>
                <w:sz w:val="14"/>
                <w:szCs w:val="14"/>
                <w:color w:val="auto"/>
              </w:rPr>
            </w:pPr>
          </w:p>
        </w:tc>
        <w:tc>
          <w:tcPr>
            <w:tcW w:w="1960" w:type="dxa"/>
            <w:vAlign w:val="bottom"/>
            <w:gridSpan w:val="4"/>
          </w:tcPr>
          <w:p>
            <w:pPr>
              <w:jc w:val="right"/>
              <w:ind w:right="420"/>
              <w:spacing w:after="0"/>
              <w:rPr>
                <w:sz w:val="20"/>
                <w:szCs w:val="20"/>
                <w:color w:val="auto"/>
              </w:rPr>
            </w:pPr>
            <w:r>
              <w:rPr>
                <w:rFonts w:ascii="Arial" w:cs="Arial" w:eastAsia="Arial" w:hAnsi="Arial"/>
                <w:sz w:val="14"/>
                <w:szCs w:val="14"/>
                <w:color w:val="auto"/>
              </w:rPr>
              <w:t>Year-over-Year Change</w:t>
            </w:r>
          </w:p>
        </w:tc>
        <w:tc>
          <w:tcPr>
            <w:tcW w:w="1200" w:type="dxa"/>
            <w:vAlign w:val="bottom"/>
            <w:gridSpan w:val="2"/>
            <w:vMerge w:val="restart"/>
          </w:tcPr>
          <w:p>
            <w:pPr>
              <w:jc w:val="right"/>
              <w:spacing w:after="0"/>
              <w:rPr>
                <w:sz w:val="20"/>
                <w:szCs w:val="20"/>
                <w:color w:val="auto"/>
              </w:rPr>
            </w:pPr>
            <w:r>
              <w:rPr>
                <w:rFonts w:ascii="Arial" w:cs="Arial" w:eastAsia="Arial" w:hAnsi="Arial"/>
                <w:sz w:val="14"/>
                <w:szCs w:val="14"/>
                <w:color w:val="auto"/>
                <w:w w:val="94"/>
              </w:rPr>
              <w:t>December 31, 2018</w:t>
            </w:r>
          </w:p>
        </w:tc>
        <w:tc>
          <w:tcPr>
            <w:tcW w:w="160" w:type="dxa"/>
            <w:vAlign w:val="bottom"/>
          </w:tcPr>
          <w:p>
            <w:pPr>
              <w:spacing w:after="0"/>
              <w:rPr>
                <w:sz w:val="14"/>
                <w:szCs w:val="14"/>
                <w:color w:val="auto"/>
              </w:rPr>
            </w:pPr>
          </w:p>
        </w:tc>
        <w:tc>
          <w:tcPr>
            <w:tcW w:w="1340" w:type="dxa"/>
            <w:vAlign w:val="bottom"/>
            <w:gridSpan w:val="5"/>
          </w:tcPr>
          <w:p>
            <w:pPr>
              <w:ind w:left="20"/>
              <w:spacing w:after="0"/>
              <w:rPr>
                <w:sz w:val="20"/>
                <w:szCs w:val="20"/>
                <w:color w:val="auto"/>
              </w:rPr>
            </w:pPr>
            <w:r>
              <w:rPr>
                <w:rFonts w:ascii="Arial" w:cs="Arial" w:eastAsia="Arial" w:hAnsi="Arial"/>
                <w:sz w:val="14"/>
                <w:szCs w:val="14"/>
                <w:color w:val="auto"/>
              </w:rPr>
              <w:t>Sequential 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tcBorders>
              <w:top w:val="single" w:sz="8" w:color="auto"/>
            </w:tcBorders>
            <w:gridSpan w:val="2"/>
          </w:tcPr>
          <w:p>
            <w:pPr>
              <w:jc w:val="center"/>
              <w:ind w:right="300"/>
              <w:spacing w:after="0" w:line="142" w:lineRule="exact"/>
              <w:rPr>
                <w:sz w:val="20"/>
                <w:szCs w:val="20"/>
                <w:color w:val="auto"/>
              </w:rPr>
            </w:pPr>
            <w:r>
              <w:rPr>
                <w:rFonts w:ascii="Arial" w:cs="Arial" w:eastAsia="Arial" w:hAnsi="Arial"/>
                <w:sz w:val="14"/>
                <w:szCs w:val="14"/>
                <w:color w:val="auto"/>
                <w:w w:val="99"/>
              </w:rPr>
              <w:t>Amount</w:t>
            </w:r>
          </w:p>
        </w:tc>
        <w:tc>
          <w:tcPr>
            <w:tcW w:w="5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95"/>
              </w:rPr>
              <w:t>Percent</w:t>
            </w:r>
          </w:p>
        </w:tc>
        <w:tc>
          <w:tcPr>
            <w:tcW w:w="22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color w:val="auto"/>
              </w:rPr>
              <w:t>Amount</w:t>
            </w:r>
          </w:p>
        </w:tc>
        <w:tc>
          <w:tcPr>
            <w:tcW w:w="480" w:type="dxa"/>
            <w:vAlign w:val="bottom"/>
            <w:tcBorders>
              <w:top w:val="single" w:sz="8" w:color="auto"/>
            </w:tcBorders>
            <w:gridSpan w:val="2"/>
          </w:tcPr>
          <w:p>
            <w:pPr>
              <w:ind w:left="40"/>
              <w:spacing w:after="0" w:line="142" w:lineRule="exact"/>
              <w:rPr>
                <w:sz w:val="20"/>
                <w:szCs w:val="20"/>
                <w:color w:val="auto"/>
              </w:rPr>
            </w:pPr>
            <w:r>
              <w:rPr>
                <w:rFonts w:ascii="Arial" w:cs="Arial" w:eastAsia="Arial" w:hAnsi="Arial"/>
                <w:sz w:val="14"/>
                <w:szCs w:val="14"/>
                <w:color w:val="auto"/>
                <w:w w:val="86"/>
              </w:rPr>
              <w:t>Percent</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820" w:type="dxa"/>
            <w:vAlign w:val="bottom"/>
            <w:tcBorders>
              <w:top w:val="single" w:sz="8" w:color="CCEEFF"/>
            </w:tcBorders>
            <w:gridSpan w:val="5"/>
            <w:shd w:val="clear" w:color="auto" w:fill="CCEEFF"/>
          </w:tcPr>
          <w:p>
            <w:pPr>
              <w:spacing w:after="0" w:line="156" w:lineRule="exact"/>
              <w:rPr>
                <w:sz w:val="20"/>
                <w:szCs w:val="20"/>
                <w:color w:val="auto"/>
              </w:rPr>
            </w:pPr>
            <w:r>
              <w:rPr>
                <w:rFonts w:ascii="Arial" w:cs="Arial" w:eastAsia="Arial" w:hAnsi="Arial"/>
                <w:sz w:val="18"/>
                <w:szCs w:val="18"/>
                <w:b w:val="1"/>
                <w:bCs w:val="1"/>
                <w:color w:val="auto"/>
              </w:rPr>
              <w:t>Medical Membership:</w:t>
            </w:r>
          </w:p>
        </w:tc>
        <w:tc>
          <w:tcPr>
            <w:tcW w:w="10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Retail</w:t>
            </w:r>
          </w:p>
        </w:tc>
        <w:tc>
          <w:tcPr>
            <w:tcW w:w="1140" w:type="dxa"/>
            <w:vAlign w:val="bottom"/>
            <w:tcBorders>
              <w:top w:val="single" w:sz="8" w:color="CCEEFF"/>
            </w:tcBorders>
            <w:gridSpan w:val="3"/>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6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w w:val="99"/>
              </w:rPr>
              <w:t>Individual Medicare Advantage</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3,433.3</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3,419.6</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3,018.5</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414.8</w:t>
            </w: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13.7%</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3,064.0</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369.3</w:t>
            </w:r>
          </w:p>
        </w:tc>
        <w:tc>
          <w:tcPr>
            <w:tcW w:w="1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gridSpan w:val="4"/>
          </w:tcPr>
          <w:p>
            <w:pPr>
              <w:ind w:left="180"/>
              <w:spacing w:after="0"/>
              <w:rPr>
                <w:sz w:val="20"/>
                <w:szCs w:val="20"/>
                <w:color w:val="auto"/>
              </w:rPr>
            </w:pPr>
            <w:r>
              <w:rPr>
                <w:rFonts w:ascii="Arial" w:cs="Arial" w:eastAsia="Arial" w:hAnsi="Arial"/>
                <w:sz w:val="18"/>
                <w:szCs w:val="18"/>
                <w:color w:val="auto"/>
              </w:rPr>
              <w:t>Group Medicare Advantage</w:t>
            </w:r>
          </w:p>
        </w:tc>
        <w:tc>
          <w:tcPr>
            <w:tcW w:w="1060" w:type="dxa"/>
            <w:vAlign w:val="bottom"/>
            <w:gridSpan w:val="2"/>
          </w:tcPr>
          <w:p>
            <w:pPr>
              <w:jc w:val="right"/>
              <w:spacing w:after="0"/>
              <w:rPr>
                <w:sz w:val="20"/>
                <w:szCs w:val="20"/>
                <w:color w:val="auto"/>
              </w:rPr>
            </w:pPr>
            <w:r>
              <w:rPr>
                <w:rFonts w:ascii="Arial" w:cs="Arial" w:eastAsia="Arial" w:hAnsi="Arial"/>
                <w:sz w:val="18"/>
                <w:szCs w:val="18"/>
                <w:b w:val="1"/>
                <w:bCs w:val="1"/>
                <w:color w:val="auto"/>
              </w:rPr>
              <w:t>517.9</w:t>
            </w:r>
          </w:p>
        </w:tc>
        <w:tc>
          <w:tcPr>
            <w:tcW w:w="1120" w:type="dxa"/>
            <w:vAlign w:val="bottom"/>
            <w:gridSpan w:val="2"/>
          </w:tcPr>
          <w:p>
            <w:pPr>
              <w:jc w:val="right"/>
              <w:spacing w:after="0"/>
              <w:rPr>
                <w:sz w:val="20"/>
                <w:szCs w:val="20"/>
                <w:color w:val="auto"/>
              </w:rPr>
            </w:pPr>
            <w:r>
              <w:rPr>
                <w:rFonts w:ascii="Arial" w:cs="Arial" w:eastAsia="Arial" w:hAnsi="Arial"/>
                <w:sz w:val="18"/>
                <w:szCs w:val="18"/>
                <w:b w:val="1"/>
                <w:bCs w:val="1"/>
                <w:color w:val="auto"/>
              </w:rPr>
              <w:t>517.6</w:t>
            </w:r>
          </w:p>
        </w:tc>
        <w:tc>
          <w:tcPr>
            <w:tcW w:w="20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492.7</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25.2</w:t>
            </w:r>
          </w:p>
        </w:tc>
        <w:tc>
          <w:tcPr>
            <w:tcW w:w="26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5.1%</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497.8</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20.1</w:t>
            </w:r>
          </w:p>
        </w:tc>
        <w:tc>
          <w:tcPr>
            <w:tcW w:w="120" w:type="dxa"/>
            <w:vAlign w:val="bottom"/>
          </w:tcPr>
          <w:p>
            <w:pPr>
              <w:spacing w:after="0"/>
              <w:rPr>
                <w:sz w:val="18"/>
                <w:szCs w:val="18"/>
                <w:color w:val="auto"/>
              </w:rPr>
            </w:pPr>
          </w:p>
        </w:tc>
        <w:tc>
          <w:tcPr>
            <w:tcW w:w="700" w:type="dxa"/>
            <w:vAlign w:val="bottom"/>
            <w:gridSpan w:val="3"/>
          </w:tcPr>
          <w:p>
            <w:pPr>
              <w:jc w:val="right"/>
              <w:ind w:right="6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6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Medicare stand-alone PDP</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4,448.4</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4,487.7</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5,042.1</w:t>
            </w:r>
          </w:p>
        </w:tc>
        <w:tc>
          <w:tcPr>
            <w:tcW w:w="14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(593.7)</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-11.8%</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5,004.3</w:t>
            </w:r>
          </w:p>
        </w:tc>
        <w:tc>
          <w:tcPr>
            <w:tcW w:w="8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(555.9)</w:t>
            </w:r>
          </w:p>
        </w:tc>
        <w:tc>
          <w:tcPr>
            <w:tcW w:w="7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60" w:type="dxa"/>
            <w:vAlign w:val="bottom"/>
            <w:gridSpan w:val="4"/>
          </w:tcPr>
          <w:p>
            <w:pPr>
              <w:ind w:left="540"/>
              <w:spacing w:after="0"/>
              <w:rPr>
                <w:sz w:val="20"/>
                <w:szCs w:val="20"/>
                <w:color w:val="auto"/>
              </w:rPr>
            </w:pPr>
            <w:r>
              <w:rPr>
                <w:rFonts w:ascii="Arial" w:cs="Arial" w:eastAsia="Arial" w:hAnsi="Arial"/>
                <w:sz w:val="18"/>
                <w:szCs w:val="18"/>
                <w:color w:val="auto"/>
              </w:rPr>
              <w:t>Total Medicare</w:t>
            </w:r>
          </w:p>
        </w:tc>
        <w:tc>
          <w:tcPr>
            <w:tcW w:w="100" w:type="dxa"/>
            <w:vAlign w:val="bottom"/>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8,399.6</w:t>
            </w:r>
          </w:p>
        </w:tc>
        <w:tc>
          <w:tcPr>
            <w:tcW w:w="160" w:type="dxa"/>
            <w:vAlign w:val="bottom"/>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8,424.9</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8,553.3</w:t>
            </w:r>
          </w:p>
        </w:tc>
        <w:tc>
          <w:tcPr>
            <w:tcW w:w="180" w:type="dxa"/>
            <w:vAlign w:val="bottom"/>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(153.7)</w:t>
            </w:r>
          </w:p>
        </w:tc>
        <w:tc>
          <w:tcPr>
            <w:tcW w:w="260" w:type="dxa"/>
            <w:vAlign w:val="bottom"/>
          </w:tcPr>
          <w:p>
            <w:pPr>
              <w:spacing w:after="0"/>
              <w:rPr>
                <w:sz w:val="20"/>
                <w:szCs w:val="20"/>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-1.8%</w:t>
            </w:r>
          </w:p>
        </w:tc>
        <w:tc>
          <w:tcPr>
            <w:tcW w:w="60" w:type="dxa"/>
            <w:vAlign w:val="bottom"/>
          </w:tcPr>
          <w:p>
            <w:pPr>
              <w:spacing w:after="0"/>
              <w:rPr>
                <w:sz w:val="20"/>
                <w:szCs w:val="20"/>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8,566.1</w:t>
            </w:r>
          </w:p>
        </w:tc>
        <w:tc>
          <w:tcPr>
            <w:tcW w:w="160" w:type="dxa"/>
            <w:vAlign w:val="bottom"/>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(166.5)</w:t>
            </w:r>
          </w:p>
        </w:tc>
        <w:tc>
          <w:tcPr>
            <w:tcW w:w="120" w:type="dxa"/>
            <w:vAlign w:val="bottom"/>
          </w:tcPr>
          <w:p>
            <w:pPr>
              <w:spacing w:after="0"/>
              <w:rPr>
                <w:sz w:val="20"/>
                <w:szCs w:val="20"/>
                <w:color w:val="auto"/>
              </w:rPr>
            </w:pPr>
          </w:p>
        </w:tc>
        <w:tc>
          <w:tcPr>
            <w:tcW w:w="700" w:type="dxa"/>
            <w:vAlign w:val="bottom"/>
            <w:gridSpan w:val="3"/>
          </w:tcPr>
          <w:p>
            <w:pPr>
              <w:jc w:val="right"/>
              <w:ind w:right="6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6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State-based contracts (F)</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461.3</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439.3</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336.0</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125.3</w:t>
            </w: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37.3%</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341.1</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120.2</w:t>
            </w:r>
          </w:p>
        </w:tc>
        <w:tc>
          <w:tcPr>
            <w:tcW w:w="1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35.2%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60" w:type="dxa"/>
            <w:vAlign w:val="bottom"/>
            <w:gridSpan w:val="4"/>
          </w:tcPr>
          <w:p>
            <w:pPr>
              <w:ind w:left="180"/>
              <w:spacing w:after="0"/>
              <w:rPr>
                <w:sz w:val="20"/>
                <w:szCs w:val="20"/>
                <w:color w:val="auto"/>
              </w:rPr>
            </w:pPr>
            <w:r>
              <w:rPr>
                <w:rFonts w:ascii="Arial" w:cs="Arial" w:eastAsia="Arial" w:hAnsi="Arial"/>
                <w:sz w:val="18"/>
                <w:szCs w:val="18"/>
                <w:color w:val="auto"/>
              </w:rPr>
              <w:t>Medicare Supplement</w:t>
            </w:r>
          </w:p>
        </w:tc>
        <w:tc>
          <w:tcPr>
            <w:tcW w:w="10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267.3</w:t>
            </w:r>
          </w:p>
        </w:tc>
        <w:tc>
          <w:tcPr>
            <w:tcW w:w="16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265.2</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238.7</w:t>
            </w:r>
          </w:p>
        </w:tc>
        <w:tc>
          <w:tcPr>
            <w:tcW w:w="18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w:t>
            </w:r>
          </w:p>
        </w:tc>
        <w:tc>
          <w:tcPr>
            <w:tcW w:w="26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12.0%</w:t>
            </w:r>
          </w:p>
        </w:tc>
        <w:tc>
          <w:tcPr>
            <w:tcW w:w="6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254.3</w:t>
            </w:r>
          </w:p>
        </w:tc>
        <w:tc>
          <w:tcPr>
            <w:tcW w:w="160" w:type="dxa"/>
            <w:vAlign w:val="bottom"/>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w:t>
            </w:r>
          </w:p>
        </w:tc>
        <w:tc>
          <w:tcPr>
            <w:tcW w:w="120" w:type="dxa"/>
            <w:vAlign w:val="bottom"/>
          </w:tcPr>
          <w:p>
            <w:pPr>
              <w:spacing w:after="0"/>
              <w:rPr>
                <w:sz w:val="19"/>
                <w:szCs w:val="19"/>
                <w:color w:val="auto"/>
              </w:rPr>
            </w:pPr>
          </w:p>
        </w:tc>
        <w:tc>
          <w:tcPr>
            <w:tcW w:w="700" w:type="dxa"/>
            <w:vAlign w:val="bottom"/>
            <w:gridSpan w:val="3"/>
          </w:tcPr>
          <w:p>
            <w:pPr>
              <w:jc w:val="right"/>
              <w:ind w:right="6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60" w:type="dxa"/>
            <w:vAlign w:val="bottom"/>
            <w:gridSpan w:val="4"/>
            <w:shd w:val="clear" w:color="auto" w:fill="CCEEFF"/>
          </w:tcPr>
          <w:p>
            <w:pPr>
              <w:ind w:left="540"/>
              <w:spacing w:after="0"/>
              <w:rPr>
                <w:sz w:val="20"/>
                <w:szCs w:val="20"/>
                <w:color w:val="auto"/>
              </w:rPr>
            </w:pPr>
            <w:r>
              <w:rPr>
                <w:rFonts w:ascii="Arial" w:cs="Arial" w:eastAsia="Arial" w:hAnsi="Arial"/>
                <w:sz w:val="18"/>
                <w:szCs w:val="18"/>
                <w:b w:val="1"/>
                <w:bCs w:val="1"/>
                <w:color w:val="auto"/>
              </w:rPr>
              <w:t>Total Retail</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9,128.2</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9,129.4</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9,128.0</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9,161.5</w:t>
            </w:r>
          </w:p>
        </w:tc>
        <w:tc>
          <w:tcPr>
            <w:tcW w:w="8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(33.3)</w:t>
            </w:r>
          </w:p>
        </w:tc>
        <w:tc>
          <w:tcPr>
            <w:tcW w:w="7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23"/>
        </w:trPr>
        <w:tc>
          <w:tcPr>
            <w:tcW w:w="2840" w:type="dxa"/>
            <w:vAlign w:val="bottom"/>
            <w:gridSpan w:val="6"/>
          </w:tcPr>
          <w:p>
            <w:pPr>
              <w:spacing w:after="0"/>
              <w:rPr>
                <w:sz w:val="20"/>
                <w:szCs w:val="20"/>
                <w:color w:val="auto"/>
              </w:rPr>
            </w:pPr>
            <w:r>
              <w:rPr>
                <w:rFonts w:ascii="Arial" w:cs="Arial" w:eastAsia="Arial" w:hAnsi="Arial"/>
                <w:sz w:val="18"/>
                <w:szCs w:val="18"/>
                <w:b w:val="1"/>
                <w:bCs w:val="1"/>
                <w:color w:val="auto"/>
              </w:rPr>
              <w:t>Group and Specialty</w:t>
            </w:r>
          </w:p>
        </w:tc>
        <w:tc>
          <w:tcPr>
            <w:tcW w:w="100" w:type="dxa"/>
            <w:vAlign w:val="bottom"/>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60" w:type="dxa"/>
            <w:vAlign w:val="bottom"/>
            <w:gridSpan w:val="4"/>
            <w:shd w:val="clear" w:color="auto" w:fill="CCEEFF"/>
          </w:tcPr>
          <w:p>
            <w:pPr>
              <w:ind w:left="180"/>
              <w:spacing w:after="0" w:line="201" w:lineRule="exact"/>
              <w:rPr>
                <w:sz w:val="20"/>
                <w:szCs w:val="20"/>
                <w:color w:val="auto"/>
              </w:rPr>
            </w:pPr>
            <w:r>
              <w:rPr>
                <w:rFonts w:ascii="Arial" w:cs="Arial" w:eastAsia="Arial" w:hAnsi="Arial"/>
                <w:sz w:val="18"/>
                <w:szCs w:val="18"/>
                <w:color w:val="auto"/>
              </w:rPr>
              <w:t>Fully-insured commercial</w:t>
            </w:r>
          </w:p>
        </w:tc>
        <w:tc>
          <w:tcPr>
            <w:tcW w:w="10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958.2</w:t>
            </w:r>
          </w:p>
        </w:tc>
        <w:tc>
          <w:tcPr>
            <w:tcW w:w="112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962.9</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660" w:type="dxa"/>
            <w:vAlign w:val="bottom"/>
            <w:gridSpan w:val="4"/>
            <w:shd w:val="clear" w:color="auto" w:fill="CCEEFF"/>
          </w:tcPr>
          <w:p>
            <w:pPr>
              <w:ind w:left="360"/>
              <w:spacing w:after="0"/>
              <w:rPr>
                <w:sz w:val="20"/>
                <w:szCs w:val="20"/>
                <w:color w:val="auto"/>
              </w:rPr>
            </w:pPr>
            <w:r>
              <w:rPr>
                <w:rFonts w:ascii="Arial" w:cs="Arial" w:eastAsia="Arial" w:hAnsi="Arial"/>
                <w:sz w:val="18"/>
                <w:szCs w:val="18"/>
                <w:color w:val="auto"/>
              </w:rPr>
              <w:t>medical</w:t>
            </w:r>
          </w:p>
        </w:tc>
        <w:tc>
          <w:tcPr>
            <w:tcW w:w="1060" w:type="dxa"/>
            <w:vAlign w:val="bottom"/>
            <w:gridSpan w:val="2"/>
            <w:vMerge w:val="continue"/>
            <w:shd w:val="clear" w:color="auto" w:fill="CCEEFF"/>
          </w:tcPr>
          <w:p>
            <w:pPr>
              <w:spacing w:after="0"/>
              <w:rPr>
                <w:sz w:val="20"/>
                <w:szCs w:val="20"/>
                <w:color w:val="auto"/>
              </w:rPr>
            </w:pPr>
          </w:p>
        </w:tc>
        <w:tc>
          <w:tcPr>
            <w:tcW w:w="1120" w:type="dxa"/>
            <w:vAlign w:val="bottom"/>
            <w:gridSpan w:val="2"/>
            <w:vMerge w:val="continue"/>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1,075.1</w:t>
            </w:r>
          </w:p>
        </w:tc>
        <w:tc>
          <w:tcPr>
            <w:tcW w:w="14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(116.9)</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-10.9%</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1,004.7</w:t>
            </w:r>
          </w:p>
        </w:tc>
        <w:tc>
          <w:tcPr>
            <w:tcW w:w="8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(46.5)</w:t>
            </w:r>
          </w:p>
        </w:tc>
        <w:tc>
          <w:tcPr>
            <w:tcW w:w="7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gridSpan w:val="4"/>
          </w:tcPr>
          <w:p>
            <w:pPr>
              <w:ind w:left="180"/>
              <w:spacing w:after="0"/>
              <w:rPr>
                <w:sz w:val="20"/>
                <w:szCs w:val="20"/>
                <w:color w:val="auto"/>
              </w:rPr>
            </w:pPr>
            <w:r>
              <w:rPr>
                <w:rFonts w:ascii="Arial" w:cs="Arial" w:eastAsia="Arial" w:hAnsi="Arial"/>
                <w:sz w:val="18"/>
                <w:szCs w:val="18"/>
                <w:color w:val="auto"/>
              </w:rPr>
              <w:t>ASO commercial</w:t>
            </w:r>
          </w:p>
        </w:tc>
        <w:tc>
          <w:tcPr>
            <w:tcW w:w="1060" w:type="dxa"/>
            <w:vAlign w:val="bottom"/>
            <w:gridSpan w:val="2"/>
          </w:tcPr>
          <w:p>
            <w:pPr>
              <w:jc w:val="right"/>
              <w:spacing w:after="0"/>
              <w:rPr>
                <w:sz w:val="20"/>
                <w:szCs w:val="20"/>
                <w:color w:val="auto"/>
              </w:rPr>
            </w:pPr>
            <w:r>
              <w:rPr>
                <w:rFonts w:ascii="Arial" w:cs="Arial" w:eastAsia="Arial" w:hAnsi="Arial"/>
                <w:sz w:val="18"/>
                <w:szCs w:val="18"/>
                <w:b w:val="1"/>
                <w:bCs w:val="1"/>
                <w:color w:val="auto"/>
              </w:rPr>
              <w:t>478.6</w:t>
            </w:r>
          </w:p>
        </w:tc>
        <w:tc>
          <w:tcPr>
            <w:tcW w:w="1120" w:type="dxa"/>
            <w:vAlign w:val="bottom"/>
            <w:gridSpan w:val="2"/>
          </w:tcPr>
          <w:p>
            <w:pPr>
              <w:jc w:val="right"/>
              <w:spacing w:after="0"/>
              <w:rPr>
                <w:sz w:val="20"/>
                <w:szCs w:val="20"/>
                <w:color w:val="auto"/>
              </w:rPr>
            </w:pPr>
            <w:r>
              <w:rPr>
                <w:rFonts w:ascii="Arial" w:cs="Arial" w:eastAsia="Arial" w:hAnsi="Arial"/>
                <w:sz w:val="18"/>
                <w:szCs w:val="18"/>
                <w:b w:val="1"/>
                <w:bCs w:val="1"/>
                <w:color w:val="auto"/>
              </w:rPr>
              <w:t>473.0</w:t>
            </w:r>
          </w:p>
        </w:tc>
        <w:tc>
          <w:tcPr>
            <w:tcW w:w="20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452.6</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26.0</w:t>
            </w:r>
          </w:p>
        </w:tc>
        <w:tc>
          <w:tcPr>
            <w:tcW w:w="26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5.7%</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481.9</w:t>
            </w:r>
          </w:p>
        </w:tc>
        <w:tc>
          <w:tcPr>
            <w:tcW w:w="800" w:type="dxa"/>
            <w:vAlign w:val="bottom"/>
            <w:gridSpan w:val="3"/>
          </w:tcPr>
          <w:p>
            <w:pPr>
              <w:jc w:val="right"/>
              <w:ind w:right="60"/>
              <w:spacing w:after="0"/>
              <w:rPr>
                <w:sz w:val="20"/>
                <w:szCs w:val="20"/>
                <w:color w:val="auto"/>
              </w:rPr>
            </w:pPr>
            <w:r>
              <w:rPr>
                <w:rFonts w:ascii="Arial" w:cs="Arial" w:eastAsia="Arial" w:hAnsi="Arial"/>
                <w:sz w:val="18"/>
                <w:szCs w:val="18"/>
                <w:color w:val="auto"/>
              </w:rPr>
              <w:t>(3.3)</w:t>
            </w:r>
          </w:p>
        </w:tc>
        <w:tc>
          <w:tcPr>
            <w:tcW w:w="700" w:type="dxa"/>
            <w:vAlign w:val="bottom"/>
            <w:gridSpan w:val="3"/>
          </w:tcPr>
          <w:p>
            <w:pPr>
              <w:jc w:val="right"/>
              <w:ind w:right="6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6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Military services</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5,942.5</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5,949.2</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5,931.1</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0.2%</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5,928.6</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60" w:type="dxa"/>
            <w:vAlign w:val="bottom"/>
            <w:gridSpan w:val="4"/>
          </w:tcPr>
          <w:p>
            <w:pPr>
              <w:ind w:left="540"/>
              <w:spacing w:after="0"/>
              <w:rPr>
                <w:sz w:val="20"/>
                <w:szCs w:val="20"/>
                <w:color w:val="auto"/>
              </w:rPr>
            </w:pPr>
            <w:r>
              <w:rPr>
                <w:rFonts w:ascii="Arial" w:cs="Arial" w:eastAsia="Arial" w:hAnsi="Arial"/>
                <w:sz w:val="18"/>
                <w:szCs w:val="18"/>
                <w:b w:val="1"/>
                <w:bCs w:val="1"/>
                <w:color w:val="auto"/>
                <w:w w:val="94"/>
              </w:rPr>
              <w:t>Total Group and Specialty</w:t>
            </w:r>
          </w:p>
        </w:tc>
        <w:tc>
          <w:tcPr>
            <w:tcW w:w="100" w:type="dxa"/>
            <w:vAlign w:val="bottom"/>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7,379.3</w:t>
            </w:r>
          </w:p>
        </w:tc>
        <w:tc>
          <w:tcPr>
            <w:tcW w:w="160" w:type="dxa"/>
            <w:vAlign w:val="bottom"/>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7,385.1</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7,458.8</w:t>
            </w:r>
          </w:p>
        </w:tc>
        <w:tc>
          <w:tcPr>
            <w:tcW w:w="180" w:type="dxa"/>
            <w:vAlign w:val="bottom"/>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(79.5)</w:t>
            </w:r>
          </w:p>
        </w:tc>
        <w:tc>
          <w:tcPr>
            <w:tcW w:w="260" w:type="dxa"/>
            <w:vAlign w:val="bottom"/>
          </w:tcPr>
          <w:p>
            <w:pPr>
              <w:spacing w:after="0"/>
              <w:rPr>
                <w:sz w:val="20"/>
                <w:szCs w:val="20"/>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-1.1%</w:t>
            </w:r>
          </w:p>
        </w:tc>
        <w:tc>
          <w:tcPr>
            <w:tcW w:w="60" w:type="dxa"/>
            <w:vAlign w:val="bottom"/>
          </w:tcPr>
          <w:p>
            <w:pPr>
              <w:spacing w:after="0"/>
              <w:rPr>
                <w:sz w:val="20"/>
                <w:szCs w:val="20"/>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7,415.2</w:t>
            </w:r>
          </w:p>
        </w:tc>
        <w:tc>
          <w:tcPr>
            <w:tcW w:w="160" w:type="dxa"/>
            <w:vAlign w:val="bottom"/>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(35.9)</w:t>
            </w:r>
          </w:p>
        </w:tc>
        <w:tc>
          <w:tcPr>
            <w:tcW w:w="120" w:type="dxa"/>
            <w:vAlign w:val="bottom"/>
          </w:tcPr>
          <w:p>
            <w:pPr>
              <w:spacing w:after="0"/>
              <w:rPr>
                <w:sz w:val="20"/>
                <w:szCs w:val="20"/>
                <w:color w:val="auto"/>
              </w:rPr>
            </w:pPr>
          </w:p>
        </w:tc>
        <w:tc>
          <w:tcPr>
            <w:tcW w:w="700" w:type="dxa"/>
            <w:vAlign w:val="bottom"/>
            <w:gridSpan w:val="3"/>
          </w:tcPr>
          <w:p>
            <w:pPr>
              <w:jc w:val="right"/>
              <w:ind w:right="6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gridSpan w:val="5"/>
            <w:shd w:val="clear" w:color="auto" w:fill="CCEEFF"/>
          </w:tcPr>
          <w:p>
            <w:pPr>
              <w:spacing w:after="0"/>
              <w:rPr>
                <w:sz w:val="20"/>
                <w:szCs w:val="20"/>
                <w:color w:val="auto"/>
              </w:rPr>
            </w:pPr>
            <w:r>
              <w:rPr>
                <w:rFonts w:ascii="Arial" w:cs="Arial" w:eastAsia="Arial" w:hAnsi="Arial"/>
                <w:sz w:val="18"/>
                <w:szCs w:val="18"/>
                <w:b w:val="1"/>
                <w:bCs w:val="1"/>
                <w:color w:val="auto"/>
              </w:rPr>
              <w:t>Other Businesses</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gridSpan w:val="4"/>
          </w:tcPr>
          <w:p>
            <w:pPr>
              <w:ind w:left="180"/>
              <w:spacing w:after="0"/>
              <w:rPr>
                <w:sz w:val="20"/>
                <w:szCs w:val="20"/>
                <w:color w:val="auto"/>
              </w:rPr>
            </w:pPr>
            <w:r>
              <w:rPr>
                <w:rFonts w:ascii="Arial" w:cs="Arial" w:eastAsia="Arial" w:hAnsi="Arial"/>
                <w:sz w:val="18"/>
                <w:szCs w:val="18"/>
                <w:color w:val="auto"/>
              </w:rPr>
              <w:t>Long-term care</w:t>
            </w:r>
          </w:p>
        </w:tc>
        <w:tc>
          <w:tcPr>
            <w:tcW w:w="10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29.5</w:t>
            </w:r>
          </w:p>
        </w:tc>
        <w:tc>
          <w:tcPr>
            <w:tcW w:w="18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(29.5)</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-100.0%</w:t>
            </w:r>
          </w:p>
        </w:tc>
        <w:tc>
          <w:tcPr>
            <w:tcW w:w="6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60" w:type="dxa"/>
            <w:vAlign w:val="bottom"/>
            <w:gridSpan w:val="4"/>
            <w:shd w:val="clear" w:color="auto" w:fill="CCEEFF"/>
          </w:tcPr>
          <w:p>
            <w:pPr>
              <w:ind w:left="540"/>
              <w:spacing w:after="0"/>
              <w:rPr>
                <w:sz w:val="20"/>
                <w:szCs w:val="20"/>
                <w:color w:val="auto"/>
              </w:rPr>
            </w:pPr>
            <w:r>
              <w:rPr>
                <w:rFonts w:ascii="Arial" w:cs="Arial" w:eastAsia="Arial" w:hAnsi="Arial"/>
                <w:sz w:val="18"/>
                <w:szCs w:val="18"/>
                <w:b w:val="1"/>
                <w:bCs w:val="1"/>
                <w:color w:val="auto"/>
              </w:rPr>
              <w:t>Total Other Businesses</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(29.5)</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-100.0%</w:t>
            </w:r>
          </w:p>
        </w:tc>
        <w:tc>
          <w:tcPr>
            <w:tcW w:w="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840" w:type="dxa"/>
            <w:vAlign w:val="bottom"/>
            <w:gridSpan w:val="6"/>
          </w:tcPr>
          <w:p>
            <w:pPr>
              <w:spacing w:after="0"/>
              <w:rPr>
                <w:sz w:val="20"/>
                <w:szCs w:val="20"/>
                <w:color w:val="auto"/>
              </w:rPr>
            </w:pPr>
            <w:r>
              <w:rPr>
                <w:rFonts w:ascii="Arial" w:cs="Arial" w:eastAsia="Arial" w:hAnsi="Arial"/>
                <w:sz w:val="18"/>
                <w:szCs w:val="18"/>
                <w:b w:val="1"/>
                <w:bCs w:val="1"/>
                <w:color w:val="auto"/>
              </w:rPr>
              <w:t>Total Medical Membership</w:t>
            </w:r>
          </w:p>
        </w:tc>
        <w:tc>
          <w:tcPr>
            <w:tcW w:w="10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16,507.5</w:t>
            </w:r>
          </w:p>
        </w:tc>
        <w:tc>
          <w:tcPr>
            <w:tcW w:w="16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16,514.5</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16,616.3</w:t>
            </w:r>
          </w:p>
        </w:tc>
        <w:tc>
          <w:tcPr>
            <w:tcW w:w="18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(108.8)</w:t>
            </w:r>
          </w:p>
        </w:tc>
        <w:tc>
          <w:tcPr>
            <w:tcW w:w="26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-0.7%</w:t>
            </w:r>
          </w:p>
        </w:tc>
        <w:tc>
          <w:tcPr>
            <w:tcW w:w="6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16,576.7</w:t>
            </w:r>
          </w:p>
        </w:tc>
        <w:tc>
          <w:tcPr>
            <w:tcW w:w="16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(69.2)</w:t>
            </w:r>
          </w:p>
        </w:tc>
        <w:tc>
          <w:tcPr>
            <w:tcW w:w="120" w:type="dxa"/>
            <w:vAlign w:val="bottom"/>
          </w:tcPr>
          <w:p>
            <w:pPr>
              <w:spacing w:after="0"/>
              <w:rPr>
                <w:sz w:val="19"/>
                <w:szCs w:val="19"/>
                <w:color w:val="auto"/>
              </w:rPr>
            </w:pPr>
          </w:p>
        </w:tc>
        <w:tc>
          <w:tcPr>
            <w:tcW w:w="700" w:type="dxa"/>
            <w:vAlign w:val="bottom"/>
            <w:gridSpan w:val="3"/>
          </w:tcPr>
          <w:p>
            <w:pPr>
              <w:jc w:val="right"/>
              <w:ind w:right="6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2820" w:type="dxa"/>
            <w:vAlign w:val="bottom"/>
            <w:gridSpan w:val="5"/>
            <w:shd w:val="clear" w:color="auto" w:fill="CCEEFF"/>
          </w:tcPr>
          <w:p>
            <w:pPr>
              <w:spacing w:after="0" w:line="170" w:lineRule="exact"/>
              <w:rPr>
                <w:sz w:val="20"/>
                <w:szCs w:val="20"/>
                <w:color w:val="auto"/>
              </w:rPr>
            </w:pPr>
            <w:r>
              <w:rPr>
                <w:rFonts w:ascii="Arial" w:cs="Arial" w:eastAsia="Arial" w:hAnsi="Arial"/>
                <w:sz w:val="18"/>
                <w:szCs w:val="18"/>
                <w:b w:val="1"/>
                <w:bCs w:val="1"/>
                <w:color w:val="auto"/>
                <w:w w:val="94"/>
              </w:rPr>
              <w:t>Specialty Membership (included in</w:t>
            </w: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2500" w:type="dxa"/>
            <w:vAlign w:val="bottom"/>
            <w:tcBorders>
              <w:top w:val="single" w:sz="8" w:color="auto"/>
            </w:tcBorders>
            <w:gridSpan w:val="3"/>
            <w:shd w:val="clear" w:color="auto" w:fill="CCEEFF"/>
          </w:tcPr>
          <w:p>
            <w:pPr>
              <w:spacing w:after="0" w:line="196" w:lineRule="exact"/>
              <w:rPr>
                <w:sz w:val="20"/>
                <w:szCs w:val="20"/>
                <w:color w:val="auto"/>
              </w:rPr>
            </w:pPr>
            <w:r>
              <w:rPr>
                <w:rFonts w:ascii="Arial" w:cs="Arial" w:eastAsia="Arial" w:hAnsi="Arial"/>
                <w:sz w:val="18"/>
                <w:szCs w:val="18"/>
                <w:b w:val="1"/>
                <w:bCs w:val="1"/>
                <w:color w:val="auto"/>
                <w:w w:val="93"/>
              </w:rPr>
              <w:t>Group and Specialty segment):</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380" w:type="dxa"/>
            <w:vAlign w:val="bottom"/>
            <w:tcBorders>
              <w:top w:val="single" w:sz="8" w:color="auto"/>
            </w:tcBorders>
            <w:gridSpan w:val="2"/>
          </w:tcPr>
          <w:p>
            <w:pPr>
              <w:ind w:left="180"/>
              <w:spacing w:after="0"/>
              <w:rPr>
                <w:sz w:val="20"/>
                <w:szCs w:val="20"/>
                <w:color w:val="auto"/>
              </w:rPr>
            </w:pPr>
            <w:r>
              <w:rPr>
                <w:rFonts w:ascii="Arial" w:cs="Arial" w:eastAsia="Arial" w:hAnsi="Arial"/>
                <w:sz w:val="18"/>
                <w:szCs w:val="18"/>
                <w:color w:val="auto"/>
              </w:rPr>
              <w:t>Dental—fully-insured</w:t>
            </w:r>
          </w:p>
        </w:tc>
        <w:tc>
          <w:tcPr>
            <w:tcW w:w="280" w:type="dxa"/>
            <w:vAlign w:val="bottom"/>
            <w:tcBorders>
              <w:top w:val="single" w:sz="8" w:color="CCEEFF"/>
            </w:tcBorders>
            <w:gridSpan w:val="2"/>
          </w:tcPr>
          <w:p>
            <w:pPr>
              <w:spacing w:after="0"/>
              <w:rPr>
                <w:sz w:val="18"/>
                <w:szCs w:val="18"/>
                <w:color w:val="auto"/>
              </w:rPr>
            </w:pPr>
          </w:p>
        </w:tc>
        <w:tc>
          <w:tcPr>
            <w:tcW w:w="106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b w:val="1"/>
                <w:bCs w:val="1"/>
                <w:color w:val="auto"/>
              </w:rPr>
              <w:t>2,733.4</w:t>
            </w:r>
          </w:p>
        </w:tc>
        <w:tc>
          <w:tcPr>
            <w:tcW w:w="112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b w:val="1"/>
                <w:bCs w:val="1"/>
                <w:color w:val="auto"/>
              </w:rPr>
              <w:t>2,732.1</w:t>
            </w:r>
          </w:p>
        </w:tc>
        <w:tc>
          <w:tcPr>
            <w:tcW w:w="20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2,843.7</w:t>
            </w:r>
          </w:p>
        </w:tc>
        <w:tc>
          <w:tcPr>
            <w:tcW w:w="1400" w:type="dxa"/>
            <w:vAlign w:val="bottom"/>
            <w:tcBorders>
              <w:top w:val="single" w:sz="8" w:color="CCEEFF"/>
            </w:tcBorders>
            <w:gridSpan w:val="3"/>
          </w:tcPr>
          <w:p>
            <w:pPr>
              <w:jc w:val="right"/>
              <w:ind w:right="220"/>
              <w:spacing w:after="0"/>
              <w:rPr>
                <w:sz w:val="20"/>
                <w:szCs w:val="20"/>
                <w:color w:val="auto"/>
              </w:rPr>
            </w:pPr>
            <w:r>
              <w:rPr>
                <w:rFonts w:ascii="Arial" w:cs="Arial" w:eastAsia="Arial" w:hAnsi="Arial"/>
                <w:sz w:val="18"/>
                <w:szCs w:val="18"/>
                <w:color w:val="auto"/>
              </w:rPr>
              <w:t>(110.3)</w:t>
            </w:r>
          </w:p>
        </w:tc>
        <w:tc>
          <w:tcPr>
            <w:tcW w:w="740" w:type="dxa"/>
            <w:vAlign w:val="bottom"/>
            <w:tcBorders>
              <w:top w:val="single" w:sz="8" w:color="CCEEFF"/>
            </w:tcBorders>
            <w:gridSpan w:val="2"/>
          </w:tcPr>
          <w:p>
            <w:pPr>
              <w:jc w:val="right"/>
              <w:ind w:right="60"/>
              <w:spacing w:after="0"/>
              <w:rPr>
                <w:sz w:val="20"/>
                <w:szCs w:val="20"/>
                <w:color w:val="auto"/>
              </w:rPr>
            </w:pPr>
            <w:r>
              <w:rPr>
                <w:rFonts w:ascii="Arial" w:cs="Arial" w:eastAsia="Arial" w:hAnsi="Arial"/>
                <w:sz w:val="18"/>
                <w:szCs w:val="18"/>
                <w:color w:val="auto"/>
              </w:rPr>
              <w:t>-3.9%</w:t>
            </w:r>
          </w:p>
        </w:tc>
        <w:tc>
          <w:tcPr>
            <w:tcW w:w="120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2,834.8</w:t>
            </w:r>
          </w:p>
        </w:tc>
        <w:tc>
          <w:tcPr>
            <w:tcW w:w="800" w:type="dxa"/>
            <w:vAlign w:val="bottom"/>
            <w:tcBorders>
              <w:top w:val="single" w:sz="8" w:color="CCEEFF"/>
            </w:tcBorders>
            <w:gridSpan w:val="3"/>
          </w:tcPr>
          <w:p>
            <w:pPr>
              <w:jc w:val="right"/>
              <w:ind w:right="60"/>
              <w:spacing w:after="0"/>
              <w:rPr>
                <w:sz w:val="20"/>
                <w:szCs w:val="20"/>
                <w:color w:val="auto"/>
              </w:rPr>
            </w:pPr>
            <w:r>
              <w:rPr>
                <w:rFonts w:ascii="Arial" w:cs="Arial" w:eastAsia="Arial" w:hAnsi="Arial"/>
                <w:sz w:val="18"/>
                <w:szCs w:val="18"/>
                <w:color w:val="auto"/>
              </w:rPr>
              <w:t>(101.4)</w:t>
            </w:r>
          </w:p>
        </w:tc>
        <w:tc>
          <w:tcPr>
            <w:tcW w:w="700" w:type="dxa"/>
            <w:vAlign w:val="bottom"/>
            <w:tcBorders>
              <w:top w:val="single" w:sz="8" w:color="CCEEFF"/>
            </w:tcBorders>
            <w:gridSpan w:val="3"/>
          </w:tcPr>
          <w:p>
            <w:pPr>
              <w:jc w:val="right"/>
              <w:ind w:right="6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6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Dental—ASO</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611.5</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611.5</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636.6</w:t>
            </w:r>
          </w:p>
        </w:tc>
        <w:tc>
          <w:tcPr>
            <w:tcW w:w="14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(25.1)</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637.0</w:t>
            </w:r>
          </w:p>
        </w:tc>
        <w:tc>
          <w:tcPr>
            <w:tcW w:w="8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(25.5)</w:t>
            </w:r>
          </w:p>
        </w:tc>
        <w:tc>
          <w:tcPr>
            <w:tcW w:w="7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gridSpan w:val="4"/>
          </w:tcPr>
          <w:p>
            <w:pPr>
              <w:ind w:left="180"/>
              <w:spacing w:after="0"/>
              <w:rPr>
                <w:sz w:val="20"/>
                <w:szCs w:val="20"/>
                <w:color w:val="auto"/>
              </w:rPr>
            </w:pPr>
            <w:r>
              <w:rPr>
                <w:rFonts w:ascii="Arial" w:cs="Arial" w:eastAsia="Arial" w:hAnsi="Arial"/>
                <w:sz w:val="18"/>
                <w:szCs w:val="18"/>
                <w:color w:val="auto"/>
              </w:rPr>
              <w:t>Vision</w:t>
            </w:r>
          </w:p>
        </w:tc>
        <w:tc>
          <w:tcPr>
            <w:tcW w:w="1060" w:type="dxa"/>
            <w:vAlign w:val="bottom"/>
            <w:gridSpan w:val="2"/>
          </w:tcPr>
          <w:p>
            <w:pPr>
              <w:jc w:val="right"/>
              <w:spacing w:after="0"/>
              <w:rPr>
                <w:sz w:val="20"/>
                <w:szCs w:val="20"/>
                <w:color w:val="auto"/>
              </w:rPr>
            </w:pPr>
            <w:r>
              <w:rPr>
                <w:rFonts w:ascii="Arial" w:cs="Arial" w:eastAsia="Arial" w:hAnsi="Arial"/>
                <w:sz w:val="18"/>
                <w:szCs w:val="18"/>
                <w:b w:val="1"/>
                <w:bCs w:val="1"/>
                <w:color w:val="auto"/>
              </w:rPr>
              <w:t>2,065.5</w:t>
            </w:r>
          </w:p>
        </w:tc>
        <w:tc>
          <w:tcPr>
            <w:tcW w:w="1120" w:type="dxa"/>
            <w:vAlign w:val="bottom"/>
            <w:gridSpan w:val="2"/>
          </w:tcPr>
          <w:p>
            <w:pPr>
              <w:jc w:val="right"/>
              <w:spacing w:after="0"/>
              <w:rPr>
                <w:sz w:val="20"/>
                <w:szCs w:val="20"/>
                <w:color w:val="auto"/>
              </w:rPr>
            </w:pPr>
            <w:r>
              <w:rPr>
                <w:rFonts w:ascii="Arial" w:cs="Arial" w:eastAsia="Arial" w:hAnsi="Arial"/>
                <w:sz w:val="18"/>
                <w:szCs w:val="18"/>
                <w:b w:val="1"/>
                <w:bCs w:val="1"/>
                <w:color w:val="auto"/>
              </w:rPr>
              <w:t>2,067.4</w:t>
            </w:r>
          </w:p>
        </w:tc>
        <w:tc>
          <w:tcPr>
            <w:tcW w:w="20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2,115.5</w:t>
            </w:r>
          </w:p>
        </w:tc>
        <w:tc>
          <w:tcPr>
            <w:tcW w:w="1400" w:type="dxa"/>
            <w:vAlign w:val="bottom"/>
            <w:gridSpan w:val="3"/>
          </w:tcPr>
          <w:p>
            <w:pPr>
              <w:jc w:val="right"/>
              <w:ind w:right="220"/>
              <w:spacing w:after="0"/>
              <w:rPr>
                <w:sz w:val="20"/>
                <w:szCs w:val="20"/>
                <w:color w:val="auto"/>
              </w:rPr>
            </w:pPr>
            <w:r>
              <w:rPr>
                <w:rFonts w:ascii="Arial" w:cs="Arial" w:eastAsia="Arial" w:hAnsi="Arial"/>
                <w:sz w:val="18"/>
                <w:szCs w:val="18"/>
                <w:color w:val="auto"/>
              </w:rPr>
              <w:t>(50.0)</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-2.4%</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2,102.9</w:t>
            </w:r>
          </w:p>
        </w:tc>
        <w:tc>
          <w:tcPr>
            <w:tcW w:w="800" w:type="dxa"/>
            <w:vAlign w:val="bottom"/>
            <w:gridSpan w:val="3"/>
          </w:tcPr>
          <w:p>
            <w:pPr>
              <w:jc w:val="right"/>
              <w:ind w:right="60"/>
              <w:spacing w:after="0"/>
              <w:rPr>
                <w:sz w:val="20"/>
                <w:szCs w:val="20"/>
                <w:color w:val="auto"/>
              </w:rPr>
            </w:pPr>
            <w:r>
              <w:rPr>
                <w:rFonts w:ascii="Arial" w:cs="Arial" w:eastAsia="Arial" w:hAnsi="Arial"/>
                <w:sz w:val="18"/>
                <w:szCs w:val="18"/>
                <w:color w:val="auto"/>
              </w:rPr>
              <w:t>(37.4)</w:t>
            </w:r>
          </w:p>
        </w:tc>
        <w:tc>
          <w:tcPr>
            <w:tcW w:w="700" w:type="dxa"/>
            <w:vAlign w:val="bottom"/>
            <w:gridSpan w:val="3"/>
          </w:tcPr>
          <w:p>
            <w:pPr>
              <w:jc w:val="right"/>
              <w:ind w:right="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6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w w:val="96"/>
              </w:rPr>
              <w:t>Other supplemental benefits (G)</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424.8</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429.7</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1,143.1</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(718.3)</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-62.8%</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497.6</w:t>
            </w:r>
          </w:p>
        </w:tc>
        <w:tc>
          <w:tcPr>
            <w:tcW w:w="8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(72.8)</w:t>
            </w:r>
          </w:p>
        </w:tc>
        <w:tc>
          <w:tcPr>
            <w:tcW w:w="7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0"/>
        </w:trPr>
        <w:tc>
          <w:tcPr>
            <w:tcW w:w="2840" w:type="dxa"/>
            <w:vAlign w:val="bottom"/>
            <w:gridSpan w:val="6"/>
            <w:vMerge w:val="restart"/>
          </w:tcPr>
          <w:p>
            <w:pPr>
              <w:spacing w:after="0"/>
              <w:rPr>
                <w:sz w:val="20"/>
                <w:szCs w:val="20"/>
                <w:color w:val="auto"/>
              </w:rPr>
            </w:pPr>
            <w:r>
              <w:rPr>
                <w:rFonts w:ascii="Arial" w:cs="Arial" w:eastAsia="Arial" w:hAnsi="Arial"/>
                <w:sz w:val="18"/>
                <w:szCs w:val="18"/>
                <w:b w:val="1"/>
                <w:bCs w:val="1"/>
                <w:color w:val="auto"/>
              </w:rPr>
              <w:t>Total Specialty Membership</w:t>
            </w:r>
          </w:p>
        </w:tc>
        <w:tc>
          <w:tcPr>
            <w:tcW w:w="100" w:type="dxa"/>
            <w:vAlign w:val="bottom"/>
            <w:vMerge w:val="restart"/>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-13.4%</w:t>
            </w:r>
          </w:p>
        </w:tc>
        <w:tc>
          <w:tcPr>
            <w:tcW w:w="60" w:type="dxa"/>
            <w:vAlign w:val="bottom"/>
            <w:vMerge w:val="restart"/>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700" w:type="dxa"/>
            <w:vAlign w:val="bottom"/>
            <w:gridSpan w:val="3"/>
            <w:vMerge w:val="restart"/>
          </w:tcPr>
          <w:p>
            <w:pPr>
              <w:jc w:val="right"/>
              <w:ind w:right="60"/>
              <w:spacing w:after="0"/>
              <w:rPr>
                <w:sz w:val="20"/>
                <w:szCs w:val="20"/>
                <w:color w:val="auto"/>
              </w:rPr>
            </w:pPr>
            <w:r>
              <w:rPr>
                <w:rFonts w:ascii="Arial" w:cs="Arial" w:eastAsia="Arial" w:hAnsi="Arial"/>
                <w:sz w:val="18"/>
                <w:szCs w:val="18"/>
                <w:color w:val="auto"/>
              </w:rPr>
              <w:t>-3.9%</w:t>
            </w:r>
          </w:p>
        </w:tc>
        <w:tc>
          <w:tcPr>
            <w:tcW w:w="0" w:type="dxa"/>
            <w:vAlign w:val="bottom"/>
          </w:tcPr>
          <w:p>
            <w:pPr>
              <w:spacing w:after="0" w:line="20" w:lineRule="exact"/>
              <w:rPr>
                <w:sz w:val="1"/>
                <w:szCs w:val="1"/>
                <w:color w:val="auto"/>
              </w:rPr>
            </w:pPr>
          </w:p>
        </w:tc>
      </w:tr>
      <w:tr>
        <w:trPr>
          <w:trHeight w:val="223"/>
        </w:trPr>
        <w:tc>
          <w:tcPr>
            <w:tcW w:w="2840" w:type="dxa"/>
            <w:vAlign w:val="bottom"/>
            <w:gridSpan w:val="6"/>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5,835.2</w:t>
            </w:r>
          </w:p>
        </w:tc>
        <w:tc>
          <w:tcPr>
            <w:tcW w:w="160" w:type="dxa"/>
            <w:vAlign w:val="bottom"/>
            <w:vMerge w:val="continue"/>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5,840.7</w:t>
            </w:r>
          </w:p>
        </w:tc>
        <w:tc>
          <w:tcPr>
            <w:tcW w:w="200" w:type="dxa"/>
            <w:vAlign w:val="bottom"/>
          </w:tcPr>
          <w:p>
            <w:pPr>
              <w:spacing w:after="0"/>
              <w:rPr>
                <w:sz w:val="19"/>
                <w:szCs w:val="19"/>
                <w:color w:val="auto"/>
              </w:rPr>
            </w:pPr>
          </w:p>
        </w:tc>
        <w:tc>
          <w:tcPr>
            <w:tcW w:w="80" w:type="dxa"/>
            <w:vAlign w:val="bottom"/>
            <w:vMerge w:val="continue"/>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6,738.9</w:t>
            </w:r>
          </w:p>
        </w:tc>
        <w:tc>
          <w:tcPr>
            <w:tcW w:w="180" w:type="dxa"/>
            <w:vAlign w:val="bottom"/>
            <w:vMerge w:val="continue"/>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(903.7)</w:t>
            </w:r>
          </w:p>
        </w:tc>
        <w:tc>
          <w:tcPr>
            <w:tcW w:w="740" w:type="dxa"/>
            <w:vAlign w:val="bottom"/>
            <w:gridSpan w:val="2"/>
            <w:vMerge w:val="continue"/>
          </w:tcPr>
          <w:p>
            <w:pPr>
              <w:spacing w:after="0"/>
              <w:rPr>
                <w:sz w:val="19"/>
                <w:szCs w:val="19"/>
                <w:color w:val="auto"/>
              </w:rPr>
            </w:pPr>
          </w:p>
        </w:tc>
        <w:tc>
          <w:tcPr>
            <w:tcW w:w="60" w:type="dxa"/>
            <w:vAlign w:val="bottom"/>
            <w:vMerge w:val="continue"/>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6,072.3</w:t>
            </w:r>
          </w:p>
        </w:tc>
        <w:tc>
          <w:tcPr>
            <w:tcW w:w="160" w:type="dxa"/>
            <w:vAlign w:val="bottom"/>
            <w:vMerge w:val="continue"/>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7"/>
              </w:rPr>
              <w:t>(237.1)</w:t>
            </w:r>
          </w:p>
        </w:tc>
        <w:tc>
          <w:tcPr>
            <w:tcW w:w="120" w:type="dxa"/>
            <w:vAlign w:val="bottom"/>
            <w:vMerge w:val="continue"/>
          </w:tcPr>
          <w:p>
            <w:pPr>
              <w:spacing w:after="0"/>
              <w:rPr>
                <w:sz w:val="19"/>
                <w:szCs w:val="19"/>
                <w:color w:val="auto"/>
              </w:rPr>
            </w:pPr>
          </w:p>
        </w:tc>
        <w:tc>
          <w:tcPr>
            <w:tcW w:w="70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March 31, 2019</w:t>
            </w:r>
          </w:p>
        </w:tc>
        <w:tc>
          <w:tcPr>
            <w:tcW w:w="160" w:type="dxa"/>
            <w:vAlign w:val="bottom"/>
          </w:tcPr>
          <w:p>
            <w:pPr>
              <w:spacing w:after="0"/>
              <w:rPr>
                <w:sz w:val="24"/>
                <w:szCs w:val="24"/>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Member Mix</w:t>
            </w: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Member Mix</w:t>
            </w: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32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6"/>
              </w:rPr>
              <w:t>March 31, 2019</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w w:val="98"/>
              </w:rPr>
              <w:t>March 31, 2018</w:t>
            </w:r>
          </w:p>
        </w:tc>
        <w:tc>
          <w:tcPr>
            <w:tcW w:w="14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6"/>
              </w:rPr>
              <w:t>March 31, 2018</w:t>
            </w: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820" w:type="dxa"/>
            <w:vAlign w:val="bottom"/>
            <w:tcBorders>
              <w:top w:val="single" w:sz="8" w:color="CCEEFF"/>
            </w:tcBorders>
            <w:gridSpan w:val="5"/>
            <w:shd w:val="clear" w:color="auto" w:fill="CCEEFF"/>
          </w:tcPr>
          <w:p>
            <w:pPr>
              <w:spacing w:after="0" w:line="182" w:lineRule="exact"/>
              <w:rPr>
                <w:sz w:val="20"/>
                <w:szCs w:val="20"/>
                <w:color w:val="auto"/>
              </w:rPr>
            </w:pPr>
            <w:r>
              <w:rPr>
                <w:rFonts w:ascii="Arial" w:cs="Arial" w:eastAsia="Arial" w:hAnsi="Arial"/>
                <w:sz w:val="18"/>
                <w:szCs w:val="18"/>
                <w:color w:val="auto"/>
              </w:rPr>
              <w:t>Individual Medicare Advantage</w:t>
            </w:r>
          </w:p>
        </w:tc>
        <w:tc>
          <w:tcPr>
            <w:tcW w:w="10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5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1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5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20" w:type="dxa"/>
            <w:vAlign w:val="bottom"/>
            <w:gridSpan w:val="5"/>
            <w:shd w:val="clear" w:color="auto" w:fill="CCEEFF"/>
          </w:tcPr>
          <w:p>
            <w:pPr>
              <w:ind w:left="160"/>
              <w:spacing w:after="0"/>
              <w:rPr>
                <w:sz w:val="20"/>
                <w:szCs w:val="20"/>
                <w:color w:val="auto"/>
              </w:rPr>
            </w:pPr>
            <w:r>
              <w:rPr>
                <w:rFonts w:ascii="Arial" w:cs="Arial" w:eastAsia="Arial" w:hAnsi="Arial"/>
                <w:sz w:val="18"/>
                <w:szCs w:val="18"/>
                <w:color w:val="auto"/>
              </w:rPr>
              <w:t>Membership</w:t>
            </w: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gridSpan w:val="4"/>
          </w:tcPr>
          <w:p>
            <w:pPr>
              <w:ind w:left="180"/>
              <w:spacing w:after="0"/>
              <w:rPr>
                <w:sz w:val="20"/>
                <w:szCs w:val="20"/>
                <w:color w:val="auto"/>
              </w:rPr>
            </w:pPr>
            <w:r>
              <w:rPr>
                <w:rFonts w:ascii="Arial" w:cs="Arial" w:eastAsia="Arial" w:hAnsi="Arial"/>
                <w:sz w:val="18"/>
                <w:szCs w:val="18"/>
                <w:color w:val="auto"/>
              </w:rPr>
              <w:t>HMO</w:t>
            </w:r>
          </w:p>
        </w:tc>
        <w:tc>
          <w:tcPr>
            <w:tcW w:w="106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2,016.9</w:t>
            </w:r>
          </w:p>
        </w:tc>
        <w:tc>
          <w:tcPr>
            <w:tcW w:w="1320" w:type="dxa"/>
            <w:vAlign w:val="bottom"/>
            <w:gridSpan w:val="3"/>
          </w:tcPr>
          <w:p>
            <w:pPr>
              <w:jc w:val="right"/>
              <w:ind w:right="60"/>
              <w:spacing w:after="0"/>
              <w:rPr>
                <w:sz w:val="20"/>
                <w:szCs w:val="20"/>
                <w:color w:val="auto"/>
              </w:rPr>
            </w:pPr>
            <w:r>
              <w:rPr>
                <w:rFonts w:ascii="Arial" w:cs="Arial" w:eastAsia="Arial" w:hAnsi="Arial"/>
                <w:sz w:val="18"/>
                <w:szCs w:val="18"/>
                <w:color w:val="auto"/>
              </w:rPr>
              <w:t>59%</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1,762.5</w:t>
            </w:r>
          </w:p>
        </w:tc>
        <w:tc>
          <w:tcPr>
            <w:tcW w:w="1400" w:type="dxa"/>
            <w:vAlign w:val="bottom"/>
            <w:gridSpan w:val="3"/>
          </w:tcPr>
          <w:p>
            <w:pPr>
              <w:jc w:val="right"/>
              <w:ind w:right="120"/>
              <w:spacing w:after="0"/>
              <w:rPr>
                <w:sz w:val="20"/>
                <w:szCs w:val="20"/>
                <w:color w:val="auto"/>
              </w:rPr>
            </w:pPr>
            <w:r>
              <w:rPr>
                <w:rFonts w:ascii="Arial" w:cs="Arial" w:eastAsia="Arial" w:hAnsi="Arial"/>
                <w:sz w:val="18"/>
                <w:szCs w:val="18"/>
                <w:color w:val="auto"/>
              </w:rPr>
              <w:t>58%</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6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PPO</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1,416.4</w:t>
            </w:r>
          </w:p>
        </w:tc>
        <w:tc>
          <w:tcPr>
            <w:tcW w:w="13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41%</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1,256.0</w:t>
            </w:r>
          </w:p>
        </w:tc>
        <w:tc>
          <w:tcPr>
            <w:tcW w:w="14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42%</w:t>
            </w: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840" w:type="dxa"/>
            <w:vAlign w:val="bottom"/>
            <w:gridSpan w:val="6"/>
          </w:tcPr>
          <w:p>
            <w:pPr>
              <w:spacing w:after="0" w:line="205" w:lineRule="exact"/>
              <w:rPr>
                <w:sz w:val="20"/>
                <w:szCs w:val="20"/>
                <w:color w:val="auto"/>
              </w:rPr>
            </w:pPr>
            <w:r>
              <w:rPr>
                <w:rFonts w:ascii="Arial" w:cs="Arial" w:eastAsia="Arial" w:hAnsi="Arial"/>
                <w:sz w:val="18"/>
                <w:szCs w:val="18"/>
                <w:b w:val="1"/>
                <w:bCs w:val="1"/>
                <w:color w:val="auto"/>
              </w:rPr>
              <w:t>Total Individual Medicare</w:t>
            </w:r>
          </w:p>
        </w:tc>
        <w:tc>
          <w:tcPr>
            <w:tcW w:w="100" w:type="dxa"/>
            <w:vAlign w:val="bottom"/>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820" w:type="dxa"/>
            <w:vAlign w:val="bottom"/>
            <w:gridSpan w:val="5"/>
          </w:tcPr>
          <w:p>
            <w:pPr>
              <w:ind w:left="160"/>
              <w:spacing w:after="0"/>
              <w:rPr>
                <w:sz w:val="20"/>
                <w:szCs w:val="20"/>
                <w:color w:val="auto"/>
              </w:rPr>
            </w:pPr>
            <w:r>
              <w:rPr>
                <w:rFonts w:ascii="Arial" w:cs="Arial" w:eastAsia="Arial" w:hAnsi="Arial"/>
                <w:sz w:val="18"/>
                <w:szCs w:val="18"/>
                <w:b w:val="1"/>
                <w:bCs w:val="1"/>
                <w:color w:val="auto"/>
              </w:rPr>
              <w:t>Advantage</w:t>
            </w:r>
          </w:p>
        </w:tc>
        <w:tc>
          <w:tcPr>
            <w:tcW w:w="1060" w:type="dxa"/>
            <w:vAlign w:val="bottom"/>
            <w:gridSpan w:val="2"/>
          </w:tcPr>
          <w:p>
            <w:pPr>
              <w:jc w:val="right"/>
              <w:spacing w:after="0"/>
              <w:rPr>
                <w:sz w:val="20"/>
                <w:szCs w:val="20"/>
                <w:color w:val="auto"/>
              </w:rPr>
            </w:pPr>
            <w:r>
              <w:rPr>
                <w:rFonts w:ascii="Arial" w:cs="Arial" w:eastAsia="Arial" w:hAnsi="Arial"/>
                <w:sz w:val="18"/>
                <w:szCs w:val="18"/>
                <w:b w:val="1"/>
                <w:bCs w:val="1"/>
                <w:color w:val="auto"/>
              </w:rPr>
              <w:t>3,433.3</w:t>
            </w:r>
          </w:p>
        </w:tc>
        <w:tc>
          <w:tcPr>
            <w:tcW w:w="1320" w:type="dxa"/>
            <w:vAlign w:val="bottom"/>
            <w:gridSpan w:val="3"/>
          </w:tcPr>
          <w:p>
            <w:pPr>
              <w:jc w:val="right"/>
              <w:ind w:right="60"/>
              <w:spacing w:after="0"/>
              <w:rPr>
                <w:sz w:val="20"/>
                <w:szCs w:val="20"/>
                <w:color w:val="auto"/>
              </w:rPr>
            </w:pPr>
            <w:r>
              <w:rPr>
                <w:rFonts w:ascii="Arial" w:cs="Arial" w:eastAsia="Arial" w:hAnsi="Arial"/>
                <w:sz w:val="18"/>
                <w:szCs w:val="18"/>
                <w:color w:val="auto"/>
              </w:rPr>
              <w:t>100%</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3,018.5</w:t>
            </w:r>
          </w:p>
        </w:tc>
        <w:tc>
          <w:tcPr>
            <w:tcW w:w="1400" w:type="dxa"/>
            <w:vAlign w:val="bottom"/>
            <w:gridSpan w:val="3"/>
          </w:tcPr>
          <w:p>
            <w:pPr>
              <w:jc w:val="right"/>
              <w:ind w:right="120"/>
              <w:spacing w:after="0"/>
              <w:rPr>
                <w:sz w:val="20"/>
                <w:szCs w:val="20"/>
                <w:color w:val="auto"/>
              </w:rPr>
            </w:pPr>
            <w:r>
              <w:rPr>
                <w:rFonts w:ascii="Arial" w:cs="Arial" w:eastAsia="Arial" w:hAnsi="Arial"/>
                <w:sz w:val="18"/>
                <w:szCs w:val="18"/>
                <w:color w:val="auto"/>
              </w:rPr>
              <w:t>100%</w:t>
            </w: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20" w:type="dxa"/>
            <w:vAlign w:val="bottom"/>
            <w:gridSpan w:val="5"/>
            <w:shd w:val="clear" w:color="auto" w:fill="CCEEFF"/>
          </w:tcPr>
          <w:p>
            <w:pPr>
              <w:spacing w:after="0" w:line="201" w:lineRule="exact"/>
              <w:rPr>
                <w:sz w:val="20"/>
                <w:szCs w:val="20"/>
                <w:color w:val="auto"/>
              </w:rPr>
            </w:pPr>
            <w:r>
              <w:rPr>
                <w:rFonts w:ascii="Arial" w:cs="Arial" w:eastAsia="Arial" w:hAnsi="Arial"/>
                <w:sz w:val="18"/>
                <w:szCs w:val="18"/>
                <w:color w:val="auto"/>
              </w:rPr>
              <w:t>Individual Medicare Advantage</w:t>
            </w:r>
          </w:p>
        </w:tc>
        <w:tc>
          <w:tcPr>
            <w:tcW w:w="100" w:type="dxa"/>
            <w:vAlign w:val="bottom"/>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20" w:type="dxa"/>
            <w:vAlign w:val="bottom"/>
            <w:gridSpan w:val="5"/>
            <w:shd w:val="clear" w:color="auto" w:fill="CCEEFF"/>
          </w:tcPr>
          <w:p>
            <w:pPr>
              <w:ind w:left="160"/>
              <w:spacing w:after="0"/>
              <w:rPr>
                <w:sz w:val="20"/>
                <w:szCs w:val="20"/>
                <w:color w:val="auto"/>
              </w:rPr>
            </w:pPr>
            <w:r>
              <w:rPr>
                <w:rFonts w:ascii="Arial" w:cs="Arial" w:eastAsia="Arial" w:hAnsi="Arial"/>
                <w:sz w:val="18"/>
                <w:szCs w:val="18"/>
                <w:color w:val="auto"/>
              </w:rPr>
              <w:t>Membership</w:t>
            </w: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gridSpan w:val="4"/>
          </w:tcPr>
          <w:p>
            <w:pPr>
              <w:ind w:left="180"/>
              <w:spacing w:after="0"/>
              <w:rPr>
                <w:sz w:val="20"/>
                <w:szCs w:val="20"/>
                <w:color w:val="auto"/>
              </w:rPr>
            </w:pPr>
            <w:r>
              <w:rPr>
                <w:rFonts w:ascii="Arial" w:cs="Arial" w:eastAsia="Arial" w:hAnsi="Arial"/>
                <w:sz w:val="18"/>
                <w:szCs w:val="18"/>
                <w:color w:val="auto"/>
              </w:rPr>
              <w:t>Shared Risk (H)</w:t>
            </w:r>
          </w:p>
        </w:tc>
        <w:tc>
          <w:tcPr>
            <w:tcW w:w="1060" w:type="dxa"/>
            <w:vAlign w:val="bottom"/>
            <w:gridSpan w:val="2"/>
          </w:tcPr>
          <w:p>
            <w:pPr>
              <w:jc w:val="right"/>
              <w:spacing w:after="0"/>
              <w:rPr>
                <w:sz w:val="20"/>
                <w:szCs w:val="20"/>
                <w:color w:val="auto"/>
              </w:rPr>
            </w:pPr>
            <w:r>
              <w:rPr>
                <w:rFonts w:ascii="Arial" w:cs="Arial" w:eastAsia="Arial" w:hAnsi="Arial"/>
                <w:sz w:val="18"/>
                <w:szCs w:val="18"/>
                <w:b w:val="1"/>
                <w:bCs w:val="1"/>
                <w:color w:val="auto"/>
              </w:rPr>
              <w:t>1,024.7</w:t>
            </w:r>
          </w:p>
        </w:tc>
        <w:tc>
          <w:tcPr>
            <w:tcW w:w="1320" w:type="dxa"/>
            <w:vAlign w:val="bottom"/>
            <w:gridSpan w:val="3"/>
          </w:tcPr>
          <w:p>
            <w:pPr>
              <w:jc w:val="right"/>
              <w:ind w:right="60"/>
              <w:spacing w:after="0"/>
              <w:rPr>
                <w:sz w:val="20"/>
                <w:szCs w:val="20"/>
                <w:color w:val="auto"/>
              </w:rPr>
            </w:pPr>
            <w:r>
              <w:rPr>
                <w:rFonts w:ascii="Arial" w:cs="Arial" w:eastAsia="Arial" w:hAnsi="Arial"/>
                <w:sz w:val="18"/>
                <w:szCs w:val="18"/>
                <w:color w:val="auto"/>
              </w:rPr>
              <w:t>30%</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915.7</w:t>
            </w:r>
          </w:p>
        </w:tc>
        <w:tc>
          <w:tcPr>
            <w:tcW w:w="1400" w:type="dxa"/>
            <w:vAlign w:val="bottom"/>
            <w:gridSpan w:val="3"/>
          </w:tcPr>
          <w:p>
            <w:pPr>
              <w:jc w:val="right"/>
              <w:ind w:right="120"/>
              <w:spacing w:after="0"/>
              <w:rPr>
                <w:sz w:val="20"/>
                <w:szCs w:val="20"/>
                <w:color w:val="auto"/>
              </w:rPr>
            </w:pPr>
            <w:r>
              <w:rPr>
                <w:rFonts w:ascii="Arial" w:cs="Arial" w:eastAsia="Arial" w:hAnsi="Arial"/>
                <w:sz w:val="18"/>
                <w:szCs w:val="18"/>
                <w:color w:val="auto"/>
              </w:rPr>
              <w:t>30%</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6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Path to Risk (I)</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1,198.6</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1,043.7</w:t>
            </w:r>
          </w:p>
        </w:tc>
        <w:tc>
          <w:tcPr>
            <w:tcW w:w="14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35%</w:t>
            </w: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2660" w:type="dxa"/>
            <w:vAlign w:val="bottom"/>
            <w:gridSpan w:val="4"/>
            <w:vMerge w:val="restart"/>
          </w:tcPr>
          <w:p>
            <w:pPr>
              <w:ind w:left="540"/>
              <w:spacing w:after="0"/>
              <w:rPr>
                <w:sz w:val="20"/>
                <w:szCs w:val="20"/>
                <w:color w:val="auto"/>
              </w:rPr>
            </w:pPr>
            <w:r>
              <w:rPr>
                <w:rFonts w:ascii="Arial" w:cs="Arial" w:eastAsia="Arial" w:hAnsi="Arial"/>
                <w:sz w:val="18"/>
                <w:szCs w:val="18"/>
                <w:color w:val="auto"/>
              </w:rPr>
              <w:t>Total Value-based</w:t>
            </w:r>
          </w:p>
        </w:tc>
        <w:tc>
          <w:tcPr>
            <w:tcW w:w="100" w:type="dxa"/>
            <w:vAlign w:val="bottom"/>
            <w:vMerge w:val="restart"/>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60" w:type="dxa"/>
            <w:vAlign w:val="bottom"/>
            <w:vMerge w:val="continue"/>
          </w:tcPr>
          <w:p>
            <w:pPr>
              <w:spacing w:after="0"/>
              <w:rPr>
                <w:sz w:val="19"/>
                <w:szCs w:val="19"/>
                <w:color w:val="auto"/>
              </w:rPr>
            </w:pPr>
          </w:p>
        </w:tc>
        <w:tc>
          <w:tcPr>
            <w:tcW w:w="2660" w:type="dxa"/>
            <w:vAlign w:val="bottom"/>
            <w:gridSpan w:val="4"/>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2,223.3</w:t>
            </w:r>
          </w:p>
        </w:tc>
        <w:tc>
          <w:tcPr>
            <w:tcW w:w="160" w:type="dxa"/>
            <w:vAlign w:val="bottom"/>
            <w:vMerge w:val="continue"/>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65%</w:t>
            </w:r>
          </w:p>
        </w:tc>
        <w:tc>
          <w:tcPr>
            <w:tcW w:w="80" w:type="dxa"/>
            <w:vAlign w:val="bottom"/>
            <w:vMerge w:val="continue"/>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1,959.4</w:t>
            </w:r>
          </w:p>
        </w:tc>
        <w:tc>
          <w:tcPr>
            <w:tcW w:w="180" w:type="dxa"/>
            <w:vAlign w:val="bottom"/>
            <w:vMerge w:val="continue"/>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65%</w:t>
            </w: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6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1,210.0</w:t>
            </w:r>
          </w:p>
        </w:tc>
        <w:tc>
          <w:tcPr>
            <w:tcW w:w="13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35%</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1,059.1</w:t>
            </w:r>
          </w:p>
        </w:tc>
        <w:tc>
          <w:tcPr>
            <w:tcW w:w="14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35%</w:t>
            </w: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840" w:type="dxa"/>
            <w:vAlign w:val="bottom"/>
            <w:gridSpan w:val="6"/>
          </w:tcPr>
          <w:p>
            <w:pPr>
              <w:spacing w:after="0" w:line="205" w:lineRule="exact"/>
              <w:rPr>
                <w:sz w:val="20"/>
                <w:szCs w:val="20"/>
                <w:color w:val="auto"/>
              </w:rPr>
            </w:pPr>
            <w:r>
              <w:rPr>
                <w:rFonts w:ascii="Arial" w:cs="Arial" w:eastAsia="Arial" w:hAnsi="Arial"/>
                <w:sz w:val="18"/>
                <w:szCs w:val="18"/>
                <w:b w:val="1"/>
                <w:bCs w:val="1"/>
                <w:color w:val="auto"/>
              </w:rPr>
              <w:t>Total Individual Medicare</w:t>
            </w:r>
          </w:p>
        </w:tc>
        <w:tc>
          <w:tcPr>
            <w:tcW w:w="100" w:type="dxa"/>
            <w:vAlign w:val="bottom"/>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820" w:type="dxa"/>
            <w:vAlign w:val="bottom"/>
            <w:gridSpan w:val="5"/>
          </w:tcPr>
          <w:p>
            <w:pPr>
              <w:ind w:left="160"/>
              <w:spacing w:after="0"/>
              <w:rPr>
                <w:sz w:val="20"/>
                <w:szCs w:val="20"/>
                <w:color w:val="auto"/>
              </w:rPr>
            </w:pPr>
            <w:r>
              <w:rPr>
                <w:rFonts w:ascii="Arial" w:cs="Arial" w:eastAsia="Arial" w:hAnsi="Arial"/>
                <w:sz w:val="18"/>
                <w:szCs w:val="18"/>
                <w:b w:val="1"/>
                <w:bCs w:val="1"/>
                <w:color w:val="auto"/>
              </w:rPr>
              <w:t>Advantage</w:t>
            </w:r>
          </w:p>
        </w:tc>
        <w:tc>
          <w:tcPr>
            <w:tcW w:w="1060" w:type="dxa"/>
            <w:vAlign w:val="bottom"/>
            <w:gridSpan w:val="2"/>
          </w:tcPr>
          <w:p>
            <w:pPr>
              <w:jc w:val="right"/>
              <w:spacing w:after="0"/>
              <w:rPr>
                <w:sz w:val="20"/>
                <w:szCs w:val="20"/>
                <w:color w:val="auto"/>
              </w:rPr>
            </w:pPr>
            <w:r>
              <w:rPr>
                <w:rFonts w:ascii="Arial" w:cs="Arial" w:eastAsia="Arial" w:hAnsi="Arial"/>
                <w:sz w:val="18"/>
                <w:szCs w:val="18"/>
                <w:b w:val="1"/>
                <w:bCs w:val="1"/>
                <w:color w:val="auto"/>
              </w:rPr>
              <w:t>3,433.3</w:t>
            </w:r>
          </w:p>
        </w:tc>
        <w:tc>
          <w:tcPr>
            <w:tcW w:w="1320" w:type="dxa"/>
            <w:vAlign w:val="bottom"/>
            <w:gridSpan w:val="3"/>
          </w:tcPr>
          <w:p>
            <w:pPr>
              <w:jc w:val="right"/>
              <w:ind w:right="60"/>
              <w:spacing w:after="0"/>
              <w:rPr>
                <w:sz w:val="20"/>
                <w:szCs w:val="20"/>
                <w:color w:val="auto"/>
              </w:rPr>
            </w:pPr>
            <w:r>
              <w:rPr>
                <w:rFonts w:ascii="Arial" w:cs="Arial" w:eastAsia="Arial" w:hAnsi="Arial"/>
                <w:sz w:val="18"/>
                <w:szCs w:val="18"/>
                <w:color w:val="auto"/>
              </w:rPr>
              <w:t>100%</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3,018.5</w:t>
            </w:r>
          </w:p>
        </w:tc>
        <w:tc>
          <w:tcPr>
            <w:tcW w:w="1400" w:type="dxa"/>
            <w:vAlign w:val="bottom"/>
            <w:gridSpan w:val="3"/>
          </w:tcPr>
          <w:p>
            <w:pPr>
              <w:jc w:val="right"/>
              <w:ind w:right="120"/>
              <w:spacing w:after="0"/>
              <w:rPr>
                <w:sz w:val="20"/>
                <w:szCs w:val="20"/>
                <w:color w:val="auto"/>
              </w:rPr>
            </w:pPr>
            <w:r>
              <w:rPr>
                <w:rFonts w:ascii="Arial" w:cs="Arial" w:eastAsia="Arial" w:hAnsi="Arial"/>
                <w:sz w:val="18"/>
                <w:szCs w:val="18"/>
                <w:color w:val="auto"/>
              </w:rPr>
              <w:t>100%</w:t>
            </w: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Borders>
              <w:top w:val="single" w:sz="8" w:color="auto"/>
            </w:tcBorders>
          </w:tcPr>
          <w:p>
            <w:pPr>
              <w:jc w:val="right"/>
              <w:ind w:right="470"/>
              <w:spacing w:after="0"/>
              <w:rPr>
                <w:sz w:val="20"/>
                <w:szCs w:val="20"/>
                <w:color w:val="auto"/>
              </w:rPr>
            </w:pPr>
            <w:r>
              <w:rPr>
                <w:rFonts w:ascii="Arial" w:cs="Arial" w:eastAsia="Arial" w:hAnsi="Arial"/>
                <w:sz w:val="18"/>
                <w:szCs w:val="18"/>
                <w:color w:val="auto"/>
              </w:rPr>
              <w:t>S-8</w:t>
            </w:r>
          </w:p>
        </w:tc>
        <w:tc>
          <w:tcPr>
            <w:tcW w:w="180" w:type="dxa"/>
            <w:vAlign w:val="bottom"/>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40"/>
          </w:cols>
          <w:pgMar w:left="440" w:top="274" w:right="419" w:bottom="1440" w:gutter="0" w:footer="0" w:header="0"/>
        </w:sectPr>
      </w:pPr>
    </w:p>
    <w:bookmarkStart w:id="38" w:name="page39"/>
    <w:bookmarkEnd w:id="3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Humana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Premiums and Services Revenue Detail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Dollars in millions, except per member per month</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2840" w:type="dxa"/>
            <w:vAlign w:val="bottom"/>
            <w:gridSpan w:val="7"/>
            <w:vMerge w:val="restart"/>
          </w:tcPr>
          <w:p>
            <w:pPr>
              <w:ind w:left="480"/>
              <w:spacing w:after="0"/>
              <w:rPr>
                <w:sz w:val="20"/>
                <w:szCs w:val="20"/>
                <w:color w:val="auto"/>
              </w:rPr>
            </w:pPr>
            <w:r>
              <w:rPr>
                <w:rFonts w:ascii="Arial" w:cs="Arial" w:eastAsia="Arial" w:hAnsi="Arial"/>
                <w:sz w:val="14"/>
                <w:szCs w:val="14"/>
                <w:b w:val="1"/>
                <w:bCs w:val="1"/>
                <w:color w:val="auto"/>
                <w:w w:val="92"/>
              </w:rPr>
              <w:t>For the three months ended March 31,</w:t>
            </w: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20" w:type="dxa"/>
            <w:vAlign w:val="bottom"/>
            <w:gridSpan w:val="5"/>
          </w:tcPr>
          <w:p>
            <w:pPr>
              <w:ind w:left="120"/>
              <w:spacing w:after="0"/>
              <w:rPr>
                <w:sz w:val="20"/>
                <w:szCs w:val="20"/>
                <w:color w:val="auto"/>
              </w:rPr>
            </w:pPr>
            <w:r>
              <w:rPr>
                <w:rFonts w:ascii="Arial" w:cs="Arial" w:eastAsia="Arial" w:hAnsi="Arial"/>
                <w:sz w:val="14"/>
                <w:szCs w:val="14"/>
                <w:b w:val="1"/>
                <w:bCs w:val="1"/>
                <w:color w:val="auto"/>
              </w:rPr>
              <w:t xml:space="preserve">Per Member per Month </w:t>
            </w:r>
            <w:r>
              <w:rPr>
                <w:rFonts w:ascii="Arial" w:cs="Arial" w:eastAsia="Arial" w:hAnsi="Arial"/>
                <w:sz w:val="14"/>
                <w:szCs w:val="14"/>
                <w:color w:val="auto"/>
              </w:rPr>
              <w:t>(K)</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2840" w:type="dxa"/>
            <w:vAlign w:val="bottom"/>
            <w:gridSpan w:val="7"/>
            <w:vMerge w:val="continue"/>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4"/>
                <w:szCs w:val="14"/>
                <w:color w:val="auto"/>
              </w:rPr>
              <w:t>Dollar</w:t>
            </w:r>
          </w:p>
        </w:tc>
        <w:tc>
          <w:tcPr>
            <w:tcW w:w="920" w:type="dxa"/>
            <w:vAlign w:val="bottom"/>
            <w:gridSpan w:val="3"/>
          </w:tcPr>
          <w:p>
            <w:pPr>
              <w:jc w:val="right"/>
              <w:ind w:right="220"/>
              <w:spacing w:after="0"/>
              <w:rPr>
                <w:sz w:val="20"/>
                <w:szCs w:val="20"/>
                <w:color w:val="auto"/>
              </w:rPr>
            </w:pPr>
            <w:r>
              <w:rPr>
                <w:rFonts w:ascii="Arial" w:cs="Arial" w:eastAsia="Arial" w:hAnsi="Arial"/>
                <w:sz w:val="14"/>
                <w:szCs w:val="14"/>
                <w:color w:val="auto"/>
                <w:w w:val="94"/>
              </w:rPr>
              <w:t>Percentage</w:t>
            </w:r>
          </w:p>
        </w:tc>
        <w:tc>
          <w:tcPr>
            <w:tcW w:w="2500" w:type="dxa"/>
            <w:vAlign w:val="bottom"/>
            <w:gridSpan w:val="7"/>
          </w:tcPr>
          <w:p>
            <w:pPr>
              <w:ind w:left="60"/>
              <w:spacing w:after="0"/>
              <w:rPr>
                <w:sz w:val="20"/>
                <w:szCs w:val="20"/>
                <w:color w:val="auto"/>
              </w:rPr>
            </w:pPr>
            <w:r>
              <w:rPr>
                <w:rFonts w:ascii="Arial" w:cs="Arial" w:eastAsia="Arial" w:hAnsi="Arial"/>
                <w:sz w:val="14"/>
                <w:szCs w:val="14"/>
                <w:b w:val="1"/>
                <w:bCs w:val="1"/>
                <w:color w:val="auto"/>
                <w:w w:val="95"/>
              </w:rPr>
              <w:t>For the three months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ind w:right="291"/>
              <w:spacing w:after="0" w:line="142"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ind w:right="311"/>
              <w:spacing w:after="0" w:line="142" w:lineRule="exact"/>
              <w:rPr>
                <w:sz w:val="20"/>
                <w:szCs w:val="20"/>
                <w:color w:val="auto"/>
              </w:rPr>
            </w:pPr>
            <w:r>
              <w:rPr>
                <w:rFonts w:ascii="Arial" w:cs="Arial" w:eastAsia="Arial" w:hAnsi="Arial"/>
                <w:sz w:val="14"/>
                <w:szCs w:val="14"/>
                <w:color w:val="auto"/>
              </w:rPr>
              <w:t>2018</w:t>
            </w:r>
          </w:p>
        </w:tc>
        <w:tc>
          <w:tcPr>
            <w:tcW w:w="160" w:type="dxa"/>
            <w:vAlign w:val="bottom"/>
          </w:tcPr>
          <w:p>
            <w:pPr>
              <w:spacing w:after="0"/>
              <w:rPr>
                <w:sz w:val="12"/>
                <w:szCs w:val="12"/>
                <w:color w:val="auto"/>
              </w:rPr>
            </w:pPr>
          </w:p>
        </w:tc>
        <w:tc>
          <w:tcPr>
            <w:tcW w:w="620" w:type="dxa"/>
            <w:vAlign w:val="bottom"/>
            <w:gridSpan w:val="2"/>
          </w:tcPr>
          <w:p>
            <w:pPr>
              <w:jc w:val="right"/>
              <w:ind w:right="160"/>
              <w:spacing w:after="0" w:line="142" w:lineRule="exact"/>
              <w:rPr>
                <w:sz w:val="20"/>
                <w:szCs w:val="20"/>
                <w:color w:val="auto"/>
              </w:rPr>
            </w:pPr>
            <w:r>
              <w:rPr>
                <w:rFonts w:ascii="Arial" w:cs="Arial" w:eastAsia="Arial" w:hAnsi="Arial"/>
                <w:sz w:val="14"/>
                <w:szCs w:val="14"/>
                <w:color w:val="auto"/>
                <w:w w:val="89"/>
              </w:rPr>
              <w:t>Change</w:t>
            </w:r>
          </w:p>
        </w:tc>
        <w:tc>
          <w:tcPr>
            <w:tcW w:w="80" w:type="dxa"/>
            <w:vAlign w:val="bottom"/>
          </w:tcPr>
          <w:p>
            <w:pPr>
              <w:spacing w:after="0"/>
              <w:rPr>
                <w:sz w:val="12"/>
                <w:szCs w:val="12"/>
                <w:color w:val="auto"/>
              </w:rPr>
            </w:pPr>
          </w:p>
        </w:tc>
        <w:tc>
          <w:tcPr>
            <w:tcW w:w="840" w:type="dxa"/>
            <w:vAlign w:val="bottom"/>
            <w:gridSpan w:val="2"/>
          </w:tcPr>
          <w:p>
            <w:pPr>
              <w:jc w:val="right"/>
              <w:ind w:right="320"/>
              <w:spacing w:after="0" w:line="142" w:lineRule="exact"/>
              <w:rPr>
                <w:sz w:val="20"/>
                <w:szCs w:val="20"/>
                <w:color w:val="auto"/>
              </w:rPr>
            </w:pPr>
            <w:r>
              <w:rPr>
                <w:rFonts w:ascii="Arial" w:cs="Arial" w:eastAsia="Arial" w:hAnsi="Arial"/>
                <w:sz w:val="14"/>
                <w:szCs w:val="14"/>
                <w:color w:val="auto"/>
              </w:rPr>
              <w:t>Change</w:t>
            </w:r>
          </w:p>
        </w:tc>
        <w:tc>
          <w:tcPr>
            <w:tcW w:w="8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274"/>
              <w:spacing w:after="0" w:line="142" w:lineRule="exact"/>
              <w:rPr>
                <w:sz w:val="20"/>
                <w:szCs w:val="20"/>
                <w:color w:val="auto"/>
              </w:rPr>
            </w:pPr>
            <w:r>
              <w:rPr>
                <w:rFonts w:ascii="Arial" w:cs="Arial" w:eastAsia="Arial" w:hAnsi="Arial"/>
                <w:sz w:val="14"/>
                <w:szCs w:val="14"/>
                <w:b w:val="1"/>
                <w:bCs w:val="1"/>
                <w:color w:val="auto"/>
              </w:rPr>
              <w:t>2019</w:t>
            </w:r>
          </w:p>
        </w:tc>
        <w:tc>
          <w:tcPr>
            <w:tcW w:w="3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ind w:right="312"/>
              <w:spacing w:after="0" w:line="142" w:lineRule="exact"/>
              <w:rPr>
                <w:sz w:val="20"/>
                <w:szCs w:val="20"/>
                <w:color w:val="auto"/>
              </w:rPr>
            </w:pPr>
            <w:r>
              <w:rPr>
                <w:rFonts w:ascii="Arial" w:cs="Arial" w:eastAsia="Arial" w:hAnsi="Arial"/>
                <w:sz w:val="14"/>
                <w:szCs w:val="14"/>
                <w:color w:val="auto"/>
              </w:rPr>
              <w:t>2018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Premiums and Services Revenue</w:t>
            </w:r>
          </w:p>
        </w:tc>
        <w:tc>
          <w:tcPr>
            <w:tcW w:w="4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340"/>
              <w:spacing w:after="0"/>
              <w:rPr>
                <w:sz w:val="20"/>
                <w:szCs w:val="20"/>
                <w:color w:val="auto"/>
              </w:rPr>
            </w:pPr>
            <w:r>
              <w:rPr>
                <w:rFonts w:ascii="Arial" w:cs="Arial" w:eastAsia="Arial" w:hAnsi="Arial"/>
                <w:sz w:val="18"/>
                <w:szCs w:val="18"/>
                <w:b w:val="1"/>
                <w:bCs w:val="1"/>
                <w:color w:val="auto"/>
              </w:rPr>
              <w:t>Retail</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Individual Medicare Advantage</w:t>
            </w:r>
          </w:p>
        </w:tc>
        <w:tc>
          <w:tcPr>
            <w:tcW w:w="700" w:type="dxa"/>
            <w:vAlign w:val="bottom"/>
            <w:gridSpan w:val="2"/>
            <w:shd w:val="clear" w:color="auto" w:fill="CCEEFF"/>
          </w:tcPr>
          <w:p>
            <w:pPr>
              <w:ind w:left="480"/>
              <w:spacing w:after="0"/>
              <w:rPr>
                <w:sz w:val="20"/>
                <w:szCs w:val="20"/>
                <w:color w:val="auto"/>
              </w:rPr>
            </w:pPr>
            <w:r>
              <w:rPr>
                <w:rFonts w:ascii="Arial" w:cs="Arial" w:eastAsia="Arial" w:hAnsi="Arial"/>
                <w:sz w:val="18"/>
                <w:szCs w:val="18"/>
                <w:b w:val="1"/>
                <w:bCs w:val="1"/>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10,709</w:t>
            </w:r>
          </w:p>
        </w:tc>
        <w:tc>
          <w:tcPr>
            <w:tcW w:w="1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8,970</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$1,739</w:t>
            </w:r>
          </w:p>
        </w:tc>
        <w:tc>
          <w:tcPr>
            <w:tcW w:w="1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19.4%</w:t>
            </w:r>
          </w:p>
        </w:tc>
        <w:tc>
          <w:tcPr>
            <w:tcW w:w="280" w:type="dxa"/>
            <w:vAlign w:val="bottom"/>
            <w:gridSpan w:val="2"/>
            <w:shd w:val="clear" w:color="auto" w:fill="CCEEFF"/>
          </w:tcPr>
          <w:p>
            <w:pPr>
              <w:ind w:left="60"/>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1,044</w:t>
            </w: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700"/>
              <w:spacing w:after="0"/>
              <w:rPr>
                <w:sz w:val="20"/>
                <w:szCs w:val="20"/>
                <w:color w:val="auto"/>
              </w:rPr>
            </w:pPr>
            <w:r>
              <w:rPr>
                <w:rFonts w:ascii="Arial" w:cs="Arial" w:eastAsia="Arial" w:hAnsi="Arial"/>
                <w:sz w:val="18"/>
                <w:szCs w:val="18"/>
                <w:color w:val="auto"/>
              </w:rPr>
              <w:t>Group Medicare Advantage</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1,632</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1,524</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18"/>
                <w:szCs w:val="18"/>
                <w:color w:val="auto"/>
              </w:rPr>
            </w:pPr>
          </w:p>
        </w:tc>
        <w:tc>
          <w:tcPr>
            <w:tcW w:w="920" w:type="dxa"/>
            <w:vAlign w:val="bottom"/>
            <w:gridSpan w:val="3"/>
          </w:tcPr>
          <w:p>
            <w:pPr>
              <w:jc w:val="right"/>
              <w:ind w:right="60"/>
              <w:spacing w:after="0"/>
              <w:rPr>
                <w:sz w:val="20"/>
                <w:szCs w:val="20"/>
                <w:color w:val="auto"/>
              </w:rPr>
            </w:pPr>
            <w:r>
              <w:rPr>
                <w:rFonts w:ascii="Arial" w:cs="Arial" w:eastAsia="Arial" w:hAnsi="Arial"/>
                <w:sz w:val="18"/>
                <w:szCs w:val="18"/>
                <w:color w:val="auto"/>
              </w:rPr>
              <w:t>7.1%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1,051</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1,027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Medicare stand-alone PDP</w:t>
            </w: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809</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w:t>
            </w: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(87)</w:t>
            </w:r>
          </w:p>
        </w:tc>
        <w:tc>
          <w:tcPr>
            <w:tcW w:w="9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60</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700"/>
              <w:spacing w:after="0"/>
              <w:rPr>
                <w:sz w:val="20"/>
                <w:szCs w:val="20"/>
                <w:color w:val="auto"/>
              </w:rPr>
            </w:pPr>
            <w:r>
              <w:rPr>
                <w:rFonts w:ascii="Arial" w:cs="Arial" w:eastAsia="Arial" w:hAnsi="Arial"/>
                <w:sz w:val="18"/>
                <w:szCs w:val="18"/>
                <w:color w:val="auto"/>
              </w:rPr>
              <w:t>State-based contracts (F)</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677</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553</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124</w:t>
            </w:r>
          </w:p>
        </w:tc>
        <w:tc>
          <w:tcPr>
            <w:tcW w:w="120" w:type="dxa"/>
            <w:vAlign w:val="bottom"/>
          </w:tcPr>
          <w:p>
            <w:pPr>
              <w:spacing w:after="0"/>
              <w:rPr>
                <w:sz w:val="18"/>
                <w:szCs w:val="18"/>
                <w:color w:val="auto"/>
              </w:rPr>
            </w:pPr>
          </w:p>
        </w:tc>
        <w:tc>
          <w:tcPr>
            <w:tcW w:w="920" w:type="dxa"/>
            <w:vAlign w:val="bottom"/>
            <w:gridSpan w:val="3"/>
          </w:tcPr>
          <w:p>
            <w:pPr>
              <w:jc w:val="right"/>
              <w:ind w:right="60"/>
              <w:spacing w:after="0"/>
              <w:rPr>
                <w:sz w:val="20"/>
                <w:szCs w:val="20"/>
                <w:color w:val="auto"/>
              </w:rPr>
            </w:pPr>
            <w:r>
              <w:rPr>
                <w:rFonts w:ascii="Arial" w:cs="Arial" w:eastAsia="Arial" w:hAnsi="Arial"/>
                <w:sz w:val="18"/>
                <w:szCs w:val="18"/>
                <w:color w:val="auto"/>
              </w:rPr>
              <w:t>22.4%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514</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543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Medicare Supplement</w:t>
            </w: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12.0%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176</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80" w:type="dxa"/>
            <w:vAlign w:val="bottom"/>
          </w:tcPr>
          <w:p>
            <w:pPr>
              <w:ind w:left="700"/>
              <w:spacing w:after="0"/>
              <w:rPr>
                <w:sz w:val="20"/>
                <w:szCs w:val="20"/>
                <w:color w:val="auto"/>
              </w:rPr>
            </w:pPr>
            <w:r>
              <w:rPr>
                <w:rFonts w:ascii="Arial" w:cs="Arial" w:eastAsia="Arial" w:hAnsi="Arial"/>
                <w:sz w:val="18"/>
                <w:szCs w:val="18"/>
                <w:color w:val="auto"/>
              </w:rPr>
              <w:t>Other services</w:t>
            </w:r>
          </w:p>
        </w:tc>
        <w:tc>
          <w:tcPr>
            <w:tcW w:w="4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920" w:type="dxa"/>
            <w:vAlign w:val="bottom"/>
            <w:gridSpan w:val="3"/>
          </w:tcPr>
          <w:p>
            <w:pPr>
              <w:jc w:val="right"/>
              <w:ind w:right="60"/>
              <w:spacing w:after="0"/>
              <w:rPr>
                <w:sz w:val="20"/>
                <w:szCs w:val="20"/>
                <w:color w:val="auto"/>
              </w:rPr>
            </w:pPr>
            <w:r>
              <w:rPr>
                <w:rFonts w:ascii="Arial" w:cs="Arial" w:eastAsia="Arial" w:hAnsi="Arial"/>
                <w:sz w:val="18"/>
                <w:szCs w:val="18"/>
                <w:color w:val="auto"/>
              </w:rPr>
              <w:t>150.0%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ind w:left="1060"/>
              <w:spacing w:after="0"/>
              <w:rPr>
                <w:sz w:val="20"/>
                <w:szCs w:val="20"/>
                <w:color w:val="auto"/>
              </w:rPr>
            </w:pPr>
            <w:r>
              <w:rPr>
                <w:rFonts w:ascii="Arial" w:cs="Arial" w:eastAsia="Arial" w:hAnsi="Arial"/>
                <w:sz w:val="18"/>
                <w:szCs w:val="18"/>
                <w:b w:val="1"/>
                <w:bCs w:val="1"/>
                <w:color w:val="auto"/>
              </w:rPr>
              <w:t>Total Retail</w:t>
            </w: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13,972</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12,070</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1,902</w:t>
            </w:r>
          </w:p>
        </w:tc>
        <w:tc>
          <w:tcPr>
            <w:tcW w:w="1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15.8%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00" w:type="dxa"/>
            <w:vAlign w:val="bottom"/>
            <w:gridSpan w:val="2"/>
          </w:tcPr>
          <w:p>
            <w:pPr>
              <w:spacing w:after="0"/>
              <w:rPr>
                <w:sz w:val="20"/>
                <w:szCs w:val="20"/>
                <w:color w:val="auto"/>
              </w:rPr>
            </w:pPr>
            <w:r>
              <w:rPr>
                <w:rFonts w:ascii="Arial" w:cs="Arial" w:eastAsia="Arial" w:hAnsi="Arial"/>
                <w:sz w:val="18"/>
                <w:szCs w:val="18"/>
                <w:b w:val="1"/>
                <w:bCs w:val="1"/>
                <w:color w:val="auto"/>
              </w:rPr>
              <w:t>Group and Specialty</w:t>
            </w:r>
          </w:p>
        </w:tc>
        <w:tc>
          <w:tcPr>
            <w:tcW w:w="4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Fully-insured commercial medical</w:t>
            </w: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1,311</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1,392</w:t>
            </w: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(81)</w:t>
            </w:r>
          </w:p>
        </w:tc>
        <w:tc>
          <w:tcPr>
            <w:tcW w:w="9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454</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700"/>
              <w:spacing w:after="0"/>
              <w:rPr>
                <w:sz w:val="20"/>
                <w:szCs w:val="20"/>
                <w:color w:val="auto"/>
              </w:rPr>
            </w:pPr>
            <w:r>
              <w:rPr>
                <w:rFonts w:ascii="Arial" w:cs="Arial" w:eastAsia="Arial" w:hAnsi="Arial"/>
                <w:sz w:val="18"/>
                <w:szCs w:val="18"/>
                <w:color w:val="auto"/>
              </w:rPr>
              <w:t>Specialty</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373</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347</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18"/>
                <w:szCs w:val="18"/>
                <w:color w:val="auto"/>
              </w:rPr>
            </w:pPr>
          </w:p>
        </w:tc>
        <w:tc>
          <w:tcPr>
            <w:tcW w:w="920" w:type="dxa"/>
            <w:vAlign w:val="bottom"/>
            <w:gridSpan w:val="3"/>
          </w:tcPr>
          <w:p>
            <w:pPr>
              <w:jc w:val="right"/>
              <w:ind w:right="60"/>
              <w:spacing w:after="0"/>
              <w:rPr>
                <w:sz w:val="20"/>
                <w:szCs w:val="20"/>
                <w:color w:val="auto"/>
              </w:rPr>
            </w:pPr>
            <w:r>
              <w:rPr>
                <w:rFonts w:ascii="Arial" w:cs="Arial" w:eastAsia="Arial" w:hAnsi="Arial"/>
                <w:sz w:val="18"/>
                <w:szCs w:val="18"/>
                <w:color w:val="auto"/>
              </w:rPr>
              <w:t>7.5%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24</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Commercial ASO &amp; other services (E)</w:t>
            </w: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77</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w:t>
            </w:r>
          </w:p>
        </w:tc>
        <w:tc>
          <w:tcPr>
            <w:tcW w:w="9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-4.9%</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700"/>
              <w:spacing w:after="0"/>
              <w:rPr>
                <w:sz w:val="20"/>
                <w:szCs w:val="20"/>
                <w:color w:val="auto"/>
              </w:rPr>
            </w:pPr>
            <w:r>
              <w:rPr>
                <w:rFonts w:ascii="Arial" w:cs="Arial" w:eastAsia="Arial" w:hAnsi="Arial"/>
                <w:sz w:val="18"/>
                <w:szCs w:val="18"/>
                <w:color w:val="auto"/>
              </w:rPr>
              <w:t>Military services (J)</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121</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143</w:t>
            </w:r>
          </w:p>
        </w:tc>
        <w:tc>
          <w:tcPr>
            <w:tcW w:w="16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(22)</w:t>
            </w:r>
          </w:p>
        </w:tc>
        <w:tc>
          <w:tcPr>
            <w:tcW w:w="920" w:type="dxa"/>
            <w:vAlign w:val="bottom"/>
            <w:gridSpan w:val="3"/>
          </w:tcPr>
          <w:p>
            <w:pPr>
              <w:jc w:val="right"/>
              <w:ind w:right="60"/>
              <w:spacing w:after="0"/>
              <w:rPr>
                <w:sz w:val="20"/>
                <w:szCs w:val="20"/>
                <w:color w:val="auto"/>
              </w:rPr>
            </w:pPr>
            <w:r>
              <w:rPr>
                <w:rFonts w:ascii="Arial" w:cs="Arial" w:eastAsia="Arial" w:hAnsi="Arial"/>
                <w:sz w:val="18"/>
                <w:szCs w:val="18"/>
                <w:color w:val="auto"/>
              </w:rPr>
              <w:t>-15.4%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9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ind w:left="1060"/>
              <w:spacing w:after="0"/>
              <w:rPr>
                <w:sz w:val="20"/>
                <w:szCs w:val="20"/>
                <w:color w:val="auto"/>
              </w:rPr>
            </w:pPr>
            <w:r>
              <w:rPr>
                <w:rFonts w:ascii="Arial" w:cs="Arial" w:eastAsia="Arial" w:hAnsi="Arial"/>
                <w:sz w:val="18"/>
                <w:szCs w:val="18"/>
                <w:b w:val="1"/>
                <w:bCs w:val="1"/>
                <w:color w:val="auto"/>
              </w:rPr>
              <w:t>Total Group and Specialty</w:t>
            </w: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1,882</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1,963</w:t>
            </w: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(81)</w:t>
            </w:r>
          </w:p>
        </w:tc>
        <w:tc>
          <w:tcPr>
            <w:tcW w:w="9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00" w:type="dxa"/>
            <w:vAlign w:val="bottom"/>
            <w:gridSpan w:val="2"/>
          </w:tcPr>
          <w:p>
            <w:pPr>
              <w:spacing w:after="0"/>
              <w:rPr>
                <w:sz w:val="20"/>
                <w:szCs w:val="20"/>
                <w:color w:val="auto"/>
              </w:rPr>
            </w:pPr>
            <w:r>
              <w:rPr>
                <w:rFonts w:ascii="Arial" w:cs="Arial" w:eastAsia="Arial" w:hAnsi="Arial"/>
                <w:sz w:val="18"/>
                <w:szCs w:val="18"/>
                <w:b w:val="1"/>
                <w:bCs w:val="1"/>
                <w:color w:val="auto"/>
              </w:rPr>
              <w:t>Healthcare Services</w:t>
            </w:r>
          </w:p>
        </w:tc>
        <w:tc>
          <w:tcPr>
            <w:tcW w:w="4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Pharmacy solutions</w:t>
            </w: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5,233</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5,034</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1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700"/>
              <w:spacing w:after="0"/>
              <w:rPr>
                <w:sz w:val="20"/>
                <w:szCs w:val="20"/>
                <w:color w:val="auto"/>
              </w:rPr>
            </w:pPr>
            <w:r>
              <w:rPr>
                <w:rFonts w:ascii="Arial" w:cs="Arial" w:eastAsia="Arial" w:hAnsi="Arial"/>
                <w:sz w:val="18"/>
                <w:szCs w:val="18"/>
                <w:color w:val="auto"/>
              </w:rPr>
              <w:t>Provider services</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678</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399</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279</w:t>
            </w:r>
          </w:p>
        </w:tc>
        <w:tc>
          <w:tcPr>
            <w:tcW w:w="120" w:type="dxa"/>
            <w:vAlign w:val="bottom"/>
          </w:tcPr>
          <w:p>
            <w:pPr>
              <w:spacing w:after="0"/>
              <w:rPr>
                <w:sz w:val="18"/>
                <w:szCs w:val="18"/>
                <w:color w:val="auto"/>
              </w:rPr>
            </w:pPr>
          </w:p>
        </w:tc>
        <w:tc>
          <w:tcPr>
            <w:tcW w:w="920" w:type="dxa"/>
            <w:vAlign w:val="bottom"/>
            <w:gridSpan w:val="3"/>
          </w:tcPr>
          <w:p>
            <w:pPr>
              <w:jc w:val="right"/>
              <w:ind w:right="60"/>
              <w:spacing w:after="0"/>
              <w:rPr>
                <w:sz w:val="20"/>
                <w:szCs w:val="20"/>
                <w:color w:val="auto"/>
              </w:rPr>
            </w:pPr>
            <w:r>
              <w:rPr>
                <w:rFonts w:ascii="Arial" w:cs="Arial" w:eastAsia="Arial" w:hAnsi="Arial"/>
                <w:sz w:val="18"/>
                <w:szCs w:val="18"/>
                <w:color w:val="auto"/>
              </w:rPr>
              <w:t>69.9%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Clinical programs</w:t>
            </w: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187</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(37)</w:t>
            </w:r>
          </w:p>
        </w:tc>
        <w:tc>
          <w:tcPr>
            <w:tcW w:w="9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-16.5%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80" w:type="dxa"/>
            <w:vAlign w:val="bottom"/>
          </w:tcPr>
          <w:p>
            <w:pPr>
              <w:ind w:left="1060"/>
              <w:spacing w:after="0"/>
              <w:rPr>
                <w:sz w:val="20"/>
                <w:szCs w:val="20"/>
                <w:color w:val="auto"/>
              </w:rPr>
            </w:pPr>
            <w:r>
              <w:rPr>
                <w:rFonts w:ascii="Arial" w:cs="Arial" w:eastAsia="Arial" w:hAnsi="Arial"/>
                <w:sz w:val="18"/>
                <w:szCs w:val="18"/>
                <w:b w:val="1"/>
                <w:bCs w:val="1"/>
                <w:color w:val="auto"/>
              </w:rPr>
              <w:t>Total Healthcare Services</w:t>
            </w:r>
          </w:p>
        </w:tc>
        <w:tc>
          <w:tcPr>
            <w:tcW w:w="48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6,098</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5,657</w:t>
            </w:r>
          </w:p>
        </w:tc>
        <w:tc>
          <w:tcPr>
            <w:tcW w:w="16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441</w:t>
            </w:r>
          </w:p>
        </w:tc>
        <w:tc>
          <w:tcPr>
            <w:tcW w:w="120" w:type="dxa"/>
            <w:vAlign w:val="bottom"/>
          </w:tcPr>
          <w:p>
            <w:pPr>
              <w:spacing w:after="0"/>
              <w:rPr>
                <w:sz w:val="19"/>
                <w:szCs w:val="19"/>
                <w:color w:val="auto"/>
              </w:rPr>
            </w:pPr>
          </w:p>
        </w:tc>
        <w:tc>
          <w:tcPr>
            <w:tcW w:w="920" w:type="dxa"/>
            <w:vAlign w:val="bottom"/>
            <w:gridSpan w:val="3"/>
          </w:tcPr>
          <w:p>
            <w:pPr>
              <w:jc w:val="right"/>
              <w:ind w:right="60"/>
              <w:spacing w:after="0"/>
              <w:rPr>
                <w:sz w:val="20"/>
                <w:szCs w:val="20"/>
                <w:color w:val="auto"/>
              </w:rPr>
            </w:pPr>
            <w:r>
              <w:rPr>
                <w:rFonts w:ascii="Arial" w:cs="Arial" w:eastAsia="Arial" w:hAnsi="Arial"/>
                <w:sz w:val="18"/>
                <w:szCs w:val="18"/>
                <w:color w:val="auto"/>
              </w:rPr>
              <w:t>7.8%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gridSpan w:val="2"/>
          </w:tcPr>
          <w:p>
            <w:pPr>
              <w:ind w:left="680"/>
              <w:spacing w:after="0"/>
              <w:rPr>
                <w:sz w:val="20"/>
                <w:szCs w:val="20"/>
                <w:color w:val="auto"/>
              </w:rPr>
            </w:pPr>
            <w:r>
              <w:rPr>
                <w:rFonts w:ascii="Arial" w:cs="Arial" w:eastAsia="Arial" w:hAnsi="Arial"/>
                <w:sz w:val="18"/>
                <w:szCs w:val="18"/>
                <w:color w:val="auto"/>
              </w:rPr>
              <w:t>S-9</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40"/>
          </w:cols>
          <w:pgMar w:left="440" w:top="274" w:right="419" w:bottom="1440" w:gutter="0" w:footer="0" w:header="0"/>
        </w:sectPr>
      </w:pPr>
    </w:p>
    <w:bookmarkStart w:id="39" w:name="page40"/>
    <w:bookmarkEnd w:id="3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Humana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Healthcare Services Segment Metrics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080" w:type="dxa"/>
            <w:vAlign w:val="bottom"/>
            <w:gridSpan w:val="2"/>
          </w:tcPr>
          <w:p>
            <w:pPr>
              <w:jc w:val="right"/>
              <w:spacing w:after="0"/>
              <w:rPr>
                <w:sz w:val="20"/>
                <w:szCs w:val="20"/>
                <w:color w:val="auto"/>
              </w:rPr>
            </w:pPr>
            <w:r>
              <w:rPr>
                <w:rFonts w:ascii="Arial" w:cs="Arial" w:eastAsia="Arial" w:hAnsi="Arial"/>
                <w:sz w:val="14"/>
                <w:szCs w:val="14"/>
                <w:b w:val="1"/>
                <w:bCs w:val="1"/>
                <w:color w:val="auto"/>
              </w:rPr>
              <w:t>March 31, 2019</w:t>
            </w:r>
          </w:p>
        </w:tc>
        <w:tc>
          <w:tcPr>
            <w:tcW w:w="1180" w:type="dxa"/>
            <w:vAlign w:val="bottom"/>
            <w:gridSpan w:val="2"/>
          </w:tcPr>
          <w:p>
            <w:pPr>
              <w:jc w:val="right"/>
              <w:spacing w:after="0"/>
              <w:rPr>
                <w:sz w:val="20"/>
                <w:szCs w:val="20"/>
                <w:color w:val="auto"/>
              </w:rPr>
            </w:pPr>
            <w:r>
              <w:rPr>
                <w:rFonts w:ascii="Arial" w:cs="Arial" w:eastAsia="Arial" w:hAnsi="Arial"/>
                <w:sz w:val="14"/>
                <w:szCs w:val="14"/>
                <w:color w:val="auto"/>
              </w:rPr>
              <w:t>March 31, 2018</w:t>
            </w:r>
          </w:p>
        </w:tc>
        <w:tc>
          <w:tcPr>
            <w:tcW w:w="1060" w:type="dxa"/>
            <w:vAlign w:val="bottom"/>
            <w:gridSpan w:val="3"/>
          </w:tcPr>
          <w:p>
            <w:pPr>
              <w:jc w:val="right"/>
              <w:ind w:right="220"/>
              <w:spacing w:after="0"/>
              <w:rPr>
                <w:sz w:val="20"/>
                <w:szCs w:val="20"/>
                <w:color w:val="auto"/>
              </w:rPr>
            </w:pPr>
            <w:r>
              <w:rPr>
                <w:rFonts w:ascii="Arial" w:cs="Arial" w:eastAsia="Arial" w:hAnsi="Arial"/>
                <w:sz w:val="14"/>
                <w:szCs w:val="14"/>
                <w:color w:val="auto"/>
              </w:rPr>
              <w:t>Difference</w:t>
            </w:r>
          </w:p>
        </w:tc>
        <w:tc>
          <w:tcPr>
            <w:tcW w:w="720" w:type="dxa"/>
            <w:vAlign w:val="bottom"/>
          </w:tcPr>
          <w:p>
            <w:pPr>
              <w:spacing w:after="0"/>
              <w:rPr>
                <w:sz w:val="14"/>
                <w:szCs w:val="14"/>
                <w:color w:val="auto"/>
              </w:rPr>
            </w:pPr>
          </w:p>
        </w:tc>
        <w:tc>
          <w:tcPr>
            <w:tcW w:w="1240" w:type="dxa"/>
            <w:vAlign w:val="bottom"/>
            <w:gridSpan w:val="2"/>
          </w:tcPr>
          <w:p>
            <w:pPr>
              <w:jc w:val="right"/>
              <w:spacing w:after="0"/>
              <w:rPr>
                <w:sz w:val="20"/>
                <w:szCs w:val="20"/>
                <w:color w:val="auto"/>
              </w:rPr>
            </w:pPr>
            <w:r>
              <w:rPr>
                <w:rFonts w:ascii="Arial" w:cs="Arial" w:eastAsia="Arial" w:hAnsi="Arial"/>
                <w:sz w:val="14"/>
                <w:szCs w:val="14"/>
                <w:color w:val="auto"/>
                <w:w w:val="99"/>
              </w:rPr>
              <w:t>December 31, 2018</w:t>
            </w:r>
          </w:p>
        </w:tc>
        <w:tc>
          <w:tcPr>
            <w:tcW w:w="260" w:type="dxa"/>
            <w:vAlign w:val="bottom"/>
          </w:tcPr>
          <w:p>
            <w:pPr>
              <w:spacing w:after="0"/>
              <w:rPr>
                <w:sz w:val="14"/>
                <w:szCs w:val="14"/>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w w:val="90"/>
              </w:rPr>
              <w:t>Difference</w:t>
            </w: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Primary Care Providers:</w:t>
            </w:r>
          </w:p>
        </w:tc>
        <w:tc>
          <w:tcPr>
            <w:tcW w:w="12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340"/>
              <w:spacing w:after="0"/>
              <w:rPr>
                <w:sz w:val="20"/>
                <w:szCs w:val="20"/>
                <w:color w:val="auto"/>
              </w:rPr>
            </w:pPr>
            <w:r>
              <w:rPr>
                <w:rFonts w:ascii="Arial" w:cs="Arial" w:eastAsia="Arial" w:hAnsi="Arial"/>
                <w:sz w:val="18"/>
                <w:szCs w:val="18"/>
                <w:color w:val="auto"/>
              </w:rPr>
              <w:t>Shared Risk (H)</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Owned / JV</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1,500</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0.0%</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1,600</w:t>
            </w:r>
          </w:p>
        </w:tc>
        <w:tc>
          <w:tcPr>
            <w:tcW w:w="10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(100)</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700"/>
              <w:spacing w:after="0"/>
              <w:rPr>
                <w:sz w:val="20"/>
                <w:szCs w:val="20"/>
                <w:color w:val="auto"/>
              </w:rPr>
            </w:pPr>
            <w:r>
              <w:rPr>
                <w:rFonts w:ascii="Arial" w:cs="Arial" w:eastAsia="Arial" w:hAnsi="Arial"/>
                <w:sz w:val="18"/>
                <w:szCs w:val="18"/>
                <w:color w:val="auto"/>
              </w:rPr>
              <w:t>Contracted</w:t>
            </w:r>
          </w:p>
        </w:tc>
        <w:tc>
          <w:tcPr>
            <w:tcW w:w="1080" w:type="dxa"/>
            <w:vAlign w:val="bottom"/>
            <w:gridSpan w:val="2"/>
          </w:tcPr>
          <w:p>
            <w:pPr>
              <w:jc w:val="right"/>
              <w:spacing w:after="0"/>
              <w:rPr>
                <w:sz w:val="20"/>
                <w:szCs w:val="20"/>
                <w:color w:val="auto"/>
              </w:rPr>
            </w:pPr>
            <w:r>
              <w:rPr>
                <w:rFonts w:ascii="Arial" w:cs="Arial" w:eastAsia="Arial" w:hAnsi="Arial"/>
                <w:sz w:val="18"/>
                <w:szCs w:val="18"/>
                <w:b w:val="1"/>
                <w:bCs w:val="1"/>
                <w:color w:val="auto"/>
              </w:rPr>
              <w:t>17,300</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13,900</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3,400</w:t>
            </w:r>
          </w:p>
        </w:tc>
        <w:tc>
          <w:tcPr>
            <w:tcW w:w="200" w:type="dxa"/>
            <w:vAlign w:val="bottom"/>
          </w:tcPr>
          <w:p>
            <w:pPr>
              <w:spacing w:after="0"/>
              <w:rPr>
                <w:sz w:val="18"/>
                <w:szCs w:val="18"/>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24.5%</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15,000</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2,300</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Path to Risk (I)</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38,800</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35,600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3,200</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9.0%</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36,800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80" w:type="dxa"/>
            <w:vAlign w:val="bottom"/>
          </w:tcPr>
          <w:p>
            <w:pPr>
              <w:ind w:left="700"/>
              <w:spacing w:after="0"/>
              <w:rPr>
                <w:sz w:val="20"/>
                <w:szCs w:val="20"/>
                <w:color w:val="auto"/>
              </w:rPr>
            </w:pPr>
            <w:r>
              <w:rPr>
                <w:rFonts w:ascii="Arial" w:cs="Arial" w:eastAsia="Arial" w:hAnsi="Arial"/>
                <w:sz w:val="18"/>
                <w:szCs w:val="18"/>
                <w:b w:val="1"/>
                <w:bCs w:val="1"/>
                <w:color w:val="auto"/>
              </w:rPr>
              <w:t>Total Value-based</w:t>
            </w:r>
          </w:p>
        </w:tc>
        <w:tc>
          <w:tcPr>
            <w:tcW w:w="120" w:type="dxa"/>
            <w:vAlign w:val="bottom"/>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57,600</w:t>
            </w:r>
          </w:p>
        </w:tc>
        <w:tc>
          <w:tcPr>
            <w:tcW w:w="260" w:type="dxa"/>
            <w:vAlign w:val="bottom"/>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51,000</w:t>
            </w:r>
          </w:p>
        </w:tc>
        <w:tc>
          <w:tcPr>
            <w:tcW w:w="240" w:type="dxa"/>
            <w:vAlign w:val="bottom"/>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6,600</w:t>
            </w:r>
          </w:p>
        </w:tc>
        <w:tc>
          <w:tcPr>
            <w:tcW w:w="200" w:type="dxa"/>
            <w:vAlign w:val="bottom"/>
          </w:tcPr>
          <w:p>
            <w:pPr>
              <w:spacing w:after="0"/>
              <w:rPr>
                <w:sz w:val="20"/>
                <w:szCs w:val="20"/>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12.9%</w:t>
            </w:r>
          </w:p>
        </w:tc>
        <w:tc>
          <w:tcPr>
            <w:tcW w:w="120" w:type="dxa"/>
            <w:vAlign w:val="bottom"/>
          </w:tcPr>
          <w:p>
            <w:pPr>
              <w:spacing w:after="0"/>
              <w:rPr>
                <w:sz w:val="20"/>
                <w:szCs w:val="20"/>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53,400</w:t>
            </w:r>
          </w:p>
        </w:tc>
        <w:tc>
          <w:tcPr>
            <w:tcW w:w="260" w:type="dxa"/>
            <w:vAlign w:val="bottom"/>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4,200</w:t>
            </w: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Care Management Statistics:</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80" w:type="dxa"/>
            <w:vAlign w:val="bottom"/>
          </w:tcPr>
          <w:p>
            <w:pPr>
              <w:ind w:left="340"/>
              <w:spacing w:after="0" w:line="201" w:lineRule="exact"/>
              <w:rPr>
                <w:sz w:val="20"/>
                <w:szCs w:val="20"/>
                <w:color w:val="auto"/>
              </w:rPr>
            </w:pPr>
            <w:r>
              <w:rPr>
                <w:rFonts w:ascii="Arial" w:cs="Arial" w:eastAsia="Arial" w:hAnsi="Arial"/>
                <w:sz w:val="18"/>
                <w:szCs w:val="18"/>
                <w:color w:val="auto"/>
              </w:rPr>
              <w:t>Members enrolled in a Humana chronic care</w:t>
            </w:r>
          </w:p>
        </w:tc>
        <w:tc>
          <w:tcPr>
            <w:tcW w:w="108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834,700</w:t>
            </w: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80" w:type="dxa"/>
            <w:vAlign w:val="bottom"/>
          </w:tcPr>
          <w:p>
            <w:pPr>
              <w:ind w:left="520"/>
              <w:spacing w:after="0"/>
              <w:rPr>
                <w:sz w:val="20"/>
                <w:szCs w:val="20"/>
                <w:color w:val="auto"/>
              </w:rPr>
            </w:pPr>
            <w:r>
              <w:rPr>
                <w:rFonts w:ascii="Arial" w:cs="Arial" w:eastAsia="Arial" w:hAnsi="Arial"/>
                <w:sz w:val="18"/>
                <w:szCs w:val="18"/>
                <w:color w:val="auto"/>
              </w:rPr>
              <w:t>management program (L)</w:t>
            </w:r>
          </w:p>
        </w:tc>
        <w:tc>
          <w:tcPr>
            <w:tcW w:w="1080" w:type="dxa"/>
            <w:vAlign w:val="bottom"/>
            <w:gridSpan w:val="2"/>
            <w:vMerge w:val="continue"/>
          </w:tcPr>
          <w:p>
            <w:pPr>
              <w:spacing w:after="0"/>
              <w:rPr>
                <w:sz w:val="20"/>
                <w:szCs w:val="20"/>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752,400</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82,300</w:t>
            </w:r>
          </w:p>
        </w:tc>
        <w:tc>
          <w:tcPr>
            <w:tcW w:w="200" w:type="dxa"/>
            <w:vAlign w:val="bottom"/>
          </w:tcPr>
          <w:p>
            <w:pPr>
              <w:spacing w:after="0"/>
              <w:rPr>
                <w:sz w:val="20"/>
                <w:szCs w:val="20"/>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10.9%</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716,000</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118,700</w:t>
            </w: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8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Number of high-risk discharges enrolled in a</w:t>
            </w:r>
          </w:p>
        </w:tc>
        <w:tc>
          <w:tcPr>
            <w:tcW w:w="10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74,600</w:t>
            </w: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80" w:type="dxa"/>
            <w:vAlign w:val="bottom"/>
            <w:shd w:val="clear" w:color="auto" w:fill="CCEEFF"/>
          </w:tcPr>
          <w:p>
            <w:pPr>
              <w:ind w:left="520"/>
              <w:spacing w:after="0"/>
              <w:rPr>
                <w:sz w:val="20"/>
                <w:szCs w:val="20"/>
                <w:color w:val="auto"/>
              </w:rPr>
            </w:pPr>
            <w:r>
              <w:rPr>
                <w:rFonts w:ascii="Arial" w:cs="Arial" w:eastAsia="Arial" w:hAnsi="Arial"/>
                <w:sz w:val="18"/>
                <w:szCs w:val="18"/>
                <w:color w:val="auto"/>
                <w:w w:val="92"/>
              </w:rPr>
              <w:t>post-discharge care management program (M)</w:t>
            </w:r>
          </w:p>
        </w:tc>
        <w:tc>
          <w:tcPr>
            <w:tcW w:w="1080" w:type="dxa"/>
            <w:vAlign w:val="bottom"/>
            <w:gridSpan w:val="2"/>
            <w:vMerge w:val="continue"/>
            <w:shd w:val="clear" w:color="auto" w:fill="CCEEFF"/>
          </w:tcPr>
          <w:p>
            <w:pPr>
              <w:spacing w:after="0"/>
              <w:rPr>
                <w:sz w:val="20"/>
                <w:szCs w:val="20"/>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76,100</w:t>
            </w:r>
          </w:p>
        </w:tc>
        <w:tc>
          <w:tcPr>
            <w:tcW w:w="10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(1,500)</w:t>
            </w:r>
          </w:p>
        </w:tc>
        <w:tc>
          <w:tcPr>
            <w:tcW w:w="7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64,000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10,600</w:t>
            </w:r>
          </w:p>
        </w:tc>
        <w:tc>
          <w:tcPr>
            <w:tcW w:w="20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jc w:val="right"/>
              <w:ind w:right="490"/>
              <w:spacing w:after="0"/>
              <w:rPr>
                <w:sz w:val="20"/>
                <w:szCs w:val="20"/>
                <w:color w:val="auto"/>
              </w:rPr>
            </w:pPr>
            <w:r>
              <w:rPr>
                <w:rFonts w:ascii="Arial" w:cs="Arial" w:eastAsia="Arial" w:hAnsi="Arial"/>
                <w:sz w:val="18"/>
                <w:szCs w:val="18"/>
                <w:color w:val="auto"/>
                <w:w w:val="84"/>
              </w:rPr>
              <w:t>S-10</w:t>
            </w: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40"/>
          </w:cols>
          <w:pgMar w:left="440" w:top="274" w:right="419" w:bottom="1440" w:gutter="0" w:footer="0" w:header="0"/>
        </w:sectPr>
      </w:pPr>
    </w:p>
    <w:bookmarkStart w:id="40" w:name="page41"/>
    <w:bookmarkEnd w:id="4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Humana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Healthcare Services Segment Metrics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Script volume in thousands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7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For the three months</w:t>
            </w:r>
          </w:p>
        </w:tc>
        <w:tc>
          <w:tcPr>
            <w:tcW w:w="1540" w:type="dxa"/>
            <w:vAlign w:val="bottom"/>
            <w:gridSpan w:val="3"/>
          </w:tcPr>
          <w:p>
            <w:pPr>
              <w:jc w:val="center"/>
              <w:ind w:right="220"/>
              <w:spacing w:after="0"/>
              <w:rPr>
                <w:sz w:val="20"/>
                <w:szCs w:val="20"/>
                <w:color w:val="auto"/>
              </w:rPr>
            </w:pPr>
            <w:r>
              <w:rPr>
                <w:rFonts w:ascii="Arial" w:cs="Arial" w:eastAsia="Arial" w:hAnsi="Arial"/>
                <w:sz w:val="14"/>
                <w:szCs w:val="14"/>
                <w:color w:val="auto"/>
                <w:w w:val="92"/>
              </w:rPr>
              <w:t>For the three months</w:t>
            </w: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40" w:type="dxa"/>
            <w:vAlign w:val="bottom"/>
            <w:gridSpan w:val="3"/>
          </w:tcPr>
          <w:p>
            <w:pPr>
              <w:jc w:val="center"/>
              <w:ind w:right="220"/>
              <w:spacing w:after="0"/>
              <w:rPr>
                <w:sz w:val="20"/>
                <w:szCs w:val="20"/>
                <w:color w:val="auto"/>
              </w:rPr>
            </w:pPr>
            <w:r>
              <w:rPr>
                <w:rFonts w:ascii="Arial" w:cs="Arial" w:eastAsia="Arial" w:hAnsi="Arial"/>
                <w:sz w:val="14"/>
                <w:szCs w:val="14"/>
                <w:color w:val="auto"/>
                <w:w w:val="92"/>
              </w:rPr>
              <w:t>For the three months</w:t>
            </w: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ended</w:t>
            </w:r>
          </w:p>
        </w:tc>
        <w:tc>
          <w:tcPr>
            <w:tcW w:w="60" w:type="dxa"/>
            <w:vAlign w:val="bottom"/>
          </w:tcPr>
          <w:p>
            <w:pPr>
              <w:spacing w:after="0"/>
              <w:rPr>
                <w:sz w:val="12"/>
                <w:szCs w:val="12"/>
                <w:color w:val="auto"/>
              </w:rPr>
            </w:pPr>
          </w:p>
        </w:tc>
        <w:tc>
          <w:tcPr>
            <w:tcW w:w="148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2"/>
              </w:rPr>
              <w:t>ended</w:t>
            </w:r>
          </w:p>
        </w:tc>
        <w:tc>
          <w:tcPr>
            <w:tcW w:w="11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w w:val="87"/>
              </w:rPr>
              <w:t>Year-over-Year</w:t>
            </w: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6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87"/>
              </w:rPr>
              <w:t>ended</w:t>
            </w:r>
          </w:p>
        </w:tc>
        <w:tc>
          <w:tcPr>
            <w:tcW w:w="8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w w:val="90"/>
              </w:rPr>
              <w:t>Sequential</w:t>
            </w: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March 31, 2019</w:t>
            </w:r>
          </w:p>
        </w:tc>
        <w:tc>
          <w:tcPr>
            <w:tcW w:w="60" w:type="dxa"/>
            <w:vAlign w:val="bottom"/>
          </w:tcPr>
          <w:p>
            <w:pPr>
              <w:spacing w:after="0"/>
              <w:rPr>
                <w:sz w:val="14"/>
                <w:szCs w:val="14"/>
                <w:color w:val="auto"/>
              </w:rPr>
            </w:pPr>
          </w:p>
        </w:tc>
        <w:tc>
          <w:tcPr>
            <w:tcW w:w="1480" w:type="dxa"/>
            <w:vAlign w:val="bottom"/>
            <w:gridSpan w:val="2"/>
          </w:tcPr>
          <w:p>
            <w:pPr>
              <w:jc w:val="center"/>
              <w:ind w:right="280"/>
              <w:spacing w:after="0"/>
              <w:rPr>
                <w:sz w:val="20"/>
                <w:szCs w:val="20"/>
                <w:color w:val="auto"/>
              </w:rPr>
            </w:pPr>
            <w:r>
              <w:rPr>
                <w:rFonts w:ascii="Arial" w:cs="Arial" w:eastAsia="Arial" w:hAnsi="Arial"/>
                <w:sz w:val="14"/>
                <w:szCs w:val="14"/>
                <w:color w:val="auto"/>
                <w:w w:val="94"/>
              </w:rPr>
              <w:t>March 31, 2018</w:t>
            </w:r>
          </w:p>
        </w:tc>
        <w:tc>
          <w:tcPr>
            <w:tcW w:w="1140" w:type="dxa"/>
            <w:vAlign w:val="bottom"/>
            <w:gridSpan w:val="2"/>
          </w:tcPr>
          <w:p>
            <w:pPr>
              <w:jc w:val="right"/>
              <w:ind w:right="400"/>
              <w:spacing w:after="0"/>
              <w:rPr>
                <w:sz w:val="20"/>
                <w:szCs w:val="20"/>
                <w:color w:val="auto"/>
              </w:rPr>
            </w:pPr>
            <w:r>
              <w:rPr>
                <w:rFonts w:ascii="Arial" w:cs="Arial" w:eastAsia="Arial" w:hAnsi="Arial"/>
                <w:sz w:val="14"/>
                <w:szCs w:val="14"/>
                <w:color w:val="auto"/>
              </w:rPr>
              <w:t>Difference</w:t>
            </w: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gridSpan w:val="2"/>
          </w:tcPr>
          <w:p>
            <w:pPr>
              <w:jc w:val="center"/>
              <w:ind w:right="300"/>
              <w:spacing w:after="0"/>
              <w:rPr>
                <w:sz w:val="20"/>
                <w:szCs w:val="20"/>
                <w:color w:val="auto"/>
              </w:rPr>
            </w:pPr>
            <w:r>
              <w:rPr>
                <w:rFonts w:ascii="Arial" w:cs="Arial" w:eastAsia="Arial" w:hAnsi="Arial"/>
                <w:sz w:val="14"/>
                <w:szCs w:val="14"/>
                <w:color w:val="auto"/>
                <w:w w:val="91"/>
              </w:rPr>
              <w:t>December 31, 2018</w:t>
            </w: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w w:val="93"/>
              </w:rPr>
              <w:t>Difference</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4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Pharmacy:</w:t>
            </w:r>
          </w:p>
        </w:tc>
        <w:tc>
          <w:tcPr>
            <w:tcW w:w="26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right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right w:val="single" w:sz="8" w:color="CCEEFF"/>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right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tcPr>
          <w:p>
            <w:pPr>
              <w:ind w:left="340"/>
              <w:spacing w:after="0"/>
              <w:rPr>
                <w:sz w:val="20"/>
                <w:szCs w:val="20"/>
                <w:color w:val="auto"/>
              </w:rPr>
            </w:pPr>
            <w:r>
              <w:rPr>
                <w:rFonts w:ascii="Arial" w:cs="Arial" w:eastAsia="Arial" w:hAnsi="Arial"/>
                <w:sz w:val="18"/>
                <w:szCs w:val="18"/>
                <w:b w:val="1"/>
                <w:bCs w:val="1"/>
                <w:color w:val="auto"/>
              </w:rPr>
              <w:t>Generic Dispense Rate</w:t>
            </w: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Retail</w:t>
            </w:r>
          </w:p>
        </w:tc>
        <w:tc>
          <w:tcPr>
            <w:tcW w:w="17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91.8%</w:t>
            </w:r>
          </w:p>
        </w:tc>
        <w:tc>
          <w:tcPr>
            <w:tcW w:w="1540" w:type="dxa"/>
            <w:vAlign w:val="bottom"/>
            <w:tcBorders>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91.6%</w:t>
            </w:r>
          </w:p>
        </w:tc>
        <w:tc>
          <w:tcPr>
            <w:tcW w:w="11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40" w:type="dxa"/>
            <w:vAlign w:val="bottom"/>
            <w:tcBorders>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91.6%</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0.2%</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tcPr>
          <w:p>
            <w:pPr>
              <w:ind w:left="700"/>
              <w:spacing w:after="0"/>
              <w:rPr>
                <w:sz w:val="20"/>
                <w:szCs w:val="20"/>
                <w:color w:val="auto"/>
              </w:rPr>
            </w:pPr>
            <w:r>
              <w:rPr>
                <w:rFonts w:ascii="Arial" w:cs="Arial" w:eastAsia="Arial" w:hAnsi="Arial"/>
                <w:sz w:val="18"/>
                <w:szCs w:val="18"/>
                <w:color w:val="auto"/>
              </w:rPr>
              <w:t>Group and Specialty</w:t>
            </w:r>
          </w:p>
        </w:tc>
        <w:tc>
          <w:tcPr>
            <w:tcW w:w="178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87.5%</w:t>
            </w:r>
          </w:p>
        </w:tc>
        <w:tc>
          <w:tcPr>
            <w:tcW w:w="1540" w:type="dxa"/>
            <w:vAlign w:val="bottom"/>
            <w:gridSpan w:val="3"/>
          </w:tcPr>
          <w:p>
            <w:pPr>
              <w:jc w:val="right"/>
              <w:ind w:right="120"/>
              <w:spacing w:after="0"/>
              <w:rPr>
                <w:sz w:val="20"/>
                <w:szCs w:val="20"/>
                <w:color w:val="auto"/>
              </w:rPr>
            </w:pPr>
            <w:r>
              <w:rPr>
                <w:rFonts w:ascii="Arial" w:cs="Arial" w:eastAsia="Arial" w:hAnsi="Arial"/>
                <w:sz w:val="18"/>
                <w:szCs w:val="18"/>
                <w:color w:val="auto"/>
              </w:rPr>
              <w:t>87.3%</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0.2%</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gridSpan w:val="3"/>
          </w:tcPr>
          <w:p>
            <w:pPr>
              <w:jc w:val="right"/>
              <w:ind w:right="120"/>
              <w:spacing w:after="0"/>
              <w:rPr>
                <w:sz w:val="20"/>
                <w:szCs w:val="20"/>
                <w:color w:val="auto"/>
              </w:rPr>
            </w:pPr>
            <w:r>
              <w:rPr>
                <w:rFonts w:ascii="Arial" w:cs="Arial" w:eastAsia="Arial" w:hAnsi="Arial"/>
                <w:sz w:val="18"/>
                <w:szCs w:val="18"/>
                <w:color w:val="auto"/>
              </w:rPr>
              <w:t>86.6%</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0.9%</w:t>
            </w: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Mail-Order Penetration</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tcPr>
          <w:p>
            <w:pPr>
              <w:ind w:left="700"/>
              <w:spacing w:after="0"/>
              <w:rPr>
                <w:sz w:val="20"/>
                <w:szCs w:val="20"/>
                <w:color w:val="auto"/>
              </w:rPr>
            </w:pPr>
            <w:r>
              <w:rPr>
                <w:rFonts w:ascii="Arial" w:cs="Arial" w:eastAsia="Arial" w:hAnsi="Arial"/>
                <w:sz w:val="18"/>
                <w:szCs w:val="18"/>
                <w:color w:val="auto"/>
              </w:rPr>
              <w:t>Retail</w:t>
            </w:r>
          </w:p>
        </w:tc>
        <w:tc>
          <w:tcPr>
            <w:tcW w:w="178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28.5%</w:t>
            </w:r>
          </w:p>
        </w:tc>
        <w:tc>
          <w:tcPr>
            <w:tcW w:w="1540" w:type="dxa"/>
            <w:vAlign w:val="bottom"/>
            <w:gridSpan w:val="3"/>
          </w:tcPr>
          <w:p>
            <w:pPr>
              <w:jc w:val="right"/>
              <w:ind w:right="120"/>
              <w:spacing w:after="0"/>
              <w:rPr>
                <w:sz w:val="20"/>
                <w:szCs w:val="20"/>
                <w:color w:val="auto"/>
              </w:rPr>
            </w:pPr>
            <w:r>
              <w:rPr>
                <w:rFonts w:ascii="Arial" w:cs="Arial" w:eastAsia="Arial" w:hAnsi="Arial"/>
                <w:sz w:val="18"/>
                <w:szCs w:val="18"/>
                <w:color w:val="auto"/>
              </w:rPr>
              <w:t>29.4%</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-0.9%</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gridSpan w:val="3"/>
          </w:tcPr>
          <w:p>
            <w:pPr>
              <w:jc w:val="right"/>
              <w:ind w:right="120"/>
              <w:spacing w:after="0"/>
              <w:rPr>
                <w:sz w:val="20"/>
                <w:szCs w:val="20"/>
                <w:color w:val="auto"/>
              </w:rPr>
            </w:pPr>
            <w:r>
              <w:rPr>
                <w:rFonts w:ascii="Arial" w:cs="Arial" w:eastAsia="Arial" w:hAnsi="Arial"/>
                <w:sz w:val="18"/>
                <w:szCs w:val="18"/>
                <w:color w:val="auto"/>
              </w:rPr>
              <w:t>29.0%</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-0.5%</w:t>
            </w: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Group and Specialty</w:t>
            </w:r>
          </w:p>
        </w:tc>
        <w:tc>
          <w:tcPr>
            <w:tcW w:w="17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6.2%</w:t>
            </w:r>
          </w:p>
        </w:tc>
        <w:tc>
          <w:tcPr>
            <w:tcW w:w="1540" w:type="dxa"/>
            <w:vAlign w:val="bottom"/>
            <w:tcBorders>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6.4%</w:t>
            </w:r>
          </w:p>
        </w:tc>
        <w:tc>
          <w:tcPr>
            <w:tcW w:w="11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40" w:type="dxa"/>
            <w:vAlign w:val="bottom"/>
            <w:tcBorders>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6.3%</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4"/>
                <w:szCs w:val="14"/>
                <w:color w:val="auto"/>
                <w:w w:val="89"/>
              </w:rPr>
              <w:t>Percentage</w:t>
            </w: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3"/>
          </w:tcPr>
          <w:p>
            <w:pPr>
              <w:jc w:val="center"/>
              <w:ind w:right="160"/>
              <w:spacing w:after="0"/>
              <w:rPr>
                <w:sz w:val="20"/>
                <w:szCs w:val="20"/>
                <w:color w:val="auto"/>
              </w:rPr>
            </w:pPr>
            <w:r>
              <w:rPr>
                <w:rFonts w:ascii="Arial" w:cs="Arial" w:eastAsia="Arial" w:hAnsi="Arial"/>
                <w:sz w:val="14"/>
                <w:szCs w:val="14"/>
                <w:color w:val="auto"/>
                <w:w w:val="89"/>
              </w:rPr>
              <w:t>Percentage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jc w:val="right"/>
              <w:ind w:right="57"/>
              <w:spacing w:after="0"/>
              <w:rPr>
                <w:sz w:val="20"/>
                <w:szCs w:val="20"/>
                <w:color w:val="auto"/>
              </w:rPr>
            </w:pPr>
            <w:r>
              <w:rPr>
                <w:rFonts w:ascii="Arial" w:cs="Arial" w:eastAsia="Arial" w:hAnsi="Arial"/>
                <w:sz w:val="14"/>
                <w:szCs w:val="14"/>
                <w:color w:val="auto"/>
              </w:rPr>
              <w:t>Difference</w:t>
            </w:r>
          </w:p>
        </w:tc>
        <w:tc>
          <w:tcPr>
            <w:tcW w:w="26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color w:val="auto"/>
                <w:w w:val="89"/>
              </w:rPr>
              <w:t>Change</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w w:val="93"/>
              </w:rPr>
              <w:t>Difference</w:t>
            </w:r>
          </w:p>
        </w:tc>
        <w:tc>
          <w:tcPr>
            <w:tcW w:w="80" w:type="dxa"/>
            <w:vAlign w:val="bottom"/>
          </w:tcPr>
          <w:p>
            <w:pPr>
              <w:spacing w:after="0"/>
              <w:rPr>
                <w:sz w:val="14"/>
                <w:szCs w:val="14"/>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4"/>
                <w:szCs w:val="14"/>
                <w:color w:val="auto"/>
                <w:w w:val="89"/>
              </w:rPr>
              <w:t>Change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40" w:type="dxa"/>
            <w:vAlign w:val="bottom"/>
            <w:vMerge w:val="restart"/>
            <w:shd w:val="clear" w:color="auto" w:fill="CCEEFF"/>
          </w:tcPr>
          <w:p>
            <w:pPr>
              <w:spacing w:after="0"/>
              <w:rPr>
                <w:sz w:val="20"/>
                <w:szCs w:val="20"/>
                <w:color w:val="auto"/>
              </w:rPr>
            </w:pPr>
            <w:r>
              <w:rPr>
                <w:rFonts w:ascii="Arial" w:cs="Arial" w:eastAsia="Arial" w:hAnsi="Arial"/>
                <w:sz w:val="18"/>
                <w:szCs w:val="18"/>
                <w:b w:val="1"/>
                <w:bCs w:val="1"/>
                <w:color w:val="auto"/>
              </w:rPr>
              <w:t>Script volume (N)</w:t>
            </w:r>
          </w:p>
        </w:tc>
        <w:tc>
          <w:tcPr>
            <w:tcW w:w="15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110,100</w:t>
            </w:r>
          </w:p>
        </w:tc>
        <w:tc>
          <w:tcPr>
            <w:tcW w:w="240" w:type="dxa"/>
            <w:vAlign w:val="bottom"/>
            <w:vMerge w:val="restart"/>
            <w:shd w:val="clear" w:color="auto" w:fill="CCEEFF"/>
          </w:tcPr>
          <w:p>
            <w:pPr>
              <w:spacing w:after="0" w:line="20" w:lineRule="exact"/>
              <w:rPr>
                <w:sz w:val="1"/>
                <w:szCs w:val="1"/>
                <w:color w:val="auto"/>
              </w:rPr>
            </w:pPr>
          </w:p>
        </w:tc>
        <w:tc>
          <w:tcPr>
            <w:tcW w:w="12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108,100</w:t>
            </w:r>
          </w:p>
        </w:tc>
        <w:tc>
          <w:tcPr>
            <w:tcW w:w="280" w:type="dxa"/>
            <w:vAlign w:val="bottom"/>
            <w:tcBorders>
              <w:right w:val="single" w:sz="8" w:color="CCEEFF"/>
            </w:tcBorders>
            <w:vMerge w:val="restart"/>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112,000</w:t>
            </w:r>
          </w:p>
        </w:tc>
        <w:tc>
          <w:tcPr>
            <w:tcW w:w="260" w:type="dxa"/>
            <w:vAlign w:val="bottom"/>
            <w:tcBorders>
              <w:right w:val="single" w:sz="8" w:color="CCEEFF"/>
            </w:tcBorders>
            <w:vMerge w:val="restart"/>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440" w:type="dxa"/>
            <w:vAlign w:val="bottom"/>
            <w:vMerge w:val="continue"/>
            <w:shd w:val="clear" w:color="auto" w:fill="CCEEFF"/>
          </w:tcPr>
          <w:p>
            <w:pPr>
              <w:spacing w:after="0"/>
              <w:rPr>
                <w:sz w:val="18"/>
                <w:szCs w:val="18"/>
                <w:color w:val="auto"/>
              </w:rPr>
            </w:pPr>
          </w:p>
        </w:tc>
        <w:tc>
          <w:tcPr>
            <w:tcW w:w="1540" w:type="dxa"/>
            <w:vAlign w:val="bottom"/>
            <w:gridSpan w:val="2"/>
            <w:vMerge w:val="continue"/>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1260" w:type="dxa"/>
            <w:vAlign w:val="bottom"/>
            <w:gridSpan w:val="2"/>
            <w:vMerge w:val="continue"/>
            <w:shd w:val="clear" w:color="auto" w:fill="CCEEFF"/>
          </w:tcPr>
          <w:p>
            <w:pPr>
              <w:spacing w:after="0"/>
              <w:rPr>
                <w:sz w:val="18"/>
                <w:szCs w:val="18"/>
                <w:color w:val="auto"/>
              </w:rPr>
            </w:pPr>
          </w:p>
        </w:tc>
        <w:tc>
          <w:tcPr>
            <w:tcW w:w="280" w:type="dxa"/>
            <w:vAlign w:val="bottom"/>
            <w:tcBorders>
              <w:right w:val="single" w:sz="8" w:color="CCEEFF"/>
            </w:tcBorders>
            <w:vMerge w:val="continue"/>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260" w:type="dxa"/>
            <w:vAlign w:val="bottom"/>
            <w:tcBorders>
              <w:right w:val="single" w:sz="8" w:color="CCEEFF"/>
            </w:tcBorders>
            <w:vMerge w:val="continue"/>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w:t>
            </w:r>
          </w:p>
        </w:tc>
        <w:tc>
          <w:tcPr>
            <w:tcW w:w="1280" w:type="dxa"/>
            <w:vAlign w:val="bottom"/>
            <w:gridSpan w:val="2"/>
            <w:vMerge w:val="continue"/>
            <w:shd w:val="clear" w:color="auto" w:fill="CCEEFF"/>
          </w:tcPr>
          <w:p>
            <w:pPr>
              <w:spacing w:after="0"/>
              <w:rPr>
                <w:sz w:val="18"/>
                <w:szCs w:val="18"/>
                <w:color w:val="auto"/>
              </w:rPr>
            </w:pPr>
          </w:p>
        </w:tc>
        <w:tc>
          <w:tcPr>
            <w:tcW w:w="260" w:type="dxa"/>
            <w:vAlign w:val="bottom"/>
            <w:tcBorders>
              <w:right w:val="single" w:sz="8" w:color="CCEEFF"/>
            </w:tcBorders>
            <w:vMerge w:val="continue"/>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(1,900)</w:t>
            </w:r>
          </w:p>
        </w:tc>
        <w:tc>
          <w:tcPr>
            <w:tcW w:w="200" w:type="dxa"/>
            <w:vAlign w:val="bottom"/>
            <w:vMerge w:val="continue"/>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S-11</w:t>
            </w: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40"/>
          </w:cols>
          <w:pgMar w:left="440" w:top="274" w:right="419" w:bottom="1440" w:gutter="0" w:footer="0" w:header="0"/>
        </w:sectPr>
      </w:pPr>
    </w:p>
    <w:bookmarkStart w:id="41" w:name="page42"/>
    <w:bookmarkEnd w:id="4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Humana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Detail of Benefits Payable Balance and Year-to-Date Changes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Dollars in millions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6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1"/>
              </w:rPr>
              <w:t>For the three months ended</w:t>
            </w:r>
          </w:p>
        </w:tc>
        <w:tc>
          <w:tcPr>
            <w:tcW w:w="1840" w:type="dxa"/>
            <w:vAlign w:val="bottom"/>
            <w:gridSpan w:val="4"/>
          </w:tcPr>
          <w:p>
            <w:pPr>
              <w:jc w:val="center"/>
              <w:ind w:right="60"/>
              <w:spacing w:after="0"/>
              <w:rPr>
                <w:sz w:val="20"/>
                <w:szCs w:val="20"/>
                <w:color w:val="auto"/>
              </w:rPr>
            </w:pPr>
            <w:r>
              <w:rPr>
                <w:rFonts w:ascii="Arial" w:cs="Arial" w:eastAsia="Arial" w:hAnsi="Arial"/>
                <w:sz w:val="14"/>
                <w:szCs w:val="14"/>
                <w:color w:val="auto"/>
                <w:w w:val="91"/>
              </w:rPr>
              <w:t>For the three months ended</w:t>
            </w:r>
          </w:p>
        </w:tc>
        <w:tc>
          <w:tcPr>
            <w:tcW w:w="100" w:type="dxa"/>
            <w:vAlign w:val="bottom"/>
          </w:tcPr>
          <w:p>
            <w:pPr>
              <w:spacing w:after="0"/>
              <w:rPr>
                <w:sz w:val="14"/>
                <w:szCs w:val="14"/>
                <w:color w:val="auto"/>
              </w:rPr>
            </w:pPr>
          </w:p>
        </w:tc>
        <w:tc>
          <w:tcPr>
            <w:tcW w:w="1260" w:type="dxa"/>
            <w:vAlign w:val="bottom"/>
            <w:gridSpan w:val="3"/>
          </w:tcPr>
          <w:p>
            <w:pPr>
              <w:jc w:val="right"/>
              <w:ind w:right="160"/>
              <w:spacing w:after="0"/>
              <w:rPr>
                <w:sz w:val="20"/>
                <w:szCs w:val="20"/>
                <w:color w:val="auto"/>
              </w:rPr>
            </w:pPr>
            <w:r>
              <w:rPr>
                <w:rFonts w:ascii="Arial" w:cs="Arial" w:eastAsia="Arial" w:hAnsi="Arial"/>
                <w:sz w:val="14"/>
                <w:szCs w:val="14"/>
                <w:color w:val="auto"/>
                <w:w w:val="91"/>
              </w:rPr>
              <w:t>For the year ended</w:t>
            </w:r>
          </w:p>
        </w:tc>
      </w:tr>
      <w:tr>
        <w:trPr>
          <w:trHeight w:val="171"/>
        </w:trPr>
        <w:tc>
          <w:tcPr>
            <w:tcW w:w="2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6"/>
              </w:rPr>
              <w:t>March 31, 2019</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gridSpan w:val="2"/>
          </w:tcPr>
          <w:p>
            <w:pPr>
              <w:jc w:val="center"/>
              <w:ind w:right="360"/>
              <w:spacing w:after="0"/>
              <w:rPr>
                <w:sz w:val="20"/>
                <w:szCs w:val="20"/>
                <w:color w:val="auto"/>
              </w:rPr>
            </w:pPr>
            <w:r>
              <w:rPr>
                <w:rFonts w:ascii="Arial" w:cs="Arial" w:eastAsia="Arial" w:hAnsi="Arial"/>
                <w:sz w:val="14"/>
                <w:szCs w:val="14"/>
                <w:color w:val="auto"/>
                <w:w w:val="94"/>
              </w:rPr>
              <w:t>March 31, 2018</w:t>
            </w:r>
          </w:p>
        </w:tc>
        <w:tc>
          <w:tcPr>
            <w:tcW w:w="1360" w:type="dxa"/>
            <w:vAlign w:val="bottom"/>
            <w:gridSpan w:val="4"/>
          </w:tcPr>
          <w:p>
            <w:pPr>
              <w:ind w:left="100"/>
              <w:spacing w:after="0"/>
              <w:rPr>
                <w:sz w:val="20"/>
                <w:szCs w:val="20"/>
                <w:color w:val="auto"/>
              </w:rPr>
            </w:pPr>
            <w:r>
              <w:rPr>
                <w:rFonts w:ascii="Arial" w:cs="Arial" w:eastAsia="Arial" w:hAnsi="Arial"/>
                <w:sz w:val="14"/>
                <w:szCs w:val="14"/>
                <w:color w:val="auto"/>
              </w:rPr>
              <w:t>December 31, 2018</w:t>
            </w:r>
          </w:p>
        </w:tc>
      </w:tr>
      <w:tr>
        <w:trPr>
          <w:trHeight w:val="196"/>
        </w:trPr>
        <w:tc>
          <w:tcPr>
            <w:tcW w:w="20" w:type="dxa"/>
            <w:vAlign w:val="bottom"/>
          </w:tcPr>
          <w:p>
            <w:pPr>
              <w:spacing w:after="0"/>
              <w:rPr>
                <w:sz w:val="17"/>
                <w:szCs w:val="17"/>
                <w:color w:val="auto"/>
              </w:rPr>
            </w:pPr>
          </w:p>
        </w:tc>
        <w:tc>
          <w:tcPr>
            <w:tcW w:w="52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w w:val="89"/>
              </w:rPr>
              <w:t>Year-to-date changes in benefits payable, excluding military services</w:t>
            </w:r>
          </w:p>
        </w:tc>
        <w:tc>
          <w:tcPr>
            <w:tcW w:w="6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340"/>
              <w:spacing w:after="0"/>
              <w:rPr>
                <w:sz w:val="20"/>
                <w:szCs w:val="20"/>
                <w:color w:val="auto"/>
              </w:rPr>
            </w:pPr>
            <w:r>
              <w:rPr>
                <w:rFonts w:ascii="Arial" w:cs="Arial" w:eastAsia="Arial" w:hAnsi="Arial"/>
                <w:sz w:val="18"/>
                <w:szCs w:val="18"/>
                <w:color w:val="auto"/>
              </w:rPr>
              <w:t>Balances at January 1</w:t>
            </w:r>
          </w:p>
        </w:tc>
        <w:tc>
          <w:tcPr>
            <w:tcW w:w="920" w:type="dxa"/>
            <w:vAlign w:val="bottom"/>
            <w:gridSpan w:val="3"/>
          </w:tcPr>
          <w:p>
            <w:pPr>
              <w:jc w:val="right"/>
              <w:ind w:right="65"/>
              <w:spacing w:after="0"/>
              <w:rPr>
                <w:sz w:val="20"/>
                <w:szCs w:val="20"/>
                <w:color w:val="auto"/>
              </w:rPr>
            </w:pPr>
            <w:r>
              <w:rPr>
                <w:rFonts w:ascii="Arial" w:cs="Arial" w:eastAsia="Arial" w:hAnsi="Arial"/>
                <w:sz w:val="18"/>
                <w:szCs w:val="18"/>
                <w:b w:val="1"/>
                <w:bCs w:val="1"/>
                <w:color w:val="auto"/>
              </w:rPr>
              <w:t>$</w:t>
            </w: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4,862</w:t>
            </w:r>
          </w:p>
        </w:tc>
        <w:tc>
          <w:tcPr>
            <w:tcW w:w="140" w:type="dxa"/>
            <w:vAlign w:val="bottom"/>
          </w:tcPr>
          <w:p>
            <w:pPr>
              <w:spacing w:after="0"/>
              <w:rPr>
                <w:sz w:val="18"/>
                <w:szCs w:val="18"/>
                <w:color w:val="auto"/>
              </w:rPr>
            </w:pPr>
          </w:p>
        </w:tc>
        <w:tc>
          <w:tcPr>
            <w:tcW w:w="32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4,668</w:t>
            </w:r>
          </w:p>
        </w:tc>
        <w:tc>
          <w:tcPr>
            <w:tcW w:w="140" w:type="dxa"/>
            <w:vAlign w:val="bottom"/>
          </w:tcPr>
          <w:p>
            <w:pPr>
              <w:spacing w:after="0"/>
              <w:rPr>
                <w:sz w:val="18"/>
                <w:szCs w:val="18"/>
                <w:color w:val="auto"/>
              </w:rPr>
            </w:pPr>
          </w:p>
        </w:tc>
        <w:tc>
          <w:tcPr>
            <w:tcW w:w="4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4,668</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Less: Reinsurance recoverables (O)</w:t>
            </w: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(95)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(70)</w:t>
            </w:r>
          </w:p>
        </w:tc>
      </w:tr>
      <w:tr>
        <w:trPr>
          <w:trHeight w:val="223"/>
        </w:trPr>
        <w:tc>
          <w:tcPr>
            <w:tcW w:w="20" w:type="dxa"/>
            <w:vAlign w:val="bottom"/>
          </w:tcPr>
          <w:p>
            <w:pPr>
              <w:spacing w:after="0"/>
              <w:rPr>
                <w:sz w:val="19"/>
                <w:szCs w:val="19"/>
                <w:color w:val="auto"/>
              </w:rPr>
            </w:pPr>
          </w:p>
        </w:tc>
        <w:tc>
          <w:tcPr>
            <w:tcW w:w="5280" w:type="dxa"/>
            <w:vAlign w:val="bottom"/>
          </w:tcPr>
          <w:p>
            <w:pPr>
              <w:ind w:left="340"/>
              <w:spacing w:after="0"/>
              <w:rPr>
                <w:sz w:val="20"/>
                <w:szCs w:val="20"/>
                <w:color w:val="auto"/>
              </w:rPr>
            </w:pPr>
            <w:r>
              <w:rPr>
                <w:rFonts w:ascii="Arial" w:cs="Arial" w:eastAsia="Arial" w:hAnsi="Arial"/>
                <w:sz w:val="18"/>
                <w:szCs w:val="18"/>
                <w:color w:val="auto"/>
              </w:rPr>
              <w:t>Beginning balance, net of reinsurance recoverable</w:t>
            </w: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4,767</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4,598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4,598</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Incurred related to:</w:t>
            </w: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700"/>
              <w:spacing w:after="0"/>
              <w:rPr>
                <w:sz w:val="20"/>
                <w:szCs w:val="20"/>
                <w:color w:val="auto"/>
              </w:rPr>
            </w:pPr>
            <w:r>
              <w:rPr>
                <w:rFonts w:ascii="Arial" w:cs="Arial" w:eastAsia="Arial" w:hAnsi="Arial"/>
                <w:sz w:val="18"/>
                <w:szCs w:val="18"/>
                <w:color w:val="auto"/>
              </w:rPr>
              <w:t>Current year</w:t>
            </w: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13,760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11,947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46,385</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Prior years (P)</w:t>
            </w: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(267)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(503)</w:t>
            </w:r>
          </w:p>
        </w:tc>
      </w:tr>
      <w:tr>
        <w:trPr>
          <w:trHeight w:val="230"/>
        </w:trPr>
        <w:tc>
          <w:tcPr>
            <w:tcW w:w="20" w:type="dxa"/>
            <w:vAlign w:val="bottom"/>
          </w:tcPr>
          <w:p>
            <w:pPr>
              <w:spacing w:after="0"/>
              <w:rPr>
                <w:sz w:val="20"/>
                <w:szCs w:val="20"/>
                <w:color w:val="auto"/>
              </w:rPr>
            </w:pPr>
          </w:p>
        </w:tc>
        <w:tc>
          <w:tcPr>
            <w:tcW w:w="5280" w:type="dxa"/>
            <w:vAlign w:val="bottom"/>
          </w:tcPr>
          <w:p>
            <w:pPr>
              <w:ind w:left="340"/>
              <w:spacing w:after="0"/>
              <w:rPr>
                <w:sz w:val="20"/>
                <w:szCs w:val="20"/>
                <w:color w:val="auto"/>
              </w:rPr>
            </w:pPr>
            <w:r>
              <w:rPr>
                <w:rFonts w:ascii="Arial" w:cs="Arial" w:eastAsia="Arial" w:hAnsi="Arial"/>
                <w:sz w:val="18"/>
                <w:szCs w:val="18"/>
                <w:color w:val="auto"/>
              </w:rPr>
              <w:t>Total incurred</w:t>
            </w: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13,493</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11,680</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45,882</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Paid related to:</w:t>
            </w: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700"/>
              <w:spacing w:after="0"/>
              <w:rPr>
                <w:sz w:val="20"/>
                <w:szCs w:val="20"/>
                <w:color w:val="auto"/>
              </w:rPr>
            </w:pPr>
            <w:r>
              <w:rPr>
                <w:rFonts w:ascii="Arial" w:cs="Arial" w:eastAsia="Arial" w:hAnsi="Arial"/>
                <w:sz w:val="18"/>
                <w:szCs w:val="18"/>
                <w:color w:val="auto"/>
              </w:rPr>
              <w:t>Current year</w:t>
            </w: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(8,725)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(7,775)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(41,736)</w:t>
            </w: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Prior years</w:t>
            </w: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(3,595)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(3,619)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(3,977)</w:t>
            </w:r>
          </w:p>
        </w:tc>
      </w:tr>
      <w:tr>
        <w:trPr>
          <w:trHeight w:val="230"/>
        </w:trPr>
        <w:tc>
          <w:tcPr>
            <w:tcW w:w="20" w:type="dxa"/>
            <w:vAlign w:val="bottom"/>
          </w:tcPr>
          <w:p>
            <w:pPr>
              <w:spacing w:after="0"/>
              <w:rPr>
                <w:sz w:val="20"/>
                <w:szCs w:val="20"/>
                <w:color w:val="auto"/>
              </w:rPr>
            </w:pPr>
          </w:p>
        </w:tc>
        <w:tc>
          <w:tcPr>
            <w:tcW w:w="5280" w:type="dxa"/>
            <w:vAlign w:val="bottom"/>
          </w:tcPr>
          <w:p>
            <w:pPr>
              <w:ind w:left="340"/>
              <w:spacing w:after="0"/>
              <w:rPr>
                <w:sz w:val="20"/>
                <w:szCs w:val="20"/>
                <w:color w:val="auto"/>
              </w:rPr>
            </w:pPr>
            <w:r>
              <w:rPr>
                <w:rFonts w:ascii="Arial" w:cs="Arial" w:eastAsia="Arial" w:hAnsi="Arial"/>
                <w:sz w:val="18"/>
                <w:szCs w:val="18"/>
                <w:color w:val="auto"/>
              </w:rPr>
              <w:t>Total paid</w:t>
            </w: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(12,320)</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(11,394)</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(45,713)</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Reinsurance recoverables (O)</w:t>
            </w: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280" w:type="dxa"/>
            <w:vAlign w:val="bottom"/>
          </w:tcPr>
          <w:p>
            <w:pPr>
              <w:ind w:left="340"/>
              <w:spacing w:after="0"/>
              <w:rPr>
                <w:sz w:val="20"/>
                <w:szCs w:val="20"/>
                <w:color w:val="auto"/>
              </w:rPr>
            </w:pPr>
            <w:r>
              <w:rPr>
                <w:rFonts w:ascii="Arial" w:cs="Arial" w:eastAsia="Arial" w:hAnsi="Arial"/>
                <w:sz w:val="18"/>
                <w:szCs w:val="18"/>
                <w:color w:val="auto"/>
              </w:rPr>
              <w:t>Ending balance</w:t>
            </w:r>
          </w:p>
        </w:tc>
        <w:tc>
          <w:tcPr>
            <w:tcW w:w="6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b w:val="1"/>
                <w:bCs w:val="1"/>
                <w:color w:val="auto"/>
                <w:w w:val="71"/>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6,024</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4,961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4,862</w:t>
            </w:r>
          </w:p>
        </w:tc>
        <w:tc>
          <w:tcPr>
            <w:tcW w:w="1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0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36"/>
        </w:trPr>
        <w:tc>
          <w:tcPr>
            <w:tcW w:w="20" w:type="dxa"/>
            <w:vAlign w:val="bottom"/>
          </w:tcPr>
          <w:p>
            <w:pPr>
              <w:spacing w:after="0"/>
              <w:rPr>
                <w:sz w:val="24"/>
                <w:szCs w:val="24"/>
                <w:color w:val="auto"/>
              </w:rPr>
            </w:pPr>
          </w:p>
        </w:tc>
        <w:tc>
          <w:tcPr>
            <w:tcW w:w="5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6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1"/>
              </w:rPr>
              <w:t>For the three months ended</w:t>
            </w:r>
          </w:p>
        </w:tc>
        <w:tc>
          <w:tcPr>
            <w:tcW w:w="1840" w:type="dxa"/>
            <w:vAlign w:val="bottom"/>
            <w:gridSpan w:val="4"/>
          </w:tcPr>
          <w:p>
            <w:pPr>
              <w:jc w:val="center"/>
              <w:ind w:right="60"/>
              <w:spacing w:after="0"/>
              <w:rPr>
                <w:sz w:val="20"/>
                <w:szCs w:val="20"/>
                <w:color w:val="auto"/>
              </w:rPr>
            </w:pPr>
            <w:r>
              <w:rPr>
                <w:rFonts w:ascii="Arial" w:cs="Arial" w:eastAsia="Arial" w:hAnsi="Arial"/>
                <w:sz w:val="14"/>
                <w:szCs w:val="14"/>
                <w:color w:val="auto"/>
                <w:w w:val="91"/>
              </w:rPr>
              <w:t>For the three months ended</w:t>
            </w:r>
          </w:p>
        </w:tc>
        <w:tc>
          <w:tcPr>
            <w:tcW w:w="100" w:type="dxa"/>
            <w:vAlign w:val="bottom"/>
          </w:tcPr>
          <w:p>
            <w:pPr>
              <w:spacing w:after="0"/>
              <w:rPr>
                <w:sz w:val="24"/>
                <w:szCs w:val="24"/>
                <w:color w:val="auto"/>
              </w:rPr>
            </w:pPr>
          </w:p>
        </w:tc>
        <w:tc>
          <w:tcPr>
            <w:tcW w:w="1260" w:type="dxa"/>
            <w:vAlign w:val="bottom"/>
            <w:gridSpan w:val="3"/>
          </w:tcPr>
          <w:p>
            <w:pPr>
              <w:jc w:val="right"/>
              <w:ind w:right="160"/>
              <w:spacing w:after="0"/>
              <w:rPr>
                <w:sz w:val="20"/>
                <w:szCs w:val="20"/>
                <w:color w:val="auto"/>
              </w:rPr>
            </w:pPr>
            <w:r>
              <w:rPr>
                <w:rFonts w:ascii="Arial" w:cs="Arial" w:eastAsia="Arial" w:hAnsi="Arial"/>
                <w:sz w:val="14"/>
                <w:szCs w:val="14"/>
                <w:color w:val="auto"/>
                <w:w w:val="91"/>
              </w:rPr>
              <w:t>For the year ended</w:t>
            </w:r>
          </w:p>
        </w:tc>
      </w:tr>
      <w:tr>
        <w:trPr>
          <w:trHeight w:val="171"/>
        </w:trPr>
        <w:tc>
          <w:tcPr>
            <w:tcW w:w="2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6"/>
              </w:rPr>
              <w:t>March 31, 2019</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gridSpan w:val="2"/>
          </w:tcPr>
          <w:p>
            <w:pPr>
              <w:jc w:val="center"/>
              <w:ind w:right="360"/>
              <w:spacing w:after="0"/>
              <w:rPr>
                <w:sz w:val="20"/>
                <w:szCs w:val="20"/>
                <w:color w:val="auto"/>
              </w:rPr>
            </w:pPr>
            <w:r>
              <w:rPr>
                <w:rFonts w:ascii="Arial" w:cs="Arial" w:eastAsia="Arial" w:hAnsi="Arial"/>
                <w:sz w:val="14"/>
                <w:szCs w:val="14"/>
                <w:color w:val="auto"/>
                <w:w w:val="94"/>
              </w:rPr>
              <w:t>March 31, 2018</w:t>
            </w:r>
          </w:p>
        </w:tc>
        <w:tc>
          <w:tcPr>
            <w:tcW w:w="1360" w:type="dxa"/>
            <w:vAlign w:val="bottom"/>
            <w:gridSpan w:val="4"/>
          </w:tcPr>
          <w:p>
            <w:pPr>
              <w:ind w:left="100"/>
              <w:spacing w:after="0"/>
              <w:rPr>
                <w:sz w:val="20"/>
                <w:szCs w:val="20"/>
                <w:color w:val="auto"/>
              </w:rPr>
            </w:pPr>
            <w:r>
              <w:rPr>
                <w:rFonts w:ascii="Arial" w:cs="Arial" w:eastAsia="Arial" w:hAnsi="Arial"/>
                <w:sz w:val="14"/>
                <w:szCs w:val="14"/>
                <w:color w:val="auto"/>
              </w:rPr>
              <w:t>December 31, 2018</w:t>
            </w:r>
          </w:p>
        </w:tc>
      </w:tr>
      <w:tr>
        <w:trPr>
          <w:trHeight w:val="196"/>
        </w:trPr>
        <w:tc>
          <w:tcPr>
            <w:tcW w:w="20" w:type="dxa"/>
            <w:vAlign w:val="bottom"/>
          </w:tcPr>
          <w:p>
            <w:pPr>
              <w:spacing w:after="0"/>
              <w:rPr>
                <w:sz w:val="17"/>
                <w:szCs w:val="17"/>
                <w:color w:val="auto"/>
              </w:rPr>
            </w:pPr>
          </w:p>
        </w:tc>
        <w:tc>
          <w:tcPr>
            <w:tcW w:w="52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Summary of Consolidated Benefit Expense:</w:t>
            </w:r>
          </w:p>
        </w:tc>
        <w:tc>
          <w:tcPr>
            <w:tcW w:w="6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340"/>
              <w:spacing w:after="0"/>
              <w:rPr>
                <w:sz w:val="20"/>
                <w:szCs w:val="20"/>
                <w:color w:val="auto"/>
              </w:rPr>
            </w:pPr>
            <w:r>
              <w:rPr>
                <w:rFonts w:ascii="Arial" w:cs="Arial" w:eastAsia="Arial" w:hAnsi="Arial"/>
                <w:sz w:val="18"/>
                <w:szCs w:val="18"/>
                <w:color w:val="auto"/>
              </w:rPr>
              <w:t>Total benefit expense incurred, per above</w:t>
            </w:r>
          </w:p>
        </w:tc>
        <w:tc>
          <w:tcPr>
            <w:tcW w:w="920" w:type="dxa"/>
            <w:vAlign w:val="bottom"/>
            <w:gridSpan w:val="3"/>
          </w:tcPr>
          <w:p>
            <w:pPr>
              <w:jc w:val="right"/>
              <w:ind w:right="65"/>
              <w:spacing w:after="0"/>
              <w:rPr>
                <w:sz w:val="20"/>
                <w:szCs w:val="20"/>
                <w:color w:val="auto"/>
              </w:rPr>
            </w:pPr>
            <w:r>
              <w:rPr>
                <w:rFonts w:ascii="Arial" w:cs="Arial" w:eastAsia="Arial" w:hAnsi="Arial"/>
                <w:sz w:val="18"/>
                <w:szCs w:val="18"/>
                <w:b w:val="1"/>
                <w:bCs w:val="1"/>
                <w:color w:val="auto"/>
              </w:rPr>
              <w:t>$</w:t>
            </w: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13,493</w:t>
            </w:r>
          </w:p>
        </w:tc>
        <w:tc>
          <w:tcPr>
            <w:tcW w:w="140" w:type="dxa"/>
            <w:vAlign w:val="bottom"/>
          </w:tcPr>
          <w:p>
            <w:pPr>
              <w:spacing w:after="0"/>
              <w:rPr>
                <w:sz w:val="18"/>
                <w:szCs w:val="18"/>
                <w:color w:val="auto"/>
              </w:rPr>
            </w:pPr>
          </w:p>
        </w:tc>
        <w:tc>
          <w:tcPr>
            <w:tcW w:w="32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11,680</w:t>
            </w:r>
          </w:p>
        </w:tc>
        <w:tc>
          <w:tcPr>
            <w:tcW w:w="140" w:type="dxa"/>
            <w:vAlign w:val="bottom"/>
          </w:tcPr>
          <w:p>
            <w:pPr>
              <w:spacing w:after="0"/>
              <w:rPr>
                <w:sz w:val="18"/>
                <w:szCs w:val="18"/>
                <w:color w:val="auto"/>
              </w:rPr>
            </w:pPr>
          </w:p>
        </w:tc>
        <w:tc>
          <w:tcPr>
            <w:tcW w:w="4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45,882</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Future policy benefit expense (Q)</w:t>
            </w: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5280" w:type="dxa"/>
            <w:vAlign w:val="bottom"/>
          </w:tcPr>
          <w:p>
            <w:pPr>
              <w:ind w:left="700"/>
              <w:spacing w:after="0"/>
              <w:rPr>
                <w:sz w:val="20"/>
                <w:szCs w:val="20"/>
                <w:color w:val="auto"/>
              </w:rPr>
            </w:pPr>
            <w:r>
              <w:rPr>
                <w:rFonts w:ascii="Arial" w:cs="Arial" w:eastAsia="Arial" w:hAnsi="Arial"/>
                <w:sz w:val="18"/>
                <w:szCs w:val="18"/>
                <w:color w:val="auto"/>
              </w:rPr>
              <w:t>Consolidated Benefit Expense</w:t>
            </w:r>
          </w:p>
        </w:tc>
        <w:tc>
          <w:tcPr>
            <w:tcW w:w="700" w:type="dxa"/>
            <w:vAlign w:val="bottom"/>
            <w:gridSpan w:val="2"/>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b w:val="1"/>
                <w:bCs w:val="1"/>
                <w:color w:val="auto"/>
                <w:w w:val="71"/>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13,493</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11,670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45,882</w:t>
            </w:r>
          </w:p>
        </w:tc>
        <w:tc>
          <w:tcPr>
            <w:tcW w:w="1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280" w:type="dxa"/>
            <w:vAlign w:val="bottom"/>
          </w:tcPr>
          <w:p>
            <w:pPr>
              <w:spacing w:after="0"/>
              <w:rPr>
                <w:sz w:val="24"/>
                <w:szCs w:val="24"/>
                <w:color w:val="auto"/>
              </w:rPr>
            </w:pPr>
          </w:p>
        </w:tc>
        <w:tc>
          <w:tcPr>
            <w:tcW w:w="920" w:type="dxa"/>
            <w:vAlign w:val="bottom"/>
            <w:gridSpan w:val="3"/>
          </w:tcPr>
          <w:p>
            <w:pPr>
              <w:jc w:val="right"/>
              <w:ind w:right="465"/>
              <w:spacing w:after="0"/>
              <w:rPr>
                <w:sz w:val="20"/>
                <w:szCs w:val="20"/>
                <w:color w:val="auto"/>
              </w:rPr>
            </w:pPr>
            <w:r>
              <w:rPr>
                <w:rFonts w:ascii="Arial" w:cs="Arial" w:eastAsia="Arial" w:hAnsi="Arial"/>
                <w:sz w:val="18"/>
                <w:szCs w:val="18"/>
                <w:color w:val="auto"/>
                <w:w w:val="94"/>
              </w:rPr>
              <w:t>S-12</w:t>
            </w:r>
          </w:p>
        </w:tc>
        <w:tc>
          <w:tcPr>
            <w:tcW w:w="1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040"/>
          </w:cols>
          <w:pgMar w:left="440" w:top="274" w:right="419" w:bottom="1440" w:gutter="0" w:footer="0" w:header="0"/>
        </w:sectPr>
      </w:pPr>
    </w:p>
    <w:bookmarkStart w:id="42" w:name="page43"/>
    <w:bookmarkEnd w:id="4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Humana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Benefits Payable Statistics (Continued) (R)</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Days in Claims Payable</w:t>
      </w:r>
    </w:p>
    <w:tbl>
      <w:tblPr>
        <w:tblLayout w:type="fixed"/>
        <w:tblInd w:w="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70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60" w:type="dxa"/>
            <w:vAlign w:val="bottom"/>
            <w:gridSpan w:val="4"/>
          </w:tcPr>
          <w:p>
            <w:pPr>
              <w:jc w:val="right"/>
              <w:ind w:right="380"/>
              <w:spacing w:after="0" w:line="153" w:lineRule="exact"/>
              <w:rPr>
                <w:sz w:val="20"/>
                <w:szCs w:val="20"/>
                <w:color w:val="auto"/>
              </w:rPr>
            </w:pPr>
            <w:r>
              <w:rPr>
                <w:rFonts w:ascii="Arial" w:cs="Arial" w:eastAsia="Arial" w:hAnsi="Arial"/>
                <w:sz w:val="14"/>
                <w:szCs w:val="14"/>
                <w:b w:val="1"/>
                <w:bCs w:val="1"/>
                <w:color w:val="auto"/>
                <w:w w:val="92"/>
              </w:rPr>
              <w:t>Days in</w:t>
            </w:r>
          </w:p>
        </w:tc>
        <w:tc>
          <w:tcPr>
            <w:tcW w:w="740" w:type="dxa"/>
            <w:vAlign w:val="bottom"/>
            <w:gridSpan w:val="3"/>
            <w:vMerge w:val="restart"/>
          </w:tcPr>
          <w:p>
            <w:pPr>
              <w:jc w:val="center"/>
              <w:ind w:right="180"/>
              <w:spacing w:after="0"/>
              <w:rPr>
                <w:sz w:val="20"/>
                <w:szCs w:val="20"/>
                <w:color w:val="auto"/>
              </w:rPr>
            </w:pPr>
            <w:r>
              <w:rPr>
                <w:rFonts w:ascii="Arial" w:cs="Arial" w:eastAsia="Arial" w:hAnsi="Arial"/>
                <w:sz w:val="14"/>
                <w:szCs w:val="14"/>
                <w:b w:val="1"/>
                <w:bCs w:val="1"/>
                <w:color w:val="auto"/>
                <w:w w:val="93"/>
              </w:rPr>
              <w:t>Change</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40" w:type="dxa"/>
            <w:vAlign w:val="bottom"/>
          </w:tcPr>
          <w:p>
            <w:pPr>
              <w:spacing w:after="0"/>
              <w:rPr>
                <w:sz w:val="12"/>
                <w:szCs w:val="12"/>
                <w:color w:val="auto"/>
              </w:rPr>
            </w:pPr>
          </w:p>
        </w:tc>
        <w:tc>
          <w:tcPr>
            <w:tcW w:w="880" w:type="dxa"/>
            <w:vAlign w:val="bottom"/>
            <w:vMerge w:val="restart"/>
          </w:tcPr>
          <w:p>
            <w:pPr>
              <w:jc w:val="right"/>
              <w:ind w:right="117"/>
              <w:spacing w:after="0"/>
              <w:rPr>
                <w:sz w:val="20"/>
                <w:szCs w:val="20"/>
                <w:color w:val="auto"/>
              </w:rPr>
            </w:pPr>
            <w:r>
              <w:rPr>
                <w:rFonts w:ascii="Arial" w:cs="Arial" w:eastAsia="Arial" w:hAnsi="Arial"/>
                <w:sz w:val="14"/>
                <w:szCs w:val="14"/>
                <w:b w:val="1"/>
                <w:bCs w:val="1"/>
                <w:color w:val="auto"/>
              </w:rPr>
              <w:t>Quarter</w:t>
            </w:r>
          </w:p>
        </w:tc>
        <w:tc>
          <w:tcPr>
            <w:tcW w:w="340" w:type="dxa"/>
            <w:vAlign w:val="bottom"/>
          </w:tcPr>
          <w:p>
            <w:pPr>
              <w:spacing w:after="0"/>
              <w:rPr>
                <w:sz w:val="12"/>
                <w:szCs w:val="12"/>
                <w:color w:val="auto"/>
              </w:rPr>
            </w:pPr>
          </w:p>
        </w:tc>
        <w:tc>
          <w:tcPr>
            <w:tcW w:w="860" w:type="dxa"/>
            <w:vAlign w:val="bottom"/>
            <w:gridSpan w:val="4"/>
          </w:tcPr>
          <w:p>
            <w:pPr>
              <w:jc w:val="right"/>
              <w:ind w:right="400"/>
              <w:spacing w:after="0" w:line="149" w:lineRule="exact"/>
              <w:rPr>
                <w:sz w:val="20"/>
                <w:szCs w:val="20"/>
                <w:color w:val="auto"/>
              </w:rPr>
            </w:pPr>
            <w:r>
              <w:rPr>
                <w:rFonts w:ascii="Arial" w:cs="Arial" w:eastAsia="Arial" w:hAnsi="Arial"/>
                <w:sz w:val="14"/>
                <w:szCs w:val="14"/>
                <w:b w:val="1"/>
                <w:bCs w:val="1"/>
                <w:color w:val="auto"/>
                <w:w w:val="95"/>
              </w:rPr>
              <w:t>Claims</w:t>
            </w:r>
          </w:p>
        </w:tc>
        <w:tc>
          <w:tcPr>
            <w:tcW w:w="740" w:type="dxa"/>
            <w:vAlign w:val="bottom"/>
            <w:gridSpan w:val="3"/>
            <w:vMerge w:val="continue"/>
          </w:tcPr>
          <w:p>
            <w:pPr>
              <w:spacing w:after="0"/>
              <w:rPr>
                <w:sz w:val="12"/>
                <w:szCs w:val="12"/>
                <w:color w:val="auto"/>
              </w:rPr>
            </w:pPr>
          </w:p>
        </w:tc>
        <w:tc>
          <w:tcPr>
            <w:tcW w:w="1160" w:type="dxa"/>
            <w:vAlign w:val="bottom"/>
            <w:gridSpan w:val="7"/>
            <w:vMerge w:val="restart"/>
          </w:tcPr>
          <w:p>
            <w:pPr>
              <w:jc w:val="center"/>
              <w:ind w:right="20"/>
              <w:spacing w:after="0"/>
              <w:rPr>
                <w:sz w:val="20"/>
                <w:szCs w:val="20"/>
                <w:color w:val="auto"/>
              </w:rPr>
            </w:pPr>
            <w:r>
              <w:rPr>
                <w:rFonts w:ascii="Arial" w:cs="Arial" w:eastAsia="Arial" w:hAnsi="Arial"/>
                <w:sz w:val="14"/>
                <w:szCs w:val="14"/>
                <w:b w:val="1"/>
                <w:bCs w:val="1"/>
                <w:color w:val="auto"/>
                <w:w w:val="87"/>
              </w:rPr>
              <w:t>Percentage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4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200" w:type="dxa"/>
            <w:vAlign w:val="bottom"/>
            <w:gridSpan w:val="5"/>
          </w:tcPr>
          <w:p>
            <w:pPr>
              <w:jc w:val="right"/>
              <w:ind w:right="360"/>
              <w:spacing w:after="0" w:line="149" w:lineRule="exact"/>
              <w:rPr>
                <w:sz w:val="20"/>
                <w:szCs w:val="20"/>
                <w:color w:val="auto"/>
              </w:rPr>
            </w:pPr>
            <w:r>
              <w:rPr>
                <w:rFonts w:ascii="Arial" w:cs="Arial" w:eastAsia="Arial" w:hAnsi="Arial"/>
                <w:sz w:val="14"/>
                <w:szCs w:val="14"/>
                <w:b w:val="1"/>
                <w:bCs w:val="1"/>
                <w:color w:val="auto"/>
              </w:rPr>
              <w:t>Payable</w:t>
            </w:r>
          </w:p>
        </w:tc>
        <w:tc>
          <w:tcPr>
            <w:tcW w:w="74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Last 4</w:t>
            </w:r>
          </w:p>
        </w:tc>
        <w:tc>
          <w:tcPr>
            <w:tcW w:w="1160" w:type="dxa"/>
            <w:vAlign w:val="bottom"/>
            <w:gridSpan w:val="7"/>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04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rPr>
              <w:t>Ended</w:t>
            </w:r>
          </w:p>
        </w:tc>
        <w:tc>
          <w:tcPr>
            <w:tcW w:w="34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(DCP)</w:t>
            </w:r>
          </w:p>
        </w:tc>
        <w:tc>
          <w:tcPr>
            <w:tcW w:w="360" w:type="dxa"/>
            <w:vAlign w:val="bottom"/>
            <w:tcBorders>
              <w:bottom w:val="single" w:sz="8" w:color="CCEEFF"/>
            </w:tcBorders>
            <w:gridSpan w:val="2"/>
          </w:tcPr>
          <w:p>
            <w:pPr>
              <w:spacing w:after="0"/>
              <w:rPr>
                <w:sz w:val="14"/>
                <w:szCs w:val="14"/>
                <w:color w:val="auto"/>
              </w:rPr>
            </w:pPr>
          </w:p>
        </w:tc>
        <w:tc>
          <w:tcPr>
            <w:tcW w:w="5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5"/>
              </w:rPr>
              <w:t>Quarters</w:t>
            </w:r>
          </w:p>
        </w:tc>
        <w:tc>
          <w:tcPr>
            <w:tcW w:w="18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9"/>
              </w:rPr>
              <w:t>Change</w:t>
            </w:r>
          </w:p>
        </w:tc>
        <w:tc>
          <w:tcPr>
            <w:tcW w:w="240" w:type="dxa"/>
            <w:vAlign w:val="bottom"/>
            <w:tcBorders>
              <w:bottom w:val="single" w:sz="8" w:color="CCEEFF"/>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3/31/2018</w:t>
            </w:r>
          </w:p>
        </w:tc>
        <w:tc>
          <w:tcPr>
            <w:tcW w:w="3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2"/>
          </w:tcPr>
          <w:p>
            <w:pPr>
              <w:jc w:val="right"/>
              <w:spacing w:after="0"/>
              <w:rPr>
                <w:sz w:val="20"/>
                <w:szCs w:val="20"/>
                <w:color w:val="auto"/>
              </w:rPr>
            </w:pPr>
            <w:r>
              <w:rPr>
                <w:rFonts w:ascii="Arial" w:cs="Arial" w:eastAsia="Arial" w:hAnsi="Arial"/>
                <w:sz w:val="18"/>
                <w:szCs w:val="18"/>
                <w:color w:val="auto"/>
              </w:rPr>
              <w:t>6/30/2018</w:t>
            </w: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40.1</w:t>
            </w: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gridSpan w:val="3"/>
          </w:tcPr>
          <w:p>
            <w:pPr>
              <w:jc w:val="right"/>
              <w:ind w:right="120"/>
              <w:spacing w:after="0"/>
              <w:rPr>
                <w:sz w:val="20"/>
                <w:szCs w:val="20"/>
                <w:color w:val="auto"/>
              </w:rPr>
            </w:pPr>
            <w:r>
              <w:rPr>
                <w:rFonts w:ascii="Arial" w:cs="Arial" w:eastAsia="Arial" w:hAnsi="Arial"/>
                <w:sz w:val="18"/>
                <w:szCs w:val="18"/>
                <w:color w:val="auto"/>
              </w:rPr>
              <w:t>(0.3)</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4"/>
          </w:tcPr>
          <w:p>
            <w:pPr>
              <w:jc w:val="right"/>
              <w:ind w:right="10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9/30/2018</w:t>
            </w: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41.1</w:t>
            </w: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(1.8)</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12/31/2018</w:t>
            </w:r>
          </w:p>
        </w:tc>
        <w:tc>
          <w:tcPr>
            <w:tcW w:w="34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39.1</w:t>
            </w: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gridSpan w:val="3"/>
          </w:tcPr>
          <w:p>
            <w:pPr>
              <w:jc w:val="right"/>
              <w:ind w:right="120"/>
              <w:spacing w:after="0"/>
              <w:rPr>
                <w:sz w:val="20"/>
                <w:szCs w:val="20"/>
                <w:color w:val="auto"/>
              </w:rPr>
            </w:pPr>
            <w:r>
              <w:rPr>
                <w:rFonts w:ascii="Arial" w:cs="Arial" w:eastAsia="Arial" w:hAnsi="Arial"/>
                <w:sz w:val="18"/>
                <w:szCs w:val="18"/>
                <w:color w:val="auto"/>
              </w:rPr>
              <w:t>(1.3)</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4"/>
          </w:tcPr>
          <w:p>
            <w:pPr>
              <w:jc w:val="right"/>
              <w:ind w:right="10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04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20" w:type="dxa"/>
            <w:vAlign w:val="bottom"/>
            <w:tcBorders>
              <w:right w:val="single" w:sz="8" w:color="auto"/>
            </w:tcBorders>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3/31/2019</w:t>
            </w:r>
          </w:p>
        </w:tc>
        <w:tc>
          <w:tcPr>
            <w:tcW w:w="3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40.2</w:t>
            </w: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1.9</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2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0"/>
        </w:trPr>
        <w:tc>
          <w:tcPr>
            <w:tcW w:w="20" w:type="dxa"/>
            <w:vAlign w:val="bottom"/>
          </w:tcPr>
          <w:p>
            <w:pPr>
              <w:spacing w:after="0"/>
              <w:rPr>
                <w:sz w:val="24"/>
                <w:szCs w:val="24"/>
                <w:color w:val="auto"/>
              </w:rPr>
            </w:pPr>
          </w:p>
        </w:tc>
        <w:tc>
          <w:tcPr>
            <w:tcW w:w="70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gridSpan w:val="3"/>
          </w:tcPr>
          <w:p>
            <w:pPr>
              <w:jc w:val="center"/>
              <w:ind w:right="140"/>
              <w:spacing w:after="0"/>
              <w:rPr>
                <w:sz w:val="20"/>
                <w:szCs w:val="20"/>
                <w:color w:val="auto"/>
              </w:rPr>
            </w:pPr>
            <w:r>
              <w:rPr>
                <w:rFonts w:ascii="Arial" w:cs="Arial" w:eastAsia="Arial" w:hAnsi="Arial"/>
                <w:sz w:val="14"/>
                <w:szCs w:val="14"/>
                <w:color w:val="auto"/>
                <w:w w:val="98"/>
              </w:rPr>
              <w:t>Last</w:t>
            </w:r>
          </w:p>
        </w:tc>
        <w:tc>
          <w:tcPr>
            <w:tcW w:w="0" w:type="dxa"/>
            <w:vAlign w:val="bottom"/>
          </w:tcPr>
          <w:p>
            <w:pPr>
              <w:spacing w:after="0"/>
              <w:rPr>
                <w:sz w:val="1"/>
                <w:szCs w:val="1"/>
                <w:color w:val="auto"/>
              </w:rPr>
            </w:pPr>
          </w:p>
        </w:tc>
      </w:tr>
      <w:tr>
        <w:trPr>
          <w:trHeight w:val="149"/>
        </w:trPr>
        <w:tc>
          <w:tcPr>
            <w:tcW w:w="79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 xml:space="preserve">Change in Days in Claims Payable </w:t>
            </w:r>
            <w:r>
              <w:rPr>
                <w:rFonts w:ascii="Arial" w:cs="Arial" w:eastAsia="Arial" w:hAnsi="Arial"/>
                <w:sz w:val="18"/>
                <w:szCs w:val="18"/>
                <w:color w:val="auto"/>
              </w:rPr>
              <w:t>(S)</w:t>
            </w:r>
          </w:p>
        </w:tc>
        <w:tc>
          <w:tcPr>
            <w:tcW w:w="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40" w:type="dxa"/>
            <w:vAlign w:val="bottom"/>
            <w:gridSpan w:val="3"/>
          </w:tcPr>
          <w:p>
            <w:pPr>
              <w:jc w:val="center"/>
              <w:ind w:right="100"/>
              <w:spacing w:after="0" w:line="149" w:lineRule="exact"/>
              <w:rPr>
                <w:sz w:val="20"/>
                <w:szCs w:val="20"/>
                <w:color w:val="auto"/>
              </w:rPr>
            </w:pPr>
            <w:r>
              <w:rPr>
                <w:rFonts w:ascii="Arial" w:cs="Arial" w:eastAsia="Arial" w:hAnsi="Arial"/>
                <w:sz w:val="14"/>
                <w:szCs w:val="14"/>
                <w:color w:val="auto"/>
                <w:w w:val="96"/>
              </w:rPr>
              <w:t>1Q</w:t>
            </w:r>
          </w:p>
        </w:tc>
        <w:tc>
          <w:tcPr>
            <w:tcW w:w="140" w:type="dxa"/>
            <w:vAlign w:val="bottom"/>
          </w:tcPr>
          <w:p>
            <w:pPr>
              <w:spacing w:after="0"/>
              <w:rPr>
                <w:sz w:val="12"/>
                <w:szCs w:val="12"/>
                <w:color w:val="auto"/>
              </w:rPr>
            </w:pPr>
          </w:p>
        </w:tc>
        <w:tc>
          <w:tcPr>
            <w:tcW w:w="60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6"/>
              </w:rPr>
              <w:t>1Q</w:t>
            </w:r>
          </w:p>
        </w:tc>
        <w:tc>
          <w:tcPr>
            <w:tcW w:w="520" w:type="dxa"/>
            <w:vAlign w:val="bottom"/>
            <w:gridSpan w:val="3"/>
          </w:tcPr>
          <w:p>
            <w:pPr>
              <w:jc w:val="center"/>
              <w:ind w:right="140"/>
              <w:spacing w:after="0" w:line="149" w:lineRule="exact"/>
              <w:rPr>
                <w:sz w:val="20"/>
                <w:szCs w:val="20"/>
                <w:color w:val="auto"/>
              </w:rPr>
            </w:pPr>
            <w:r>
              <w:rPr>
                <w:rFonts w:ascii="Arial" w:cs="Arial" w:eastAsia="Arial" w:hAnsi="Arial"/>
                <w:sz w:val="14"/>
                <w:szCs w:val="14"/>
                <w:color w:val="auto"/>
                <w:w w:val="96"/>
              </w:rPr>
              <w:t>4Q</w:t>
            </w:r>
          </w:p>
        </w:tc>
        <w:tc>
          <w:tcPr>
            <w:tcW w:w="80" w:type="dxa"/>
            <w:vAlign w:val="bottom"/>
          </w:tcPr>
          <w:p>
            <w:pPr>
              <w:spacing w:after="0"/>
              <w:rPr>
                <w:sz w:val="12"/>
                <w:szCs w:val="12"/>
                <w:color w:val="auto"/>
              </w:rPr>
            </w:pPr>
          </w:p>
        </w:tc>
        <w:tc>
          <w:tcPr>
            <w:tcW w:w="560" w:type="dxa"/>
            <w:vAlign w:val="bottom"/>
            <w:gridSpan w:val="3"/>
          </w:tcPr>
          <w:p>
            <w:pPr>
              <w:jc w:val="center"/>
              <w:ind w:right="140"/>
              <w:spacing w:after="0" w:line="149" w:lineRule="exact"/>
              <w:rPr>
                <w:sz w:val="20"/>
                <w:szCs w:val="20"/>
                <w:color w:val="auto"/>
              </w:rPr>
            </w:pPr>
            <w:r>
              <w:rPr>
                <w:rFonts w:ascii="Arial" w:cs="Arial" w:eastAsia="Arial" w:hAnsi="Arial"/>
                <w:sz w:val="14"/>
                <w:szCs w:val="14"/>
                <w:color w:val="auto"/>
                <w:w w:val="94"/>
              </w:rPr>
              <w:t>Twelve</w:t>
            </w:r>
          </w:p>
        </w:tc>
        <w:tc>
          <w:tcPr>
            <w:tcW w:w="0" w:type="dxa"/>
            <w:vAlign w:val="bottom"/>
          </w:tcPr>
          <w:p>
            <w:pPr>
              <w:spacing w:after="0"/>
              <w:rPr>
                <w:sz w:val="1"/>
                <w:szCs w:val="1"/>
                <w:color w:val="auto"/>
              </w:rPr>
            </w:pPr>
          </w:p>
        </w:tc>
      </w:tr>
      <w:tr>
        <w:trPr>
          <w:trHeight w:val="167"/>
        </w:trPr>
        <w:tc>
          <w:tcPr>
            <w:tcW w:w="7940" w:type="dxa"/>
            <w:vAlign w:val="bottom"/>
            <w:gridSpan w:val="3"/>
            <w:vMerge w:val="continue"/>
          </w:tcPr>
          <w:p>
            <w:pPr>
              <w:spacing w:after="0"/>
              <w:rPr>
                <w:sz w:val="14"/>
                <w:szCs w:val="14"/>
                <w:color w:val="auto"/>
              </w:rPr>
            </w:pPr>
          </w:p>
        </w:tc>
        <w:tc>
          <w:tcPr>
            <w:tcW w:w="1140" w:type="dxa"/>
            <w:vAlign w:val="bottom"/>
            <w:gridSpan w:val="4"/>
          </w:tcPr>
          <w:p>
            <w:pPr>
              <w:jc w:val="right"/>
              <w:spacing w:after="0"/>
              <w:rPr>
                <w:sz w:val="20"/>
                <w:szCs w:val="20"/>
                <w:color w:val="auto"/>
              </w:rPr>
            </w:pPr>
            <w:r>
              <w:rPr>
                <w:rFonts w:ascii="Arial" w:cs="Arial" w:eastAsia="Arial" w:hAnsi="Arial"/>
                <w:sz w:val="14"/>
                <w:szCs w:val="14"/>
                <w:color w:val="auto"/>
              </w:rPr>
              <w:t>2019</w:t>
            </w:r>
          </w:p>
        </w:tc>
        <w:tc>
          <w:tcPr>
            <w:tcW w:w="60" w:type="dxa"/>
            <w:vAlign w:val="bottom"/>
          </w:tcPr>
          <w:p>
            <w:pPr>
              <w:spacing w:after="0"/>
              <w:rPr>
                <w:sz w:val="14"/>
                <w:szCs w:val="14"/>
                <w:color w:val="auto"/>
              </w:rPr>
            </w:pPr>
          </w:p>
        </w:tc>
        <w:tc>
          <w:tcPr>
            <w:tcW w:w="560" w:type="dxa"/>
            <w:vAlign w:val="bottom"/>
            <w:gridSpan w:val="2"/>
          </w:tcPr>
          <w:p>
            <w:pPr>
              <w:jc w:val="right"/>
              <w:spacing w:after="0"/>
              <w:rPr>
                <w:sz w:val="20"/>
                <w:szCs w:val="20"/>
                <w:color w:val="auto"/>
              </w:rPr>
            </w:pPr>
            <w:r>
              <w:rPr>
                <w:rFonts w:ascii="Arial" w:cs="Arial" w:eastAsia="Arial" w:hAnsi="Arial"/>
                <w:sz w:val="14"/>
                <w:szCs w:val="14"/>
                <w:color w:val="auto"/>
              </w:rPr>
              <w:t>2018</w:t>
            </w:r>
          </w:p>
        </w:tc>
        <w:tc>
          <w:tcPr>
            <w:tcW w:w="180" w:type="dxa"/>
            <w:vAlign w:val="bottom"/>
          </w:tcPr>
          <w:p>
            <w:pPr>
              <w:spacing w:after="0"/>
              <w:rPr>
                <w:sz w:val="14"/>
                <w:szCs w:val="14"/>
                <w:color w:val="auto"/>
              </w:rPr>
            </w:pPr>
          </w:p>
        </w:tc>
        <w:tc>
          <w:tcPr>
            <w:tcW w:w="380" w:type="dxa"/>
            <w:vAlign w:val="bottom"/>
            <w:gridSpan w:val="2"/>
          </w:tcPr>
          <w:p>
            <w:pPr>
              <w:jc w:val="right"/>
              <w:spacing w:after="0"/>
              <w:rPr>
                <w:sz w:val="20"/>
                <w:szCs w:val="20"/>
                <w:color w:val="auto"/>
              </w:rPr>
            </w:pPr>
            <w:r>
              <w:rPr>
                <w:rFonts w:ascii="Arial" w:cs="Arial" w:eastAsia="Arial" w:hAnsi="Arial"/>
                <w:sz w:val="14"/>
                <w:szCs w:val="14"/>
                <w:color w:val="auto"/>
                <w:w w:val="96"/>
              </w:rPr>
              <w:t>2018</w:t>
            </w:r>
          </w:p>
        </w:tc>
        <w:tc>
          <w:tcPr>
            <w:tcW w:w="140" w:type="dxa"/>
            <w:vAlign w:val="bottom"/>
          </w:tcPr>
          <w:p>
            <w:pPr>
              <w:spacing w:after="0"/>
              <w:rPr>
                <w:sz w:val="14"/>
                <w:szCs w:val="14"/>
                <w:color w:val="auto"/>
              </w:rPr>
            </w:pPr>
          </w:p>
        </w:tc>
        <w:tc>
          <w:tcPr>
            <w:tcW w:w="640" w:type="dxa"/>
            <w:vAlign w:val="bottom"/>
            <w:gridSpan w:val="4"/>
          </w:tcPr>
          <w:p>
            <w:pPr>
              <w:jc w:val="center"/>
              <w:ind w:right="40"/>
              <w:spacing w:after="0"/>
              <w:rPr>
                <w:sz w:val="20"/>
                <w:szCs w:val="20"/>
                <w:color w:val="auto"/>
              </w:rPr>
            </w:pPr>
            <w:r>
              <w:rPr>
                <w:rFonts w:ascii="Arial" w:cs="Arial" w:eastAsia="Arial" w:hAnsi="Arial"/>
                <w:sz w:val="14"/>
                <w:szCs w:val="14"/>
                <w:color w:val="auto"/>
                <w:w w:val="95"/>
              </w:rPr>
              <w:t>Months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DCP—beginning of period</w:t>
            </w:r>
          </w:p>
        </w:tc>
        <w:tc>
          <w:tcPr>
            <w:tcW w:w="760" w:type="dxa"/>
            <w:vAlign w:val="bottom"/>
            <w:tcBorders>
              <w:top w:val="single" w:sz="8" w:color="CCEEFF"/>
            </w:tcBorders>
            <w:gridSpan w:val="2"/>
            <w:shd w:val="clear" w:color="auto" w:fill="CCEEFF"/>
          </w:tcPr>
          <w:p>
            <w:pPr>
              <w:spacing w:after="0"/>
              <w:rPr>
                <w:sz w:val="18"/>
                <w:szCs w:val="18"/>
                <w:color w:val="auto"/>
              </w:rPr>
            </w:pPr>
          </w:p>
        </w:tc>
        <w:tc>
          <w:tcPr>
            <w:tcW w:w="3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6"/>
              </w:rPr>
              <w:t>39.1</w:t>
            </w: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40.4</w:t>
            </w:r>
          </w:p>
        </w:tc>
        <w:tc>
          <w:tcPr>
            <w:tcW w:w="1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41.1</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2"/>
          </w:tcPr>
          <w:p>
            <w:pPr>
              <w:ind w:left="340"/>
              <w:spacing w:after="0"/>
              <w:rPr>
                <w:sz w:val="20"/>
                <w:szCs w:val="20"/>
                <w:color w:val="auto"/>
              </w:rPr>
            </w:pPr>
            <w:r>
              <w:rPr>
                <w:rFonts w:ascii="Arial" w:cs="Arial" w:eastAsia="Arial" w:hAnsi="Arial"/>
                <w:sz w:val="18"/>
                <w:szCs w:val="18"/>
                <w:color w:val="auto"/>
              </w:rPr>
              <w:t>Components of change in DCP:</w:t>
            </w: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Provider accruals (T)</w:t>
            </w:r>
          </w:p>
        </w:tc>
        <w:tc>
          <w:tcPr>
            <w:tcW w:w="11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(0.5)</w:t>
            </w:r>
          </w:p>
        </w:tc>
        <w:tc>
          <w:tcPr>
            <w:tcW w:w="5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(0.8)</w:t>
            </w: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2"/>
          </w:tcPr>
          <w:p>
            <w:pPr>
              <w:ind w:left="700"/>
              <w:spacing w:after="0"/>
              <w:rPr>
                <w:sz w:val="20"/>
                <w:szCs w:val="20"/>
                <w:color w:val="auto"/>
              </w:rPr>
            </w:pPr>
            <w:r>
              <w:rPr>
                <w:rFonts w:ascii="Arial" w:cs="Arial" w:eastAsia="Arial" w:hAnsi="Arial"/>
                <w:sz w:val="18"/>
                <w:szCs w:val="18"/>
                <w:color w:val="auto"/>
              </w:rPr>
              <w:t>Medical fee-for-service, excluding Individual Commercial (U)</w:t>
            </w:r>
          </w:p>
        </w:tc>
        <w:tc>
          <w:tcPr>
            <w:tcW w:w="1200" w:type="dxa"/>
            <w:vAlign w:val="bottom"/>
            <w:gridSpan w:val="5"/>
          </w:tcPr>
          <w:p>
            <w:pPr>
              <w:jc w:val="right"/>
              <w:ind w:right="20"/>
              <w:spacing w:after="0"/>
              <w:rPr>
                <w:sz w:val="20"/>
                <w:szCs w:val="20"/>
                <w:color w:val="auto"/>
              </w:rPr>
            </w:pPr>
            <w:r>
              <w:rPr>
                <w:rFonts w:ascii="Arial" w:cs="Arial" w:eastAsia="Arial" w:hAnsi="Arial"/>
                <w:sz w:val="18"/>
                <w:szCs w:val="18"/>
                <w:color w:val="auto"/>
              </w:rPr>
              <w:t>(0.8)</w:t>
            </w:r>
          </w:p>
        </w:tc>
        <w:tc>
          <w:tcPr>
            <w:tcW w:w="740" w:type="dxa"/>
            <w:vAlign w:val="bottom"/>
            <w:gridSpan w:val="3"/>
          </w:tcPr>
          <w:p>
            <w:pPr>
              <w:jc w:val="right"/>
              <w:ind w:right="160"/>
              <w:spacing w:after="0"/>
              <w:rPr>
                <w:sz w:val="20"/>
                <w:szCs w:val="20"/>
                <w:color w:val="auto"/>
              </w:rPr>
            </w:pPr>
            <w:r>
              <w:rPr>
                <w:rFonts w:ascii="Arial" w:cs="Arial" w:eastAsia="Arial" w:hAnsi="Arial"/>
                <w:sz w:val="18"/>
                <w:szCs w:val="18"/>
                <w:color w:val="auto"/>
              </w:rPr>
              <w:t>(0.7)</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0.3</w:t>
            </w:r>
          </w:p>
        </w:tc>
        <w:tc>
          <w:tcPr>
            <w:tcW w:w="140" w:type="dxa"/>
            <w:vAlign w:val="bottom"/>
          </w:tcPr>
          <w:p>
            <w:pPr>
              <w:spacing w:after="0"/>
              <w:rPr>
                <w:sz w:val="18"/>
                <w:szCs w:val="18"/>
                <w:color w:val="auto"/>
              </w:rPr>
            </w:pPr>
          </w:p>
        </w:tc>
        <w:tc>
          <w:tcPr>
            <w:tcW w:w="520" w:type="dxa"/>
            <w:vAlign w:val="bottom"/>
            <w:gridSpan w:val="3"/>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Individual Commercial (V)</w:t>
            </w: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w:t>
            </w:r>
          </w:p>
        </w:tc>
        <w:tc>
          <w:tcPr>
            <w:tcW w:w="7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(0.6)</w:t>
            </w:r>
          </w:p>
        </w:tc>
        <w:tc>
          <w:tcPr>
            <w:tcW w:w="5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64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2"/>
          </w:tcPr>
          <w:p>
            <w:pPr>
              <w:ind w:left="700"/>
              <w:spacing w:after="0"/>
              <w:rPr>
                <w:sz w:val="20"/>
                <w:szCs w:val="20"/>
                <w:color w:val="auto"/>
              </w:rPr>
            </w:pPr>
            <w:r>
              <w:rPr>
                <w:rFonts w:ascii="Arial" w:cs="Arial" w:eastAsia="Arial" w:hAnsi="Arial"/>
                <w:sz w:val="18"/>
                <w:szCs w:val="18"/>
                <w:color w:val="auto"/>
              </w:rPr>
              <w:t>Pharmacy (W)</w:t>
            </w: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w:t>
            </w:r>
          </w:p>
        </w:tc>
        <w:tc>
          <w:tcPr>
            <w:tcW w:w="740" w:type="dxa"/>
            <w:vAlign w:val="bottom"/>
            <w:gridSpan w:val="3"/>
          </w:tcPr>
          <w:p>
            <w:pPr>
              <w:jc w:val="right"/>
              <w:ind w:right="160"/>
              <w:spacing w:after="0"/>
              <w:rPr>
                <w:sz w:val="20"/>
                <w:szCs w:val="20"/>
                <w:color w:val="auto"/>
              </w:rPr>
            </w:pPr>
            <w:r>
              <w:rPr>
                <w:rFonts w:ascii="Arial" w:cs="Arial" w:eastAsia="Arial" w:hAnsi="Arial"/>
                <w:sz w:val="18"/>
                <w:szCs w:val="18"/>
                <w:color w:val="auto"/>
              </w:rPr>
              <w:t>(0.9)</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0.8</w:t>
            </w:r>
          </w:p>
        </w:tc>
        <w:tc>
          <w:tcPr>
            <w:tcW w:w="140" w:type="dxa"/>
            <w:vAlign w:val="bottom"/>
          </w:tcPr>
          <w:p>
            <w:pPr>
              <w:spacing w:after="0"/>
              <w:rPr>
                <w:sz w:val="18"/>
                <w:szCs w:val="18"/>
                <w:color w:val="auto"/>
              </w:rPr>
            </w:pPr>
          </w:p>
        </w:tc>
        <w:tc>
          <w:tcPr>
            <w:tcW w:w="520" w:type="dxa"/>
            <w:vAlign w:val="bottom"/>
            <w:gridSpan w:val="3"/>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Processed claims inventory (X)</w:t>
            </w:r>
          </w:p>
        </w:tc>
        <w:tc>
          <w:tcPr>
            <w:tcW w:w="11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60" w:type="dxa"/>
            <w:vAlign w:val="bottom"/>
            <w:shd w:val="clear" w:color="auto" w:fill="CCEEFF"/>
          </w:tcPr>
          <w:p>
            <w:pPr>
              <w:spacing w:after="0"/>
              <w:rPr>
                <w:sz w:val="18"/>
                <w:szCs w:val="18"/>
                <w:color w:val="auto"/>
              </w:rPr>
            </w:pPr>
          </w:p>
        </w:tc>
        <w:tc>
          <w:tcPr>
            <w:tcW w:w="5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8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(2.0)</w:t>
            </w: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20" w:type="dxa"/>
            <w:vAlign w:val="bottom"/>
            <w:gridSpan w:val="2"/>
          </w:tcPr>
          <w:p>
            <w:pPr>
              <w:ind w:left="700"/>
              <w:spacing w:after="0"/>
              <w:rPr>
                <w:sz w:val="20"/>
                <w:szCs w:val="20"/>
                <w:color w:val="auto"/>
              </w:rPr>
            </w:pPr>
            <w:r>
              <w:rPr>
                <w:rFonts w:ascii="Arial" w:cs="Arial" w:eastAsia="Arial" w:hAnsi="Arial"/>
                <w:sz w:val="18"/>
                <w:szCs w:val="18"/>
                <w:color w:val="auto"/>
              </w:rPr>
              <w:t>Other (Y)</w:t>
            </w:r>
          </w:p>
        </w:tc>
        <w:tc>
          <w:tcPr>
            <w:tcW w:w="760" w:type="dxa"/>
            <w:vAlign w:val="bottom"/>
            <w:gridSpan w:val="2"/>
          </w:tcPr>
          <w:p>
            <w:pPr>
              <w:spacing w:after="0"/>
              <w:rPr>
                <w:sz w:val="19"/>
                <w:szCs w:val="19"/>
                <w:color w:val="auto"/>
              </w:rPr>
            </w:pPr>
          </w:p>
        </w:tc>
        <w:tc>
          <w:tcPr>
            <w:tcW w:w="440" w:type="dxa"/>
            <w:vAlign w:val="bottom"/>
            <w:gridSpan w:val="3"/>
          </w:tcPr>
          <w:p>
            <w:pPr>
              <w:jc w:val="right"/>
              <w:ind w:right="20"/>
              <w:spacing w:after="0"/>
              <w:rPr>
                <w:sz w:val="20"/>
                <w:szCs w:val="20"/>
                <w:color w:val="auto"/>
              </w:rPr>
            </w:pPr>
            <w:r>
              <w:rPr>
                <w:rFonts w:ascii="Arial" w:cs="Arial" w:eastAsia="Arial" w:hAnsi="Arial"/>
                <w:sz w:val="18"/>
                <w:szCs w:val="18"/>
                <w:color w:val="auto"/>
              </w:rPr>
              <w:t>(0.2)</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0.1</w:t>
            </w:r>
          </w:p>
        </w:tc>
        <w:tc>
          <w:tcPr>
            <w:tcW w:w="180" w:type="dxa"/>
            <w:vAlign w:val="bottom"/>
          </w:tcPr>
          <w:p>
            <w:pPr>
              <w:spacing w:after="0"/>
              <w:rPr>
                <w:sz w:val="19"/>
                <w:szCs w:val="19"/>
                <w:color w:val="auto"/>
              </w:rPr>
            </w:pPr>
          </w:p>
        </w:tc>
        <w:tc>
          <w:tcPr>
            <w:tcW w:w="520" w:type="dxa"/>
            <w:vAlign w:val="bottom"/>
            <w:gridSpan w:val="3"/>
          </w:tcPr>
          <w:p>
            <w:pPr>
              <w:jc w:val="right"/>
              <w:ind w:right="80"/>
              <w:spacing w:after="0"/>
              <w:rPr>
                <w:sz w:val="20"/>
                <w:szCs w:val="20"/>
                <w:color w:val="auto"/>
              </w:rPr>
            </w:pPr>
            <w:r>
              <w:rPr>
                <w:rFonts w:ascii="Arial" w:cs="Arial" w:eastAsia="Arial" w:hAnsi="Arial"/>
                <w:sz w:val="18"/>
                <w:szCs w:val="18"/>
                <w:color w:val="auto"/>
              </w:rPr>
              <w:t>(0.3)</w:t>
            </w:r>
          </w:p>
        </w:tc>
        <w:tc>
          <w:tcPr>
            <w:tcW w:w="640" w:type="dxa"/>
            <w:vAlign w:val="bottom"/>
            <w:gridSpan w:val="4"/>
          </w:tcPr>
          <w:p>
            <w:pPr>
              <w:jc w:val="right"/>
              <w:ind w:right="6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DCP—end of period</w:t>
            </w:r>
          </w:p>
        </w:tc>
        <w:tc>
          <w:tcPr>
            <w:tcW w:w="760" w:type="dxa"/>
            <w:vAlign w:val="bottom"/>
            <w:gridSpan w:val="2"/>
            <w:shd w:val="clear" w:color="auto" w:fill="CCEEFF"/>
          </w:tcPr>
          <w:p>
            <w:pPr>
              <w:spacing w:after="0"/>
              <w:rPr>
                <w:sz w:val="18"/>
                <w:szCs w:val="18"/>
                <w:color w:val="auto"/>
              </w:rPr>
            </w:pPr>
          </w:p>
        </w:tc>
        <w:tc>
          <w:tcPr>
            <w:tcW w:w="3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6"/>
              </w:rPr>
              <w:t>40.2</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180" w:type="dxa"/>
            <w:vAlign w:val="bottom"/>
            <w:shd w:val="clear" w:color="auto" w:fill="CCEEFF"/>
          </w:tcPr>
          <w:p>
            <w:pPr>
              <w:spacing w:after="0"/>
              <w:rPr>
                <w:sz w:val="18"/>
                <w:szCs w:val="18"/>
                <w:color w:val="auto"/>
              </w:rPr>
            </w:pPr>
          </w:p>
        </w:tc>
        <w:tc>
          <w:tcPr>
            <w:tcW w:w="3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39.1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9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Total change from beginning of period</w:t>
            </w:r>
          </w:p>
        </w:tc>
        <w:tc>
          <w:tcPr>
            <w:tcW w:w="760" w:type="dxa"/>
            <w:vAlign w:val="bottom"/>
            <w:gridSpan w:val="2"/>
          </w:tcPr>
          <w:p>
            <w:pPr>
              <w:spacing w:after="0" w:line="20" w:lineRule="exact"/>
              <w:rPr>
                <w:sz w:val="1"/>
                <w:szCs w:val="1"/>
                <w:color w:val="auto"/>
              </w:rPr>
            </w:pPr>
          </w:p>
        </w:tc>
        <w:tc>
          <w:tcPr>
            <w:tcW w:w="38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7940" w:type="dxa"/>
            <w:vAlign w:val="bottom"/>
            <w:gridSpan w:val="3"/>
            <w:vMerge w:val="continue"/>
          </w:tcPr>
          <w:p>
            <w:pPr>
              <w:spacing w:after="0"/>
              <w:rPr>
                <w:sz w:val="18"/>
                <w:szCs w:val="18"/>
                <w:color w:val="auto"/>
              </w:rPr>
            </w:pPr>
          </w:p>
        </w:tc>
        <w:tc>
          <w:tcPr>
            <w:tcW w:w="760" w:type="dxa"/>
            <w:vAlign w:val="bottom"/>
            <w:gridSpan w:val="2"/>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(2.1)</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w w:val="97"/>
              </w:rPr>
              <w:t>(2.0)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4"/>
        </w:trPr>
        <w:tc>
          <w:tcPr>
            <w:tcW w:w="20" w:type="dxa"/>
            <w:vAlign w:val="bottom"/>
          </w:tcPr>
          <w:p>
            <w:pPr>
              <w:spacing w:after="0"/>
              <w:rPr>
                <w:sz w:val="24"/>
                <w:szCs w:val="24"/>
                <w:color w:val="auto"/>
              </w:rPr>
            </w:pPr>
          </w:p>
        </w:tc>
        <w:tc>
          <w:tcPr>
            <w:tcW w:w="7920" w:type="dxa"/>
            <w:vAlign w:val="bottom"/>
            <w:gridSpan w:val="2"/>
          </w:tcPr>
          <w:p>
            <w:pPr>
              <w:ind w:left="5320"/>
              <w:spacing w:after="0"/>
              <w:rPr>
                <w:sz w:val="20"/>
                <w:szCs w:val="20"/>
                <w:color w:val="auto"/>
              </w:rPr>
            </w:pPr>
            <w:r>
              <w:rPr>
                <w:rFonts w:ascii="Arial" w:cs="Arial" w:eastAsia="Arial" w:hAnsi="Arial"/>
                <w:sz w:val="18"/>
                <w:szCs w:val="18"/>
                <w:color w:val="auto"/>
              </w:rPr>
              <w:t>S-13</w:t>
            </w: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40"/>
          </w:cols>
          <w:pgMar w:left="440" w:top="274" w:right="41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Humana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Footnotes to Statistical Schedules and Supplementary Information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1Q19 Earnings Release</w:t>
      </w:r>
    </w:p>
    <w:p>
      <w:pPr>
        <w:spacing w:after="0" w:line="238" w:lineRule="exact"/>
        <w:rPr>
          <w:sz w:val="20"/>
          <w:szCs w:val="20"/>
          <w:color w:val="auto"/>
        </w:rPr>
      </w:pPr>
    </w:p>
    <w:p>
      <w:pPr>
        <w:ind w:left="440" w:hanging="436"/>
        <w:spacing w:after="0"/>
        <w:tabs>
          <w:tab w:leader="none" w:pos="4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Put/call valuation adjustments associated with Humana’s 40% minority interest ownership in Kindred at Home.</w:t>
      </w:r>
    </w:p>
    <w:p>
      <w:pPr>
        <w:spacing w:after="0" w:line="23" w:lineRule="exact"/>
        <w:rPr>
          <w:rFonts w:ascii="Arial" w:cs="Arial" w:eastAsia="Arial" w:hAnsi="Arial"/>
          <w:sz w:val="18"/>
          <w:szCs w:val="18"/>
          <w:color w:val="auto"/>
        </w:rPr>
      </w:pPr>
    </w:p>
    <w:p>
      <w:pPr>
        <w:ind w:left="440" w:hanging="436"/>
        <w:spacing w:after="0"/>
        <w:tabs>
          <w:tab w:leader="none" w:pos="4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Net earnings associated with the company’s 40% minority interest ownership in Kindred at Home.</w:t>
      </w:r>
    </w:p>
    <w:p>
      <w:pPr>
        <w:spacing w:after="0" w:line="9" w:lineRule="exact"/>
        <w:rPr>
          <w:rFonts w:ascii="Arial" w:cs="Arial" w:eastAsia="Arial" w:hAnsi="Arial"/>
          <w:sz w:val="18"/>
          <w:szCs w:val="18"/>
          <w:color w:val="auto"/>
        </w:rPr>
      </w:pPr>
    </w:p>
    <w:p>
      <w:pPr>
        <w:ind w:left="440" w:right="300" w:hanging="436"/>
        <w:spacing w:after="0" w:line="281" w:lineRule="auto"/>
        <w:tabs>
          <w:tab w:leader="none" w:pos="440" w:val="left"/>
        </w:tabs>
        <w:numPr>
          <w:ilvl w:val="0"/>
          <w:numId w:val="45"/>
        </w:numPr>
        <w:rPr>
          <w:rFonts w:ascii="Arial" w:cs="Arial" w:eastAsia="Arial" w:hAnsi="Arial"/>
          <w:sz w:val="16"/>
          <w:szCs w:val="16"/>
          <w:color w:val="auto"/>
        </w:rPr>
      </w:pPr>
      <w:r>
        <w:rPr>
          <w:rFonts w:ascii="Arial" w:cs="Arial" w:eastAsia="Arial" w:hAnsi="Arial"/>
          <w:sz w:val="16"/>
          <w:szCs w:val="16"/>
          <w:color w:val="auto"/>
        </w:rPr>
        <w:t>Humana exited the individual commercial fully-insured medical health insurance business beginning January 1, 2018, as well as exited certain other business, and therefore no longer report separately the Individual Commercial segment and the Other Businesses category in 2019.</w:t>
      </w:r>
    </w:p>
    <w:p>
      <w:pPr>
        <w:spacing w:after="0" w:line="1" w:lineRule="exact"/>
        <w:rPr>
          <w:rFonts w:ascii="Arial" w:cs="Arial" w:eastAsia="Arial" w:hAnsi="Arial"/>
          <w:sz w:val="16"/>
          <w:szCs w:val="16"/>
          <w:color w:val="auto"/>
        </w:rPr>
      </w:pPr>
    </w:p>
    <w:p>
      <w:pPr>
        <w:ind w:left="440" w:right="200" w:hanging="436"/>
        <w:spacing w:after="0" w:line="250" w:lineRule="auto"/>
        <w:tabs>
          <w:tab w:leader="none" w:pos="4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Medicaid and other category includes premiums associated with the company’s Medicaid business, as well as the closed block of long-term care insurance policies in 2018.</w:t>
      </w:r>
    </w:p>
    <w:p>
      <w:pPr>
        <w:ind w:left="440" w:right="460" w:hanging="436"/>
        <w:spacing w:after="0" w:line="250" w:lineRule="auto"/>
        <w:tabs>
          <w:tab w:leader="none" w:pos="4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ASO and other category is primarily comprised of Administrative Services Only (ASO) fees and other ancillary services fees, including military services unless separately disclosed.</w:t>
      </w:r>
    </w:p>
    <w:p>
      <w:pPr>
        <w:ind w:left="440" w:hanging="436"/>
        <w:spacing w:after="0" w:line="250" w:lineRule="auto"/>
        <w:tabs>
          <w:tab w:leader="none" w:pos="4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Includes Medicaid Temporary Assistance for Needy Families (TANF), dual-eligible demonstration, and Long-Term Support Services (LTSS) from state-based contracts.</w:t>
      </w:r>
    </w:p>
    <w:p>
      <w:pPr>
        <w:ind w:left="440" w:hanging="436"/>
        <w:spacing w:after="0"/>
        <w:tabs>
          <w:tab w:leader="none" w:pos="4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Other supplemental benefits primarily include group life policies.</w:t>
      </w:r>
    </w:p>
    <w:p>
      <w:pPr>
        <w:spacing w:after="0" w:line="9" w:lineRule="exact"/>
        <w:rPr>
          <w:rFonts w:ascii="Arial" w:cs="Arial" w:eastAsia="Arial" w:hAnsi="Arial"/>
          <w:sz w:val="18"/>
          <w:szCs w:val="18"/>
          <w:color w:val="auto"/>
        </w:rPr>
      </w:pPr>
    </w:p>
    <w:p>
      <w:pPr>
        <w:ind w:left="440" w:right="120" w:hanging="436"/>
        <w:spacing w:after="0" w:line="265" w:lineRule="auto"/>
        <w:tabs>
          <w:tab w:leader="none" w:pos="440" w:val="left"/>
        </w:tabs>
        <w:numPr>
          <w:ilvl w:val="0"/>
          <w:numId w:val="45"/>
        </w:numPr>
        <w:rPr>
          <w:rFonts w:ascii="Arial" w:cs="Arial" w:eastAsia="Arial" w:hAnsi="Arial"/>
          <w:sz w:val="17"/>
          <w:szCs w:val="17"/>
          <w:color w:val="auto"/>
        </w:rPr>
      </w:pPr>
      <w:r>
        <w:rPr>
          <w:rFonts w:ascii="Arial" w:cs="Arial" w:eastAsia="Arial" w:hAnsi="Arial"/>
          <w:sz w:val="17"/>
          <w:szCs w:val="17"/>
          <w:color w:val="auto"/>
        </w:rPr>
        <w:t>In certain circumstances, the company contracts with providers to accept financial risk for a defined set of Medicare Advantage membership. In transferring this risk, the company prepays these providers a monthly fixed-fee per member to coordinate substantially all of the medical care for their Medicare Advantage members assigned or attributed to their provider panel, including some health benefit administrative functions and claims processing. For these capitated Shared Risk arrangements, the company generally agrees to payment rates that target a benefit expense ratio. The result is a high level of engagement on the part of the provider.</w:t>
      </w:r>
    </w:p>
    <w:p>
      <w:pPr>
        <w:spacing w:after="0" w:line="1" w:lineRule="exact"/>
        <w:rPr>
          <w:rFonts w:ascii="Arial" w:cs="Arial" w:eastAsia="Arial" w:hAnsi="Arial"/>
          <w:sz w:val="17"/>
          <w:szCs w:val="17"/>
          <w:color w:val="auto"/>
        </w:rPr>
      </w:pPr>
    </w:p>
    <w:p>
      <w:pPr>
        <w:ind w:left="440" w:right="40" w:hanging="436"/>
        <w:spacing w:after="0" w:line="281" w:lineRule="auto"/>
        <w:tabs>
          <w:tab w:leader="none" w:pos="440" w:val="left"/>
        </w:tabs>
        <w:numPr>
          <w:ilvl w:val="0"/>
          <w:numId w:val="45"/>
        </w:numPr>
        <w:rPr>
          <w:rFonts w:ascii="Arial" w:cs="Arial" w:eastAsia="Arial" w:hAnsi="Arial"/>
          <w:sz w:val="16"/>
          <w:szCs w:val="16"/>
          <w:color w:val="auto"/>
        </w:rPr>
      </w:pPr>
      <w:r>
        <w:rPr>
          <w:rFonts w:ascii="Arial" w:cs="Arial" w:eastAsia="Arial" w:hAnsi="Arial"/>
          <w:sz w:val="16"/>
          <w:szCs w:val="16"/>
          <w:color w:val="auto"/>
        </w:rPr>
        <w:t>A Path to Risk provider is one who has a high level of engagement and participates in one of Humana’s pay-for-performance programs (Model Practice or Medical Home) or has a risk contract in place with a trigger (future date or membership threshold) which has not yet been met. In addition to earning incentives, these providers may also have a shared savings component by which they can share in achieved surpluses when the actual cost of the medical services provided to patients assigned or attributed to their panel is less than the agreed upon medical expense target.</w:t>
      </w:r>
    </w:p>
    <w:p>
      <w:pPr>
        <w:spacing w:after="0" w:line="2" w:lineRule="exact"/>
        <w:rPr>
          <w:rFonts w:ascii="Arial" w:cs="Arial" w:eastAsia="Arial" w:hAnsi="Arial"/>
          <w:sz w:val="16"/>
          <w:szCs w:val="16"/>
          <w:color w:val="auto"/>
        </w:rPr>
      </w:pPr>
    </w:p>
    <w:p>
      <w:pPr>
        <w:ind w:left="440" w:hanging="436"/>
        <w:spacing w:after="0"/>
        <w:tabs>
          <w:tab w:leader="none" w:pos="44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amounts primarily reflect services revenues under the TRICARE East Region contract which generally are contracted on a per-member basis.</w:t>
      </w:r>
    </w:p>
    <w:p>
      <w:pPr>
        <w:spacing w:after="0" w:line="32" w:lineRule="exact"/>
        <w:rPr>
          <w:rFonts w:ascii="Arial" w:cs="Arial" w:eastAsia="Arial" w:hAnsi="Arial"/>
          <w:sz w:val="16"/>
          <w:szCs w:val="16"/>
          <w:color w:val="auto"/>
        </w:rPr>
      </w:pPr>
    </w:p>
    <w:p>
      <w:pPr>
        <w:ind w:left="440" w:right="180" w:hanging="436"/>
        <w:spacing w:after="0" w:line="250" w:lineRule="auto"/>
        <w:tabs>
          <w:tab w:leader="none" w:pos="4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Computed based on average membership for the period (i.e., monthly ending membership during the period divided by the number of months in the period).</w:t>
      </w:r>
    </w:p>
    <w:p>
      <w:pPr>
        <w:ind w:left="440" w:right="440" w:hanging="436"/>
        <w:spacing w:after="0" w:line="281" w:lineRule="auto"/>
        <w:tabs>
          <w:tab w:leader="none" w:pos="440" w:val="left"/>
        </w:tabs>
        <w:numPr>
          <w:ilvl w:val="0"/>
          <w:numId w:val="45"/>
        </w:numPr>
        <w:rPr>
          <w:rFonts w:ascii="Arial" w:cs="Arial" w:eastAsia="Arial" w:hAnsi="Arial"/>
          <w:sz w:val="16"/>
          <w:szCs w:val="16"/>
          <w:color w:val="auto"/>
        </w:rPr>
      </w:pPr>
      <w:r>
        <w:rPr>
          <w:rFonts w:ascii="Arial" w:cs="Arial" w:eastAsia="Arial" w:hAnsi="Arial"/>
          <w:sz w:val="16"/>
          <w:szCs w:val="16"/>
          <w:color w:val="auto"/>
        </w:rPr>
        <w:t>Includes Medicare Advantage (including Special Needs Plans (SNP)) and dual-eligible demonstration program members enrolled in one of Humana’s chronic care programs. These members may be enrolled in Humana At Home Chronic Care Program (HCCP), Humana At Home Remote Monitoring, or an Advance Illness Support program. Members included in these programs may not be unique to each program since members have the ability to enroll in multiple programs. In addition, the members in the HCCP program may receive varying levels of care management based on their health status and needs, ranging from active care management to ongoing monitoring.</w:t>
      </w:r>
    </w:p>
    <w:p>
      <w:pPr>
        <w:spacing w:after="0" w:line="3" w:lineRule="exact"/>
        <w:rPr>
          <w:rFonts w:ascii="Arial" w:cs="Arial" w:eastAsia="Arial" w:hAnsi="Arial"/>
          <w:sz w:val="16"/>
          <w:szCs w:val="16"/>
          <w:color w:val="auto"/>
        </w:rPr>
      </w:pPr>
    </w:p>
    <w:p>
      <w:pPr>
        <w:ind w:left="440" w:right="80" w:hanging="436"/>
        <w:spacing w:after="0" w:line="250" w:lineRule="auto"/>
        <w:tabs>
          <w:tab w:leader="none" w:pos="4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Reflects discharges enrolled in Humana’s 30-day care management services, which supports members after they are discharged home from a hospital or other facility. The program is aimed at individuals at high-risk for re-hospitalization. Care managers visit and call members at home to ensure they have and understand correct prescriptions, their doctors are informed about members’ changed status, and that members are either self-managing adequately or are referred to appropriate ongoing services.</w:t>
      </w:r>
    </w:p>
    <w:p>
      <w:pPr>
        <w:spacing w:after="0" w:line="1" w:lineRule="exact"/>
        <w:rPr>
          <w:rFonts w:ascii="Arial" w:cs="Arial" w:eastAsia="Arial" w:hAnsi="Arial"/>
          <w:sz w:val="18"/>
          <w:szCs w:val="18"/>
          <w:color w:val="auto"/>
        </w:rPr>
      </w:pPr>
    </w:p>
    <w:p>
      <w:pPr>
        <w:ind w:left="440" w:right="160" w:hanging="436"/>
        <w:spacing w:after="0" w:line="250" w:lineRule="auto"/>
        <w:tabs>
          <w:tab w:leader="none" w:pos="4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Script volume is presented on an adjusted 30-day equivalent basis. This includes all scripts processed by the Humana pharmacy benefit manager (PBM).</w:t>
      </w:r>
    </w:p>
    <w:p>
      <w:pPr>
        <w:ind w:left="440" w:hanging="436"/>
        <w:spacing w:after="0"/>
        <w:tabs>
          <w:tab w:leader="none" w:pos="4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Represents reinsurance recoverables associated with the company’s state-based Medicaid contract in Kentucky.</w:t>
      </w:r>
    </w:p>
    <w:p>
      <w:pPr>
        <w:spacing w:after="0" w:line="9" w:lineRule="exact"/>
        <w:rPr>
          <w:rFonts w:ascii="Arial" w:cs="Arial" w:eastAsia="Arial" w:hAnsi="Arial"/>
          <w:sz w:val="18"/>
          <w:szCs w:val="18"/>
          <w:color w:val="auto"/>
        </w:rPr>
      </w:pPr>
    </w:p>
    <w:p>
      <w:pPr>
        <w:jc w:val="both"/>
        <w:ind w:left="440" w:right="140" w:hanging="436"/>
        <w:spacing w:after="0" w:line="281" w:lineRule="auto"/>
        <w:tabs>
          <w:tab w:leader="none" w:pos="440" w:val="left"/>
        </w:tabs>
        <w:numPr>
          <w:ilvl w:val="0"/>
          <w:numId w:val="45"/>
        </w:numPr>
        <w:rPr>
          <w:rFonts w:ascii="Arial" w:cs="Arial" w:eastAsia="Arial" w:hAnsi="Arial"/>
          <w:sz w:val="16"/>
          <w:szCs w:val="16"/>
          <w:color w:val="auto"/>
        </w:rPr>
      </w:pPr>
      <w:r>
        <w:rPr>
          <w:rFonts w:ascii="Arial" w:cs="Arial" w:eastAsia="Arial" w:hAnsi="Arial"/>
          <w:sz w:val="16"/>
          <w:szCs w:val="16"/>
          <w:color w:val="auto"/>
        </w:rPr>
        <w:t>Amounts incurred related to prior years vary from previously estimated liabilities as the claims ultimately are settled. Negative amounts reported for incurred related to prior years result from claims being ultimately settled for amounts less than originally estimated (favorable development). There were no changes in the approach used to determine the company’s estimate of medical claim reserves during the quarter.</w:t>
      </w:r>
    </w:p>
    <w:p>
      <w:pPr>
        <w:spacing w:after="0" w:line="2" w:lineRule="exact"/>
        <w:rPr>
          <w:rFonts w:ascii="Arial" w:cs="Arial" w:eastAsia="Arial" w:hAnsi="Arial"/>
          <w:sz w:val="16"/>
          <w:szCs w:val="16"/>
          <w:color w:val="auto"/>
        </w:rPr>
      </w:pPr>
    </w:p>
    <w:p>
      <w:pPr>
        <w:ind w:left="440" w:hanging="436"/>
        <w:spacing w:after="0" w:line="265" w:lineRule="auto"/>
        <w:tabs>
          <w:tab w:leader="none" w:pos="440" w:val="left"/>
        </w:tabs>
        <w:numPr>
          <w:ilvl w:val="0"/>
          <w:numId w:val="45"/>
        </w:numPr>
        <w:rPr>
          <w:rFonts w:ascii="Arial" w:cs="Arial" w:eastAsia="Arial" w:hAnsi="Arial"/>
          <w:sz w:val="17"/>
          <w:szCs w:val="17"/>
          <w:color w:val="auto"/>
        </w:rPr>
      </w:pPr>
      <w:r>
        <w:rPr>
          <w:rFonts w:ascii="Arial" w:cs="Arial" w:eastAsia="Arial" w:hAnsi="Arial"/>
          <w:sz w:val="17"/>
          <w:szCs w:val="17"/>
          <w:color w:val="auto"/>
        </w:rPr>
        <w:t>Future policy benefit expense has a related liability classified as a long-term liability on the balance sheet. Prior year amounts reflect the release of reserves for future policy benefits as individual medical members transitioned to plans compliant with the Affordable Care Act.</w:t>
      </w:r>
    </w:p>
    <w:p>
      <w:pPr>
        <w:ind w:left="440" w:right="280" w:hanging="436"/>
        <w:spacing w:after="0" w:line="250" w:lineRule="auto"/>
        <w:tabs>
          <w:tab w:leader="none" w:pos="4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common metric for monitoring benefits payable levels relative to benefits expense is days in claims payable (DCP). The company calculates DCP using the quarterly reported benefits expense and benefits payable balances as presented within the company’s consolidated financial statements.</w:t>
      </w:r>
    </w:p>
    <w:p>
      <w:pPr>
        <w:spacing w:after="0" w:line="1" w:lineRule="exact"/>
        <w:rPr>
          <w:rFonts w:ascii="Arial" w:cs="Arial" w:eastAsia="Arial" w:hAnsi="Arial"/>
          <w:sz w:val="18"/>
          <w:szCs w:val="18"/>
          <w:color w:val="auto"/>
        </w:rPr>
      </w:pPr>
    </w:p>
    <w:p>
      <w:pPr>
        <w:ind w:left="440" w:right="60" w:hanging="436"/>
        <w:spacing w:after="0" w:line="281" w:lineRule="auto"/>
        <w:tabs>
          <w:tab w:leader="none" w:pos="440" w:val="left"/>
        </w:tabs>
        <w:numPr>
          <w:ilvl w:val="0"/>
          <w:numId w:val="45"/>
        </w:numPr>
        <w:rPr>
          <w:rFonts w:ascii="Arial" w:cs="Arial" w:eastAsia="Arial" w:hAnsi="Arial"/>
          <w:sz w:val="16"/>
          <w:szCs w:val="16"/>
          <w:color w:val="auto"/>
        </w:rPr>
      </w:pPr>
      <w:r>
        <w:rPr>
          <w:rFonts w:ascii="Arial" w:cs="Arial" w:eastAsia="Arial" w:hAnsi="Arial"/>
          <w:sz w:val="16"/>
          <w:szCs w:val="16"/>
          <w:color w:val="auto"/>
        </w:rPr>
        <w:t>DCP fluctuates due to a number of factors, the more significant of which are detailed in this rollforward. Growth in certain product lines can also impact DCP for the quarter since a provision for claims would not have been recorded for members that had not yet enrolled earlier in the quarter, yet those members would have a provision and corresponding medical claims reserve recorded upon enrollment later in the quarter.</w:t>
      </w:r>
    </w:p>
    <w:p>
      <w:pPr>
        <w:spacing w:after="0" w:line="2" w:lineRule="exact"/>
        <w:rPr>
          <w:rFonts w:ascii="Arial" w:cs="Arial" w:eastAsia="Arial" w:hAnsi="Arial"/>
          <w:sz w:val="16"/>
          <w:szCs w:val="16"/>
          <w:color w:val="auto"/>
        </w:rPr>
      </w:pPr>
    </w:p>
    <w:p>
      <w:pPr>
        <w:ind w:left="440" w:right="640" w:hanging="436"/>
        <w:spacing w:after="0" w:line="250" w:lineRule="auto"/>
        <w:tabs>
          <w:tab w:leader="none" w:pos="4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Provider accruals represent portions of capitation payments set aside to pay future settlements for capitated providers. Related settlements generally happen over a 12-month period.</w:t>
      </w:r>
    </w:p>
    <w:p>
      <w:pPr>
        <w:ind w:left="440" w:hanging="436"/>
        <w:spacing w:after="0" w:line="250" w:lineRule="auto"/>
        <w:tabs>
          <w:tab w:leader="none" w:pos="4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Represents medical and specialty claims incurred but not reported (IBNR) for non-pharmacy fully-insured products and excludes the impact of the Individual Commercial segment.</w:t>
      </w:r>
    </w:p>
    <w:p>
      <w:pPr>
        <w:ind w:left="440" w:hanging="436"/>
        <w:spacing w:after="0"/>
        <w:tabs>
          <w:tab w:leader="none" w:pos="4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Represents Individual Commercial medical IBNR (on-exchange, off-exchange, and legacy).</w:t>
      </w:r>
    </w:p>
    <w:p>
      <w:pPr>
        <w:spacing w:after="0" w:line="9" w:lineRule="exact"/>
        <w:rPr>
          <w:rFonts w:ascii="Arial" w:cs="Arial" w:eastAsia="Arial" w:hAnsi="Arial"/>
          <w:sz w:val="18"/>
          <w:szCs w:val="18"/>
          <w:color w:val="auto"/>
        </w:rPr>
      </w:pPr>
    </w:p>
    <w:p>
      <w:pPr>
        <w:ind w:left="440" w:hanging="436"/>
        <w:spacing w:after="0" w:line="250" w:lineRule="auto"/>
        <w:tabs>
          <w:tab w:leader="none" w:pos="4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Represents pharmacy claims expense including payments to the company’s pharmacy benefit manager for prescription drugs filled on behalf of Humana’s members, as well as government subsidized programs from Medicare Part D such as low income cost and reinsurance subsidies, as well as coverage gap discount programs.</w:t>
      </w:r>
    </w:p>
    <w:p>
      <w:pPr>
        <w:spacing w:after="0" w:line="1" w:lineRule="exact"/>
        <w:rPr>
          <w:rFonts w:ascii="Arial" w:cs="Arial" w:eastAsia="Arial" w:hAnsi="Arial"/>
          <w:sz w:val="18"/>
          <w:szCs w:val="18"/>
          <w:color w:val="auto"/>
        </w:rPr>
      </w:pPr>
    </w:p>
    <w:p>
      <w:pPr>
        <w:ind w:left="440" w:right="120" w:hanging="436"/>
        <w:spacing w:after="0" w:line="265" w:lineRule="auto"/>
        <w:tabs>
          <w:tab w:leader="none" w:pos="440" w:val="left"/>
        </w:tabs>
        <w:numPr>
          <w:ilvl w:val="0"/>
          <w:numId w:val="45"/>
        </w:numPr>
        <w:rPr>
          <w:rFonts w:ascii="Arial" w:cs="Arial" w:eastAsia="Arial" w:hAnsi="Arial"/>
          <w:sz w:val="17"/>
          <w:szCs w:val="17"/>
          <w:color w:val="auto"/>
        </w:rPr>
      </w:pPr>
      <w:r>
        <w:rPr>
          <w:rFonts w:ascii="Arial" w:cs="Arial" w:eastAsia="Arial" w:hAnsi="Arial"/>
          <w:sz w:val="17"/>
          <w:szCs w:val="17"/>
          <w:color w:val="auto"/>
        </w:rPr>
        <w:t>Includes processed claims that are in the post claim adjudication process, which consists of operating functions such as audit, check batching and check handling. These claims are included in IBNR lags, but have not yet been mailed or released from Humana.</w:t>
      </w:r>
    </w:p>
    <w:p>
      <w:pPr>
        <w:jc w:val="both"/>
        <w:ind w:left="440" w:right="60" w:hanging="436"/>
        <w:spacing w:after="0" w:line="255" w:lineRule="auto"/>
        <w:tabs>
          <w:tab w:leader="none" w:pos="4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Includes non-lagged reserves such as ASO stop loss, life reserves, and accidental death and dismemberment/accident and health. Also includes an explicit provision for uncertainty (also called a provision for adverse deviation) intended to ensure the unpaid claim liabilities are adequate under moderately adverse conditions.</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S-14</w:t>
      </w:r>
    </w:p>
    <w:sectPr>
      <w:pgSz w:w="11900" w:h="16838" w:orient="portrait"/>
      <w:cols w:equalWidth="0" w:num="1">
        <w:col w:w="11000"/>
      </w:cols>
      <w:pgMar w:left="440" w:top="27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D1D5AE9"/>
    <w:multiLevelType w:val="hybridMultilevel"/>
    <w:lvl w:ilvl="0">
      <w:lvlJc w:val="left"/>
      <w:lvlText w:val="☐"/>
      <w:numFmt w:val="bullet"/>
      <w:start w:val="1"/>
    </w:lvl>
  </w:abstractNum>
  <w:abstractNum w:abstractNumId="1">
    <w:nsid w:val="6763845E"/>
    <w:multiLevelType w:val="hybridMultilevel"/>
    <w:lvl w:ilvl="0">
      <w:lvlJc w:val="left"/>
      <w:lvlText w:val="•"/>
      <w:numFmt w:val="bullet"/>
      <w:start w:val="1"/>
    </w:lvl>
  </w:abstractNum>
  <w:abstractNum w:abstractNumId="2">
    <w:nsid w:val="75A2A8D4"/>
    <w:multiLevelType w:val="hybridMultilevel"/>
    <w:lvl w:ilvl="0">
      <w:lvlJc w:val="left"/>
      <w:lvlText w:val="(%1)"/>
      <w:numFmt w:val="lowerLetter"/>
      <w:start w:val="1"/>
    </w:lvl>
    <w:lvl w:ilvl="1">
      <w:lvlJc w:val="left"/>
      <w:lvlText w:val="•"/>
      <w:numFmt w:val="bullet"/>
      <w:start w:val="1"/>
    </w:lvl>
  </w:abstractNum>
  <w:abstractNum w:abstractNumId="3">
    <w:nsid w:val="8EDBDAB"/>
    <w:multiLevelType w:val="hybridMultilevel"/>
    <w:lvl w:ilvl="0">
      <w:lvlJc w:val="left"/>
      <w:lvlText w:val="•"/>
      <w:numFmt w:val="bullet"/>
      <w:start w:val="1"/>
    </w:lvl>
  </w:abstractNum>
  <w:abstractNum w:abstractNumId="4">
    <w:nsid w:val="79838CB2"/>
    <w:multiLevelType w:val="hybridMultilevel"/>
    <w:lvl w:ilvl="0">
      <w:lvlJc w:val="left"/>
      <w:lvlText w:val="•"/>
      <w:numFmt w:val="bullet"/>
      <w:start w:val="1"/>
    </w:lvl>
  </w:abstractNum>
  <w:abstractNum w:abstractNumId="5">
    <w:nsid w:val="4353D0CD"/>
    <w:multiLevelType w:val="hybridMultilevel"/>
    <w:lvl w:ilvl="0">
      <w:lvlJc w:val="left"/>
      <w:lvlText w:val="•"/>
      <w:numFmt w:val="bullet"/>
      <w:start w:val="1"/>
    </w:lvl>
  </w:abstractNum>
  <w:abstractNum w:abstractNumId="6">
    <w:nsid w:val="B03E0C6"/>
    <w:multiLevelType w:val="hybridMultilevel"/>
    <w:lvl w:ilvl="0">
      <w:lvlJc w:val="left"/>
      <w:lvlText w:val="•"/>
      <w:numFmt w:val="bullet"/>
      <w:start w:val="1"/>
    </w:lvl>
  </w:abstractNum>
  <w:abstractNum w:abstractNumId="7">
    <w:nsid w:val="189A769B"/>
    <w:multiLevelType w:val="hybridMultilevel"/>
    <w:lvl w:ilvl="0">
      <w:lvlJc w:val="left"/>
      <w:lvlText w:val="•"/>
      <w:numFmt w:val="bullet"/>
      <w:start w:val="1"/>
    </w:lvl>
  </w:abstractNum>
  <w:abstractNum w:abstractNumId="8">
    <w:nsid w:val="54E49EB4"/>
    <w:multiLevelType w:val="hybridMultilevel"/>
    <w:lvl w:ilvl="0">
      <w:lvlJc w:val="left"/>
      <w:lvlText w:val="•"/>
      <w:numFmt w:val="bullet"/>
      <w:start w:val="1"/>
    </w:lvl>
  </w:abstractNum>
  <w:abstractNum w:abstractNumId="9">
    <w:nsid w:val="71F32454"/>
    <w:multiLevelType w:val="hybridMultilevel"/>
    <w:lvl w:ilvl="0">
      <w:lvlJc w:val="left"/>
      <w:lvlText w:val="•"/>
      <w:numFmt w:val="bullet"/>
      <w:start w:val="1"/>
    </w:lvl>
  </w:abstractNum>
  <w:abstractNum w:abstractNumId="10">
    <w:nsid w:val="2CA88611"/>
    <w:multiLevelType w:val="hybridMultilevel"/>
    <w:lvl w:ilvl="0">
      <w:lvlJc w:val="left"/>
      <w:lvlText w:val="•"/>
      <w:numFmt w:val="bullet"/>
      <w:start w:val="1"/>
    </w:lvl>
  </w:abstractNum>
  <w:abstractNum w:abstractNumId="11">
    <w:nsid w:val="836C40E"/>
    <w:multiLevelType w:val="hybridMultilevel"/>
    <w:lvl w:ilvl="0">
      <w:lvlJc w:val="left"/>
      <w:lvlText w:val="•"/>
      <w:numFmt w:val="bullet"/>
      <w:start w:val="1"/>
    </w:lvl>
  </w:abstractNum>
  <w:abstractNum w:abstractNumId="12">
    <w:nsid w:val="2901D82"/>
    <w:multiLevelType w:val="hybridMultilevel"/>
    <w:lvl w:ilvl="0">
      <w:lvlJc w:val="left"/>
      <w:lvlText w:val="•"/>
      <w:numFmt w:val="bullet"/>
      <w:start w:val="1"/>
    </w:lvl>
  </w:abstractNum>
  <w:abstractNum w:abstractNumId="13">
    <w:nsid w:val="3A95F874"/>
    <w:multiLevelType w:val="hybridMultilevel"/>
    <w:lvl w:ilvl="0">
      <w:lvlJc w:val="left"/>
      <w:lvlText w:val="•"/>
      <w:numFmt w:val="bullet"/>
      <w:start w:val="1"/>
    </w:lvl>
  </w:abstractNum>
  <w:abstractNum w:abstractNumId="14">
    <w:nsid w:val="8138641"/>
    <w:multiLevelType w:val="hybridMultilevel"/>
    <w:lvl w:ilvl="0">
      <w:lvlJc w:val="left"/>
      <w:lvlText w:val="•"/>
      <w:numFmt w:val="bullet"/>
      <w:start w:val="1"/>
    </w:lvl>
    <w:lvl w:ilvl="1">
      <w:lvlJc w:val="left"/>
      <w:lvlText w:val="•"/>
      <w:numFmt w:val="bullet"/>
      <w:start w:val="1"/>
    </w:lvl>
  </w:abstractNum>
  <w:abstractNum w:abstractNumId="15">
    <w:nsid w:val="1E7FF521"/>
    <w:multiLevelType w:val="hybridMultilevel"/>
    <w:lvl w:ilvl="0">
      <w:lvlJc w:val="left"/>
      <w:lvlText w:val="•"/>
      <w:numFmt w:val="bullet"/>
      <w:start w:val="1"/>
    </w:lvl>
    <w:lvl w:ilvl="1">
      <w:lvlJc w:val="left"/>
      <w:lvlText w:val="•"/>
      <w:numFmt w:val="bullet"/>
      <w:start w:val="1"/>
    </w:lvl>
  </w:abstractNum>
  <w:abstractNum w:abstractNumId="16">
    <w:nsid w:val="7C3DBD3D"/>
    <w:multiLevelType w:val="hybridMultilevel"/>
    <w:lvl w:ilvl="0">
      <w:lvlJc w:val="left"/>
      <w:lvlText w:val="•"/>
      <w:numFmt w:val="bullet"/>
      <w:start w:val="1"/>
    </w:lvl>
    <w:lvl w:ilvl="1">
      <w:lvlJc w:val="left"/>
      <w:lvlText w:val="•"/>
      <w:numFmt w:val="bullet"/>
      <w:start w:val="1"/>
    </w:lvl>
  </w:abstractNum>
  <w:abstractNum w:abstractNumId="17">
    <w:nsid w:val="737B8DDC"/>
    <w:multiLevelType w:val="hybridMultilevel"/>
    <w:lvl w:ilvl="0">
      <w:lvlJc w:val="left"/>
      <w:lvlText w:val="•"/>
      <w:numFmt w:val="bullet"/>
      <w:start w:val="1"/>
    </w:lvl>
  </w:abstractNum>
  <w:abstractNum w:abstractNumId="18">
    <w:nsid w:val="6CEAF087"/>
    <w:multiLevelType w:val="hybridMultilevel"/>
    <w:lvl w:ilvl="0">
      <w:lvlJc w:val="left"/>
      <w:lvlText w:val="•"/>
      <w:numFmt w:val="bullet"/>
      <w:start w:val="1"/>
    </w:lvl>
    <w:lvl w:ilvl="1">
      <w:lvlJc w:val="left"/>
      <w:lvlText w:val="•"/>
      <w:numFmt w:val="bullet"/>
      <w:start w:val="1"/>
    </w:lvl>
  </w:abstractNum>
  <w:abstractNum w:abstractNumId="19">
    <w:nsid w:val="22221A70"/>
    <w:multiLevelType w:val="hybridMultilevel"/>
    <w:lvl w:ilvl="0">
      <w:lvlJc w:val="left"/>
      <w:lvlText w:val="•"/>
      <w:numFmt w:val="bullet"/>
      <w:start w:val="1"/>
    </w:lvl>
  </w:abstractNum>
  <w:abstractNum w:abstractNumId="20">
    <w:nsid w:val="4516DDE9"/>
    <w:multiLevelType w:val="hybridMultilevel"/>
    <w:lvl w:ilvl="0">
      <w:lvlJc w:val="left"/>
      <w:lvlText w:val="•"/>
      <w:numFmt w:val="bullet"/>
      <w:start w:val="1"/>
    </w:lvl>
  </w:abstractNum>
  <w:abstractNum w:abstractNumId="21">
    <w:nsid w:val="3006C83E"/>
    <w:multiLevelType w:val="hybridMultilevel"/>
    <w:lvl w:ilvl="0">
      <w:lvlJc w:val="left"/>
      <w:lvlText w:val="•"/>
      <w:numFmt w:val="bullet"/>
      <w:start w:val="1"/>
    </w:lvl>
    <w:lvl w:ilvl="1">
      <w:lvlJc w:val="left"/>
      <w:lvlText w:val="•"/>
      <w:numFmt w:val="bullet"/>
      <w:start w:val="1"/>
    </w:lvl>
  </w:abstractNum>
  <w:abstractNum w:abstractNumId="22">
    <w:nsid w:val="614FD4A1"/>
    <w:multiLevelType w:val="hybridMultilevel"/>
    <w:lvl w:ilvl="0">
      <w:lvlJc w:val="left"/>
      <w:lvlText w:val="•"/>
      <w:numFmt w:val="bullet"/>
      <w:start w:val="1"/>
    </w:lvl>
  </w:abstractNum>
  <w:abstractNum w:abstractNumId="23">
    <w:nsid w:val="419AC241"/>
    <w:multiLevelType w:val="hybridMultilevel"/>
    <w:lvl w:ilvl="0">
      <w:lvlJc w:val="left"/>
      <w:lvlText w:val="•"/>
      <w:numFmt w:val="bullet"/>
      <w:start w:val="1"/>
    </w:lvl>
  </w:abstractNum>
  <w:abstractNum w:abstractNumId="24">
    <w:nsid w:val="5577F8E1"/>
    <w:multiLevelType w:val="hybridMultilevel"/>
    <w:lvl w:ilvl="0">
      <w:lvlJc w:val="left"/>
      <w:lvlText w:val="•"/>
      <w:numFmt w:val="bullet"/>
      <w:start w:val="1"/>
    </w:lvl>
  </w:abstractNum>
  <w:abstractNum w:abstractNumId="25">
    <w:nsid w:val="440BADFC"/>
    <w:multiLevelType w:val="hybridMultilevel"/>
    <w:lvl w:ilvl="0">
      <w:lvlJc w:val="left"/>
      <w:lvlText w:val="•"/>
      <w:numFmt w:val="bullet"/>
      <w:start w:val="1"/>
    </w:lvl>
    <w:lvl w:ilvl="1">
      <w:lvlJc w:val="left"/>
      <w:lvlText w:val="•"/>
      <w:numFmt w:val="bullet"/>
      <w:start w:val="1"/>
    </w:lvl>
  </w:abstractNum>
  <w:abstractNum w:abstractNumId="26">
    <w:nsid w:val="5072367"/>
    <w:multiLevelType w:val="hybridMultilevel"/>
    <w:lvl w:ilvl="0">
      <w:lvlJc w:val="left"/>
      <w:lvlText w:val="•"/>
      <w:numFmt w:val="bullet"/>
      <w:start w:val="1"/>
    </w:lvl>
  </w:abstractNum>
  <w:abstractNum w:abstractNumId="27">
    <w:nsid w:val="3804823E"/>
    <w:multiLevelType w:val="hybridMultilevel"/>
    <w:lvl w:ilvl="0">
      <w:lvlJc w:val="left"/>
      <w:lvlText w:val="•"/>
      <w:numFmt w:val="bullet"/>
      <w:start w:val="1"/>
    </w:lvl>
  </w:abstractNum>
  <w:abstractNum w:abstractNumId="28">
    <w:nsid w:val="77465F01"/>
    <w:multiLevelType w:val="hybridMultilevel"/>
    <w:lvl w:ilvl="0">
      <w:lvlJc w:val="left"/>
      <w:lvlText w:val="•"/>
      <w:numFmt w:val="bullet"/>
      <w:start w:val="1"/>
    </w:lvl>
  </w:abstractNum>
  <w:abstractNum w:abstractNumId="29">
    <w:nsid w:val="7724C67E"/>
    <w:multiLevelType w:val="hybridMultilevel"/>
    <w:lvl w:ilvl="0">
      <w:lvlJc w:val="left"/>
      <w:lvlText w:val="•"/>
      <w:numFmt w:val="bullet"/>
      <w:start w:val="1"/>
    </w:lvl>
  </w:abstractNum>
  <w:abstractNum w:abstractNumId="30">
    <w:nsid w:val="5C482A97"/>
    <w:multiLevelType w:val="hybridMultilevel"/>
    <w:lvl w:ilvl="0">
      <w:lvlJc w:val="left"/>
      <w:lvlText w:val="•"/>
      <w:numFmt w:val="bullet"/>
      <w:start w:val="1"/>
    </w:lvl>
  </w:abstractNum>
  <w:abstractNum w:abstractNumId="31">
    <w:nsid w:val="2463B9EA"/>
    <w:multiLevelType w:val="hybridMultilevel"/>
    <w:lvl w:ilvl="0">
      <w:lvlJc w:val="left"/>
      <w:lvlText w:val="(%1)"/>
      <w:numFmt w:val="lowerLetter"/>
      <w:start w:val="1"/>
    </w:lvl>
  </w:abstractNum>
  <w:abstractNum w:abstractNumId="32">
    <w:nsid w:val="5E884ADC"/>
    <w:multiLevelType w:val="hybridMultilevel"/>
    <w:lvl w:ilvl="0">
      <w:lvlJc w:val="left"/>
      <w:lvlText w:val="•"/>
      <w:numFmt w:val="bullet"/>
      <w:start w:val="1"/>
    </w:lvl>
  </w:abstractNum>
  <w:abstractNum w:abstractNumId="33">
    <w:nsid w:val="51EAD36B"/>
    <w:multiLevelType w:val="hybridMultilevel"/>
    <w:lvl w:ilvl="0">
      <w:lvlJc w:val="left"/>
      <w:lvlText w:val="(%1)"/>
      <w:numFmt w:val="lowerLetter"/>
      <w:start w:val="2"/>
    </w:lvl>
  </w:abstractNum>
  <w:abstractNum w:abstractNumId="34">
    <w:nsid w:val="2D517796"/>
    <w:multiLevelType w:val="hybridMultilevel"/>
    <w:lvl w:ilvl="0">
      <w:lvlJc w:val="left"/>
      <w:lvlText w:val="•"/>
      <w:numFmt w:val="bullet"/>
      <w:start w:val="1"/>
    </w:lvl>
  </w:abstractNum>
  <w:abstractNum w:abstractNumId="35">
    <w:nsid w:val="580BD78F"/>
    <w:multiLevelType w:val="hybridMultilevel"/>
    <w:lvl w:ilvl="0">
      <w:lvlJc w:val="left"/>
      <w:lvlText w:val="(%1)"/>
      <w:numFmt w:val="lowerLetter"/>
      <w:start w:val="3"/>
    </w:lvl>
    <w:lvl w:ilvl="1">
      <w:lvlJc w:val="left"/>
      <w:lvlText w:val="•"/>
      <w:numFmt w:val="bullet"/>
      <w:start w:val="1"/>
    </w:lvl>
  </w:abstractNum>
  <w:abstractNum w:abstractNumId="36">
    <w:nsid w:val="153EA438"/>
    <w:multiLevelType w:val="hybridMultilevel"/>
    <w:lvl w:ilvl="0">
      <w:lvlJc w:val="left"/>
      <w:lvlText w:val="(%1)"/>
      <w:numFmt w:val="lowerLetter"/>
      <w:start w:val="5"/>
    </w:lvl>
  </w:abstractNum>
  <w:abstractNum w:abstractNumId="37">
    <w:nsid w:val="3855585C"/>
    <w:multiLevelType w:val="hybridMultilevel"/>
    <w:lvl w:ilvl="0">
      <w:lvlJc w:val="left"/>
      <w:lvlText w:val="•"/>
      <w:numFmt w:val="bullet"/>
      <w:start w:val="1"/>
    </w:lvl>
  </w:abstractNum>
  <w:abstractNum w:abstractNumId="38">
    <w:nsid w:val="70A64E2A"/>
    <w:multiLevelType w:val="hybridMultilevel"/>
    <w:lvl w:ilvl="0">
      <w:lvlJc w:val="left"/>
      <w:lvlText w:val="(%1)"/>
      <w:numFmt w:val="lowerLetter"/>
      <w:start w:val="6"/>
    </w:lvl>
  </w:abstractNum>
  <w:abstractNum w:abstractNumId="39">
    <w:nsid w:val="6A2342EC"/>
    <w:multiLevelType w:val="hybridMultilevel"/>
    <w:lvl w:ilvl="0">
      <w:lvlJc w:val="left"/>
      <w:lvlText w:val="•"/>
      <w:numFmt w:val="bullet"/>
      <w:start w:val="1"/>
    </w:lvl>
  </w:abstractNum>
  <w:abstractNum w:abstractNumId="40">
    <w:nsid w:val="2A487CB0"/>
    <w:multiLevelType w:val="hybridMultilevel"/>
    <w:lvl w:ilvl="0">
      <w:lvlJc w:val="left"/>
      <w:lvlText w:val="•"/>
      <w:numFmt w:val="bullet"/>
      <w:start w:val="1"/>
    </w:lvl>
  </w:abstractNum>
  <w:abstractNum w:abstractNumId="41">
    <w:nsid w:val="1D4ED43B"/>
    <w:multiLevelType w:val="hybridMultilevel"/>
    <w:lvl w:ilvl="0">
      <w:lvlJc w:val="left"/>
      <w:lvlText w:val="•"/>
      <w:numFmt w:val="bullet"/>
      <w:start w:val="1"/>
    </w:lvl>
  </w:abstractNum>
  <w:abstractNum w:abstractNumId="42">
    <w:nsid w:val="725A06FB"/>
    <w:multiLevelType w:val="hybridMultilevel"/>
    <w:lvl w:ilvl="0">
      <w:lvlJc w:val="left"/>
      <w:lvlText w:val="•"/>
      <w:numFmt w:val="bullet"/>
      <w:start w:val="1"/>
    </w:lvl>
  </w:abstractNum>
  <w:abstractNum w:abstractNumId="43">
    <w:nsid w:val="2CD89A32"/>
    <w:multiLevelType w:val="hybridMultilevel"/>
    <w:lvl w:ilvl="0">
      <w:lvlJc w:val="left"/>
      <w:lvlText w:val="•"/>
      <w:numFmt w:val="bullet"/>
      <w:start w:val="1"/>
    </w:lvl>
  </w:abstractNum>
  <w:abstractNum w:abstractNumId="44">
    <w:nsid w:val="57E4CCAF"/>
    <w:multiLevelType w:val="hybridMultilevel"/>
    <w:lvl w:ilvl="0">
      <w:lvlJc w:val="left"/>
      <w:lvlText w:val="(%1)"/>
      <w:numFmt w:val="upp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2019-12-28T13:32:59Z</dcterms:created>
  <dcterms:modified xsi:type="dcterms:W3CDTF">2019-12-28T13:32:59Z</dcterms:modified>
</cp:coreProperties>
</file>