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374015</wp:posOffset>
            </wp:positionH>
            <wp:positionV relativeFrom="page">
              <wp:posOffset>603250</wp:posOffset>
            </wp:positionV>
            <wp:extent cx="68065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5715"/>
                    </a:xfrm>
                    <a:prstGeom prst="rect">
                      <a:avLst/>
                    </a:prstGeom>
                    <a:noFill/>
                  </pic:spPr>
                </pic:pic>
              </a:graphicData>
            </a:graphic>
          </wp:anchor>
        </w:drawing>
        <w:drawing>
          <wp:anchor simplePos="0" relativeHeight="251657728" behindDoc="1" locked="0" layoutInCell="0" allowOverlap="1">
            <wp:simplePos x="0" y="0"/>
            <wp:positionH relativeFrom="page">
              <wp:posOffset>374015</wp:posOffset>
            </wp:positionH>
            <wp:positionV relativeFrom="page">
              <wp:posOffset>580390</wp:posOffset>
            </wp:positionV>
            <wp:extent cx="68065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1915160</wp:posOffset>
            </wp:positionH>
            <wp:positionV relativeFrom="paragraph">
              <wp:posOffset>36195</wp:posOffset>
            </wp:positionV>
            <wp:extent cx="33375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7560" cy="571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1915160</wp:posOffset>
            </wp:positionH>
            <wp:positionV relativeFrom="paragraph">
              <wp:posOffset>139065</wp:posOffset>
            </wp:positionV>
            <wp:extent cx="33375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7560" cy="571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3, 2021 (February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1846580</wp:posOffset>
            </wp:positionH>
            <wp:positionV relativeFrom="paragraph">
              <wp:posOffset>24765</wp:posOffset>
            </wp:positionV>
            <wp:extent cx="34747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4720" cy="571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Humana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33655</wp:posOffset>
            </wp:positionV>
            <wp:extent cx="34575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126" w:lineRule="exact"/>
        <w:rPr>
          <w:sz w:val="24"/>
          <w:szCs w:val="24"/>
          <w:color w:val="auto"/>
        </w:rPr>
      </w:pPr>
    </w:p>
    <w:tbl>
      <w:tblPr>
        <w:tblLayout w:type="fixed"/>
        <w:tblInd w:w="1380" w:type="dxa"/>
        <w:tblCellMar>
          <w:top w:w="0" w:type="dxa"/>
          <w:left w:w="0" w:type="dxa"/>
          <w:bottom w:w="0" w:type="dxa"/>
          <w:right w:w="0" w:type="dxa"/>
        </w:tblCellMar>
      </w:tblPr>
      <w:tr>
        <w:trPr>
          <w:trHeight w:val="151"/>
        </w:trPr>
        <w:tc>
          <w:tcPr>
            <w:tcW w:w="242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800" w:type="dxa"/>
            <w:vAlign w:val="bottom"/>
          </w:tcPr>
          <w:p>
            <w:pPr>
              <w:jc w:val="center"/>
              <w:ind w:right="87"/>
              <w:spacing w:after="0"/>
              <w:rPr>
                <w:sz w:val="20"/>
                <w:szCs w:val="20"/>
                <w:color w:val="auto"/>
              </w:rPr>
            </w:pPr>
            <w:r>
              <w:rPr>
                <w:rFonts w:ascii="Times New Roman" w:cs="Times New Roman" w:eastAsia="Times New Roman" w:hAnsi="Times New Roman"/>
                <w:sz w:val="12"/>
                <w:szCs w:val="12"/>
                <w:b w:val="1"/>
                <w:bCs w:val="1"/>
                <w:color w:val="auto"/>
                <w:w w:val="99"/>
              </w:rPr>
              <w:t>1-5975</w:t>
            </w: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61-0647538</w:t>
            </w:r>
          </w:p>
        </w:tc>
      </w:tr>
      <w:tr>
        <w:trPr>
          <w:trHeight w:val="125"/>
        </w:trPr>
        <w:tc>
          <w:tcPr>
            <w:tcW w:w="2420" w:type="dxa"/>
            <w:vAlign w:val="bottom"/>
            <w:gridSpan w:val="2"/>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 incorporation)</w:t>
            </w:r>
          </w:p>
        </w:tc>
        <w:tc>
          <w:tcPr>
            <w:tcW w:w="380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6"/>
              </w:rPr>
              <w:t>(Commission File Number)</w:t>
            </w:r>
          </w:p>
        </w:tc>
        <w:tc>
          <w:tcPr>
            <w:tcW w:w="2080" w:type="dxa"/>
            <w:vAlign w:val="bottom"/>
            <w:gridSpan w:val="2"/>
          </w:tcPr>
          <w:p>
            <w:pPr>
              <w:jc w:val="center"/>
              <w:ind w:left="626"/>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08"/>
        </w:trPr>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0" w:type="dxa"/>
            <w:vAlign w:val="bottom"/>
          </w:tcPr>
          <w:p>
            <w:pPr>
              <w:jc w:val="center"/>
              <w:ind w:right="67"/>
              <w:spacing w:after="0"/>
              <w:rPr>
                <w:sz w:val="20"/>
                <w:szCs w:val="20"/>
                <w:color w:val="auto"/>
              </w:rPr>
            </w:pPr>
            <w:r>
              <w:rPr>
                <w:rFonts w:ascii="Times New Roman" w:cs="Times New Roman" w:eastAsia="Times New Roman" w:hAnsi="Times New Roman"/>
                <w:sz w:val="12"/>
                <w:szCs w:val="12"/>
                <w:b w:val="1"/>
                <w:bCs w:val="1"/>
                <w:color w:val="auto"/>
                <w:w w:val="99"/>
              </w:rPr>
              <w:t>500 West Main Street Louisville, KY 40202</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25"/>
        </w:trPr>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 including zip code)</w:t>
            </w:r>
          </w:p>
        </w:tc>
        <w:tc>
          <w:tcPr>
            <w:tcW w:w="7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89"/>
        </w:trPr>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Pr>
          <w:p>
            <w:pPr>
              <w:jc w:val="center"/>
              <w:ind w:right="67"/>
              <w:spacing w:after="0"/>
              <w:rPr>
                <w:sz w:val="20"/>
                <w:szCs w:val="20"/>
                <w:color w:val="auto"/>
              </w:rPr>
            </w:pPr>
            <w:r>
              <w:rPr>
                <w:rFonts w:ascii="Times New Roman" w:cs="Times New Roman" w:eastAsia="Times New Roman" w:hAnsi="Times New Roman"/>
                <w:sz w:val="12"/>
                <w:szCs w:val="12"/>
                <w:b w:val="1"/>
                <w:bCs w:val="1"/>
                <w:color w:val="auto"/>
                <w:w w:val="99"/>
              </w:rPr>
              <w:t>502-580-1000</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25"/>
        </w:trPr>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7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2"/>
        </w:trPr>
        <w:tc>
          <w:tcPr>
            <w:tcW w:w="1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3"/>
        </w:trPr>
        <w:tc>
          <w:tcPr>
            <w:tcW w:w="15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bl>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35"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right="5520" w:firstLine="4"/>
        <w:spacing w:after="0" w:line="339" w:lineRule="auto"/>
        <w:tabs>
          <w:tab w:leader="none" w:pos="43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87"/>
        </w:trPr>
        <w:tc>
          <w:tcPr>
            <w:tcW w:w="4260" w:type="dxa"/>
            <w:vAlign w:val="bottom"/>
            <w:tcBorders>
              <w:top w:val="single" w:sz="8" w:color="auto"/>
              <w:left w:val="single" w:sz="8" w:color="auto"/>
              <w:right w:val="single" w:sz="8" w:color="auto"/>
            </w:tcBorders>
            <w:gridSpan w:val="3"/>
          </w:tcPr>
          <w:p>
            <w:pPr>
              <w:jc w:val="center"/>
              <w:ind w:right="20"/>
              <w:spacing w:after="0" w:line="87" w:lineRule="exact"/>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000" w:type="dxa"/>
            <w:vAlign w:val="bottom"/>
            <w:tcBorders>
              <w:top w:val="single" w:sz="8" w:color="auto"/>
            </w:tcBorders>
          </w:tcPr>
          <w:p>
            <w:pPr>
              <w:spacing w:after="0"/>
              <w:rPr>
                <w:sz w:val="7"/>
                <w:szCs w:val="7"/>
                <w:color w:val="auto"/>
              </w:rPr>
            </w:pPr>
          </w:p>
        </w:tc>
        <w:tc>
          <w:tcPr>
            <w:tcW w:w="1780" w:type="dxa"/>
            <w:vAlign w:val="bottom"/>
            <w:tcBorders>
              <w:top w:val="single" w:sz="8" w:color="auto"/>
              <w:right w:val="single" w:sz="8" w:color="auto"/>
            </w:tcBorders>
            <w:gridSpan w:val="2"/>
          </w:tcPr>
          <w:p>
            <w:pPr>
              <w:jc w:val="center"/>
              <w:ind w:right="1020"/>
              <w:spacing w:after="0" w:line="87" w:lineRule="exact"/>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1220" w:type="dxa"/>
            <w:vAlign w:val="bottom"/>
            <w:tcBorders>
              <w:top w:val="single" w:sz="8" w:color="auto"/>
            </w:tcBorders>
          </w:tcPr>
          <w:p>
            <w:pPr>
              <w:spacing w:after="0"/>
              <w:rPr>
                <w:sz w:val="7"/>
                <w:szCs w:val="7"/>
                <w:color w:val="auto"/>
              </w:rPr>
            </w:pPr>
          </w:p>
        </w:tc>
        <w:tc>
          <w:tcPr>
            <w:tcW w:w="3040" w:type="dxa"/>
            <w:vAlign w:val="bottom"/>
            <w:tcBorders>
              <w:top w:val="single" w:sz="8" w:color="auto"/>
              <w:right w:val="single" w:sz="8" w:color="auto"/>
            </w:tcBorders>
            <w:gridSpan w:val="2"/>
          </w:tcPr>
          <w:p>
            <w:pPr>
              <w:jc w:val="center"/>
              <w:ind w:right="1260"/>
              <w:spacing w:after="0" w:line="87" w:lineRule="exact"/>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20"/>
        </w:trPr>
        <w:tc>
          <w:tcPr>
            <w:tcW w:w="176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4260" w:type="dxa"/>
            <w:vAlign w:val="bottom"/>
            <w:tcBorders>
              <w:left w:val="single" w:sz="8" w:color="auto"/>
              <w:bottom w:val="single" w:sz="8" w:color="auto"/>
              <w:right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gridSpan w:val="2"/>
          </w:tcPr>
          <w:p>
            <w:pPr>
              <w:jc w:val="center"/>
              <w:ind w:right="1020"/>
              <w:spacing w:after="0" w:line="138" w:lineRule="exact"/>
              <w:rPr>
                <w:sz w:val="20"/>
                <w:szCs w:val="20"/>
                <w:color w:val="auto"/>
              </w:rPr>
            </w:pPr>
            <w:r>
              <w:rPr>
                <w:rFonts w:ascii="Times New Roman" w:cs="Times New Roman" w:eastAsia="Times New Roman" w:hAnsi="Times New Roman"/>
                <w:sz w:val="13"/>
                <w:szCs w:val="13"/>
                <w:color w:val="auto"/>
              </w:rPr>
              <w:t>HUM</w:t>
            </w:r>
          </w:p>
        </w:tc>
        <w:tc>
          <w:tcPr>
            <w:tcW w:w="122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gridSpan w:val="2"/>
          </w:tcPr>
          <w:p>
            <w:pPr>
              <w:jc w:val="center"/>
              <w:ind w:right="1240"/>
              <w:spacing w:after="0" w:line="138" w:lineRule="exact"/>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61" w:lineRule="exact"/>
        <w:rPr>
          <w:sz w:val="24"/>
          <w:szCs w:val="24"/>
          <w:color w:val="auto"/>
        </w:rPr>
      </w:pPr>
    </w:p>
    <w:p>
      <w:pPr>
        <w:ind w:right="340"/>
        <w:spacing w:after="0" w:line="263"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421005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240" w:firstLine="297"/>
        <w:spacing w:after="0" w:line="265" w:lineRule="auto"/>
        <w:rPr>
          <w:sz w:val="20"/>
          <w:szCs w:val="20"/>
          <w:color w:val="auto"/>
        </w:rPr>
      </w:pPr>
      <w:r>
        <w:rPr>
          <w:rFonts w:ascii="Times New Roman" w:cs="Times New Roman" w:eastAsia="Times New Roman" w:hAnsi="Times New Roman"/>
          <w:sz w:val="12"/>
          <w:szCs w:val="12"/>
          <w:color w:val="auto"/>
        </w:rPr>
        <w:t xml:space="preserve">Humana Inc. (the "Company") issued a press release this morning reporting financial results for the quarter ended December 31, 2020, and posted a detailed earnings release related to the same period to the Investor Relations portion of the Company’s website at </w:t>
      </w:r>
      <w:r>
        <w:rPr>
          <w:rFonts w:ascii="Times New Roman" w:cs="Times New Roman" w:eastAsia="Times New Roman" w:hAnsi="Times New Roman"/>
          <w:sz w:val="12"/>
          <w:szCs w:val="12"/>
          <w:u w:val="single" w:color="auto"/>
          <w:color w:val="auto"/>
        </w:rPr>
        <w:t>www.humana.com</w:t>
      </w:r>
      <w:r>
        <w:rPr>
          <w:rFonts w:ascii="Times New Roman" w:cs="Times New Roman" w:eastAsia="Times New Roman" w:hAnsi="Times New Roman"/>
          <w:sz w:val="12"/>
          <w:szCs w:val="12"/>
          <w:color w:val="auto"/>
        </w:rPr>
        <w:t>. A copy of each release is attached hereto as Exhibit 99.1 and Exhibit 99.2, respectively, and each release is incorporated herein by reference. Additionally, attached as Exhibit 99.3 is a slide management intends to use during investor presentations on February 3, 2021, and which is incorporated herein by reference.</w:t>
      </w:r>
    </w:p>
    <w:p>
      <w:pPr>
        <w:spacing w:after="0" w:line="200" w:lineRule="exact"/>
        <w:rPr>
          <w:sz w:val="20"/>
          <w:szCs w:val="20"/>
          <w:color w:val="auto"/>
        </w:rPr>
      </w:pPr>
    </w:p>
    <w:p>
      <w:pPr>
        <w:spacing w:after="0" w:line="22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10440" w:type="dxa"/>
            <w:vAlign w:val="bottom"/>
            <w:tcBorders>
              <w:bottom w:val="single" w:sz="8" w:color="auto"/>
            </w:tcBorders>
          </w:tcPr>
          <w:p>
            <w:pPr>
              <w:ind w:left="49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40" w:type="dxa"/>
            <w:vAlign w:val="bottom"/>
          </w:tcPr>
          <w:p>
            <w:pPr>
              <w:spacing w:after="0"/>
              <w:rPr>
                <w:sz w:val="11"/>
                <w:szCs w:val="11"/>
                <w:color w:val="auto"/>
              </w:rPr>
            </w:pPr>
          </w:p>
        </w:tc>
      </w:tr>
      <w:tr>
        <w:trPr>
          <w:trHeight w:val="173"/>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480" w:type="dxa"/>
            <w:vAlign w:val="bottom"/>
            <w:gridSpan w:val="2"/>
          </w:tcPr>
          <w:p>
            <w:pPr>
              <w:ind w:left="340"/>
              <w:spacing w:after="0"/>
              <w:rPr>
                <w:rFonts w:ascii="Times New Roman" w:cs="Times New Roman" w:eastAsia="Times New Roman" w:hAnsi="Times New Roman"/>
                <w:sz w:val="12"/>
                <w:szCs w:val="12"/>
                <w:u w:val="single" w:color="auto"/>
                <w:color w:val="0000FF"/>
              </w:rPr>
            </w:pPr>
            <w:hyperlink w:anchor="page4">
              <w:r>
                <w:rPr>
                  <w:rFonts w:ascii="Times New Roman" w:cs="Times New Roman" w:eastAsia="Times New Roman" w:hAnsi="Times New Roman"/>
                  <w:sz w:val="12"/>
                  <w:szCs w:val="12"/>
                  <w:u w:val="single" w:color="auto"/>
                  <w:color w:val="0000FF"/>
                </w:rPr>
                <w:t>Press Release</w:t>
              </w:r>
            </w:hyperlink>
          </w:p>
        </w:tc>
      </w:tr>
      <w:tr>
        <w:trPr>
          <w:trHeight w:val="189"/>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480" w:type="dxa"/>
            <w:vAlign w:val="bottom"/>
            <w:gridSpan w:val="2"/>
          </w:tcPr>
          <w:p>
            <w:pPr>
              <w:ind w:left="340"/>
              <w:spacing w:after="0"/>
              <w:rPr>
                <w:rFonts w:ascii="Times New Roman" w:cs="Times New Roman" w:eastAsia="Times New Roman" w:hAnsi="Times New Roman"/>
                <w:sz w:val="12"/>
                <w:szCs w:val="12"/>
                <w:u w:val="single" w:color="auto"/>
                <w:color w:val="0000FF"/>
              </w:rPr>
            </w:pPr>
            <w:hyperlink w:anchor="page14">
              <w:r>
                <w:rPr>
                  <w:rFonts w:ascii="Times New Roman" w:cs="Times New Roman" w:eastAsia="Times New Roman" w:hAnsi="Times New Roman"/>
                  <w:sz w:val="12"/>
                  <w:szCs w:val="12"/>
                  <w:u w:val="single" w:color="auto"/>
                  <w:color w:val="0000FF"/>
                </w:rPr>
                <w:t>Earnings Release and Statistical Pages</w:t>
              </w:r>
            </w:hyperlink>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10480" w:type="dxa"/>
            <w:vAlign w:val="bottom"/>
            <w:gridSpan w:val="2"/>
          </w:tcPr>
          <w:p>
            <w:pPr>
              <w:ind w:left="340"/>
              <w:spacing w:after="0"/>
              <w:rPr>
                <w:rFonts w:ascii="Times New Roman" w:cs="Times New Roman" w:eastAsia="Times New Roman" w:hAnsi="Times New Roman"/>
                <w:sz w:val="12"/>
                <w:szCs w:val="12"/>
                <w:u w:val="single" w:color="auto"/>
                <w:color w:val="0000FF"/>
              </w:rPr>
            </w:pPr>
            <w:hyperlink w:anchor="page59">
              <w:r>
                <w:rPr>
                  <w:rFonts w:ascii="Times New Roman" w:cs="Times New Roman" w:eastAsia="Times New Roman" w:hAnsi="Times New Roman"/>
                  <w:sz w:val="12"/>
                  <w:szCs w:val="12"/>
                  <w:u w:val="single" w:color="auto"/>
                  <w:color w:val="0000FF"/>
                </w:rPr>
                <w:t>Slide Presentation</w:t>
              </w:r>
            </w:hyperlink>
          </w:p>
        </w:tc>
      </w:tr>
      <w:tr>
        <w:trPr>
          <w:trHeight w:val="155"/>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48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57"/>
        </w:trPr>
        <w:tc>
          <w:tcPr>
            <w:tcW w:w="820" w:type="dxa"/>
            <w:vAlign w:val="bottom"/>
            <w:tcBorders>
              <w:bottom w:val="single" w:sz="8" w:color="9A9A9A"/>
            </w:tcBorders>
          </w:tcPr>
          <w:p>
            <w:pPr>
              <w:spacing w:after="0"/>
              <w:rPr>
                <w:sz w:val="24"/>
                <w:szCs w:val="24"/>
                <w:color w:val="auto"/>
              </w:rPr>
            </w:pPr>
          </w:p>
        </w:tc>
        <w:tc>
          <w:tcPr>
            <w:tcW w:w="10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8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4820" w:type="dxa"/>
        <w:tblCellMar>
          <w:top w:w="0" w:type="dxa"/>
          <w:left w:w="0" w:type="dxa"/>
          <w:bottom w:w="0" w:type="dxa"/>
          <w:right w:w="0" w:type="dxa"/>
        </w:tblCellMar>
      </w:tblPr>
      <w:tr>
        <w:trPr>
          <w:trHeight w:val="159"/>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HUMANA INC.</w:t>
            </w:r>
          </w:p>
        </w:tc>
        <w:tc>
          <w:tcPr>
            <w:tcW w:w="5580" w:type="dxa"/>
            <w:vAlign w:val="bottom"/>
          </w:tcPr>
          <w:p>
            <w:pPr>
              <w:spacing w:after="0"/>
              <w:rPr>
                <w:sz w:val="13"/>
                <w:szCs w:val="13"/>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BY:</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 Cynthia H. Zipperle</w:t>
            </w:r>
          </w:p>
        </w:tc>
      </w:tr>
      <w:tr>
        <w:trPr>
          <w:trHeight w:val="136"/>
        </w:trPr>
        <w:tc>
          <w:tcPr>
            <w:tcW w:w="900" w:type="dxa"/>
            <w:vAlign w:val="bottom"/>
          </w:tcPr>
          <w:p>
            <w:pPr>
              <w:spacing w:after="0"/>
              <w:rPr>
                <w:sz w:val="11"/>
                <w:szCs w:val="11"/>
                <w:color w:val="auto"/>
              </w:rPr>
            </w:pPr>
          </w:p>
        </w:tc>
        <w:tc>
          <w:tcPr>
            <w:tcW w:w="558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Cynthia H. Zipperle</w:t>
            </w:r>
          </w:p>
        </w:tc>
      </w:tr>
      <w:tr>
        <w:trPr>
          <w:trHeight w:val="153"/>
        </w:trPr>
        <w:tc>
          <w:tcPr>
            <w:tcW w:w="900" w:type="dxa"/>
            <w:vAlign w:val="bottom"/>
          </w:tcPr>
          <w:p>
            <w:pPr>
              <w:spacing w:after="0"/>
              <w:rPr>
                <w:sz w:val="13"/>
                <w:szCs w:val="13"/>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Senior Vice President, Chief Accounting Officer and Controller</w:t>
            </w:r>
          </w:p>
        </w:tc>
      </w:tr>
      <w:tr>
        <w:trPr>
          <w:trHeight w:val="159"/>
        </w:trPr>
        <w:tc>
          <w:tcPr>
            <w:tcW w:w="900" w:type="dxa"/>
            <w:vAlign w:val="bottom"/>
          </w:tcPr>
          <w:p>
            <w:pPr>
              <w:spacing w:after="0"/>
              <w:rPr>
                <w:sz w:val="13"/>
                <w:szCs w:val="13"/>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(Principal Accounting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February 3, 2021</w:t>
      </w:r>
    </w:p>
    <w:p>
      <w:pPr>
        <w:sectPr>
          <w:pgSz w:w="11900" w:h="16838" w:orient="portrait"/>
          <w:cols w:equalWidth="0" w:num="1">
            <w:col w:w="11300"/>
          </w:cols>
          <w:pgMar w:left="300" w:top="782"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tc>
        <w:tc>
          <w:tcPr>
            <w:tcW w:w="1400" w:type="dxa"/>
            <w:vAlign w:val="bottom"/>
          </w:tcPr>
          <w:p>
            <w:pPr>
              <w:spacing w:after="0"/>
              <w:rPr>
                <w:sz w:val="13"/>
                <w:szCs w:val="13"/>
                <w:color w:val="auto"/>
              </w:rPr>
            </w:pPr>
          </w:p>
        </w:tc>
        <w:tc>
          <w:tcPr>
            <w:tcW w:w="2100" w:type="dxa"/>
            <w:vAlign w:val="bottom"/>
          </w:tcPr>
          <w:p>
            <w:pPr>
              <w:ind w:left="1380"/>
              <w:spacing w:after="0"/>
              <w:rPr>
                <w:sz w:val="20"/>
                <w:szCs w:val="20"/>
                <w:color w:val="auto"/>
              </w:rPr>
            </w:pPr>
            <w:r>
              <w:rPr>
                <w:rFonts w:ascii="Arial" w:cs="Arial" w:eastAsia="Arial" w:hAnsi="Arial"/>
                <w:sz w:val="13"/>
                <w:szCs w:val="13"/>
                <w:b w:val="1"/>
                <w:bCs w:val="1"/>
                <w:color w:val="auto"/>
                <w:w w:val="96"/>
              </w:rPr>
              <w:t>Exhibit 99.1</w:t>
            </w:r>
          </w:p>
        </w:tc>
        <w:tc>
          <w:tcPr>
            <w:tcW w:w="0" w:type="dxa"/>
            <w:vAlign w:val="bottom"/>
          </w:tcPr>
          <w:p>
            <w:pPr>
              <w:spacing w:after="0"/>
              <w:rPr>
                <w:sz w:val="1"/>
                <w:szCs w:val="1"/>
                <w:color w:val="auto"/>
              </w:rPr>
            </w:pPr>
          </w:p>
        </w:tc>
      </w:tr>
      <w:tr>
        <w:trPr>
          <w:trHeight w:val="126"/>
        </w:trPr>
        <w:tc>
          <w:tcPr>
            <w:tcW w:w="7780" w:type="dxa"/>
            <w:vAlign w:val="bottom"/>
            <w:gridSpan w:val="4"/>
            <w:vMerge w:val="continue"/>
          </w:tcPr>
          <w:p>
            <w:pPr>
              <w:spacing w:after="0"/>
              <w:rPr>
                <w:sz w:val="10"/>
                <w:szCs w:val="10"/>
                <w:color w:val="auto"/>
              </w:rPr>
            </w:pPr>
          </w:p>
        </w:tc>
        <w:tc>
          <w:tcPr>
            <w:tcW w:w="3500" w:type="dxa"/>
            <w:vAlign w:val="bottom"/>
            <w:gridSpan w:val="2"/>
          </w:tcPr>
          <w:p>
            <w:pPr>
              <w:spacing w:after="0" w:line="126" w:lineRule="exact"/>
              <w:rPr>
                <w:sz w:val="20"/>
                <w:szCs w:val="20"/>
                <w:color w:val="auto"/>
              </w:rPr>
            </w:pPr>
            <w:r>
              <w:rPr>
                <w:rFonts w:ascii="Arial" w:cs="Arial" w:eastAsia="Arial" w:hAnsi="Arial"/>
                <w:sz w:val="13"/>
                <w:szCs w:val="13"/>
                <w:color w:val="auto"/>
              </w:rPr>
              <w:t>Humana Inc.</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3500" w:type="dxa"/>
            <w:vAlign w:val="bottom"/>
            <w:gridSpan w:val="2"/>
          </w:tcPr>
          <w:p>
            <w:pPr>
              <w:spacing w:after="0" w:line="126" w:lineRule="exact"/>
              <w:rPr>
                <w:sz w:val="20"/>
                <w:szCs w:val="20"/>
                <w:color w:val="auto"/>
              </w:rPr>
            </w:pPr>
            <w:r>
              <w:rPr>
                <w:rFonts w:ascii="Arial" w:cs="Arial" w:eastAsia="Arial" w:hAnsi="Arial"/>
                <w:sz w:val="13"/>
                <w:szCs w:val="13"/>
                <w:color w:val="auto"/>
              </w:rPr>
              <w:t>500 West Main Street</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3500" w:type="dxa"/>
            <w:vAlign w:val="bottom"/>
            <w:gridSpan w:val="2"/>
          </w:tcPr>
          <w:p>
            <w:pPr>
              <w:spacing w:after="0" w:line="126" w:lineRule="exact"/>
              <w:rPr>
                <w:sz w:val="20"/>
                <w:szCs w:val="20"/>
                <w:color w:val="auto"/>
              </w:rPr>
            </w:pPr>
            <w:r>
              <w:rPr>
                <w:rFonts w:ascii="Arial" w:cs="Arial" w:eastAsia="Arial" w:hAnsi="Arial"/>
                <w:sz w:val="13"/>
                <w:szCs w:val="13"/>
                <w:color w:val="auto"/>
              </w:rPr>
              <w:t>P.O. Box 1438</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3500" w:type="dxa"/>
            <w:vAlign w:val="bottom"/>
            <w:gridSpan w:val="2"/>
          </w:tcPr>
          <w:p>
            <w:pPr>
              <w:spacing w:after="0" w:line="126" w:lineRule="exact"/>
              <w:rPr>
                <w:sz w:val="20"/>
                <w:szCs w:val="20"/>
                <w:color w:val="auto"/>
              </w:rPr>
            </w:pPr>
            <w:r>
              <w:rPr>
                <w:rFonts w:ascii="Arial" w:cs="Arial" w:eastAsia="Arial" w:hAnsi="Arial"/>
                <w:sz w:val="13"/>
                <w:szCs w:val="13"/>
                <w:color w:val="auto"/>
              </w:rPr>
              <w:t>Louisville, KY 40202</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3500" w:type="dxa"/>
            <w:vAlign w:val="bottom"/>
            <w:gridSpan w:val="2"/>
          </w:tcPr>
          <w:p>
            <w:pPr>
              <w:spacing w:after="0" w:line="135" w:lineRule="exact"/>
              <w:rPr>
                <w:sz w:val="20"/>
                <w:szCs w:val="20"/>
                <w:color w:val="auto"/>
              </w:rPr>
            </w:pPr>
            <w:r>
              <w:rPr>
                <w:rFonts w:ascii="Arial" w:cs="Arial" w:eastAsia="Arial" w:hAnsi="Arial"/>
                <w:sz w:val="13"/>
                <w:szCs w:val="13"/>
                <w:color w:val="auto"/>
              </w:rPr>
              <w:t>http://www.humana.com</w:t>
            </w:r>
          </w:p>
        </w:tc>
        <w:tc>
          <w:tcPr>
            <w:tcW w:w="0" w:type="dxa"/>
            <w:vAlign w:val="bottom"/>
          </w:tcPr>
          <w:p>
            <w:pPr>
              <w:spacing w:after="0"/>
              <w:rPr>
                <w:sz w:val="1"/>
                <w:szCs w:val="1"/>
                <w:color w:val="auto"/>
              </w:rPr>
            </w:pPr>
          </w:p>
        </w:tc>
      </w:tr>
      <w:tr>
        <w:trPr>
          <w:trHeight w:val="238"/>
        </w:trPr>
        <w:tc>
          <w:tcPr>
            <w:tcW w:w="7780" w:type="dxa"/>
            <w:vAlign w:val="bottom"/>
            <w:gridSpan w:val="4"/>
          </w:tcPr>
          <w:p>
            <w:pPr>
              <w:spacing w:after="0"/>
              <w:rPr>
                <w:sz w:val="20"/>
                <w:szCs w:val="20"/>
                <w:color w:val="auto"/>
              </w:rPr>
            </w:pPr>
            <w:r>
              <w:rPr>
                <w:rFonts w:ascii="Arial" w:cs="Arial" w:eastAsia="Arial" w:hAnsi="Arial"/>
                <w:sz w:val="13"/>
                <w:szCs w:val="13"/>
                <w:color w:val="auto"/>
              </w:rPr>
              <w:t>FOR MORE INFORMATION CONTACT:</w:t>
            </w:r>
          </w:p>
        </w:tc>
        <w:tc>
          <w:tcPr>
            <w:tcW w:w="1400" w:type="dxa"/>
            <w:vAlign w:val="bottom"/>
            <w:tcBorders>
              <w:top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80" w:type="dxa"/>
            <w:vAlign w:val="bottom"/>
            <w:gridSpan w:val="4"/>
          </w:tcPr>
          <w:p>
            <w:pPr>
              <w:spacing w:after="0"/>
              <w:rPr>
                <w:sz w:val="20"/>
                <w:szCs w:val="20"/>
                <w:color w:val="auto"/>
              </w:rPr>
            </w:pPr>
            <w:r>
              <w:rPr>
                <w:rFonts w:ascii="Arial" w:cs="Arial" w:eastAsia="Arial" w:hAnsi="Arial"/>
                <w:sz w:val="13"/>
                <w:szCs w:val="13"/>
                <w:color w:val="auto"/>
              </w:rPr>
              <w:t>Amy Smith</w:t>
            </w:r>
          </w:p>
        </w:tc>
        <w:tc>
          <w:tcPr>
            <w:tcW w:w="1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7780" w:type="dxa"/>
            <w:vAlign w:val="bottom"/>
            <w:gridSpan w:val="4"/>
          </w:tcPr>
          <w:p>
            <w:pPr>
              <w:spacing w:after="0" w:line="126" w:lineRule="exact"/>
              <w:rPr>
                <w:sz w:val="20"/>
                <w:szCs w:val="20"/>
                <w:color w:val="auto"/>
              </w:rPr>
            </w:pPr>
            <w:r>
              <w:rPr>
                <w:rFonts w:ascii="Arial" w:cs="Arial" w:eastAsia="Arial" w:hAnsi="Arial"/>
                <w:sz w:val="13"/>
                <w:szCs w:val="13"/>
                <w:color w:val="auto"/>
              </w:rPr>
              <w:t>Humana Investor Relations</w:t>
            </w:r>
          </w:p>
        </w:tc>
        <w:tc>
          <w:tcPr>
            <w:tcW w:w="14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20" w:type="dxa"/>
            <w:vAlign w:val="bottom"/>
            <w:gridSpan w:val="2"/>
          </w:tcPr>
          <w:p>
            <w:pPr>
              <w:spacing w:after="0" w:line="126" w:lineRule="exact"/>
              <w:rPr>
                <w:sz w:val="20"/>
                <w:szCs w:val="20"/>
                <w:color w:val="auto"/>
              </w:rPr>
            </w:pPr>
            <w:r>
              <w:rPr>
                <w:rFonts w:ascii="Arial" w:cs="Arial" w:eastAsia="Arial" w:hAnsi="Arial"/>
                <w:sz w:val="13"/>
                <w:szCs w:val="13"/>
                <w:color w:val="auto"/>
              </w:rPr>
              <w:t>(502) 580-2811</w:t>
            </w:r>
          </w:p>
        </w:tc>
        <w:tc>
          <w:tcPr>
            <w:tcW w:w="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780" w:type="dxa"/>
            <w:vAlign w:val="bottom"/>
            <w:gridSpan w:val="4"/>
          </w:tcPr>
          <w:p>
            <w:pPr>
              <w:spacing w:after="0" w:line="135" w:lineRule="exact"/>
              <w:rPr>
                <w:sz w:val="20"/>
                <w:szCs w:val="20"/>
                <w:color w:val="auto"/>
              </w:rPr>
            </w:pPr>
            <w:r>
              <w:rPr>
                <w:rFonts w:ascii="Arial" w:cs="Arial" w:eastAsia="Arial" w:hAnsi="Arial"/>
                <w:sz w:val="13"/>
                <w:szCs w:val="13"/>
                <w:color w:val="auto"/>
              </w:rPr>
              <w:t>e-mail: Amysmith@humana.com</w:t>
            </w:r>
          </w:p>
        </w:tc>
        <w:tc>
          <w:tcPr>
            <w:tcW w:w="1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780" w:type="dxa"/>
            <w:vAlign w:val="bottom"/>
            <w:gridSpan w:val="4"/>
          </w:tcPr>
          <w:p>
            <w:pPr>
              <w:spacing w:after="0"/>
              <w:rPr>
                <w:sz w:val="20"/>
                <w:szCs w:val="20"/>
                <w:color w:val="auto"/>
              </w:rPr>
            </w:pPr>
            <w:r>
              <w:rPr>
                <w:rFonts w:ascii="Arial" w:cs="Arial" w:eastAsia="Arial" w:hAnsi="Arial"/>
                <w:sz w:val="13"/>
                <w:szCs w:val="13"/>
                <w:color w:val="auto"/>
              </w:rPr>
              <w:t>Kelley Murphy</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780" w:type="dxa"/>
            <w:vAlign w:val="bottom"/>
            <w:gridSpan w:val="4"/>
          </w:tcPr>
          <w:p>
            <w:pPr>
              <w:spacing w:after="0"/>
              <w:rPr>
                <w:sz w:val="20"/>
                <w:szCs w:val="20"/>
                <w:color w:val="auto"/>
              </w:rPr>
            </w:pPr>
            <w:r>
              <w:rPr>
                <w:rFonts w:ascii="Arial" w:cs="Arial" w:eastAsia="Arial" w:hAnsi="Arial"/>
                <w:sz w:val="13"/>
                <w:szCs w:val="13"/>
                <w:color w:val="auto"/>
              </w:rPr>
              <w:t>Humana Corporate Communications</w:t>
            </w:r>
          </w:p>
        </w:tc>
        <w:tc>
          <w:tcPr>
            <w:tcW w:w="14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3"/>
                <w:szCs w:val="13"/>
                <w:color w:val="auto"/>
              </w:rPr>
              <w:t>(502) 224-1755</w:t>
            </w:r>
          </w:p>
        </w:tc>
        <w:tc>
          <w:tcPr>
            <w:tcW w:w="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80" w:type="dxa"/>
            <w:vAlign w:val="bottom"/>
            <w:gridSpan w:val="4"/>
          </w:tcPr>
          <w:p>
            <w:pPr>
              <w:spacing w:after="0" w:line="144" w:lineRule="exact"/>
              <w:rPr>
                <w:sz w:val="20"/>
                <w:szCs w:val="20"/>
                <w:color w:val="auto"/>
              </w:rPr>
            </w:pPr>
            <w:r>
              <w:rPr>
                <w:rFonts w:ascii="Arial" w:cs="Arial" w:eastAsia="Arial" w:hAnsi="Arial"/>
                <w:sz w:val="13"/>
                <w:szCs w:val="13"/>
                <w:color w:val="auto"/>
              </w:rPr>
              <w:t>e-mail: Kmurphy26@humana.com</w:t>
            </w:r>
          </w:p>
        </w:tc>
        <w:tc>
          <w:tcPr>
            <w:tcW w:w="14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-879475</wp:posOffset>
            </wp:positionV>
            <wp:extent cx="1240155" cy="371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0155" cy="3714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Humana Reports Fourth Quarter 2020 Financial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Provides Full Year 2021 Financial Guidance</w:t>
      </w:r>
    </w:p>
    <w:p>
      <w:pPr>
        <w:spacing w:after="0" w:line="159" w:lineRule="exact"/>
        <w:rPr>
          <w:sz w:val="20"/>
          <w:szCs w:val="20"/>
          <w:color w:val="auto"/>
        </w:rPr>
      </w:pPr>
    </w:p>
    <w:p>
      <w:pPr>
        <w:ind w:left="420" w:right="140" w:hanging="212"/>
        <w:spacing w:after="0" w:line="252" w:lineRule="auto"/>
        <w:tabs>
          <w:tab w:leader="none" w:pos="404" w:val="left"/>
        </w:tabs>
        <w:numPr>
          <w:ilvl w:val="0"/>
          <w:numId w:val="2"/>
        </w:numPr>
        <w:rPr>
          <w:rFonts w:ascii="Arial" w:cs="Arial" w:eastAsia="Arial" w:hAnsi="Arial"/>
          <w:sz w:val="11"/>
          <w:szCs w:val="11"/>
          <w:color w:val="auto"/>
        </w:rPr>
      </w:pPr>
      <w:r>
        <w:rPr>
          <w:rFonts w:ascii="Arial" w:cs="Arial" w:eastAsia="Arial" w:hAnsi="Arial"/>
          <w:sz w:val="11"/>
          <w:szCs w:val="11"/>
          <w:color w:val="auto"/>
        </w:rPr>
        <w:t>Reports 4Q20 loss per common share of $2.07 on a GAAP basis, $2.30 on an Adjusted basis; reports full year (FY) 2020 earnings per diluted common share (EPS) of $25.31 on a GAAP basis, $18.75 on an Adjusted basis (in-line with the company's initial FY 2020 Adjusted EPS guidance as communicated throughout the year)</w:t>
      </w:r>
    </w:p>
    <w:p>
      <w:pPr>
        <w:ind w:left="400" w:hanging="192"/>
        <w:spacing w:after="0"/>
        <w:tabs>
          <w:tab w:leader="none" w:pos="400" w:val="left"/>
        </w:tabs>
        <w:numPr>
          <w:ilvl w:val="0"/>
          <w:numId w:val="2"/>
        </w:numPr>
        <w:rPr>
          <w:rFonts w:ascii="Arial" w:cs="Arial" w:eastAsia="Arial" w:hAnsi="Arial"/>
          <w:sz w:val="11"/>
          <w:szCs w:val="11"/>
          <w:color w:val="auto"/>
        </w:rPr>
      </w:pPr>
      <w:r>
        <w:rPr>
          <w:rFonts w:ascii="Arial" w:cs="Arial" w:eastAsia="Arial" w:hAnsi="Arial"/>
          <w:sz w:val="11"/>
          <w:szCs w:val="11"/>
          <w:color w:val="auto"/>
        </w:rPr>
        <w:t>Announces FY 2021 EPS guidance in a range of $20.82 to $21.32 on a GAAP basis, $21.25 to $21.75 on Adjusted basis; while acknowledging the heightened uncertainty surrounding the ongoing pandemic</w:t>
      </w:r>
    </w:p>
    <w:p>
      <w:pPr>
        <w:ind w:left="400" w:hanging="192"/>
        <w:spacing w:after="0"/>
        <w:tabs>
          <w:tab w:leader="none" w:pos="40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Reaffirms FY 2021 expected individual Medicare Advantage membership growth range of approximately 425,000 to 475,000 members, representing expected year-over-year growth of approximately 11 to 12 percent</w:t>
      </w:r>
    </w:p>
    <w:p>
      <w:pPr>
        <w:ind w:left="420" w:right="100" w:hanging="212"/>
        <w:spacing w:after="0" w:line="249" w:lineRule="auto"/>
        <w:tabs>
          <w:tab w:leader="none" w:pos="404" w:val="left"/>
        </w:tabs>
        <w:numPr>
          <w:ilvl w:val="0"/>
          <w:numId w:val="2"/>
        </w:numPr>
        <w:rPr>
          <w:rFonts w:ascii="Arial" w:cs="Arial" w:eastAsia="Arial" w:hAnsi="Arial"/>
          <w:sz w:val="11"/>
          <w:szCs w:val="11"/>
          <w:color w:val="auto"/>
        </w:rPr>
      </w:pPr>
      <w:r>
        <w:rPr>
          <w:rFonts w:ascii="Arial" w:cs="Arial" w:eastAsia="Arial" w:hAnsi="Arial"/>
          <w:sz w:val="11"/>
          <w:szCs w:val="11"/>
          <w:color w:val="auto"/>
        </w:rPr>
        <w:t>Ongoing assistance to members, providers, employer groups, employees, and communities during 4Q20 including the continued waiver of Medicare Advantage cost sharing (including for primary care, COVID-19 treatment, and more), delivery of meals, masks, and preventive screening test kits, programs in underserved communities, and provider relief efforts, while continuing to advance the company's strategy</w:t>
      </w:r>
    </w:p>
    <w:p>
      <w:pPr>
        <w:spacing w:after="0" w:line="292" w:lineRule="exact"/>
        <w:rPr>
          <w:sz w:val="20"/>
          <w:szCs w:val="20"/>
          <w:color w:val="auto"/>
        </w:rPr>
      </w:pPr>
    </w:p>
    <w:p>
      <w:pPr>
        <w:jc w:val="both"/>
        <w:ind w:right="140"/>
        <w:spacing w:after="0" w:line="279" w:lineRule="auto"/>
        <w:rPr>
          <w:sz w:val="20"/>
          <w:szCs w:val="20"/>
          <w:color w:val="auto"/>
        </w:rPr>
      </w:pPr>
      <w:r>
        <w:rPr>
          <w:rFonts w:ascii="Arial" w:cs="Arial" w:eastAsia="Arial" w:hAnsi="Arial"/>
          <w:sz w:val="13"/>
          <w:szCs w:val="13"/>
          <w:b w:val="1"/>
          <w:bCs w:val="1"/>
          <w:color w:val="auto"/>
        </w:rPr>
        <w:t xml:space="preserve">LOUISVILLE, KY (February 3, 2021) </w:t>
      </w:r>
      <w:r>
        <w:rPr>
          <w:rFonts w:ascii="Arial" w:cs="Arial" w:eastAsia="Arial" w:hAnsi="Arial"/>
          <w:sz w:val="13"/>
          <w:szCs w:val="13"/>
          <w:color w:val="auto"/>
        </w:rPr>
        <w:t>– Humana Inc. (NYSE: HUM) today reported consolidated pretax results and results per common share for the quarter ended December 31, 2020 (4Q20)</w:t>
      </w:r>
      <w:r>
        <w:rPr>
          <w:rFonts w:ascii="Arial" w:cs="Arial" w:eastAsia="Arial" w:hAnsi="Arial"/>
          <w:sz w:val="13"/>
          <w:szCs w:val="13"/>
          <w:b w:val="1"/>
          <w:bCs w:val="1"/>
          <w:color w:val="auto"/>
        </w:rPr>
        <w:t xml:space="preserve"> </w:t>
      </w:r>
      <w:r>
        <w:rPr>
          <w:rFonts w:ascii="Arial" w:cs="Arial" w:eastAsia="Arial" w:hAnsi="Arial"/>
          <w:sz w:val="13"/>
          <w:szCs w:val="13"/>
          <w:color w:val="auto"/>
        </w:rPr>
        <w:t>versus the quarter ended December 31, 2019 (4Q19) and for the year ended December 31, 2020 (FY 2020) versus the year ended December 31, 2019 (FY 2019) as noted in the tables below.</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6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Consolidated (loss) income before income taxes and equity in earnings (pretax (loss) income) </w:t>
            </w:r>
            <w:r>
              <w:rPr>
                <w:rFonts w:ascii="Arial" w:cs="Arial" w:eastAsia="Arial" w:hAnsi="Arial"/>
                <w:sz w:val="11"/>
                <w:szCs w:val="11"/>
                <w:i w:val="1"/>
                <w:iCs w:val="1"/>
                <w:color w:val="auto"/>
              </w:rPr>
              <w:t>In millions</w:t>
            </w:r>
          </w:p>
        </w:tc>
        <w:tc>
          <w:tcPr>
            <w:tcW w:w="1320" w:type="dxa"/>
            <w:vAlign w:val="bottom"/>
            <w:tcBorders>
              <w:top w:val="single" w:sz="8" w:color="auto"/>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4Q20 (a)</w:t>
            </w:r>
          </w:p>
        </w:tc>
        <w:tc>
          <w:tcPr>
            <w:tcW w:w="13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4Q19 (b)</w:t>
            </w:r>
          </w:p>
        </w:tc>
        <w:tc>
          <w:tcPr>
            <w:tcW w:w="1300" w:type="dxa"/>
            <w:vAlign w:val="bottom"/>
            <w:tcBorders>
              <w:top w:val="single" w:sz="8" w:color="auto"/>
              <w:bottom w:val="single" w:sz="8" w:color="auto"/>
              <w:right w:val="single" w:sz="8" w:color="auto"/>
            </w:tcBorders>
            <w:shd w:val="clear" w:color="auto" w:fill="EAEAEA"/>
          </w:tcPr>
          <w:p>
            <w:pPr>
              <w:jc w:val="right"/>
              <w:ind w:right="326"/>
              <w:spacing w:after="0"/>
              <w:rPr>
                <w:sz w:val="20"/>
                <w:szCs w:val="20"/>
                <w:color w:val="auto"/>
              </w:rPr>
            </w:pPr>
            <w:r>
              <w:rPr>
                <w:rFonts w:ascii="Arial" w:cs="Arial" w:eastAsia="Arial" w:hAnsi="Arial"/>
                <w:sz w:val="11"/>
                <w:szCs w:val="11"/>
                <w:b w:val="1"/>
                <w:bCs w:val="1"/>
                <w:color w:val="auto"/>
              </w:rPr>
              <w:t>FY 2020 (c)</w:t>
            </w:r>
          </w:p>
        </w:tc>
        <w:tc>
          <w:tcPr>
            <w:tcW w:w="1340" w:type="dxa"/>
            <w:vAlign w:val="bottom"/>
            <w:tcBorders>
              <w:top w:val="single" w:sz="8" w:color="auto"/>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FY 2019 (d)</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Generally Accepted Accounting Principles (GAAP)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($458)</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$593</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$4,600</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$3,456</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22</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17</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88</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70</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40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(289)</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103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(506)</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(102)</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(745)</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(578)</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47</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($498)</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$322</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$3,468</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$3,067</w:t>
            </w: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300"/>
          </w:cols>
          <w:pgMar w:left="300" w:top="782" w:right="2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53"/>
        </w:trPr>
        <w:tc>
          <w:tcPr>
            <w:tcW w:w="6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(Loss per common share) or diluted earnings per common share (EPS)</w:t>
            </w:r>
          </w:p>
        </w:tc>
        <w:tc>
          <w:tcPr>
            <w:tcW w:w="1320" w:type="dxa"/>
            <w:vAlign w:val="bottom"/>
            <w:tcBorders>
              <w:top w:val="single" w:sz="8" w:color="auto"/>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4Q20 (a)</w:t>
            </w:r>
          </w:p>
        </w:tc>
        <w:tc>
          <w:tcPr>
            <w:tcW w:w="13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4Q19 (b)</w:t>
            </w:r>
          </w:p>
        </w:tc>
        <w:tc>
          <w:tcPr>
            <w:tcW w:w="1300" w:type="dxa"/>
            <w:vAlign w:val="bottom"/>
            <w:tcBorders>
              <w:top w:val="single" w:sz="8" w:color="auto"/>
              <w:bottom w:val="single" w:sz="8" w:color="auto"/>
              <w:right w:val="single" w:sz="8" w:color="auto"/>
            </w:tcBorders>
            <w:shd w:val="clear" w:color="auto" w:fill="EAEAEA"/>
          </w:tcPr>
          <w:p>
            <w:pPr>
              <w:jc w:val="right"/>
              <w:ind w:right="326"/>
              <w:spacing w:after="0"/>
              <w:rPr>
                <w:sz w:val="20"/>
                <w:szCs w:val="20"/>
                <w:color w:val="auto"/>
              </w:rPr>
            </w:pPr>
            <w:r>
              <w:rPr>
                <w:rFonts w:ascii="Arial" w:cs="Arial" w:eastAsia="Arial" w:hAnsi="Arial"/>
                <w:sz w:val="11"/>
                <w:szCs w:val="11"/>
                <w:b w:val="1"/>
                <w:bCs w:val="1"/>
                <w:color w:val="auto"/>
              </w:rPr>
              <w:t>FY 2020 (c)</w:t>
            </w:r>
          </w:p>
        </w:tc>
        <w:tc>
          <w:tcPr>
            <w:tcW w:w="1340" w:type="dxa"/>
            <w:vAlign w:val="bottom"/>
            <w:tcBorders>
              <w:top w:val="single" w:sz="8" w:color="auto"/>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FY 2019 (d)</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$3.84</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$25.31</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$20.10</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0.13</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0.10</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0.51</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0.40</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0.24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(1.67)</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0.60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(2.89)</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(0.60)</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(4.32)</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(3.35)</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0.01</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0.26</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($2.30)</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$2.28</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$18.75</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$17.87</w:t>
            </w:r>
          </w:p>
        </w:tc>
      </w:tr>
    </w:tbl>
    <w:p>
      <w:pPr>
        <w:spacing w:after="0" w:line="54" w:lineRule="exact"/>
        <w:rPr>
          <w:sz w:val="20"/>
          <w:szCs w:val="20"/>
          <w:color w:val="auto"/>
        </w:rPr>
      </w:pPr>
    </w:p>
    <w:p>
      <w:pPr>
        <w:jc w:val="both"/>
        <w:spacing w:after="0" w:line="236" w:lineRule="auto"/>
        <w:rPr>
          <w:sz w:val="20"/>
          <w:szCs w:val="20"/>
          <w:color w:val="auto"/>
        </w:rPr>
      </w:pPr>
      <w:r>
        <w:rPr>
          <w:rFonts w:ascii="Arial" w:cs="Arial" w:eastAsia="Arial" w:hAnsi="Arial"/>
          <w:sz w:val="10"/>
          <w:szCs w:val="10"/>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3"/>
          <w:szCs w:val="13"/>
          <w:color w:val="auto"/>
        </w:rPr>
        <w:t>“Despite the pandemic, Humana has continued to accelerate on all fronts, including our short-term operating and financial performance, our ability to advance our long-term strategic objectives, and our customer centricity efforts,” said Bruce D. Broussard, Humana’s President and Chief Executive Officer. “Our response to the pandemic highlighted the value of our Medicare Advantage (MA) program, most notably its focus on supporting underserved populations and on addressing health disparities, critical areas of importance for our company, and for our country. To that end, we had strong MA membership growth in 2020 of 11 percent, including Dual Special Needs Plan (D-SNP) membership growth of 41 percent, and Medicaid footprint expansion from three states to six. We also continued to invest in our primary care and home assets to expand access to care, particularly for underserved populations. Given the strength of our underlying core business, combined with our continued strategic investments, we anticipate solid growth in 2021 and beyond.”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Quarterly and Full Year Results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Results for 4Q20 and FY2020 reflect continued strong core performance across the company, combined with the impact of the ongoing COVID-19 pandemic, including the company’s relentless efforts to ease the burdens for all of its stakeholders by proactively addressing the physical, mental, and financial well-being of its members, communities including the underserved, providers, and employer groups.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Beginning in the latter half of November and accelerating throughout the month of December, the company experienced a significant increase in COVID-19 admissions in nearly all of the markets in which it operates across its Medicare Advantage, Medicaid, and group commercial insurance business lines. Humana also experienced a corresponding decline in non-COVID utilization in all service categories, with Medicare Advantage non-COVID utilization running approximately 15 percent below normal levels at the close of the quarter, well below the near baseline levels of utilization witnessed as late as the end of October 2020.</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Results of operations in the quarter were affected by the following factors:</w:t>
      </w:r>
    </w:p>
    <w:p>
      <w:pPr>
        <w:spacing w:after="0" w:line="11" w:lineRule="exact"/>
        <w:rPr>
          <w:sz w:val="20"/>
          <w:szCs w:val="20"/>
          <w:color w:val="auto"/>
        </w:rPr>
      </w:pPr>
    </w:p>
    <w:p>
      <w:pPr>
        <w:ind w:left="420" w:hanging="212"/>
        <w:spacing w:after="0" w:line="231" w:lineRule="auto"/>
        <w:tabs>
          <w:tab w:leader="none" w:pos="394" w:val="left"/>
        </w:tabs>
        <w:numPr>
          <w:ilvl w:val="0"/>
          <w:numId w:val="3"/>
        </w:numPr>
        <w:rPr>
          <w:rFonts w:ascii="Arial" w:cs="Arial" w:eastAsia="Arial" w:hAnsi="Arial"/>
          <w:sz w:val="13"/>
          <w:szCs w:val="13"/>
          <w:color w:val="auto"/>
        </w:rPr>
      </w:pPr>
      <w:r>
        <w:rPr>
          <w:rFonts w:ascii="Arial" w:cs="Arial" w:eastAsia="Arial" w:hAnsi="Arial"/>
          <w:sz w:val="13"/>
          <w:szCs w:val="13"/>
          <w:color w:val="auto"/>
        </w:rPr>
        <w:t>meaningful COVID-19 treatment and testing costs related to the uptick in cases in the last two months of 4Q20, more than offset by the declining levels of non-COVID utilization as previously discussed,</w:t>
      </w:r>
    </w:p>
    <w:p>
      <w:pPr>
        <w:ind w:left="400" w:hanging="192"/>
        <w:spacing w:after="0" w:line="231"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ongoing crisis relief efforts and strategic investments in the company's integrated care delivery model, both of which were heavily weighted to the final months of 2020, and</w:t>
      </w:r>
    </w:p>
    <w:p>
      <w:pPr>
        <w:ind w:left="400" w:hanging="192"/>
        <w:spacing w:after="0"/>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marketing expenses associated with the Medicare Advantage Annual Election Period (AEP).</w:t>
      </w:r>
    </w:p>
    <w:p>
      <w:pPr>
        <w:spacing w:after="0" w:line="14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addition, Humana’s 4Q20 and FY 2020 GAAP results of operations were impacted by market gains resulting from the initial conversion of the company's prior ownership interest in certain privately-held companies (primarily Oak Street Health, Inc.) into publicly-traded common stock upon such companies' initial public offering (IPO) during the third quarter of 2020 and the subsequent changes in the market value of such securities from their IPO. FY 2020 results were further impacted by the receipt of unpaid risk corridor payments (that were previously written off) in the third quarter. The receipt of the risk corridor payments was associated with losses incurred by the company under the Affordable Care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786" w:right="29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3"/>
          <w:szCs w:val="13"/>
          <w:color w:val="auto"/>
        </w:rPr>
        <w:t>Act (ACA) business from 2014 to 2016. The receipt of these risk corridor payments accounted for less than 50 percent of the company’s accumulated pretax losses from its ACA businesses during that time period.</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The impact of both the fair market value changes and the receipt of the unpaid risk corridor payments have been excluded in the company’s Adjusted (non-GAAP) consolidated results of operations as detailed in the tables above.</w:t>
      </w:r>
    </w:p>
    <w:p>
      <w:pPr>
        <w:spacing w:after="0" w:line="89" w:lineRule="exact"/>
        <w:rPr>
          <w:sz w:val="20"/>
          <w:szCs w:val="20"/>
          <w:color w:val="auto"/>
        </w:rPr>
      </w:pPr>
    </w:p>
    <w:p>
      <w:pPr>
        <w:ind w:right="380"/>
        <w:spacing w:after="0" w:line="290" w:lineRule="auto"/>
        <w:rPr>
          <w:sz w:val="20"/>
          <w:szCs w:val="20"/>
          <w:color w:val="auto"/>
        </w:rPr>
      </w:pPr>
      <w:r>
        <w:rPr>
          <w:rFonts w:ascii="Arial" w:cs="Arial" w:eastAsia="Arial" w:hAnsi="Arial"/>
          <w:sz w:val="13"/>
          <w:szCs w:val="13"/>
          <w:color w:val="auto"/>
        </w:rPr>
        <w:t>Please refer to the tables above, as well as the consolidated and segment highlight sections in the detailed earnings release for additional discussion of the factors impacting the year-over-comparisons.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In addition, below is a summary of key consolidated and segment statistics comparing 4Q20 to 4Q19 and FY 2020 to FY 2019.</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940" w:type="dxa"/>
            <w:vAlign w:val="bottom"/>
            <w:tcBorders>
              <w:top w:val="single" w:sz="8" w:color="auto"/>
              <w:left w:val="single" w:sz="8" w:color="auto"/>
              <w:right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Humana Inc. Summary of Quarterly Results</w:t>
            </w:r>
          </w:p>
        </w:tc>
        <w:tc>
          <w:tcPr>
            <w:tcW w:w="1840" w:type="dxa"/>
            <w:vAlign w:val="bottom"/>
            <w:tcBorders>
              <w:top w:val="single" w:sz="8" w:color="auto"/>
              <w:right w:val="single" w:sz="8" w:color="auto"/>
            </w:tcBorders>
            <w:gridSpan w:val="2"/>
            <w:vMerge w:val="restart"/>
            <w:shd w:val="clear" w:color="auto" w:fill="EAEAEA"/>
          </w:tcPr>
          <w:p>
            <w:pPr>
              <w:jc w:val="right"/>
              <w:ind w:right="666"/>
              <w:spacing w:after="0"/>
              <w:rPr>
                <w:sz w:val="20"/>
                <w:szCs w:val="20"/>
                <w:color w:val="auto"/>
              </w:rPr>
            </w:pPr>
            <w:r>
              <w:rPr>
                <w:rFonts w:ascii="Arial" w:cs="Arial" w:eastAsia="Arial" w:hAnsi="Arial"/>
                <w:sz w:val="11"/>
                <w:szCs w:val="11"/>
                <w:b w:val="1"/>
                <w:bCs w:val="1"/>
                <w:color w:val="auto"/>
              </w:rPr>
              <w:t>4Q20 (a)</w:t>
            </w:r>
          </w:p>
        </w:tc>
        <w:tc>
          <w:tcPr>
            <w:tcW w:w="1820" w:type="dxa"/>
            <w:vAlign w:val="bottom"/>
            <w:tcBorders>
              <w:top w:val="single" w:sz="8" w:color="auto"/>
              <w:right w:val="single" w:sz="8" w:color="auto"/>
            </w:tcBorders>
            <w:vMerge w:val="restart"/>
          </w:tcPr>
          <w:p>
            <w:pPr>
              <w:jc w:val="right"/>
              <w:ind w:right="666"/>
              <w:spacing w:after="0"/>
              <w:rPr>
                <w:sz w:val="20"/>
                <w:szCs w:val="20"/>
                <w:color w:val="auto"/>
              </w:rPr>
            </w:pPr>
            <w:r>
              <w:rPr>
                <w:rFonts w:ascii="Arial" w:cs="Arial" w:eastAsia="Arial" w:hAnsi="Arial"/>
                <w:sz w:val="11"/>
                <w:szCs w:val="11"/>
                <w:color w:val="auto"/>
              </w:rPr>
              <w:t>4Q19 (b)</w:t>
            </w:r>
          </w:p>
        </w:tc>
        <w:tc>
          <w:tcPr>
            <w:tcW w:w="1860" w:type="dxa"/>
            <w:vAlign w:val="bottom"/>
            <w:tcBorders>
              <w:top w:val="single" w:sz="8" w:color="auto"/>
              <w:right w:val="single" w:sz="8" w:color="auto"/>
            </w:tcBorders>
            <w:gridSpan w:val="2"/>
            <w:vMerge w:val="restart"/>
            <w:shd w:val="clear" w:color="auto" w:fill="EAEAEA"/>
          </w:tcPr>
          <w:p>
            <w:pPr>
              <w:jc w:val="right"/>
              <w:ind w:right="606"/>
              <w:spacing w:after="0"/>
              <w:rPr>
                <w:sz w:val="20"/>
                <w:szCs w:val="20"/>
                <w:color w:val="auto"/>
              </w:rPr>
            </w:pPr>
            <w:r>
              <w:rPr>
                <w:rFonts w:ascii="Arial" w:cs="Arial" w:eastAsia="Arial" w:hAnsi="Arial"/>
                <w:sz w:val="11"/>
                <w:szCs w:val="11"/>
                <w:b w:val="1"/>
                <w:bCs w:val="1"/>
                <w:color w:val="auto"/>
              </w:rPr>
              <w:t>FY 2020 (c)</w:t>
            </w:r>
          </w:p>
        </w:tc>
        <w:tc>
          <w:tcPr>
            <w:tcW w:w="1860" w:type="dxa"/>
            <w:vAlign w:val="bottom"/>
            <w:tcBorders>
              <w:top w:val="single" w:sz="8" w:color="auto"/>
              <w:right w:val="single" w:sz="8" w:color="auto"/>
            </w:tcBorders>
            <w:vMerge w:val="restart"/>
          </w:tcPr>
          <w:p>
            <w:pPr>
              <w:jc w:val="right"/>
              <w:ind w:right="606"/>
              <w:spacing w:after="0"/>
              <w:rPr>
                <w:sz w:val="20"/>
                <w:szCs w:val="20"/>
                <w:color w:val="auto"/>
              </w:rPr>
            </w:pPr>
            <w:r>
              <w:rPr>
                <w:rFonts w:ascii="Arial" w:cs="Arial" w:eastAsia="Arial" w:hAnsi="Arial"/>
                <w:sz w:val="11"/>
                <w:szCs w:val="11"/>
                <w:color w:val="auto"/>
              </w:rPr>
              <w:t>FY 2019 (d)</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(dollars in millions, except per share amounts)</w:t>
            </w:r>
          </w:p>
        </w:tc>
        <w:tc>
          <w:tcPr>
            <w:tcW w:w="184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20" w:type="dxa"/>
            <w:vAlign w:val="bottom"/>
            <w:tcBorders>
              <w:bottom w:val="single" w:sz="8" w:color="auto"/>
              <w:right w:val="single" w:sz="8" w:color="auto"/>
            </w:tcBorders>
            <w:vMerge w:val="continue"/>
          </w:tcPr>
          <w:p>
            <w:pPr>
              <w:spacing w:after="0"/>
              <w:rPr>
                <w:sz w:val="12"/>
                <w:szCs w:val="12"/>
                <w:color w:val="auto"/>
              </w:rPr>
            </w:pPr>
          </w:p>
        </w:tc>
        <w:tc>
          <w:tcPr>
            <w:tcW w:w="186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Consolidated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$19,062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$16,295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$77,155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$64,888</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$18,960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$16,295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$75,801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$64,888</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(loss) income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($458)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$593</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$4,600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$3,456</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(loss) income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($498)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$3,468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$3,067</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(Loss per common share) diluted EPS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$3.84</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$25.31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(Loss per common share ) diluted EPS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($2.30)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$18.75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$17.87</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88.3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83.1</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Adjusted</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88.3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83.8</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16.3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13.2</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11.5 %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Adjusted</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16.3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cash flows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$283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$512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$5,639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$5,284</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Parent company cash and short term investments</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$772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$1,361</w:t>
            </w: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Debt-to-total capitalization</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32.7 %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32.0 %</w:t>
            </w: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Retail segment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$16,834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$14,207</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$67,298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$56,466</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87.0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86.3 %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84.2</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14.0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11.6 %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11.0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($210)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$3,017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$2,235</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$3,032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$2,251</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Group and Specialty segment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$1,791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$1,875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$7,285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$7,525</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104.3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95.2 %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85.6</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86.0 %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28.1</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22.4 %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25.0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22.0 %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($375)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($143)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($374)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Healthcare Services segment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$7,291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$6,696</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$28,448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$25,783</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97.8 %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96.8 %</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96.3 %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$128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$944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$789</w:t>
            </w:r>
          </w:p>
        </w:tc>
        <w:tc>
          <w:tcPr>
            <w:tcW w:w="0" w:type="dxa"/>
            <w:vAlign w:val="bottom"/>
          </w:tcPr>
          <w:p>
            <w:pPr>
              <w:spacing w:after="0"/>
              <w:rPr>
                <w:sz w:val="1"/>
                <w:szCs w:val="1"/>
                <w:color w:val="auto"/>
              </w:rPr>
            </w:pPr>
          </w:p>
        </w:tc>
      </w:tr>
      <w:tr>
        <w:trPr>
          <w:trHeight w:val="97"/>
        </w:trPr>
        <w:tc>
          <w:tcPr>
            <w:tcW w:w="3940" w:type="dxa"/>
            <w:vAlign w:val="bottom"/>
            <w:tcBorders>
              <w:left w:val="single" w:sz="8" w:color="auto"/>
              <w:right w:val="single" w:sz="8" w:color="auto"/>
            </w:tcBorders>
          </w:tcPr>
          <w:p>
            <w:pPr>
              <w:ind w:left="20"/>
              <w:spacing w:after="0" w:line="97" w:lineRule="exact"/>
              <w:rPr>
                <w:sz w:val="20"/>
                <w:szCs w:val="20"/>
                <w:color w:val="auto"/>
              </w:rPr>
            </w:pPr>
            <w:r>
              <w:rPr>
                <w:rFonts w:ascii="Arial" w:cs="Arial" w:eastAsia="Arial" w:hAnsi="Arial"/>
                <w:sz w:val="11"/>
                <w:szCs w:val="11"/>
                <w:color w:val="auto"/>
                <w:w w:val="98"/>
              </w:rPr>
              <w:t>Adjusted earnings before interest, taxes, depreciation and amortization (Adjusted</w:t>
            </w:r>
          </w:p>
        </w:tc>
        <w:tc>
          <w:tcPr>
            <w:tcW w:w="184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$196</w:t>
            </w: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$241</w:t>
            </w:r>
          </w:p>
        </w:tc>
        <w:tc>
          <w:tcPr>
            <w:tcW w:w="186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$1,232</w:t>
            </w:r>
          </w:p>
        </w:tc>
        <w:tc>
          <w:tcPr>
            <w:tcW w:w="1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EBITDA) (e)</w:t>
            </w:r>
          </w:p>
        </w:tc>
        <w:tc>
          <w:tcPr>
            <w:tcW w:w="184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20" w:type="dxa"/>
            <w:vAlign w:val="bottom"/>
            <w:tcBorders>
              <w:bottom w:val="single" w:sz="8" w:color="auto"/>
              <w:right w:val="single" w:sz="8" w:color="auto"/>
            </w:tcBorders>
            <w:vMerge w:val="continue"/>
          </w:tcPr>
          <w:p>
            <w:pPr>
              <w:spacing w:after="0"/>
              <w:rPr>
                <w:sz w:val="12"/>
                <w:szCs w:val="12"/>
                <w:color w:val="auto"/>
              </w:rPr>
            </w:pPr>
          </w:p>
        </w:tc>
        <w:tc>
          <w:tcPr>
            <w:tcW w:w="186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300"/>
          </w:cols>
          <w:pgMar w:left="300" w:top="769" w:right="2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2021 Earnings Guidance</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While acknowledging the heightened uncertainty surrounding the ongoing pandemic, the company provided its GAAP and Adjusted EPS guidance for the year ending December 31, 2021 (FY 2021) as detailed below. GAAP and Adjusted results for FY 2020 are also shown for comparison.</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8560" w:type="dxa"/>
            <w:vAlign w:val="bottom"/>
            <w:tcBorders>
              <w:top w:val="single" w:sz="8" w:color="auto"/>
              <w:left w:val="single" w:sz="8" w:color="auto"/>
              <w:right w:val="single" w:sz="8" w:color="auto"/>
            </w:tcBorders>
            <w:vMerge w:val="restart"/>
            <w:shd w:val="clear" w:color="auto" w:fill="EAEAEA"/>
          </w:tcPr>
          <w:p>
            <w:pPr>
              <w:ind w:left="3440"/>
              <w:spacing w:after="0"/>
              <w:rPr>
                <w:sz w:val="20"/>
                <w:szCs w:val="20"/>
                <w:color w:val="auto"/>
              </w:rPr>
            </w:pPr>
            <w:r>
              <w:rPr>
                <w:rFonts w:ascii="Arial" w:cs="Arial" w:eastAsia="Arial" w:hAnsi="Arial"/>
                <w:sz w:val="10"/>
                <w:szCs w:val="10"/>
                <w:b w:val="1"/>
                <w:bCs w:val="1"/>
                <w:color w:val="auto"/>
              </w:rPr>
              <w:t>Diluted earnings per common share</w:t>
            </w:r>
          </w:p>
        </w:tc>
        <w:tc>
          <w:tcPr>
            <w:tcW w:w="1420" w:type="dxa"/>
            <w:vAlign w:val="bottom"/>
            <w:tcBorders>
              <w:top w:val="single" w:sz="8" w:color="auto"/>
              <w:right w:val="single" w:sz="8" w:color="auto"/>
            </w:tcBorders>
            <w:shd w:val="clear" w:color="auto" w:fill="EAEAEA"/>
          </w:tcPr>
          <w:p>
            <w:pPr>
              <w:jc w:val="right"/>
              <w:ind w:right="508"/>
              <w:spacing w:after="0" w:line="108" w:lineRule="exact"/>
              <w:rPr>
                <w:sz w:val="20"/>
                <w:szCs w:val="20"/>
                <w:color w:val="auto"/>
              </w:rPr>
            </w:pPr>
            <w:r>
              <w:rPr>
                <w:rFonts w:ascii="Arial" w:cs="Arial" w:eastAsia="Arial" w:hAnsi="Arial"/>
                <w:sz w:val="10"/>
                <w:szCs w:val="10"/>
                <w:b w:val="1"/>
                <w:bCs w:val="1"/>
                <w:color w:val="auto"/>
              </w:rPr>
              <w:t>FY 2021</w:t>
            </w:r>
          </w:p>
        </w:tc>
        <w:tc>
          <w:tcPr>
            <w:tcW w:w="1280" w:type="dxa"/>
            <w:vAlign w:val="bottom"/>
            <w:tcBorders>
              <w:top w:val="single" w:sz="8" w:color="auto"/>
              <w:right w:val="single" w:sz="8" w:color="auto"/>
            </w:tcBorders>
            <w:vMerge w:val="restart"/>
            <w:shd w:val="clear" w:color="auto" w:fill="EAEAEA"/>
          </w:tcPr>
          <w:p>
            <w:pPr>
              <w:jc w:val="right"/>
              <w:ind w:right="367"/>
              <w:spacing w:after="0"/>
              <w:rPr>
                <w:sz w:val="20"/>
                <w:szCs w:val="20"/>
                <w:color w:val="auto"/>
              </w:rPr>
            </w:pPr>
            <w:r>
              <w:rPr>
                <w:rFonts w:ascii="Arial" w:cs="Arial" w:eastAsia="Arial" w:hAnsi="Arial"/>
                <w:sz w:val="10"/>
                <w:szCs w:val="10"/>
                <w:color w:val="auto"/>
              </w:rPr>
              <w:t>FY 2020 (c)</w:t>
            </w:r>
          </w:p>
        </w:tc>
        <w:tc>
          <w:tcPr>
            <w:tcW w:w="0" w:type="dxa"/>
            <w:vAlign w:val="bottom"/>
          </w:tcPr>
          <w:p>
            <w:pPr>
              <w:spacing w:after="0"/>
              <w:rPr>
                <w:sz w:val="1"/>
                <w:szCs w:val="1"/>
                <w:color w:val="auto"/>
              </w:rPr>
            </w:pPr>
          </w:p>
        </w:tc>
      </w:tr>
      <w:tr>
        <w:trPr>
          <w:trHeight w:val="117"/>
        </w:trPr>
        <w:tc>
          <w:tcPr>
            <w:tcW w:w="8560" w:type="dxa"/>
            <w:vAlign w:val="bottom"/>
            <w:tcBorders>
              <w:left w:val="single" w:sz="8" w:color="auto"/>
              <w:bottom w:val="single" w:sz="8" w:color="auto"/>
              <w:right w:val="single" w:sz="8" w:color="auto"/>
            </w:tcBorders>
            <w:vMerge w:val="continue"/>
            <w:shd w:val="clear" w:color="auto" w:fill="EAEAEA"/>
          </w:tcPr>
          <w:p>
            <w:pPr>
              <w:spacing w:after="0"/>
              <w:rPr>
                <w:sz w:val="10"/>
                <w:szCs w:val="10"/>
                <w:color w:val="auto"/>
              </w:rPr>
            </w:pPr>
          </w:p>
        </w:tc>
        <w:tc>
          <w:tcPr>
            <w:tcW w:w="1420" w:type="dxa"/>
            <w:vAlign w:val="bottom"/>
            <w:tcBorders>
              <w:bottom w:val="single" w:sz="8" w:color="auto"/>
              <w:right w:val="single" w:sz="8" w:color="auto"/>
            </w:tcBorders>
            <w:shd w:val="clear" w:color="auto" w:fill="EAEAEA"/>
          </w:tcPr>
          <w:p>
            <w:pPr>
              <w:jc w:val="right"/>
              <w:ind w:right="388"/>
              <w:spacing w:after="0"/>
              <w:rPr>
                <w:sz w:val="20"/>
                <w:szCs w:val="20"/>
                <w:color w:val="auto"/>
              </w:rPr>
            </w:pPr>
            <w:r>
              <w:rPr>
                <w:rFonts w:ascii="Arial" w:cs="Arial" w:eastAsia="Arial" w:hAnsi="Arial"/>
                <w:sz w:val="10"/>
                <w:szCs w:val="10"/>
                <w:b w:val="1"/>
                <w:bCs w:val="1"/>
                <w:color w:val="auto"/>
              </w:rPr>
              <w:t>Guidance (f)</w:t>
            </w:r>
          </w:p>
        </w:tc>
        <w:tc>
          <w:tcPr>
            <w:tcW w:w="1280" w:type="dxa"/>
            <w:vAlign w:val="bottom"/>
            <w:tcBorders>
              <w:bottom w:val="single" w:sz="8" w:color="auto"/>
              <w:right w:val="single" w:sz="8" w:color="auto"/>
            </w:tcBorders>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GAAP</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$20.82 to $21.32</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$25.31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Amortization of identifiable intangibles</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~$0.43</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0.51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0.60</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Change in fair market value of publicly-traded equity securities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(4.32)</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(3.35)</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Adjusted (non-GAAP) – FY 2021 projected; FY 2020 reported</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$21.25 to $21.75</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$18.75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2022 Final Rate Notice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January 15, 2021, Centers for Medicare &amp; Medicaid Services (CMS) published its Announcement of Calendar Year 2022 Medicare Advantage Capitation Rates and Part C and Part D Payment Policies (the Final Rate Notice). The company expects the Final Rate Notice to result in a 3.7 percent</w:t>
      </w:r>
      <w:r>
        <w:rPr>
          <w:rFonts w:ascii="Arial" w:cs="Arial" w:eastAsia="Arial" w:hAnsi="Arial"/>
          <w:sz w:val="7"/>
          <w:szCs w:val="7"/>
          <w:color w:val="auto"/>
        </w:rPr>
        <w:t>(g)</w:t>
      </w:r>
      <w:r>
        <w:rPr>
          <w:rFonts w:ascii="Arial" w:cs="Arial" w:eastAsia="Arial" w:hAnsi="Arial"/>
          <w:sz w:val="13"/>
          <w:szCs w:val="13"/>
          <w:color w:val="auto"/>
        </w:rPr>
        <w:t xml:space="preserve"> rate increase for non end stage renal disease (ESRD) Medicare Advantage business, excluding the impact of Employer Group Waiver Plan (EGWP) funding changes. The company’s 3.7 percent rate increase compares to CMS’ estimate for the sector of 4.08 percent on a comparable basis, with the variance primarily driven by county rebasing and the company's geographic footprint. CMS also establishes separate rates of payment for ESRD beneficiaries enrolled in Medicare Advantage plans. The company expects the Final Rate Notice to result in a 5.0 percent rate increase in 2021 for ESRD beneficiaries. The company’s estimate of 5.0 percent is equivalent to CMS’ estimate.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2022 benchmark increase of 3.7 percent includes roughly 0.8 percent for the projected cost of COVID-19 vaccines.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Detailed Press Release</w:t>
      </w:r>
    </w:p>
    <w:p>
      <w:pPr>
        <w:spacing w:after="0" w:line="151" w:lineRule="exact"/>
        <w:rPr>
          <w:sz w:val="20"/>
          <w:szCs w:val="20"/>
          <w:color w:val="auto"/>
        </w:rPr>
      </w:pPr>
    </w:p>
    <w:p>
      <w:pPr>
        <w:ind w:right="320"/>
        <w:spacing w:after="0" w:line="290" w:lineRule="auto"/>
        <w:rPr>
          <w:sz w:val="20"/>
          <w:szCs w:val="20"/>
          <w:color w:val="auto"/>
        </w:rPr>
      </w:pPr>
      <w:r>
        <w:rPr>
          <w:rFonts w:ascii="Arial" w:cs="Arial" w:eastAsia="Arial" w:hAnsi="Arial"/>
          <w:sz w:val="13"/>
          <w:szCs w:val="13"/>
          <w:color w:val="auto"/>
        </w:rPr>
        <w:t>Humana’s full earnings press release including the statistical pages has been posted to the company’s Investor Relations site and may be accessed at https://humana.gcs-web.com/ or via a current report on Form 8-K filed by the company with the Securities and Exchange Commission this morning (available at www.sec.gov or on the company’s website).</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Humana will host a conference call at 9:00 a.m. Eastern time today to discuss its financial results for the quarter and the company’s expectations for future earnings.</w:t>
      </w:r>
    </w:p>
    <w:p>
      <w:pPr>
        <w:spacing w:after="0" w:line="148" w:lineRule="exact"/>
        <w:rPr>
          <w:sz w:val="20"/>
          <w:szCs w:val="20"/>
          <w:color w:val="auto"/>
        </w:rPr>
      </w:pPr>
    </w:p>
    <w:p>
      <w:pPr>
        <w:ind w:right="300"/>
        <w:spacing w:after="0" w:line="268" w:lineRule="auto"/>
        <w:rPr>
          <w:sz w:val="20"/>
          <w:szCs w:val="20"/>
          <w:color w:val="auto"/>
        </w:rPr>
      </w:pPr>
      <w:r>
        <w:rPr>
          <w:rFonts w:ascii="Arial" w:cs="Arial" w:eastAsia="Arial" w:hAnsi="Arial"/>
          <w:sz w:val="13"/>
          <w:szCs w:val="13"/>
          <w:color w:val="auto"/>
        </w:rPr>
        <w:t>All parties interested in the company’s 4Q20 earnings conference call are invited to dial 888-625-7430. No password is required. The audio-only webcast of the 4Q20 earnings call may be accessed via Humana’s Investor Relations page at humana.com. The company suggests participants for both the conference call and those listening via the web dial in or sign on at least 15 minutes in advance of the call.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0"/>
          </w:cols>
          <w:pgMar w:left="300" w:top="909" w:right="299" w:bottom="1440" w:gutter="0" w:footer="0" w:header="0"/>
        </w:sectPr>
      </w:pPr>
    </w:p>
    <w:bookmarkStart w:id="7" w:name="page8"/>
    <w:bookmarkEnd w:id="7"/>
    <w:p>
      <w:pPr>
        <w:jc w:val="both"/>
        <w:ind w:left="8" w:right="40"/>
        <w:spacing w:after="0" w:line="268" w:lineRule="auto"/>
        <w:rPr>
          <w:sz w:val="20"/>
          <w:szCs w:val="20"/>
          <w:color w:val="auto"/>
        </w:rPr>
      </w:pPr>
      <w:r>
        <w:rPr>
          <w:rFonts w:ascii="Arial" w:cs="Arial" w:eastAsia="Arial" w:hAnsi="Arial"/>
          <w:sz w:val="13"/>
          <w:szCs w:val="13"/>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February 3, 2021 until 11:59 p.m. Eastern time on April 3, 2021 and can be accessed by dialing 855-859-2056 and providing the conference ID #5899612.</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auto"/>
        </w:rPr>
        <w:t>Footnotes</w:t>
      </w:r>
    </w:p>
    <w:p>
      <w:pPr>
        <w:spacing w:after="0" w:line="43" w:lineRule="exact"/>
        <w:rPr>
          <w:sz w:val="20"/>
          <w:szCs w:val="20"/>
          <w:color w:val="auto"/>
        </w:rPr>
      </w:pPr>
    </w:p>
    <w:p>
      <w:pPr>
        <w:ind w:left="188" w:hanging="188"/>
        <w:spacing w:after="0"/>
        <w:tabs>
          <w:tab w:leader="none" w:pos="188" w:val="left"/>
        </w:tabs>
        <w:numPr>
          <w:ilvl w:val="0"/>
          <w:numId w:val="4"/>
        </w:numPr>
        <w:rPr>
          <w:rFonts w:ascii="Arial" w:cs="Arial" w:eastAsia="Arial" w:hAnsi="Arial"/>
          <w:sz w:val="13"/>
          <w:szCs w:val="13"/>
          <w:color w:val="auto"/>
        </w:rPr>
      </w:pPr>
      <w:r>
        <w:rPr>
          <w:rFonts w:ascii="Arial" w:cs="Arial" w:eastAsia="Arial" w:hAnsi="Arial"/>
          <w:sz w:val="13"/>
          <w:szCs w:val="13"/>
          <w:u w:val="single" w:color="auto"/>
          <w:color w:val="auto"/>
        </w:rPr>
        <w:t>4Q20 Adjusted results exclude the following:</w:t>
      </w:r>
    </w:p>
    <w:p>
      <w:pPr>
        <w:spacing w:after="0" w:line="39" w:lineRule="exact"/>
        <w:rPr>
          <w:rFonts w:ascii="Arial" w:cs="Arial" w:eastAsia="Arial" w:hAnsi="Arial"/>
          <w:sz w:val="13"/>
          <w:szCs w:val="13"/>
          <w:color w:val="auto"/>
        </w:rPr>
      </w:pPr>
    </w:p>
    <w:p>
      <w:pPr>
        <w:ind w:left="648" w:hanging="162"/>
        <w:spacing w:after="0" w:line="258" w:lineRule="auto"/>
        <w:tabs>
          <w:tab w:leader="none" w:pos="622" w:val="left"/>
        </w:tabs>
        <w:numPr>
          <w:ilvl w:val="2"/>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$22 million pretax, or $0.13 per common share; GAAP measures affected in this release include consolidated pretax, EPS, and segment earnings (for respective amortization expense for the Retail and Group and Specialty segments).</w:t>
      </w:r>
    </w:p>
    <w:p>
      <w:pPr>
        <w:ind w:left="648" w:right="100" w:hanging="162"/>
        <w:spacing w:after="0" w:line="245" w:lineRule="auto"/>
        <w:tabs>
          <w:tab w:leader="none" w:pos="622"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$40 million, or $0.24 per common share, associated with Humana’s non-consolidating minority interest investments. GAAP measures affected in this release include consolidated pretax and EPS.</w:t>
      </w:r>
    </w:p>
    <w:p>
      <w:pPr>
        <w:ind w:left="648" w:right="180" w:hanging="216"/>
        <w:spacing w:after="0" w:line="250" w:lineRule="auto"/>
        <w:tabs>
          <w:tab w:leader="none" w:pos="622" w:val="left"/>
        </w:tabs>
        <w:numPr>
          <w:ilvl w:val="1"/>
          <w:numId w:val="4"/>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$102 million, or $0.60 per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 GAAP measures affected in this release include consolidated pretax, EPS, and consolidated revenues.</w:t>
      </w:r>
    </w:p>
    <w:p>
      <w:pPr>
        <w:spacing w:after="0" w:line="132" w:lineRule="exact"/>
        <w:rPr>
          <w:rFonts w:ascii="Arial" w:cs="Arial" w:eastAsia="Arial" w:hAnsi="Arial"/>
          <w:sz w:val="13"/>
          <w:szCs w:val="13"/>
          <w:color w:val="auto"/>
        </w:rPr>
      </w:pPr>
    </w:p>
    <w:p>
      <w:pPr>
        <w:ind w:left="188" w:hanging="188"/>
        <w:spacing w:after="0"/>
        <w:tabs>
          <w:tab w:leader="none" w:pos="188" w:val="left"/>
        </w:tabs>
        <w:numPr>
          <w:ilvl w:val="0"/>
          <w:numId w:val="4"/>
        </w:numPr>
        <w:rPr>
          <w:rFonts w:ascii="Arial" w:cs="Arial" w:eastAsia="Arial" w:hAnsi="Arial"/>
          <w:sz w:val="13"/>
          <w:szCs w:val="13"/>
          <w:color w:val="auto"/>
        </w:rPr>
      </w:pPr>
      <w:r>
        <w:rPr>
          <w:rFonts w:ascii="Arial" w:cs="Arial" w:eastAsia="Arial" w:hAnsi="Arial"/>
          <w:sz w:val="13"/>
          <w:szCs w:val="13"/>
          <w:u w:val="single" w:color="auto"/>
          <w:color w:val="auto"/>
        </w:rPr>
        <w:t>4Q19 Adjusted results exclude the following:</w:t>
      </w:r>
    </w:p>
    <w:p>
      <w:pPr>
        <w:spacing w:after="0" w:line="19" w:lineRule="exact"/>
        <w:rPr>
          <w:rFonts w:ascii="Arial" w:cs="Arial" w:eastAsia="Arial" w:hAnsi="Arial"/>
          <w:sz w:val="13"/>
          <w:szCs w:val="13"/>
          <w:color w:val="auto"/>
        </w:rPr>
      </w:pPr>
    </w:p>
    <w:p>
      <w:pPr>
        <w:ind w:left="708" w:right="740" w:hanging="222"/>
        <w:spacing w:after="0" w:line="245"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$17 million pretax, or $0.10 per diluted common share; GAAP measures affected in this release include consolidated pretax, EPS, and segment earnings (for respective amortization expense for the Retail and Group and Specialty segments).</w:t>
      </w:r>
    </w:p>
    <w:p>
      <w:pPr>
        <w:ind w:left="708" w:right="160" w:hanging="222"/>
        <w:spacing w:after="0" w:line="245"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$289 million, or $1.67 per diluted common share, associated with Humana’s non-consolidating minority interest investments. GAAP measures affected in this release include consolidated pretax and EPS.</w:t>
      </w:r>
    </w:p>
    <w:p>
      <w:pPr>
        <w:ind w:left="708" w:right="300" w:hanging="222"/>
        <w:spacing w:after="0" w:line="264"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$1 million pretax, or $0.01 per diluted common share; GAAP measures affected in this release include consolidated pretax, EPS, and consolidated operating cost ratio.</w:t>
      </w:r>
    </w:p>
    <w:p>
      <w:pPr>
        <w:spacing w:after="0" w:line="123" w:lineRule="exact"/>
        <w:rPr>
          <w:rFonts w:ascii="Arial" w:cs="Arial" w:eastAsia="Arial" w:hAnsi="Arial"/>
          <w:sz w:val="13"/>
          <w:szCs w:val="13"/>
          <w:color w:val="auto"/>
        </w:rPr>
      </w:pPr>
    </w:p>
    <w:p>
      <w:pPr>
        <w:ind w:left="188" w:hanging="188"/>
        <w:spacing w:after="0"/>
        <w:tabs>
          <w:tab w:leader="none" w:pos="188" w:val="left"/>
        </w:tabs>
        <w:numPr>
          <w:ilvl w:val="0"/>
          <w:numId w:val="4"/>
        </w:numPr>
        <w:rPr>
          <w:rFonts w:ascii="Arial" w:cs="Arial" w:eastAsia="Arial" w:hAnsi="Arial"/>
          <w:sz w:val="13"/>
          <w:szCs w:val="13"/>
          <w:color w:val="auto"/>
        </w:rPr>
      </w:pPr>
      <w:r>
        <w:rPr>
          <w:rFonts w:ascii="Arial" w:cs="Arial" w:eastAsia="Arial" w:hAnsi="Arial"/>
          <w:sz w:val="13"/>
          <w:szCs w:val="13"/>
          <w:u w:val="single" w:color="auto"/>
          <w:color w:val="auto"/>
        </w:rPr>
        <w:t>FY 2020 Adjusted results exclude the following:</w:t>
      </w:r>
    </w:p>
    <w:p>
      <w:pPr>
        <w:spacing w:after="0" w:line="19" w:lineRule="exact"/>
        <w:rPr>
          <w:rFonts w:ascii="Arial" w:cs="Arial" w:eastAsia="Arial" w:hAnsi="Arial"/>
          <w:sz w:val="13"/>
          <w:szCs w:val="13"/>
          <w:color w:val="auto"/>
        </w:rPr>
      </w:pPr>
    </w:p>
    <w:p>
      <w:pPr>
        <w:ind w:left="708" w:right="740" w:hanging="222"/>
        <w:spacing w:after="0" w:line="245"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$88 million pretax, or $0.51 per diluted common share; GAAP measures affected in this release include consolidated pretax, EPS and segment earnings (for respective amortization expense for the Retail and Group and Specialty segments.)</w:t>
      </w:r>
    </w:p>
    <w:p>
      <w:pPr>
        <w:ind w:left="708" w:right="160" w:hanging="222"/>
        <w:spacing w:after="0" w:line="245"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$103 million, or $0.60 per diluted common share, associated with Humana's non-consolidating minority interest investments. GAAP measures affected in this release include consolidated pretax and EPS.</w:t>
      </w:r>
    </w:p>
    <w:p>
      <w:pPr>
        <w:ind w:left="708" w:hanging="222"/>
        <w:spacing w:after="0" w:line="245"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$745 million, or $4.32 per diluted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 GAAP measures affected in this release include consolidated pretax, EPS, and consolidated revenues.</w:t>
      </w:r>
    </w:p>
    <w:p>
      <w:pPr>
        <w:spacing w:after="0" w:line="1" w:lineRule="exact"/>
        <w:rPr>
          <w:rFonts w:ascii="Arial" w:cs="Arial" w:eastAsia="Arial" w:hAnsi="Arial"/>
          <w:sz w:val="13"/>
          <w:szCs w:val="13"/>
          <w:color w:val="auto"/>
        </w:rPr>
      </w:pPr>
    </w:p>
    <w:p>
      <w:pPr>
        <w:ind w:left="708" w:right="80" w:hanging="222"/>
        <w:spacing w:after="0" w:line="264" w:lineRule="auto"/>
        <w:tabs>
          <w:tab w:leader="none" w:pos="682" w:val="left"/>
        </w:tabs>
        <w:numPr>
          <w:ilvl w:val="2"/>
          <w:numId w:val="4"/>
        </w:numPr>
        <w:rPr>
          <w:rFonts w:ascii="Arial" w:cs="Arial" w:eastAsia="Arial" w:hAnsi="Arial"/>
          <w:sz w:val="13"/>
          <w:szCs w:val="13"/>
          <w:color w:val="auto"/>
        </w:rPr>
      </w:pPr>
      <w:r>
        <w:rPr>
          <w:rFonts w:ascii="Arial" w:cs="Arial" w:eastAsia="Arial" w:hAnsi="Arial"/>
          <w:sz w:val="13"/>
          <w:szCs w:val="13"/>
          <w:color w:val="auto"/>
        </w:rPr>
        <w:t>Net adjustment of $578 million, or $3.35 per diluted common share, related to the receipt of unpaid risk corridor payments associated with the losses incurred by the company under the ACA business from 2014</w:t>
      </w:r>
    </w:p>
    <w:p>
      <w:pPr>
        <w:spacing w:after="0" w:line="24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68"/>
          </w:cols>
          <w:pgMar w:left="292" w:top="913" w:right="339" w:bottom="1440" w:gutter="0" w:footer="0" w:header="0"/>
        </w:sectPr>
      </w:pPr>
    </w:p>
    <w:bookmarkStart w:id="8" w:name="page9"/>
    <w:bookmarkEnd w:id="8"/>
    <w:p>
      <w:pPr>
        <w:ind w:left="708" w:right="580"/>
        <w:spacing w:after="0" w:line="290" w:lineRule="auto"/>
        <w:rPr>
          <w:sz w:val="20"/>
          <w:szCs w:val="20"/>
          <w:color w:val="auto"/>
        </w:rPr>
      </w:pPr>
      <w:r>
        <w:rPr>
          <w:rFonts w:ascii="Arial" w:cs="Arial" w:eastAsia="Arial" w:hAnsi="Arial"/>
          <w:sz w:val="13"/>
          <w:szCs w:val="13"/>
          <w:color w:val="auto"/>
        </w:rPr>
        <w:t>to 2016 (previously written off). GAAP measures affected in this release include consolidated pretax, EPS, consolidated revenues, consolidated benefits expense ratio, and consolidated operating cost ratio.</w:t>
      </w:r>
    </w:p>
    <w:p>
      <w:pPr>
        <w:spacing w:after="0" w:line="107" w:lineRule="exact"/>
        <w:rPr>
          <w:sz w:val="20"/>
          <w:szCs w:val="20"/>
          <w:color w:val="auto"/>
        </w:rPr>
      </w:pPr>
    </w:p>
    <w:p>
      <w:pPr>
        <w:ind w:left="188" w:hanging="188"/>
        <w:spacing w:after="0"/>
        <w:tabs>
          <w:tab w:leader="none" w:pos="188" w:val="left"/>
        </w:tabs>
        <w:numPr>
          <w:ilvl w:val="0"/>
          <w:numId w:val="5"/>
        </w:numPr>
        <w:rPr>
          <w:rFonts w:ascii="Arial" w:cs="Arial" w:eastAsia="Arial" w:hAnsi="Arial"/>
          <w:sz w:val="13"/>
          <w:szCs w:val="13"/>
          <w:color w:val="auto"/>
        </w:rPr>
      </w:pPr>
      <w:r>
        <w:rPr>
          <w:rFonts w:ascii="Arial" w:cs="Arial" w:eastAsia="Arial" w:hAnsi="Arial"/>
          <w:sz w:val="13"/>
          <w:szCs w:val="13"/>
          <w:u w:val="single" w:color="auto"/>
          <w:color w:val="auto"/>
        </w:rPr>
        <w:t>FY 2019 Adjusted results exclude the following:</w:t>
      </w:r>
    </w:p>
    <w:p>
      <w:pPr>
        <w:spacing w:after="0" w:line="19" w:lineRule="exact"/>
        <w:rPr>
          <w:rFonts w:ascii="Arial" w:cs="Arial" w:eastAsia="Arial" w:hAnsi="Arial"/>
          <w:sz w:val="13"/>
          <w:szCs w:val="13"/>
          <w:color w:val="auto"/>
        </w:rPr>
      </w:pPr>
    </w:p>
    <w:p>
      <w:pPr>
        <w:ind w:left="708" w:right="720" w:hanging="222"/>
        <w:spacing w:after="0" w:line="245" w:lineRule="auto"/>
        <w:tabs>
          <w:tab w:leader="none" w:pos="682" w:val="left"/>
        </w:tabs>
        <w:numPr>
          <w:ilvl w:val="2"/>
          <w:numId w:val="5"/>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$70 million pretax, or $0.40 per diluted common share; GAAP measures affected in this release include consolidated pretax, EPS and segment earnings (for respective amortization expense for the Retail and Group and Specialty segments.)</w:t>
      </w:r>
    </w:p>
    <w:p>
      <w:pPr>
        <w:ind w:left="708" w:right="140" w:hanging="222"/>
        <w:spacing w:after="0" w:line="245" w:lineRule="auto"/>
        <w:tabs>
          <w:tab w:leader="none" w:pos="682" w:val="left"/>
        </w:tabs>
        <w:numPr>
          <w:ilvl w:val="2"/>
          <w:numId w:val="5"/>
        </w:numPr>
        <w:rPr>
          <w:rFonts w:ascii="Arial" w:cs="Arial" w:eastAsia="Arial" w:hAnsi="Arial"/>
          <w:sz w:val="13"/>
          <w:szCs w:val="13"/>
          <w:color w:val="auto"/>
        </w:rPr>
      </w:pPr>
      <w:r>
        <w:rPr>
          <w:rFonts w:ascii="Arial" w:cs="Arial" w:eastAsia="Arial" w:hAnsi="Arial"/>
          <w:sz w:val="13"/>
          <w:szCs w:val="13"/>
          <w:color w:val="auto"/>
        </w:rPr>
        <w:t>Put/call valuation adjustments of approximately $506 million, or $2.89 per diluted common share, associated with Humana's non-consolidating minority interest investments. GAAP measures affected in this release include consolidated pretax and EPS.</w:t>
      </w:r>
    </w:p>
    <w:p>
      <w:pPr>
        <w:ind w:left="708" w:right="200" w:hanging="222"/>
        <w:spacing w:after="0" w:line="264" w:lineRule="auto"/>
        <w:tabs>
          <w:tab w:leader="none" w:pos="682" w:val="left"/>
        </w:tabs>
        <w:numPr>
          <w:ilvl w:val="2"/>
          <w:numId w:val="5"/>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$47 million pretax, or $0.26 per diluted common share; GAAP measures affected in this release include consolidated pretax, EPS, and consolidated operating cost ratio.</w:t>
      </w:r>
    </w:p>
    <w:p>
      <w:pPr>
        <w:spacing w:after="0" w:line="123" w:lineRule="exact"/>
        <w:rPr>
          <w:rFonts w:ascii="Arial" w:cs="Arial" w:eastAsia="Arial" w:hAnsi="Arial"/>
          <w:sz w:val="13"/>
          <w:szCs w:val="13"/>
          <w:color w:val="auto"/>
        </w:rPr>
      </w:pPr>
    </w:p>
    <w:p>
      <w:pPr>
        <w:ind w:left="108" w:right="160" w:hanging="108"/>
        <w:spacing w:after="0" w:line="268" w:lineRule="auto"/>
        <w:tabs>
          <w:tab w:leader="none" w:pos="198"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120" w:lineRule="exact"/>
        <w:rPr>
          <w:rFonts w:ascii="Arial" w:cs="Arial" w:eastAsia="Arial" w:hAnsi="Arial"/>
          <w:sz w:val="13"/>
          <w:szCs w:val="13"/>
          <w:color w:val="auto"/>
        </w:rPr>
      </w:pPr>
    </w:p>
    <w:p>
      <w:pPr>
        <w:ind w:left="168" w:hanging="168"/>
        <w:spacing w:after="0"/>
        <w:tabs>
          <w:tab w:leader="none" w:pos="168" w:val="left"/>
        </w:tabs>
        <w:numPr>
          <w:ilvl w:val="0"/>
          <w:numId w:val="5"/>
        </w:numPr>
        <w:rPr>
          <w:rFonts w:ascii="Arial" w:cs="Arial" w:eastAsia="Arial" w:hAnsi="Arial"/>
          <w:sz w:val="13"/>
          <w:szCs w:val="13"/>
          <w:color w:val="auto"/>
        </w:rPr>
      </w:pPr>
      <w:r>
        <w:rPr>
          <w:rFonts w:ascii="Arial" w:cs="Arial" w:eastAsia="Arial" w:hAnsi="Arial"/>
          <w:sz w:val="13"/>
          <w:szCs w:val="13"/>
          <w:u w:val="single" w:color="auto"/>
          <w:color w:val="auto"/>
        </w:rPr>
        <w:t>FY 2021 Adjusted EPS projections exclude the following:</w:t>
      </w:r>
    </w:p>
    <w:p>
      <w:pPr>
        <w:spacing w:after="0" w:line="19" w:lineRule="exact"/>
        <w:rPr>
          <w:rFonts w:ascii="Arial" w:cs="Arial" w:eastAsia="Arial" w:hAnsi="Arial"/>
          <w:sz w:val="13"/>
          <w:szCs w:val="13"/>
          <w:color w:val="auto"/>
        </w:rPr>
      </w:pPr>
    </w:p>
    <w:p>
      <w:pPr>
        <w:ind w:left="408" w:hanging="192"/>
        <w:spacing w:after="0"/>
        <w:tabs>
          <w:tab w:leader="none" w:pos="408"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~$0.43 per diluted common share.</w:t>
      </w:r>
    </w:p>
    <w:p>
      <w:pPr>
        <w:spacing w:after="0" w:line="3" w:lineRule="exact"/>
        <w:rPr>
          <w:rFonts w:ascii="Arial" w:cs="Arial" w:eastAsia="Arial" w:hAnsi="Arial"/>
          <w:sz w:val="13"/>
          <w:szCs w:val="13"/>
          <w:color w:val="auto"/>
        </w:rPr>
      </w:pPr>
    </w:p>
    <w:p>
      <w:pPr>
        <w:ind w:left="428" w:right="80" w:hanging="212"/>
        <w:spacing w:after="0" w:line="245" w:lineRule="auto"/>
        <w:tabs>
          <w:tab w:leader="none" w:pos="402" w:val="left"/>
        </w:tabs>
        <w:numPr>
          <w:ilvl w:val="1"/>
          <w:numId w:val="5"/>
        </w:numPr>
        <w:rPr>
          <w:rFonts w:ascii="Arial" w:cs="Arial" w:eastAsia="Arial" w:hAnsi="Arial"/>
          <w:sz w:val="13"/>
          <w:szCs w:val="13"/>
          <w:color w:val="auto"/>
        </w:rPr>
      </w:pPr>
      <w:r>
        <w:rPr>
          <w:rFonts w:ascii="Arial" w:cs="Arial" w:eastAsia="Arial" w:hAnsi="Arial"/>
          <w:sz w:val="13"/>
          <w:szCs w:val="13"/>
          <w:color w:val="auto"/>
        </w:rPr>
        <w:t>FY21 GAAP EPS guidance excludes the impact of future value changes of put/call options related to Humana’s non-consolidating minority interest investments. The future value change of these put/call options cannot be estimated.</w:t>
      </w:r>
    </w:p>
    <w:p>
      <w:pPr>
        <w:ind w:left="428" w:hanging="212"/>
        <w:spacing w:after="0" w:line="264" w:lineRule="auto"/>
        <w:tabs>
          <w:tab w:leader="none" w:pos="402" w:val="left"/>
        </w:tabs>
        <w:numPr>
          <w:ilvl w:val="1"/>
          <w:numId w:val="5"/>
        </w:numPr>
        <w:rPr>
          <w:rFonts w:ascii="Arial" w:cs="Arial" w:eastAsia="Arial" w:hAnsi="Arial"/>
          <w:sz w:val="13"/>
          <w:szCs w:val="13"/>
          <w:color w:val="auto"/>
        </w:rPr>
      </w:pPr>
      <w:r>
        <w:rPr>
          <w:rFonts w:ascii="Arial" w:cs="Arial" w:eastAsia="Arial" w:hAnsi="Arial"/>
          <w:sz w:val="13"/>
          <w:szCs w:val="13"/>
          <w:color w:val="auto"/>
        </w:rPr>
        <w:t>The future value of publicly-traded equity securities, their impact on GAAP EPS, and the related non-GAAP adjustment will fluctuate on the public trading value of the stock. The guidance set forth herein assumes no further change in the fair value of these investments.</w:t>
      </w:r>
    </w:p>
    <w:p>
      <w:pPr>
        <w:spacing w:after="0" w:line="123" w:lineRule="exact"/>
        <w:rPr>
          <w:sz w:val="20"/>
          <w:szCs w:val="20"/>
          <w:color w:val="auto"/>
        </w:rPr>
      </w:pPr>
    </w:p>
    <w:p>
      <w:pPr>
        <w:ind w:left="368" w:hanging="206"/>
        <w:spacing w:after="0"/>
        <w:tabs>
          <w:tab w:leader="none" w:pos="368" w:val="left"/>
        </w:tabs>
        <w:numPr>
          <w:ilvl w:val="0"/>
          <w:numId w:val="6"/>
        </w:numPr>
        <w:rPr>
          <w:rFonts w:ascii="Arial" w:cs="Arial" w:eastAsia="Arial" w:hAnsi="Arial"/>
          <w:sz w:val="13"/>
          <w:szCs w:val="13"/>
          <w:color w:val="auto"/>
        </w:rPr>
      </w:pPr>
      <w:r>
        <w:rPr>
          <w:rFonts w:ascii="Arial" w:cs="Arial" w:eastAsia="Arial" w:hAnsi="Arial"/>
          <w:sz w:val="13"/>
          <w:szCs w:val="13"/>
          <w:color w:val="auto"/>
        </w:rPr>
        <w:t>Excludes estimates of changes in revenues associated with increased accuracy of risk coding.</w:t>
      </w:r>
    </w:p>
    <w:p>
      <w:pPr>
        <w:spacing w:after="0" w:line="277" w:lineRule="exact"/>
        <w:rPr>
          <w:rFonts w:ascii="Arial" w:cs="Arial" w:eastAsia="Arial" w:hAnsi="Arial"/>
          <w:sz w:val="13"/>
          <w:szCs w:val="13"/>
          <w:color w:val="auto"/>
        </w:rPr>
      </w:pPr>
    </w:p>
    <w:p>
      <w:pPr>
        <w:ind w:left="5628"/>
        <w:spacing w:after="0"/>
        <w:rPr>
          <w:rFonts w:ascii="Arial" w:cs="Arial" w:eastAsia="Arial" w:hAnsi="Arial"/>
          <w:sz w:val="13"/>
          <w:szCs w:val="13"/>
          <w:color w:val="auto"/>
        </w:rPr>
      </w:pPr>
      <w:r>
        <w:rPr>
          <w:rFonts w:ascii="Times New Roman" w:cs="Times New Roman" w:eastAsia="Times New Roman" w:hAnsi="Times New Roman"/>
          <w:sz w:val="13"/>
          <w:szCs w:val="13"/>
          <w:color w:val="auto"/>
        </w:rPr>
        <w:t>6</w:t>
      </w:r>
    </w:p>
    <w:p>
      <w:pPr>
        <w:sectPr>
          <w:pgSz w:w="11900" w:h="16838" w:orient="portrait"/>
          <w:cols w:equalWidth="0" w:num="1">
            <w:col w:w="11248"/>
          </w:cols>
          <w:pgMar w:left="292" w:top="769" w:right="35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auto"/>
        </w:rPr>
        <w:t>Cautionary Statement</w:t>
      </w:r>
    </w:p>
    <w:p>
      <w:pPr>
        <w:spacing w:after="0" w:line="22" w:lineRule="exact"/>
        <w:rPr>
          <w:sz w:val="20"/>
          <w:szCs w:val="20"/>
          <w:color w:val="auto"/>
        </w:rPr>
      </w:pPr>
    </w:p>
    <w:p>
      <w:pPr>
        <w:ind w:left="200" w:right="200"/>
        <w:spacing w:after="0" w:line="252" w:lineRule="auto"/>
        <w:rPr>
          <w:sz w:val="20"/>
          <w:szCs w:val="20"/>
          <w:color w:val="auto"/>
        </w:rPr>
      </w:pPr>
      <w:r>
        <w:rPr>
          <w:rFonts w:ascii="Arial" w:cs="Arial" w:eastAsia="Arial" w:hAnsi="Arial"/>
          <w:sz w:val="13"/>
          <w:szCs w:val="13"/>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30" w:lineRule="exact"/>
        <w:rPr>
          <w:sz w:val="20"/>
          <w:szCs w:val="20"/>
          <w:color w:val="auto"/>
        </w:rPr>
      </w:pPr>
    </w:p>
    <w:p>
      <w:pPr>
        <w:ind w:left="200" w:right="180"/>
        <w:spacing w:after="0" w:line="290" w:lineRule="auto"/>
        <w:rPr>
          <w:sz w:val="20"/>
          <w:szCs w:val="20"/>
          <w:color w:val="auto"/>
        </w:rPr>
      </w:pPr>
      <w:r>
        <w:rPr>
          <w:rFonts w:ascii="Arial" w:cs="Arial" w:eastAsia="Arial" w:hAnsi="Arial"/>
          <w:sz w:val="13"/>
          <w:szCs w:val="13"/>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07" w:lineRule="exact"/>
        <w:rPr>
          <w:sz w:val="20"/>
          <w:szCs w:val="20"/>
          <w:color w:val="auto"/>
        </w:rPr>
      </w:pPr>
    </w:p>
    <w:p>
      <w:pPr>
        <w:ind w:left="420" w:right="40" w:hanging="212"/>
        <w:spacing w:after="0" w:line="248"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w:t>
      </w:r>
    </w:p>
    <w:p>
      <w:pPr>
        <w:spacing w:after="0" w:line="4" w:lineRule="exact"/>
        <w:rPr>
          <w:rFonts w:ascii="Arial" w:cs="Arial" w:eastAsia="Arial" w:hAnsi="Arial"/>
          <w:sz w:val="13"/>
          <w:szCs w:val="13"/>
          <w:color w:val="auto"/>
        </w:rPr>
      </w:pPr>
    </w:p>
    <w:p>
      <w:pPr>
        <w:ind w:left="420" w:right="320" w:hanging="212"/>
        <w:spacing w:after="0" w:line="245"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13"/>
          <w:szCs w:val="13"/>
          <w:color w:val="auto"/>
        </w:rPr>
      </w:pPr>
    </w:p>
    <w:p>
      <w:pPr>
        <w:ind w:left="420" w:right="20" w:hanging="212"/>
        <w:spacing w:after="0" w:line="245"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Humana fails to properly maintain the integrity of its data, to strategically maintain existing or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1" w:lineRule="exact"/>
        <w:rPr>
          <w:rFonts w:ascii="Arial" w:cs="Arial" w:eastAsia="Arial" w:hAnsi="Arial"/>
          <w:sz w:val="13"/>
          <w:szCs w:val="13"/>
          <w:color w:val="auto"/>
        </w:rPr>
      </w:pPr>
    </w:p>
    <w:p>
      <w:pPr>
        <w:ind w:left="420" w:hanging="212"/>
        <w:spacing w:after="0" w:line="245"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1" w:lineRule="exact"/>
        <w:rPr>
          <w:rFonts w:ascii="Arial" w:cs="Arial" w:eastAsia="Arial" w:hAnsi="Arial"/>
          <w:sz w:val="13"/>
          <w:szCs w:val="13"/>
          <w:color w:val="auto"/>
        </w:rPr>
      </w:pPr>
    </w:p>
    <w:p>
      <w:pPr>
        <w:ind w:left="420" w:hanging="212"/>
        <w:spacing w:after="0" w:line="249"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280"/>
          </w:cols>
          <w:pgMar w:left="300" w:top="776" w:right="319" w:bottom="1440" w:gutter="0" w:footer="0" w:header="0"/>
        </w:sectPr>
      </w:pPr>
    </w:p>
    <w:bookmarkStart w:id="10" w:name="page11"/>
    <w:bookmarkEnd w:id="10"/>
    <w:p>
      <w:pPr>
        <w:ind w:left="220" w:hanging="212"/>
        <w:spacing w:after="0" w:line="249" w:lineRule="auto"/>
        <w:tabs>
          <w:tab w:leader="none" w:pos="194"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3" w:lineRule="exact"/>
        <w:rPr>
          <w:rFonts w:ascii="Arial" w:cs="Arial" w:eastAsia="Arial" w:hAnsi="Arial"/>
          <w:sz w:val="13"/>
          <w:szCs w:val="13"/>
          <w:color w:val="auto"/>
        </w:rPr>
      </w:pPr>
    </w:p>
    <w:p>
      <w:pPr>
        <w:ind w:left="220" w:right="120" w:hanging="212"/>
        <w:spacing w:after="0" w:line="245" w:lineRule="auto"/>
        <w:tabs>
          <w:tab w:leader="none" w:pos="194"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failure to manage acquisitions, divestitures and other significant transactions successfully may have a material adverse effect on the company’s results of operations, financial position, and cash flows.</w:t>
      </w: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Humana fails to develop and maintain satisfactory relationships with the providers of care to its members, the company’s business may be adversely affected.</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pharmacy business is highly competitive and subjects it to regulations and supply chain risks in addition to those the company faces with its core health benefits businesses.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the prescription drug industry pricing benchmarks may adversely affect Humana’s financial performance.</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Humana’s ability to obtain funds from certain of its licensed subsidiaries is restricted by state insurance regulations.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Downgrades in Humana’s debt ratings, should they occur, may adversely affect its business, results of operations, and financial condition.</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securities and credit markets may experience volatility and disruption, which may adversely affect Humana’s business.</w:t>
      </w:r>
    </w:p>
    <w:p>
      <w:pPr>
        <w:spacing w:after="0" w:line="3" w:lineRule="exact"/>
        <w:rPr>
          <w:rFonts w:ascii="Arial" w:cs="Arial" w:eastAsia="Arial" w:hAnsi="Arial"/>
          <w:sz w:val="13"/>
          <w:szCs w:val="13"/>
          <w:color w:val="auto"/>
        </w:rPr>
      </w:pPr>
    </w:p>
    <w:p>
      <w:pPr>
        <w:ind w:left="220" w:right="60" w:hanging="212"/>
        <w:spacing w:after="0" w:line="264" w:lineRule="auto"/>
        <w:tabs>
          <w:tab w:leader="none" w:pos="194"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spread of, and response to, the novel coronavirus, or COVID-19, underscores certain risks Humana faces, including those discussed above, and the ongoing, heightened uncertainty created by the pandemic precludes any prediction as to the ultimate adverse impact to Humana of COVID-19.</w:t>
      </w:r>
    </w:p>
    <w:p>
      <w:pPr>
        <w:spacing w:after="0" w:line="123" w:lineRule="exact"/>
        <w:rPr>
          <w:sz w:val="20"/>
          <w:szCs w:val="20"/>
          <w:color w:val="auto"/>
        </w:rPr>
      </w:pPr>
    </w:p>
    <w:p>
      <w:pPr>
        <w:ind w:left="220" w:right="20"/>
        <w:spacing w:after="0" w:line="250" w:lineRule="auto"/>
        <w:rPr>
          <w:sz w:val="20"/>
          <w:szCs w:val="20"/>
          <w:color w:val="auto"/>
        </w:rPr>
      </w:pPr>
      <w:r>
        <w:rPr>
          <w:rFonts w:ascii="Arial" w:cs="Arial" w:eastAsia="Arial" w:hAnsi="Arial"/>
          <w:sz w:val="13"/>
          <w:szCs w:val="13"/>
          <w:color w:val="auto"/>
        </w:rPr>
        <w:t>To the extent that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Humana may also experience increased costs or decreased revenues if, as a result of the company’s members being unable or unwilling to see their providers due to actions taken to mitigate the spread of COVID-19, Humana is unable to implement clinical initiatives to manage health care costs and chronic conditions of its members, and appropriately document their risk profiles. In addition, Humana is offering, and has been mandated by legislative and regulatory action (including the Families First Act and CARES Act) to provide, certain expanded benefit coverage to its members, such as waiving out of pocket costs for COVID-19 testing and treatment. Humana is also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of regulatory requirements associated with those services and the costs and challenges associated with ensuring timely compliance with such requirements, to provide further relief for the health care provider community, or in connection with the relaxation of stay-at-home and physical distancing orders and other restrictions on movement and economic activity, including the potential for widespread testing and therapeutic treatments and the distribution and administration of COVID-19 vaccines, could adversely impact the company’s profitability.</w:t>
      </w:r>
    </w:p>
    <w:p>
      <w:pPr>
        <w:spacing w:after="0" w:line="132" w:lineRule="exact"/>
        <w:rPr>
          <w:sz w:val="20"/>
          <w:szCs w:val="20"/>
          <w:color w:val="auto"/>
        </w:rPr>
      </w:pPr>
    </w:p>
    <w:p>
      <w:pPr>
        <w:ind w:left="220" w:right="160"/>
        <w:spacing w:after="0" w:line="268" w:lineRule="auto"/>
        <w:rPr>
          <w:sz w:val="20"/>
          <w:szCs w:val="20"/>
          <w:color w:val="auto"/>
        </w:rPr>
      </w:pPr>
      <w:r>
        <w:rPr>
          <w:rFonts w:ascii="Arial" w:cs="Arial" w:eastAsia="Arial" w:hAnsi="Arial"/>
          <w:sz w:val="13"/>
          <w:szCs w:val="13"/>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availability of in-person sales and marketing channels, financial services and supply</w:t>
      </w:r>
    </w:p>
    <w:p>
      <w:pPr>
        <w:spacing w:after="0" w:line="3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080"/>
          </w:cols>
          <w:pgMar w:left="500" w:top="634" w:right="319" w:bottom="1440" w:gutter="0" w:footer="0" w:header="0"/>
        </w:sectPr>
      </w:pPr>
    </w:p>
    <w:bookmarkStart w:id="11" w:name="page12"/>
    <w:bookmarkEnd w:id="11"/>
    <w:p>
      <w:pPr>
        <w:ind w:left="420" w:right="60"/>
        <w:spacing w:after="0" w:line="253" w:lineRule="auto"/>
        <w:rPr>
          <w:sz w:val="20"/>
          <w:szCs w:val="20"/>
          <w:color w:val="auto"/>
        </w:rPr>
      </w:pPr>
      <w:r>
        <w:rPr>
          <w:rFonts w:ascii="Arial" w:cs="Arial" w:eastAsia="Arial" w:hAnsi="Arial"/>
          <w:sz w:val="13"/>
          <w:szCs w:val="13"/>
          <w:color w:val="auto"/>
        </w:rPr>
        <w:t>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130" w:lineRule="exact"/>
        <w:rPr>
          <w:sz w:val="20"/>
          <w:szCs w:val="20"/>
          <w:color w:val="auto"/>
        </w:rPr>
      </w:pPr>
    </w:p>
    <w:p>
      <w:pPr>
        <w:ind w:left="420"/>
        <w:spacing w:after="0" w:line="260" w:lineRule="auto"/>
        <w:rPr>
          <w:sz w:val="20"/>
          <w:szCs w:val="20"/>
          <w:color w:val="auto"/>
        </w:rPr>
      </w:pPr>
      <w:r>
        <w:rPr>
          <w:rFonts w:ascii="Arial" w:cs="Arial" w:eastAsia="Arial" w:hAnsi="Arial"/>
          <w:sz w:val="13"/>
          <w:szCs w:val="13"/>
          <w:color w:val="auto"/>
        </w:rPr>
        <w:t>The ongoing, heightened uncertainty created by the pandemic precludes any prediction as to the ultimate adverse impact to Humana of COVID-19. Humana is continuing to monitor the spread of COVID-19, changes to the company’s benefit coverages, and the ongoing costs and business impacts of dealing with COVID-19, including the potential costs and impacts associated with lifting or reimposing restrictions on movement and economic activity and related risks. The magnitude and duration of the pandemic and its impact on Humana’s business, results of operations, financial position, and cash flows is uncertain, but such impacts could be material to the company’s business, results of operations, financial position and cash flows.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Humana advises investors to read the following documents as filed by the company with the SEC for further discussion both of the risks it faces and its historical performance:</w:t>
      </w:r>
    </w:p>
    <w:p>
      <w:pPr>
        <w:spacing w:after="0" w:line="166" w:lineRule="exact"/>
        <w:rPr>
          <w:sz w:val="20"/>
          <w:szCs w:val="20"/>
          <w:color w:val="auto"/>
        </w:rPr>
      </w:pPr>
    </w:p>
    <w:p>
      <w:pPr>
        <w:ind w:left="400" w:hanging="192"/>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10-K for the year ended December 31, 2019;</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10-Q for the quarter ended March 31, 2020; June 30, 2020; September 30, 2020; and</w:t>
      </w:r>
    </w:p>
    <w:p>
      <w:pPr>
        <w:spacing w:after="0" w:line="165" w:lineRule="exact"/>
        <w:rPr>
          <w:rFonts w:ascii="Arial" w:cs="Arial" w:eastAsia="Arial" w:hAnsi="Arial"/>
          <w:sz w:val="13"/>
          <w:szCs w:val="13"/>
          <w:color w:val="auto"/>
        </w:rPr>
      </w:pPr>
    </w:p>
    <w:p>
      <w:pPr>
        <w:ind w:left="400" w:hanging="192"/>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Form 8-Ks filed during 2020 and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Humana</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02" w:lineRule="exact"/>
        <w:rPr>
          <w:sz w:val="20"/>
          <w:szCs w:val="20"/>
          <w:color w:val="auto"/>
        </w:rPr>
      </w:pPr>
    </w:p>
    <w:p>
      <w:pPr>
        <w:ind w:right="160"/>
        <w:spacing w:after="0" w:line="268" w:lineRule="auto"/>
        <w:rPr>
          <w:sz w:val="20"/>
          <w:szCs w:val="20"/>
          <w:color w:val="auto"/>
        </w:rPr>
      </w:pPr>
      <w:r>
        <w:rPr>
          <w:rFonts w:ascii="Arial" w:cs="Arial" w:eastAsia="Arial" w:hAnsi="Arial"/>
          <w:sz w:val="13"/>
          <w:szCs w:val="13"/>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280"/>
          </w:cols>
          <w:pgMar w:left="300" w:top="634"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More information regarding Humana is available to investors via the Investor Relations page of the company’s website at humana.com, including copies of:</w:t>
      </w:r>
    </w:p>
    <w:p>
      <w:pPr>
        <w:sectPr>
          <w:pgSz w:w="11900" w:h="16838" w:orient="portrait"/>
          <w:cols w:equalWidth="0" w:num="1">
            <w:col w:w="10159"/>
          </w:cols>
          <w:pgMar w:left="300" w:top="778" w:right="1440" w:bottom="1440" w:gutter="0" w:footer="0" w:header="0"/>
        </w:sectPr>
      </w:pPr>
    </w:p>
    <w:p>
      <w:pPr>
        <w:spacing w:after="0" w:line="166" w:lineRule="exact"/>
        <w:rPr>
          <w:sz w:val="20"/>
          <w:szCs w:val="20"/>
          <w:color w:val="auto"/>
        </w:rPr>
      </w:pPr>
    </w:p>
    <w:p>
      <w:pPr>
        <w:ind w:left="400" w:hanging="192"/>
        <w:spacing w:after="0"/>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Annual reports to stockholders</w:t>
      </w:r>
    </w:p>
    <w:p>
      <w:pPr>
        <w:spacing w:after="0" w:line="19" w:lineRule="exact"/>
        <w:rPr>
          <w:rFonts w:ascii="Arial" w:cs="Arial" w:eastAsia="Arial" w:hAnsi="Arial"/>
          <w:sz w:val="13"/>
          <w:szCs w:val="13"/>
          <w:color w:val="auto"/>
        </w:rPr>
      </w:pPr>
    </w:p>
    <w:p>
      <w:pPr>
        <w:ind w:left="400" w:hanging="192"/>
        <w:spacing w:after="0"/>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Securities and Exchange Commission filings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Most recent investor conference presentations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Quarterly earnings news releases and conference calls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Calendar of events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Corporate Governance information</w:t>
      </w:r>
    </w:p>
    <w:p>
      <w:pPr>
        <w:spacing w:after="0" w:line="200" w:lineRule="exact"/>
        <w:rPr>
          <w:sz w:val="20"/>
          <w:szCs w:val="20"/>
          <w:color w:val="auto"/>
        </w:rPr>
      </w:pPr>
    </w:p>
    <w:p>
      <w:pPr>
        <w:spacing w:after="0" w:line="31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778"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p>
      <w:pPr>
        <w:spacing w:after="0" w:line="111" w:lineRule="exact"/>
        <w:rPr>
          <w:sz w:val="20"/>
          <w:szCs w:val="20"/>
          <w:color w:val="auto"/>
        </w:rPr>
      </w:pPr>
    </w:p>
    <w:p>
      <w:pPr>
        <w:jc w:val="right"/>
        <w:ind w:right="20"/>
        <w:spacing w:after="0"/>
        <w:rPr>
          <w:sz w:val="20"/>
          <w:szCs w:val="20"/>
          <w:color w:val="auto"/>
        </w:rPr>
      </w:pPr>
      <w:r>
        <w:rPr>
          <w:rFonts w:ascii="Arial" w:cs="Arial" w:eastAsia="Arial" w:hAnsi="Arial"/>
          <w:sz w:val="11"/>
          <w:szCs w:val="11"/>
          <w:b w:val="1"/>
          <w:bCs w:val="1"/>
          <w:color w:val="auto"/>
        </w:rPr>
        <w:t>Exhibit 99.2</w:t>
      </w:r>
    </w:p>
    <w:p>
      <w:pPr>
        <w:spacing w:after="0" w:line="301" w:lineRule="exact"/>
        <w:rPr>
          <w:sz w:val="20"/>
          <w:szCs w:val="20"/>
          <w:color w:val="auto"/>
        </w:rPr>
      </w:pPr>
    </w:p>
    <w:p>
      <w:pPr>
        <w:ind w:left="9800"/>
        <w:spacing w:after="0"/>
        <w:rPr>
          <w:sz w:val="20"/>
          <w:szCs w:val="20"/>
          <w:color w:val="auto"/>
        </w:rPr>
      </w:pPr>
      <w:r>
        <w:rPr>
          <w:rFonts w:ascii="Arial" w:cs="Arial" w:eastAsia="Arial" w:hAnsi="Arial"/>
          <w:sz w:val="13"/>
          <w:szCs w:val="13"/>
          <w:color w:val="auto"/>
        </w:rPr>
        <w:t>Humana Inc.</w:t>
      </w:r>
    </w:p>
    <w:p>
      <w:pPr>
        <w:ind w:left="9800"/>
        <w:spacing w:after="0" w:line="202" w:lineRule="auto"/>
        <w:rPr>
          <w:sz w:val="20"/>
          <w:szCs w:val="20"/>
          <w:color w:val="auto"/>
        </w:rPr>
      </w:pPr>
      <w:r>
        <w:rPr>
          <w:rFonts w:ascii="Arial" w:cs="Arial" w:eastAsia="Arial" w:hAnsi="Arial"/>
          <w:sz w:val="13"/>
          <w:szCs w:val="13"/>
          <w:color w:val="auto"/>
        </w:rPr>
        <w:t>500 West Main Street</w:t>
      </w:r>
    </w:p>
    <w:p>
      <w:pPr>
        <w:ind w:left="9800"/>
        <w:spacing w:after="0" w:line="202" w:lineRule="auto"/>
        <w:rPr>
          <w:sz w:val="20"/>
          <w:szCs w:val="20"/>
          <w:color w:val="auto"/>
        </w:rPr>
      </w:pPr>
      <w:r>
        <w:rPr>
          <w:rFonts w:ascii="Arial" w:cs="Arial" w:eastAsia="Arial" w:hAnsi="Arial"/>
          <w:sz w:val="13"/>
          <w:szCs w:val="13"/>
          <w:color w:val="auto"/>
        </w:rPr>
        <w:t>P.O. Box 1438</w:t>
      </w:r>
    </w:p>
    <w:p>
      <w:pPr>
        <w:ind w:left="9800"/>
        <w:spacing w:after="0" w:line="202" w:lineRule="auto"/>
        <w:rPr>
          <w:sz w:val="20"/>
          <w:szCs w:val="20"/>
          <w:color w:val="auto"/>
        </w:rPr>
      </w:pPr>
      <w:r>
        <w:rPr>
          <w:rFonts w:ascii="Arial" w:cs="Arial" w:eastAsia="Arial" w:hAnsi="Arial"/>
          <w:sz w:val="13"/>
          <w:szCs w:val="13"/>
          <w:color w:val="auto"/>
        </w:rPr>
        <w:t>Louisville, KY 40202</w:t>
      </w:r>
    </w:p>
    <w:p>
      <w:pPr>
        <w:spacing w:after="0" w:line="1" w:lineRule="exact"/>
        <w:rPr>
          <w:sz w:val="20"/>
          <w:szCs w:val="20"/>
          <w:color w:val="auto"/>
        </w:rPr>
      </w:pPr>
    </w:p>
    <w:p>
      <w:pPr>
        <w:ind w:left="9800"/>
        <w:spacing w:after="0"/>
        <w:rPr>
          <w:sz w:val="20"/>
          <w:szCs w:val="20"/>
          <w:color w:val="auto"/>
        </w:rPr>
      </w:pPr>
      <w:r>
        <w:rPr>
          <w:rFonts w:ascii="Arial" w:cs="Arial" w:eastAsia="Arial" w:hAnsi="Arial"/>
          <w:sz w:val="13"/>
          <w:szCs w:val="13"/>
          <w:u w:val="single" w:color="auto"/>
          <w:color w:val="auto"/>
        </w:rPr>
        <w:t>http://www.humana.com</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5927090</wp:posOffset>
            </wp:positionH>
            <wp:positionV relativeFrom="paragraph">
              <wp:posOffset>25400</wp:posOffset>
            </wp:positionV>
            <wp:extent cx="1240155" cy="371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0155" cy="37147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Amy Smith</w:t>
      </w:r>
    </w:p>
    <w:p>
      <w:pPr>
        <w:spacing w:after="0" w:line="202" w:lineRule="auto"/>
        <w:rPr>
          <w:sz w:val="20"/>
          <w:szCs w:val="20"/>
          <w:color w:val="auto"/>
        </w:rPr>
      </w:pPr>
      <w:r>
        <w:rPr>
          <w:rFonts w:ascii="Arial" w:cs="Arial" w:eastAsia="Arial" w:hAnsi="Arial"/>
          <w:sz w:val="13"/>
          <w:szCs w:val="13"/>
          <w:color w:val="auto"/>
        </w:rPr>
        <w:t>Humana Investor Relations</w:t>
      </w:r>
    </w:p>
    <w:p>
      <w:pPr>
        <w:spacing w:after="0" w:line="202" w:lineRule="auto"/>
        <w:rPr>
          <w:sz w:val="20"/>
          <w:szCs w:val="20"/>
          <w:color w:val="auto"/>
        </w:rPr>
      </w:pPr>
      <w:r>
        <w:rPr>
          <w:rFonts w:ascii="Arial" w:cs="Arial" w:eastAsia="Arial" w:hAnsi="Arial"/>
          <w:sz w:val="13"/>
          <w:szCs w:val="13"/>
          <w:color w:val="auto"/>
        </w:rPr>
        <w:t>(502) 580-2811</w:t>
      </w: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Amysmith@humana.com</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Kelley Murphy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Humana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(502) 224-1755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Kmurphy26@humana.com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Humana Reports Fourth Quarter 2020 Financial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Provides Full Year 2021 Financial Guidance</w:t>
      </w:r>
    </w:p>
    <w:p>
      <w:pPr>
        <w:spacing w:after="0" w:line="267" w:lineRule="exact"/>
        <w:rPr>
          <w:sz w:val="20"/>
          <w:szCs w:val="20"/>
          <w:color w:val="auto"/>
        </w:rPr>
      </w:pPr>
    </w:p>
    <w:p>
      <w:pPr>
        <w:ind w:left="420" w:right="140" w:hanging="212"/>
        <w:spacing w:after="0" w:line="252" w:lineRule="auto"/>
        <w:tabs>
          <w:tab w:leader="none" w:pos="404"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Reports 4Q20 loss per common share of $2.07 on a GAAP basis, $2.30 on an Adjusted basis; reports full year (FY) 2020 earnings per diluted common share (EPS) of $25.31 on a GAAP basis, $18.75 on an Adjusted basis (in-line with the company's initial FY 2020 Adjusted EPS guidance as communicated throughout the year)</w:t>
      </w:r>
    </w:p>
    <w:p>
      <w:pPr>
        <w:ind w:left="400" w:hanging="192"/>
        <w:spacing w:after="0"/>
        <w:tabs>
          <w:tab w:leader="none" w:pos="4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Announces FY 2021 EPS guidance in a range of $20.82 to $21.32 on a GAAP basis, $21.25 to $21.75 on Adjusted basis; while acknowledging the heightened uncertainty surrounding the ongoing pandemic</w:t>
      </w:r>
    </w:p>
    <w:p>
      <w:pPr>
        <w:ind w:left="400" w:hanging="192"/>
        <w:spacing w:after="0"/>
        <w:tabs>
          <w:tab w:leader="none" w:pos="4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Reaffirms FY 2021 expected individual Medicare Advantage membership growth range of approximately 425,000 to 475,000 members, representing expected year-over-year growth of approximately 11 to 12 percent</w:t>
      </w:r>
    </w:p>
    <w:p>
      <w:pPr>
        <w:ind w:left="420" w:right="100" w:hanging="212"/>
        <w:spacing w:after="0" w:line="249" w:lineRule="auto"/>
        <w:tabs>
          <w:tab w:leader="none" w:pos="404" w:val="left"/>
        </w:tabs>
        <w:numPr>
          <w:ilvl w:val="0"/>
          <w:numId w:val="11"/>
        </w:numPr>
        <w:rPr>
          <w:rFonts w:ascii="Arial" w:cs="Arial" w:eastAsia="Arial" w:hAnsi="Arial"/>
          <w:sz w:val="11"/>
          <w:szCs w:val="11"/>
          <w:color w:val="auto"/>
        </w:rPr>
      </w:pPr>
      <w:r>
        <w:rPr>
          <w:rFonts w:ascii="Arial" w:cs="Arial" w:eastAsia="Arial" w:hAnsi="Arial"/>
          <w:sz w:val="11"/>
          <w:szCs w:val="11"/>
          <w:color w:val="auto"/>
        </w:rPr>
        <w:t>Ongoing assistance to members, providers, employer groups, employees, and communities during 4Q20 including the continued waiver of Medicare Advantage cost sharing (including for primary care, COVID-19 treatment, and more), delivery of meals, masks, and preventive screening test kits, programs in underserved communities, and provider relief efforts, while continuing to advance the company's strategy</w:t>
      </w:r>
    </w:p>
    <w:p>
      <w:pPr>
        <w:spacing w:after="0" w:line="130" w:lineRule="exact"/>
        <w:rPr>
          <w:sz w:val="20"/>
          <w:szCs w:val="20"/>
          <w:color w:val="auto"/>
        </w:rPr>
      </w:pPr>
    </w:p>
    <w:p>
      <w:pPr>
        <w:jc w:val="both"/>
        <w:ind w:right="140"/>
        <w:spacing w:after="0" w:line="279" w:lineRule="auto"/>
        <w:rPr>
          <w:sz w:val="20"/>
          <w:szCs w:val="20"/>
          <w:color w:val="auto"/>
        </w:rPr>
      </w:pPr>
      <w:r>
        <w:rPr>
          <w:rFonts w:ascii="Arial" w:cs="Arial" w:eastAsia="Arial" w:hAnsi="Arial"/>
          <w:sz w:val="13"/>
          <w:szCs w:val="13"/>
          <w:b w:val="1"/>
          <w:bCs w:val="1"/>
          <w:color w:val="auto"/>
        </w:rPr>
        <w:t xml:space="preserve">LOUISVILLE, KY (February 3, 2021) </w:t>
      </w:r>
      <w:r>
        <w:rPr>
          <w:rFonts w:ascii="Arial" w:cs="Arial" w:eastAsia="Arial" w:hAnsi="Arial"/>
          <w:sz w:val="13"/>
          <w:szCs w:val="13"/>
          <w:color w:val="auto"/>
        </w:rPr>
        <w:t>– Humana Inc. (NYSE: HUM) today reported consolidated pretax results and results per common share for the quarter ended December 31, 2020 (4Q20)</w:t>
      </w:r>
      <w:r>
        <w:rPr>
          <w:rFonts w:ascii="Arial" w:cs="Arial" w:eastAsia="Arial" w:hAnsi="Arial"/>
          <w:sz w:val="13"/>
          <w:szCs w:val="13"/>
          <w:b w:val="1"/>
          <w:bCs w:val="1"/>
          <w:color w:val="auto"/>
        </w:rPr>
        <w:t xml:space="preserve"> </w:t>
      </w:r>
      <w:r>
        <w:rPr>
          <w:rFonts w:ascii="Arial" w:cs="Arial" w:eastAsia="Arial" w:hAnsi="Arial"/>
          <w:sz w:val="13"/>
          <w:szCs w:val="13"/>
          <w:color w:val="auto"/>
        </w:rPr>
        <w:t>versus the quarter ended December 31, 2019 (4Q19) and for the year ended December 31, 2020 (FY 2020) versus the year ended December 31, 2019 (FY 2019) as noted in the tables below.</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6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Consolidated (loss) income before income taxes and equity in earnings (pretax (loss) income) </w:t>
            </w:r>
            <w:r>
              <w:rPr>
                <w:rFonts w:ascii="Arial" w:cs="Arial" w:eastAsia="Arial" w:hAnsi="Arial"/>
                <w:sz w:val="11"/>
                <w:szCs w:val="11"/>
                <w:i w:val="1"/>
                <w:iCs w:val="1"/>
                <w:color w:val="auto"/>
              </w:rPr>
              <w:t>In millions</w:t>
            </w:r>
          </w:p>
        </w:tc>
        <w:tc>
          <w:tcPr>
            <w:tcW w:w="1320" w:type="dxa"/>
            <w:vAlign w:val="bottom"/>
            <w:tcBorders>
              <w:top w:val="single" w:sz="8" w:color="auto"/>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4Q20 (a)</w:t>
            </w:r>
          </w:p>
        </w:tc>
        <w:tc>
          <w:tcPr>
            <w:tcW w:w="13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4Q19 (b)</w:t>
            </w:r>
          </w:p>
        </w:tc>
        <w:tc>
          <w:tcPr>
            <w:tcW w:w="1300" w:type="dxa"/>
            <w:vAlign w:val="bottom"/>
            <w:tcBorders>
              <w:top w:val="single" w:sz="8" w:color="auto"/>
              <w:bottom w:val="single" w:sz="8" w:color="auto"/>
              <w:right w:val="single" w:sz="8" w:color="auto"/>
            </w:tcBorders>
            <w:shd w:val="clear" w:color="auto" w:fill="EAEAEA"/>
          </w:tcPr>
          <w:p>
            <w:pPr>
              <w:jc w:val="right"/>
              <w:ind w:right="326"/>
              <w:spacing w:after="0"/>
              <w:rPr>
                <w:sz w:val="20"/>
                <w:szCs w:val="20"/>
                <w:color w:val="auto"/>
              </w:rPr>
            </w:pPr>
            <w:r>
              <w:rPr>
                <w:rFonts w:ascii="Arial" w:cs="Arial" w:eastAsia="Arial" w:hAnsi="Arial"/>
                <w:sz w:val="11"/>
                <w:szCs w:val="11"/>
                <w:b w:val="1"/>
                <w:bCs w:val="1"/>
                <w:color w:val="auto"/>
              </w:rPr>
              <w:t>FY 2020 (c)</w:t>
            </w:r>
          </w:p>
        </w:tc>
        <w:tc>
          <w:tcPr>
            <w:tcW w:w="1340" w:type="dxa"/>
            <w:vAlign w:val="bottom"/>
            <w:tcBorders>
              <w:top w:val="single" w:sz="8" w:color="auto"/>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FY 2019 (d)</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Generally Accepted Accounting Principles (GAAP)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($458)</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$593</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$4,600</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$3,456</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22</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17</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88</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70</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40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(289)</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103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(506)</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(102)</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(745)</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(578)</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47</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($498)</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$322</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$3,468</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$3,067</w:t>
            </w:r>
          </w:p>
        </w:tc>
      </w:tr>
    </w:tbl>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300"/>
          </w:cols>
          <w:pgMar w:left="300" w:top="790" w:right="29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53"/>
        </w:trPr>
        <w:tc>
          <w:tcPr>
            <w:tcW w:w="60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(Loss per common share) or diluted earnings per common share (EPS)</w:t>
            </w:r>
          </w:p>
        </w:tc>
        <w:tc>
          <w:tcPr>
            <w:tcW w:w="1320" w:type="dxa"/>
            <w:vAlign w:val="bottom"/>
            <w:tcBorders>
              <w:top w:val="single" w:sz="8" w:color="auto"/>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4Q20 (a)</w:t>
            </w:r>
          </w:p>
        </w:tc>
        <w:tc>
          <w:tcPr>
            <w:tcW w:w="13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4Q19 (b)</w:t>
            </w:r>
          </w:p>
        </w:tc>
        <w:tc>
          <w:tcPr>
            <w:tcW w:w="1300" w:type="dxa"/>
            <w:vAlign w:val="bottom"/>
            <w:tcBorders>
              <w:top w:val="single" w:sz="8" w:color="auto"/>
              <w:bottom w:val="single" w:sz="8" w:color="auto"/>
              <w:right w:val="single" w:sz="8" w:color="auto"/>
            </w:tcBorders>
            <w:shd w:val="clear" w:color="auto" w:fill="EAEAEA"/>
          </w:tcPr>
          <w:p>
            <w:pPr>
              <w:jc w:val="right"/>
              <w:ind w:right="326"/>
              <w:spacing w:after="0"/>
              <w:rPr>
                <w:sz w:val="20"/>
                <w:szCs w:val="20"/>
                <w:color w:val="auto"/>
              </w:rPr>
            </w:pPr>
            <w:r>
              <w:rPr>
                <w:rFonts w:ascii="Arial" w:cs="Arial" w:eastAsia="Arial" w:hAnsi="Arial"/>
                <w:sz w:val="11"/>
                <w:szCs w:val="11"/>
                <w:b w:val="1"/>
                <w:bCs w:val="1"/>
                <w:color w:val="auto"/>
              </w:rPr>
              <w:t>FY 2020 (c)</w:t>
            </w:r>
          </w:p>
        </w:tc>
        <w:tc>
          <w:tcPr>
            <w:tcW w:w="1340" w:type="dxa"/>
            <w:vAlign w:val="bottom"/>
            <w:tcBorders>
              <w:top w:val="single" w:sz="8" w:color="auto"/>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FY 2019 (d)</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$3.84</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$25.31</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$20.10</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0.13</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0.10</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0.51</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0.40</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0.24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(1.67)</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0.60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(2.89)</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(0.60)</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(4.32)</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(3.35)</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0.01</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0.26</w:t>
            </w:r>
          </w:p>
        </w:tc>
      </w:tr>
      <w:tr>
        <w:trPr>
          <w:trHeight w:val="133"/>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($2.30)</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$2.28</w:t>
            </w:r>
          </w:p>
        </w:tc>
        <w:tc>
          <w:tcPr>
            <w:tcW w:w="13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$18.75</w:t>
            </w:r>
          </w:p>
        </w:tc>
        <w:tc>
          <w:tcPr>
            <w:tcW w:w="13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$17.87</w:t>
            </w:r>
          </w:p>
        </w:tc>
      </w:tr>
    </w:tbl>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0"/>
          <w:szCs w:val="10"/>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276" w:lineRule="exact"/>
        <w:rPr>
          <w:sz w:val="20"/>
          <w:szCs w:val="20"/>
          <w:color w:val="auto"/>
        </w:rPr>
      </w:pPr>
    </w:p>
    <w:p>
      <w:pPr>
        <w:jc w:val="both"/>
        <w:spacing w:after="0"/>
        <w:rPr>
          <w:sz w:val="20"/>
          <w:szCs w:val="20"/>
          <w:color w:val="auto"/>
        </w:rPr>
      </w:pPr>
      <w:r>
        <w:rPr>
          <w:rFonts w:ascii="Arial" w:cs="Arial" w:eastAsia="Arial" w:hAnsi="Arial"/>
          <w:sz w:val="13"/>
          <w:szCs w:val="13"/>
          <w:color w:val="auto"/>
        </w:rPr>
        <w:t>“Despite the pandemic, Humana has continued to accelerate on all fronts, including our short-term operating and financial performance, our ability to advance our long-term strategic objectives, and our customer centricity efforts,” said Bruce D. Broussard, Humana’s President and Chief Executive Officer. “Our response to the pandemic highlighted the value of our Medicare Advantage (MA) program, most notably its focus on supporting underserved populations and on addressing health disparities, critical areas of importance for our company, and for our country. To that end, we had strong MA membership growth in 2020 of 11 percent, including Dual Special Needs Plan (D-SNP) membership growth of 41 percent, and Medicaid footprint expansion from three states to six. We also continued to invest in our primary care and home assets to expand access to care, particularly for underserved populations. Given the strength of our underlying core business, combined with our continued strategic investments, we anticipate solid growth in 2021 and beyond.”</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Quarterly and Full Year Results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Results for 4Q20 and FY2020 reflect continued strong core performance across the company, combined with the impact of the ongoing COVID-19 pandemic, including the company’s relentless efforts to ease the burdens for all of its stakeholders by proactively addressing the physical, mental, and financial well-being of its members, communities including the underserved, providers, and employer groups.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Beginning in the latter half of November and accelerating throughout the month of December, the company experienced a significant increase in COVID-19 admissions in nearly all of the markets in which it operates across its Medicare Advantage, Medicaid, and group commercial insurance business lines. Humana also experienced a corresponding decline in non-COVID utilization in all service categories, with Medicare Advantage non-COVID utilization running approximately 15 percent below normal levels at the close of the quarter, well below the near baseline levels of utilization witnessed as late as the end of October 2020.</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Results of operations in the quarter were affected by the following factors:</w:t>
      </w:r>
    </w:p>
    <w:p>
      <w:pPr>
        <w:spacing w:after="0" w:line="11" w:lineRule="exact"/>
        <w:rPr>
          <w:sz w:val="20"/>
          <w:szCs w:val="20"/>
          <w:color w:val="auto"/>
        </w:rPr>
      </w:pPr>
    </w:p>
    <w:p>
      <w:pPr>
        <w:ind w:left="420" w:hanging="212"/>
        <w:spacing w:after="0" w:line="231" w:lineRule="auto"/>
        <w:tabs>
          <w:tab w:leader="none" w:pos="394" w:val="left"/>
        </w:tabs>
        <w:numPr>
          <w:ilvl w:val="0"/>
          <w:numId w:val="12"/>
        </w:numPr>
        <w:rPr>
          <w:rFonts w:ascii="Arial" w:cs="Arial" w:eastAsia="Arial" w:hAnsi="Arial"/>
          <w:sz w:val="13"/>
          <w:szCs w:val="13"/>
          <w:color w:val="auto"/>
        </w:rPr>
      </w:pPr>
      <w:r>
        <w:rPr>
          <w:rFonts w:ascii="Arial" w:cs="Arial" w:eastAsia="Arial" w:hAnsi="Arial"/>
          <w:sz w:val="13"/>
          <w:szCs w:val="13"/>
          <w:color w:val="auto"/>
        </w:rPr>
        <w:t>meaningful COVID-19 treatment and testing costs related to the uptick in cases in the last two months of 4Q20, more than offset by the declining levels of non-COVID utilization as previously discussed,</w:t>
      </w:r>
    </w:p>
    <w:p>
      <w:pPr>
        <w:ind w:left="400" w:hanging="192"/>
        <w:spacing w:after="0" w:line="231" w:lineRule="auto"/>
        <w:tabs>
          <w:tab w:leader="none" w:pos="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ongoing crisis relief efforts and strategic investments in the company's integrated care delivery model, both of which were heavily weighted to the final months of 2020, and</w:t>
      </w:r>
    </w:p>
    <w:p>
      <w:pPr>
        <w:ind w:left="400" w:hanging="192"/>
        <w:spacing w:after="0"/>
        <w:tabs>
          <w:tab w:leader="none" w:pos="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increased marketing expenses associated with the Medicare Advantage Annual Election Period (AEP).</w:t>
      </w:r>
    </w:p>
    <w:p>
      <w:pPr>
        <w:spacing w:after="0" w:line="141"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 addition, Humana’s 4Q20 and FY 2020 GAAP results of operations were impacted by market gains resulting from the initial conversion of the company's prior ownership interest in certain privately-held companies (primarily Oak Street Health, Inc.) into publicly-traded common stock upon such companies' initial public offering (IPO) during the third quarter of 2020 and the subsequent changes in the market value of such securities from their IPO. FY 2020 results were further impacted by the receipt of unpaid risk corridor payments (that were previously written off) in the third quarter. The receipt of the risk corridor payments was associated with losses incurred by the company under the Affordable Care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0"/>
          </w:cols>
          <w:pgMar w:left="300" w:top="786" w:right="299" w:bottom="1440" w:gutter="0" w:footer="0" w:header="0"/>
        </w:sectPr>
      </w:pPr>
    </w:p>
    <w:bookmarkStart w:id="15" w:name="page16"/>
    <w:bookmarkEnd w:id="15"/>
    <w:p>
      <w:pPr>
        <w:spacing w:after="0" w:line="275" w:lineRule="auto"/>
        <w:rPr>
          <w:sz w:val="20"/>
          <w:szCs w:val="20"/>
          <w:color w:val="auto"/>
        </w:rPr>
      </w:pPr>
      <w:r>
        <w:rPr>
          <w:rFonts w:ascii="Arial" w:cs="Arial" w:eastAsia="Arial" w:hAnsi="Arial"/>
          <w:sz w:val="13"/>
          <w:szCs w:val="13"/>
          <w:color w:val="auto"/>
        </w:rPr>
        <w:t>Act (ACA) business from 2014 to 2016. The receipt of these risk corridor payments accounted for less than 50 percent of the company’s accumulated pretax losses from its ACA businesses during that time period.</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The impact of both the fair market value changes and the receipt of the unpaid risk corridor payments have been excluded in the company’s Adjusted (non-GAAP) consolidated results of operations as detailed in the tables above.</w:t>
      </w:r>
    </w:p>
    <w:p>
      <w:pPr>
        <w:spacing w:after="0" w:line="107"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Please refer to the tables above, as well as the consolidated and segment highlight sections that follow for additional discussion of the factors impacting the year-over-year comparisons.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300"/>
          </w:cols>
          <w:pgMar w:left="300" w:top="769" w:right="29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In addition, below is a summary of key consolidated and segment statistics comparing 4Q20 to 4Q19 and FY 2020 to FY 2019.</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940" w:type="dxa"/>
            <w:vAlign w:val="bottom"/>
            <w:tcBorders>
              <w:top w:val="single" w:sz="8" w:color="auto"/>
              <w:left w:val="single" w:sz="8" w:color="auto"/>
              <w:right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Humana Inc. Summary of Quarterly Results</w:t>
            </w:r>
          </w:p>
        </w:tc>
        <w:tc>
          <w:tcPr>
            <w:tcW w:w="1840" w:type="dxa"/>
            <w:vAlign w:val="bottom"/>
            <w:tcBorders>
              <w:top w:val="single" w:sz="8" w:color="auto"/>
              <w:right w:val="single" w:sz="8" w:color="auto"/>
            </w:tcBorders>
            <w:gridSpan w:val="2"/>
            <w:vMerge w:val="restart"/>
            <w:shd w:val="clear" w:color="auto" w:fill="EAEAEA"/>
          </w:tcPr>
          <w:p>
            <w:pPr>
              <w:jc w:val="right"/>
              <w:ind w:right="666"/>
              <w:spacing w:after="0"/>
              <w:rPr>
                <w:sz w:val="20"/>
                <w:szCs w:val="20"/>
                <w:color w:val="auto"/>
              </w:rPr>
            </w:pPr>
            <w:r>
              <w:rPr>
                <w:rFonts w:ascii="Arial" w:cs="Arial" w:eastAsia="Arial" w:hAnsi="Arial"/>
                <w:sz w:val="11"/>
                <w:szCs w:val="11"/>
                <w:b w:val="1"/>
                <w:bCs w:val="1"/>
                <w:color w:val="auto"/>
              </w:rPr>
              <w:t>4Q20 (a)</w:t>
            </w:r>
          </w:p>
        </w:tc>
        <w:tc>
          <w:tcPr>
            <w:tcW w:w="1820" w:type="dxa"/>
            <w:vAlign w:val="bottom"/>
            <w:tcBorders>
              <w:top w:val="single" w:sz="8" w:color="auto"/>
              <w:right w:val="single" w:sz="8" w:color="auto"/>
            </w:tcBorders>
            <w:vMerge w:val="restart"/>
          </w:tcPr>
          <w:p>
            <w:pPr>
              <w:jc w:val="right"/>
              <w:ind w:right="666"/>
              <w:spacing w:after="0"/>
              <w:rPr>
                <w:sz w:val="20"/>
                <w:szCs w:val="20"/>
                <w:color w:val="auto"/>
              </w:rPr>
            </w:pPr>
            <w:r>
              <w:rPr>
                <w:rFonts w:ascii="Arial" w:cs="Arial" w:eastAsia="Arial" w:hAnsi="Arial"/>
                <w:sz w:val="11"/>
                <w:szCs w:val="11"/>
                <w:color w:val="auto"/>
              </w:rPr>
              <w:t>4Q19 (b)</w:t>
            </w:r>
          </w:p>
        </w:tc>
        <w:tc>
          <w:tcPr>
            <w:tcW w:w="1860" w:type="dxa"/>
            <w:vAlign w:val="bottom"/>
            <w:tcBorders>
              <w:top w:val="single" w:sz="8" w:color="auto"/>
              <w:right w:val="single" w:sz="8" w:color="auto"/>
            </w:tcBorders>
            <w:gridSpan w:val="2"/>
            <w:vMerge w:val="restart"/>
            <w:shd w:val="clear" w:color="auto" w:fill="EAEAEA"/>
          </w:tcPr>
          <w:p>
            <w:pPr>
              <w:jc w:val="right"/>
              <w:ind w:right="606"/>
              <w:spacing w:after="0"/>
              <w:rPr>
                <w:sz w:val="20"/>
                <w:szCs w:val="20"/>
                <w:color w:val="auto"/>
              </w:rPr>
            </w:pPr>
            <w:r>
              <w:rPr>
                <w:rFonts w:ascii="Arial" w:cs="Arial" w:eastAsia="Arial" w:hAnsi="Arial"/>
                <w:sz w:val="11"/>
                <w:szCs w:val="11"/>
                <w:b w:val="1"/>
                <w:bCs w:val="1"/>
                <w:color w:val="auto"/>
              </w:rPr>
              <w:t>FY 2020 (c)</w:t>
            </w:r>
          </w:p>
        </w:tc>
        <w:tc>
          <w:tcPr>
            <w:tcW w:w="1860" w:type="dxa"/>
            <w:vAlign w:val="bottom"/>
            <w:tcBorders>
              <w:top w:val="single" w:sz="8" w:color="auto"/>
              <w:right w:val="single" w:sz="8" w:color="auto"/>
            </w:tcBorders>
            <w:vMerge w:val="restart"/>
          </w:tcPr>
          <w:p>
            <w:pPr>
              <w:jc w:val="right"/>
              <w:ind w:right="606"/>
              <w:spacing w:after="0"/>
              <w:rPr>
                <w:sz w:val="20"/>
                <w:szCs w:val="20"/>
                <w:color w:val="auto"/>
              </w:rPr>
            </w:pPr>
            <w:r>
              <w:rPr>
                <w:rFonts w:ascii="Arial" w:cs="Arial" w:eastAsia="Arial" w:hAnsi="Arial"/>
                <w:sz w:val="11"/>
                <w:szCs w:val="11"/>
                <w:color w:val="auto"/>
              </w:rPr>
              <w:t>FY 2019 (d)</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(dollars in millions, except per share amounts)</w:t>
            </w:r>
          </w:p>
        </w:tc>
        <w:tc>
          <w:tcPr>
            <w:tcW w:w="184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20" w:type="dxa"/>
            <w:vAlign w:val="bottom"/>
            <w:tcBorders>
              <w:bottom w:val="single" w:sz="8" w:color="auto"/>
              <w:right w:val="single" w:sz="8" w:color="auto"/>
            </w:tcBorders>
            <w:vMerge w:val="continue"/>
          </w:tcPr>
          <w:p>
            <w:pPr>
              <w:spacing w:after="0"/>
              <w:rPr>
                <w:sz w:val="12"/>
                <w:szCs w:val="12"/>
                <w:color w:val="auto"/>
              </w:rPr>
            </w:pPr>
          </w:p>
        </w:tc>
        <w:tc>
          <w:tcPr>
            <w:tcW w:w="186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Consolidated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$19,062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$16,295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$77,155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$64,888</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$18,960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$16,295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$75,801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$64,888</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(loss) income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($458)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$593</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$4,600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$3,456</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(loss) income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($498)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$3,468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$3,067</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(Loss per common share) diluted EPS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$3.84</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$25.31</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(Loss per common share ) diluted EPS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($2.30)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$18.75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$17.87</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88.3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83.1</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Adjusted</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88.3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83.8</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16.3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13.2</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11.5 %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Adjusted</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16.3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cash flows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$283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$512</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$5,639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$5,284</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Parent company cash and short term investments</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$772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$1,361</w:t>
            </w: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Debt-to-total capitalization</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32.7 %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32.0 %</w:t>
            </w: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Retail segment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$16,834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$14,207</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$67,298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$56,466</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87.0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86.3 %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84.2</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14.0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11.6 %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11.0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($210)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$3,017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$2,235</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$279</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$3,032</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$2,251</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Group and Specialty segment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$1,791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$1,875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$7,285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$7,525</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104.3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95.2 %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85.6</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86.0 %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28.1</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22.4 %</w:t>
            </w:r>
          </w:p>
        </w:tc>
        <w:tc>
          <w:tcPr>
            <w:tcW w:w="1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25.0</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22.0 %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($375)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($143)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(loss) earnings - Adjusted</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($374)</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($145)</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Healthcare Services segment results:</w:t>
            </w:r>
          </w:p>
        </w:tc>
        <w:tc>
          <w:tcPr>
            <w:tcW w:w="170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20" w:type="dxa"/>
            <w:vAlign w:val="bottom"/>
            <w:tcBorders>
              <w:bottom w:val="single" w:sz="8" w:color="auto"/>
              <w:right w:val="single" w:sz="8" w:color="auto"/>
            </w:tcBorders>
            <w:shd w:val="clear" w:color="auto" w:fill="EAEAEA"/>
          </w:tcPr>
          <w:p>
            <w:pPr>
              <w:spacing w:after="0"/>
              <w:rPr>
                <w:sz w:val="11"/>
                <w:szCs w:val="11"/>
                <w:color w:val="auto"/>
              </w:rPr>
            </w:pPr>
          </w:p>
        </w:tc>
        <w:tc>
          <w:tcPr>
            <w:tcW w:w="1720" w:type="dxa"/>
            <w:vAlign w:val="bottom"/>
            <w:tcBorders>
              <w:bottom w:val="single" w:sz="8" w:color="auto"/>
            </w:tcBorders>
            <w:shd w:val="clear" w:color="auto" w:fill="EAEAEA"/>
          </w:tcPr>
          <w:p>
            <w:pPr>
              <w:spacing w:after="0"/>
              <w:rPr>
                <w:sz w:val="11"/>
                <w:szCs w:val="11"/>
                <w:color w:val="auto"/>
              </w:rPr>
            </w:pP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$7,291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$6,696</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$28,448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$25,783</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97.8 %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96.8 %</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96.3 %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96.4 %</w:t>
            </w: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4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$128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$944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$789</w:t>
            </w:r>
          </w:p>
        </w:tc>
        <w:tc>
          <w:tcPr>
            <w:tcW w:w="0" w:type="dxa"/>
            <w:vAlign w:val="bottom"/>
          </w:tcPr>
          <w:p>
            <w:pPr>
              <w:spacing w:after="0"/>
              <w:rPr>
                <w:sz w:val="1"/>
                <w:szCs w:val="1"/>
                <w:color w:val="auto"/>
              </w:rPr>
            </w:pPr>
          </w:p>
        </w:tc>
      </w:tr>
      <w:tr>
        <w:trPr>
          <w:trHeight w:val="97"/>
        </w:trPr>
        <w:tc>
          <w:tcPr>
            <w:tcW w:w="3940" w:type="dxa"/>
            <w:vAlign w:val="bottom"/>
            <w:tcBorders>
              <w:left w:val="single" w:sz="8" w:color="auto"/>
              <w:right w:val="single" w:sz="8" w:color="auto"/>
            </w:tcBorders>
          </w:tcPr>
          <w:p>
            <w:pPr>
              <w:ind w:left="20"/>
              <w:spacing w:after="0" w:line="97" w:lineRule="exact"/>
              <w:rPr>
                <w:sz w:val="20"/>
                <w:szCs w:val="20"/>
                <w:color w:val="auto"/>
              </w:rPr>
            </w:pPr>
            <w:r>
              <w:rPr>
                <w:rFonts w:ascii="Arial" w:cs="Arial" w:eastAsia="Arial" w:hAnsi="Arial"/>
                <w:sz w:val="11"/>
                <w:szCs w:val="11"/>
                <w:color w:val="auto"/>
                <w:w w:val="98"/>
              </w:rPr>
              <w:t>Adjusted earnings before interest, taxes, depreciation and amortization (Adjusted</w:t>
            </w:r>
          </w:p>
        </w:tc>
        <w:tc>
          <w:tcPr>
            <w:tcW w:w="184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$196</w:t>
            </w: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$241</w:t>
            </w:r>
          </w:p>
        </w:tc>
        <w:tc>
          <w:tcPr>
            <w:tcW w:w="186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$1,232</w:t>
            </w:r>
          </w:p>
        </w:tc>
        <w:tc>
          <w:tcPr>
            <w:tcW w:w="1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44"/>
        </w:trPr>
        <w:tc>
          <w:tcPr>
            <w:tcW w:w="3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EBITDA) (e)</w:t>
            </w:r>
          </w:p>
        </w:tc>
        <w:tc>
          <w:tcPr>
            <w:tcW w:w="184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20" w:type="dxa"/>
            <w:vAlign w:val="bottom"/>
            <w:tcBorders>
              <w:bottom w:val="single" w:sz="8" w:color="auto"/>
              <w:right w:val="single" w:sz="8" w:color="auto"/>
            </w:tcBorders>
            <w:vMerge w:val="continue"/>
          </w:tcPr>
          <w:p>
            <w:pPr>
              <w:spacing w:after="0"/>
              <w:rPr>
                <w:sz w:val="12"/>
                <w:szCs w:val="12"/>
                <w:color w:val="auto"/>
              </w:rPr>
            </w:pPr>
          </w:p>
        </w:tc>
        <w:tc>
          <w:tcPr>
            <w:tcW w:w="186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8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2021 Earnings Guidance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While acknowledging the heightened uncertainty surrounding the ongoing pandemic, the company provided its GAAP and Adjusted EPS guidance for the year ending December 31, 2021 (FY 2021) as detailed below. GAAP and Adjusted results for FY 2020 are also shown for comparison. Additional FY 2021 guidance points are included in the table beginning on page 24 of this earnings release.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0"/>
          </w:cols>
          <w:pgMar w:left="300" w:top="913" w:right="29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108"/>
        </w:trPr>
        <w:tc>
          <w:tcPr>
            <w:tcW w:w="8560" w:type="dxa"/>
            <w:vAlign w:val="bottom"/>
            <w:tcBorders>
              <w:top w:val="single" w:sz="8" w:color="auto"/>
              <w:left w:val="single" w:sz="8" w:color="auto"/>
              <w:right w:val="single" w:sz="8" w:color="auto"/>
            </w:tcBorders>
            <w:vMerge w:val="restart"/>
            <w:shd w:val="clear" w:color="auto" w:fill="EAEAEA"/>
          </w:tcPr>
          <w:p>
            <w:pPr>
              <w:ind w:left="3440"/>
              <w:spacing w:after="0"/>
              <w:rPr>
                <w:sz w:val="20"/>
                <w:szCs w:val="20"/>
                <w:color w:val="auto"/>
              </w:rPr>
            </w:pPr>
            <w:r>
              <w:rPr>
                <w:rFonts w:ascii="Arial" w:cs="Arial" w:eastAsia="Arial" w:hAnsi="Arial"/>
                <w:sz w:val="10"/>
                <w:szCs w:val="10"/>
                <w:b w:val="1"/>
                <w:bCs w:val="1"/>
                <w:color w:val="auto"/>
              </w:rPr>
              <w:t>Diluted earnings per common share</w:t>
            </w:r>
          </w:p>
        </w:tc>
        <w:tc>
          <w:tcPr>
            <w:tcW w:w="1420" w:type="dxa"/>
            <w:vAlign w:val="bottom"/>
            <w:tcBorders>
              <w:top w:val="single" w:sz="8" w:color="auto"/>
              <w:right w:val="single" w:sz="8" w:color="auto"/>
            </w:tcBorders>
            <w:shd w:val="clear" w:color="auto" w:fill="EAEAEA"/>
          </w:tcPr>
          <w:p>
            <w:pPr>
              <w:jc w:val="right"/>
              <w:ind w:right="508"/>
              <w:spacing w:after="0" w:line="108" w:lineRule="exact"/>
              <w:rPr>
                <w:sz w:val="20"/>
                <w:szCs w:val="20"/>
                <w:color w:val="auto"/>
              </w:rPr>
            </w:pPr>
            <w:r>
              <w:rPr>
                <w:rFonts w:ascii="Arial" w:cs="Arial" w:eastAsia="Arial" w:hAnsi="Arial"/>
                <w:sz w:val="10"/>
                <w:szCs w:val="10"/>
                <w:b w:val="1"/>
                <w:bCs w:val="1"/>
                <w:color w:val="auto"/>
              </w:rPr>
              <w:t>FY 2021</w:t>
            </w:r>
          </w:p>
        </w:tc>
        <w:tc>
          <w:tcPr>
            <w:tcW w:w="1280" w:type="dxa"/>
            <w:vAlign w:val="bottom"/>
            <w:tcBorders>
              <w:top w:val="single" w:sz="8" w:color="auto"/>
              <w:right w:val="single" w:sz="8" w:color="auto"/>
            </w:tcBorders>
            <w:vMerge w:val="restart"/>
            <w:shd w:val="clear" w:color="auto" w:fill="EAEAEA"/>
          </w:tcPr>
          <w:p>
            <w:pPr>
              <w:jc w:val="right"/>
              <w:ind w:right="367"/>
              <w:spacing w:after="0"/>
              <w:rPr>
                <w:sz w:val="20"/>
                <w:szCs w:val="20"/>
                <w:color w:val="auto"/>
              </w:rPr>
            </w:pPr>
            <w:r>
              <w:rPr>
                <w:rFonts w:ascii="Arial" w:cs="Arial" w:eastAsia="Arial" w:hAnsi="Arial"/>
                <w:sz w:val="10"/>
                <w:szCs w:val="10"/>
                <w:color w:val="auto"/>
              </w:rPr>
              <w:t>FY 2020 (c)</w:t>
            </w:r>
          </w:p>
        </w:tc>
        <w:tc>
          <w:tcPr>
            <w:tcW w:w="0" w:type="dxa"/>
            <w:vAlign w:val="bottom"/>
          </w:tcPr>
          <w:p>
            <w:pPr>
              <w:spacing w:after="0"/>
              <w:rPr>
                <w:sz w:val="1"/>
                <w:szCs w:val="1"/>
                <w:color w:val="auto"/>
              </w:rPr>
            </w:pPr>
          </w:p>
        </w:tc>
      </w:tr>
      <w:tr>
        <w:trPr>
          <w:trHeight w:val="117"/>
        </w:trPr>
        <w:tc>
          <w:tcPr>
            <w:tcW w:w="8560" w:type="dxa"/>
            <w:vAlign w:val="bottom"/>
            <w:tcBorders>
              <w:left w:val="single" w:sz="8" w:color="auto"/>
              <w:bottom w:val="single" w:sz="8" w:color="auto"/>
              <w:right w:val="single" w:sz="8" w:color="auto"/>
            </w:tcBorders>
            <w:vMerge w:val="continue"/>
            <w:shd w:val="clear" w:color="auto" w:fill="EAEAEA"/>
          </w:tcPr>
          <w:p>
            <w:pPr>
              <w:spacing w:after="0"/>
              <w:rPr>
                <w:sz w:val="10"/>
                <w:szCs w:val="10"/>
                <w:color w:val="auto"/>
              </w:rPr>
            </w:pPr>
          </w:p>
        </w:tc>
        <w:tc>
          <w:tcPr>
            <w:tcW w:w="1420" w:type="dxa"/>
            <w:vAlign w:val="bottom"/>
            <w:tcBorders>
              <w:bottom w:val="single" w:sz="8" w:color="auto"/>
              <w:right w:val="single" w:sz="8" w:color="auto"/>
            </w:tcBorders>
            <w:shd w:val="clear" w:color="auto" w:fill="EAEAEA"/>
          </w:tcPr>
          <w:p>
            <w:pPr>
              <w:jc w:val="right"/>
              <w:ind w:right="388"/>
              <w:spacing w:after="0"/>
              <w:rPr>
                <w:sz w:val="20"/>
                <w:szCs w:val="20"/>
                <w:color w:val="auto"/>
              </w:rPr>
            </w:pPr>
            <w:r>
              <w:rPr>
                <w:rFonts w:ascii="Arial" w:cs="Arial" w:eastAsia="Arial" w:hAnsi="Arial"/>
                <w:sz w:val="10"/>
                <w:szCs w:val="10"/>
                <w:b w:val="1"/>
                <w:bCs w:val="1"/>
                <w:color w:val="auto"/>
              </w:rPr>
              <w:t>Guidance (f)</w:t>
            </w:r>
          </w:p>
        </w:tc>
        <w:tc>
          <w:tcPr>
            <w:tcW w:w="1280" w:type="dxa"/>
            <w:vAlign w:val="bottom"/>
            <w:tcBorders>
              <w:bottom w:val="single" w:sz="8" w:color="auto"/>
              <w:right w:val="single" w:sz="8" w:color="auto"/>
            </w:tcBorders>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GAAP</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$20.82 to $21.32</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$25.31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Amortization of identifiable intangibles</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~$0.43</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0.51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0.60</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Change in fair market value of publicly-traded equity securities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color w:val="auto"/>
              </w:rPr>
              <w:t>(4.32)</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Adjusted (non-GAAP) – FY 2021 projected; FY 2020 reported</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$21.25 to $21.75</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$18.75</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2022 Final Rate Notice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January 15, 2021, Centers for Medicare &amp; Medicaid Services (CMS) published its Announcement of Calendar Year 2022 Medicare Advantage Capitation Rates and Part C and Part D Payment Policies (the Final Rate Notice). The company expects the Final Rate Notice to result in a 3.7 percent</w:t>
      </w:r>
      <w:r>
        <w:rPr>
          <w:rFonts w:ascii="Arial" w:cs="Arial" w:eastAsia="Arial" w:hAnsi="Arial"/>
          <w:sz w:val="7"/>
          <w:szCs w:val="7"/>
          <w:color w:val="auto"/>
        </w:rPr>
        <w:t>(g)</w:t>
      </w:r>
      <w:r>
        <w:rPr>
          <w:rFonts w:ascii="Arial" w:cs="Arial" w:eastAsia="Arial" w:hAnsi="Arial"/>
          <w:sz w:val="13"/>
          <w:szCs w:val="13"/>
          <w:color w:val="auto"/>
        </w:rPr>
        <w:t xml:space="preserve"> rate increase for non end stage renal disease (ESRD) Medicare Advantage business, excluding the impact of Employer Group Waiver Plan (EGWP) funding changes. The company’s 3.7 percent rate increase compares to CMS’ estimate for the sector of 4.08 percent on a comparable basis, with the variance primarily driven by county rebasing and the company's geographic footprint. CMS also establishes separate rates of payment for ESRD beneficiaries enrolled in Medicare Advantage plans. The company expects the Final Rate Notice to result in a 5.0 percent rate increase in 2021 for ESRD beneficiaries. The company’s estimate of 5.0 percent is equivalent to CMS’ estimate.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2022 benchmark increase of 3.7 percent includes roughly 0.8 percent for the projected cost of COVID-19 vaccines.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 Consolidated Highlights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revenues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5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revenues</w:t>
            </w:r>
          </w:p>
        </w:tc>
        <w:tc>
          <w:tcPr>
            <w:tcW w:w="220" w:type="dxa"/>
            <w:vAlign w:val="bottom"/>
            <w:tcBorders>
              <w:top w:val="single" w:sz="8" w:color="auto"/>
              <w:bottom w:val="single" w:sz="8" w:color="auto"/>
            </w:tcBorders>
            <w:shd w:val="clear" w:color="auto" w:fill="EAEAEA"/>
          </w:tcPr>
          <w:p>
            <w:pPr>
              <w:spacing w:after="0"/>
              <w:rPr>
                <w:sz w:val="13"/>
                <w:szCs w:val="13"/>
                <w:color w:val="auto"/>
              </w:rPr>
            </w:pPr>
          </w:p>
        </w:tc>
        <w:tc>
          <w:tcPr>
            <w:tcW w:w="1020" w:type="dxa"/>
            <w:vAlign w:val="bottom"/>
            <w:tcBorders>
              <w:top w:val="single" w:sz="8" w:color="auto"/>
              <w:bottom w:val="single" w:sz="8" w:color="auto"/>
              <w:right w:val="single" w:sz="8" w:color="auto"/>
            </w:tcBorders>
            <w:shd w:val="clear" w:color="auto" w:fill="EAEAEA"/>
          </w:tcPr>
          <w:p>
            <w:pPr>
              <w:jc w:val="right"/>
              <w:ind w:right="366"/>
              <w:spacing w:after="0"/>
              <w:rPr>
                <w:sz w:val="20"/>
                <w:szCs w:val="20"/>
                <w:color w:val="auto"/>
              </w:rPr>
            </w:pPr>
            <w:r>
              <w:rPr>
                <w:rFonts w:ascii="Arial" w:cs="Arial" w:eastAsia="Arial" w:hAnsi="Arial"/>
                <w:sz w:val="11"/>
                <w:szCs w:val="11"/>
                <w:b w:val="1"/>
                <w:bCs w:val="1"/>
                <w:color w:val="auto"/>
              </w:rPr>
              <w:t>4Q20 (a)</w:t>
            </w: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right w:val="single" w:sz="8" w:color="auto"/>
            </w:tcBorders>
          </w:tcPr>
          <w:p>
            <w:pPr>
              <w:jc w:val="right"/>
              <w:ind w:right="566"/>
              <w:spacing w:after="0"/>
              <w:rPr>
                <w:sz w:val="20"/>
                <w:szCs w:val="20"/>
                <w:color w:val="auto"/>
              </w:rPr>
            </w:pPr>
            <w:r>
              <w:rPr>
                <w:rFonts w:ascii="Arial" w:cs="Arial" w:eastAsia="Arial" w:hAnsi="Arial"/>
                <w:sz w:val="11"/>
                <w:szCs w:val="11"/>
                <w:color w:val="auto"/>
              </w:rPr>
              <w:t>4Q19</w:t>
            </w:r>
          </w:p>
        </w:tc>
        <w:tc>
          <w:tcPr>
            <w:tcW w:w="220" w:type="dxa"/>
            <w:vAlign w:val="bottom"/>
            <w:tcBorders>
              <w:top w:val="single" w:sz="8" w:color="auto"/>
              <w:bottom w:val="single" w:sz="8" w:color="auto"/>
            </w:tcBorders>
            <w:shd w:val="clear" w:color="auto" w:fill="EAEAEA"/>
          </w:tcPr>
          <w:p>
            <w:pPr>
              <w:spacing w:after="0"/>
              <w:rPr>
                <w:sz w:val="13"/>
                <w:szCs w:val="13"/>
                <w:color w:val="auto"/>
              </w:rPr>
            </w:pPr>
          </w:p>
        </w:tc>
        <w:tc>
          <w:tcPr>
            <w:tcW w:w="1100" w:type="dxa"/>
            <w:vAlign w:val="bottom"/>
            <w:tcBorders>
              <w:top w:val="single" w:sz="8" w:color="auto"/>
              <w:bottom w:val="single" w:sz="8" w:color="auto"/>
              <w:right w:val="single" w:sz="8" w:color="auto"/>
            </w:tcBorders>
            <w:shd w:val="clear" w:color="auto" w:fill="EAEAEA"/>
          </w:tcPr>
          <w:p>
            <w:pPr>
              <w:jc w:val="right"/>
              <w:ind w:right="326"/>
              <w:spacing w:after="0"/>
              <w:rPr>
                <w:sz w:val="20"/>
                <w:szCs w:val="20"/>
                <w:color w:val="auto"/>
              </w:rPr>
            </w:pPr>
            <w:r>
              <w:rPr>
                <w:rFonts w:ascii="Arial" w:cs="Arial" w:eastAsia="Arial" w:hAnsi="Arial"/>
                <w:sz w:val="11"/>
                <w:szCs w:val="11"/>
                <w:b w:val="1"/>
                <w:bCs w:val="1"/>
                <w:color w:val="auto"/>
              </w:rPr>
              <w:t>FY 2020 (c)</w:t>
            </w: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FY 2019</w:t>
            </w:r>
          </w:p>
        </w:tc>
      </w:tr>
      <w:tr>
        <w:trPr>
          <w:trHeight w:val="133"/>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220" w:type="dxa"/>
            <w:vAlign w:val="bottom"/>
            <w:tcBorders>
              <w:bottom w:val="single" w:sz="8" w:color="auto"/>
            </w:tcBorders>
            <w:shd w:val="clear" w:color="auto" w:fill="EAEAEA"/>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19,062</w:t>
            </w: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16,295</w:t>
            </w:r>
          </w:p>
        </w:tc>
        <w:tc>
          <w:tcPr>
            <w:tcW w:w="220" w:type="dxa"/>
            <w:vAlign w:val="bottom"/>
            <w:tcBorders>
              <w:bottom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77,155</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64,888</w:t>
            </w:r>
          </w:p>
        </w:tc>
      </w:tr>
      <w:tr>
        <w:trPr>
          <w:trHeight w:val="133"/>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Change in fair market value of publicly-traded equity securities</w:t>
            </w:r>
          </w:p>
        </w:tc>
        <w:tc>
          <w:tcPr>
            <w:tcW w:w="220" w:type="dxa"/>
            <w:vAlign w:val="bottom"/>
            <w:tcBorders>
              <w:bottom w:val="single" w:sz="8" w:color="auto"/>
            </w:tcBorders>
            <w:shd w:val="clear" w:color="auto" w:fill="EAEAEA"/>
          </w:tcPr>
          <w:p>
            <w:pPr>
              <w:spacing w:after="0"/>
              <w:rPr>
                <w:sz w:val="11"/>
                <w:szCs w:val="11"/>
                <w:color w:val="auto"/>
              </w:rPr>
            </w:pPr>
          </w:p>
        </w:tc>
        <w:tc>
          <w:tcPr>
            <w:tcW w:w="10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(102)</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EAEAEA"/>
          </w:tcPr>
          <w:p>
            <w:pPr>
              <w:spacing w:after="0"/>
              <w:rPr>
                <w:sz w:val="11"/>
                <w:szCs w:val="11"/>
                <w:color w:val="auto"/>
              </w:rPr>
            </w:pPr>
          </w:p>
        </w:tc>
        <w:tc>
          <w:tcPr>
            <w:tcW w:w="11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(745)</w:t>
            </w: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33"/>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w:t>
            </w:r>
          </w:p>
        </w:tc>
        <w:tc>
          <w:tcPr>
            <w:tcW w:w="220" w:type="dxa"/>
            <w:vAlign w:val="bottom"/>
            <w:tcBorders>
              <w:bottom w:val="single" w:sz="8" w:color="auto"/>
            </w:tcBorders>
            <w:shd w:val="clear" w:color="auto" w:fill="EAEAEA"/>
          </w:tcPr>
          <w:p>
            <w:pPr>
              <w:spacing w:after="0"/>
              <w:rPr>
                <w:sz w:val="11"/>
                <w:szCs w:val="11"/>
                <w:color w:val="auto"/>
              </w:rPr>
            </w:pPr>
          </w:p>
        </w:tc>
        <w:tc>
          <w:tcPr>
            <w:tcW w:w="10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EAEAEA"/>
          </w:tcPr>
          <w:p>
            <w:pPr>
              <w:spacing w:after="0"/>
              <w:rPr>
                <w:sz w:val="11"/>
                <w:szCs w:val="11"/>
                <w:color w:val="auto"/>
              </w:rPr>
            </w:pPr>
          </w:p>
        </w:tc>
        <w:tc>
          <w:tcPr>
            <w:tcW w:w="11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(609)</w:t>
            </w: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33"/>
        </w:trPr>
        <w:tc>
          <w:tcPr>
            <w:tcW w:w="5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(non-GAAP)</w:t>
            </w:r>
          </w:p>
        </w:tc>
        <w:tc>
          <w:tcPr>
            <w:tcW w:w="220" w:type="dxa"/>
            <w:vAlign w:val="bottom"/>
            <w:tcBorders>
              <w:bottom w:val="single" w:sz="8" w:color="auto"/>
            </w:tcBorders>
            <w:shd w:val="clear" w:color="auto" w:fill="EAEAEA"/>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18,960</w:t>
            </w: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16,295</w:t>
            </w:r>
          </w:p>
        </w:tc>
        <w:tc>
          <w:tcPr>
            <w:tcW w:w="220" w:type="dxa"/>
            <w:vAlign w:val="bottom"/>
            <w:tcBorders>
              <w:bottom w:val="single" w:sz="8" w:color="auto"/>
            </w:tcBorders>
            <w:shd w:val="clear" w:color="auto" w:fill="EAEAEA"/>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75,801</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64,888</w:t>
            </w:r>
          </w:p>
        </w:tc>
      </w:tr>
    </w:tbl>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GAAP consolidated revenues for 4Q20 were $19.06 billion, an increase of $ 2.77 billion, or 17 percent, from $16.30 billion in 4Q19. Total premiums and services revenues of $ 18.85 billion in 4Q20 increased $2.70 billion, or 17 percent, from $16.15 billion in 4Q19. The favorable year-over-year comparisons were primarily driven by higher premium revenues stemming from Medicare Advantage and state-based contracts membership growth and higher per member Medicare Advantage premiums. These increases were partially offset by the impact of declining year-over-year stand-alone PDP and fully-insured group commercial medical membership.</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GAAP consolidated revenues for FY 2020 increased $12.27 billion, or 19 percent, to $77.16 billion from $64.89 billion in FY 2019. Total FY 2020 premiums and services revenues rose to $76.00 billion, increasing $11.61 billion, or 18 percent, from $64.39 billion in the prior-year period. The FY 2020 increases were primarily driven by the same factors impacting the quarterly GAAP comparison, along with higher investment income primarily resulting from market gains associated with publicly-traded equity securities held by the company and the receipt of payments associated with the commercial risk corridor receivables (previously written-off) in the third quarter of 2020.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300"/>
          </w:cols>
          <w:pgMar w:left="300" w:top="930" w:right="299" w:bottom="1440" w:gutter="0" w:footer="0" w:header="0"/>
        </w:sectPr>
      </w:pPr>
    </w:p>
    <w:bookmarkStart w:id="18" w:name="page19"/>
    <w:bookmarkEnd w:id="18"/>
    <w:p>
      <w:pPr>
        <w:jc w:val="both"/>
        <w:spacing w:after="0" w:line="290" w:lineRule="auto"/>
        <w:rPr>
          <w:sz w:val="20"/>
          <w:szCs w:val="20"/>
          <w:color w:val="auto"/>
        </w:rPr>
      </w:pPr>
      <w:r>
        <w:rPr>
          <w:rFonts w:ascii="Arial" w:cs="Arial" w:eastAsia="Arial" w:hAnsi="Arial"/>
          <w:sz w:val="13"/>
          <w:szCs w:val="13"/>
          <w:color w:val="auto"/>
        </w:rPr>
        <w:t>Adjusted consolidated revenues for both 4Q20 and FY 2020 were impacted by the same factors affecting the GAAP comparisons while excluding the impact of the factors detailed in the table above.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benefits expense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5620" w:type="dxa"/>
            <w:vAlign w:val="bottom"/>
            <w:tcBorders>
              <w:top w:val="single" w:sz="8" w:color="auto"/>
              <w:left w:val="single" w:sz="8" w:color="auto"/>
              <w:right w:val="single" w:sz="8" w:color="auto"/>
            </w:tcBorders>
          </w:tcPr>
          <w:p>
            <w:pPr>
              <w:ind w:left="20"/>
              <w:spacing w:after="0" w:line="117" w:lineRule="exact"/>
              <w:rPr>
                <w:sz w:val="20"/>
                <w:szCs w:val="20"/>
                <w:color w:val="auto"/>
              </w:rPr>
            </w:pPr>
            <w:r>
              <w:rPr>
                <w:rFonts w:ascii="Arial" w:cs="Arial" w:eastAsia="Arial" w:hAnsi="Arial"/>
                <w:sz w:val="11"/>
                <w:szCs w:val="11"/>
                <w:b w:val="1"/>
                <w:bCs w:val="1"/>
                <w:color w:val="auto"/>
              </w:rPr>
              <w:t>Consolidated benefit ratio</w:t>
            </w:r>
          </w:p>
        </w:tc>
        <w:tc>
          <w:tcPr>
            <w:tcW w:w="1320" w:type="dxa"/>
            <w:vAlign w:val="bottom"/>
            <w:tcBorders>
              <w:top w:val="single" w:sz="8" w:color="auto"/>
              <w:right w:val="single" w:sz="8" w:color="auto"/>
            </w:tcBorders>
            <w:gridSpan w:val="2"/>
            <w:vMerge w:val="restart"/>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4Q20 (a)</w:t>
            </w:r>
          </w:p>
        </w:tc>
        <w:tc>
          <w:tcPr>
            <w:tcW w:w="1520" w:type="dxa"/>
            <w:vAlign w:val="bottom"/>
            <w:tcBorders>
              <w:top w:val="single" w:sz="8" w:color="auto"/>
              <w:right w:val="single" w:sz="8" w:color="auto"/>
            </w:tcBorders>
            <w:vMerge w:val="restart"/>
          </w:tcPr>
          <w:p>
            <w:pPr>
              <w:jc w:val="right"/>
              <w:ind w:right="586"/>
              <w:spacing w:after="0"/>
              <w:rPr>
                <w:sz w:val="20"/>
                <w:szCs w:val="20"/>
                <w:color w:val="auto"/>
              </w:rPr>
            </w:pPr>
            <w:r>
              <w:rPr>
                <w:rFonts w:ascii="Arial" w:cs="Arial" w:eastAsia="Arial" w:hAnsi="Arial"/>
                <w:sz w:val="11"/>
                <w:szCs w:val="11"/>
                <w:color w:val="auto"/>
              </w:rPr>
              <w:t>4Q19</w:t>
            </w:r>
          </w:p>
        </w:tc>
        <w:tc>
          <w:tcPr>
            <w:tcW w:w="1380" w:type="dxa"/>
            <w:vAlign w:val="bottom"/>
            <w:tcBorders>
              <w:top w:val="single" w:sz="8" w:color="auto"/>
              <w:right w:val="single" w:sz="8" w:color="auto"/>
            </w:tcBorders>
            <w:gridSpan w:val="2"/>
            <w:vMerge w:val="restart"/>
            <w:shd w:val="clear" w:color="auto" w:fill="EAEAEA"/>
          </w:tcPr>
          <w:p>
            <w:pPr>
              <w:jc w:val="right"/>
              <w:ind w:right="377"/>
              <w:spacing w:after="0"/>
              <w:rPr>
                <w:sz w:val="20"/>
                <w:szCs w:val="20"/>
                <w:color w:val="auto"/>
              </w:rPr>
            </w:pPr>
            <w:r>
              <w:rPr>
                <w:rFonts w:ascii="Arial" w:cs="Arial" w:eastAsia="Arial" w:hAnsi="Arial"/>
                <w:sz w:val="11"/>
                <w:szCs w:val="11"/>
                <w:b w:val="1"/>
                <w:bCs w:val="1"/>
                <w:color w:val="auto"/>
              </w:rPr>
              <w:t>FY 2020 (c)</w:t>
            </w:r>
          </w:p>
        </w:tc>
        <w:tc>
          <w:tcPr>
            <w:tcW w:w="1400" w:type="dxa"/>
            <w:vAlign w:val="bottom"/>
            <w:tcBorders>
              <w:top w:val="single" w:sz="8" w:color="auto"/>
              <w:right w:val="single" w:sz="8" w:color="auto"/>
            </w:tcBorders>
            <w:vMerge w:val="restart"/>
          </w:tcPr>
          <w:p>
            <w:pPr>
              <w:jc w:val="right"/>
              <w:ind w:right="466"/>
              <w:spacing w:after="0"/>
              <w:rPr>
                <w:sz w:val="20"/>
                <w:szCs w:val="20"/>
                <w:color w:val="auto"/>
              </w:rPr>
            </w:pPr>
            <w:r>
              <w:rPr>
                <w:rFonts w:ascii="Arial" w:cs="Arial" w:eastAsia="Arial" w:hAnsi="Arial"/>
                <w:sz w:val="11"/>
                <w:szCs w:val="11"/>
                <w:color w:val="auto"/>
              </w:rPr>
              <w:t>FY 2019</w:t>
            </w:r>
          </w:p>
        </w:tc>
        <w:tc>
          <w:tcPr>
            <w:tcW w:w="0" w:type="dxa"/>
            <w:vAlign w:val="bottom"/>
          </w:tcPr>
          <w:p>
            <w:pPr>
              <w:spacing w:after="0"/>
              <w:rPr>
                <w:sz w:val="1"/>
                <w:szCs w:val="1"/>
                <w:color w:val="auto"/>
              </w:rPr>
            </w:pPr>
          </w:p>
        </w:tc>
      </w:tr>
      <w:tr>
        <w:trPr>
          <w:trHeight w:val="144"/>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(benefits expense as a percent of premiums)</w:t>
            </w:r>
          </w:p>
        </w:tc>
        <w:tc>
          <w:tcPr>
            <w:tcW w:w="132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52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4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88.3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83.1</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0.7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(non-GAAP)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88.3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83.8</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The 4Q20 and FY 2020 GAAP consolidated benefit ratios of 88.3 percent and 83.1 percent, respectively, compared to the 4Q19 and FY 2019 GAAP consolidated benefit ratios of 86.6 percent and 85.6 percent, respectively.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year-over-year increase in the GAAP quarterly comparison reflects the impact of meaningful COVID-19 treatment and testing costs resulting from the increase in case numbers in the last two months of the quarter. The comparison was further affected by ongoing pandemic relief efforts and strategic investments in the company's integrated care delivery model, both of which were heavily weighted to the final months of 2020. These relief efforts include the waiver of all cost sharing for in-network primary care, outpatient behavioral health, and telehealth visits for the company's Medicare Advantage members, continued delivery of meals to senior members in need, the distribution of in-home preventive screening kits to members, establishment of a clinical outreach team to proactively engage with the company's most vulnerable members, and various provider and employer group support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These factors were partially offset by the following factors:</w:t>
      </w:r>
    </w:p>
    <w:p>
      <w:pPr>
        <w:spacing w:after="0" w:line="166" w:lineRule="exact"/>
        <w:rPr>
          <w:sz w:val="20"/>
          <w:szCs w:val="20"/>
          <w:color w:val="auto"/>
        </w:rPr>
      </w:pPr>
    </w:p>
    <w:p>
      <w:pPr>
        <w:ind w:left="420" w:right="20" w:hanging="212"/>
        <w:spacing w:after="0" w:line="290" w:lineRule="auto"/>
        <w:tabs>
          <w:tab w:leader="none" w:pos="394" w:val="left"/>
        </w:tabs>
        <w:numPr>
          <w:ilvl w:val="0"/>
          <w:numId w:val="13"/>
        </w:numPr>
        <w:rPr>
          <w:rFonts w:ascii="Arial" w:cs="Arial" w:eastAsia="Arial" w:hAnsi="Arial"/>
          <w:sz w:val="13"/>
          <w:szCs w:val="13"/>
          <w:color w:val="auto"/>
        </w:rPr>
      </w:pPr>
      <w:r>
        <w:rPr>
          <w:rFonts w:ascii="Arial" w:cs="Arial" w:eastAsia="Arial" w:hAnsi="Arial"/>
          <w:sz w:val="13"/>
          <w:szCs w:val="13"/>
          <w:color w:val="auto"/>
        </w:rPr>
        <w:t>temporary deferral of non-COVID utilization; as previously discussed, Humana experienced a significant decline in non-COVID utilization across all lines of business in the last two months of the quarter with Medicare Advantage non-COVID utilization running approximately 15 percent below historic baseline levels at the end of 4Q20,</w:t>
      </w:r>
    </w:p>
    <w:p>
      <w:pPr>
        <w:spacing w:after="0" w:line="106" w:lineRule="exact"/>
        <w:rPr>
          <w:rFonts w:ascii="Arial" w:cs="Arial" w:eastAsia="Arial" w:hAnsi="Arial"/>
          <w:sz w:val="13"/>
          <w:szCs w:val="13"/>
          <w:color w:val="auto"/>
        </w:rPr>
      </w:pPr>
    </w:p>
    <w:p>
      <w:pPr>
        <w:ind w:left="400" w:hanging="192"/>
        <w:spacing w:after="0"/>
        <w:tabs>
          <w:tab w:leader="none" w:pos="4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reinstatement of the non-deductible health insurance industry fee (HIF) in 2020 that was contemplated in the pricing and benefit design of the company's products; and</w:t>
      </w:r>
    </w:p>
    <w:p>
      <w:pPr>
        <w:spacing w:after="0" w:line="165" w:lineRule="exact"/>
        <w:rPr>
          <w:rFonts w:ascii="Arial" w:cs="Arial" w:eastAsia="Arial" w:hAnsi="Arial"/>
          <w:sz w:val="13"/>
          <w:szCs w:val="13"/>
          <w:color w:val="auto"/>
        </w:rPr>
      </w:pPr>
    </w:p>
    <w:p>
      <w:pPr>
        <w:ind w:left="400" w:hanging="192"/>
        <w:spacing w:after="0"/>
        <w:tabs>
          <w:tab w:leader="none" w:pos="4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higher favorable Prior Period Development in 4Q20.</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The year-over-year decrease in the comparison of FY GAAP consolidated benefit ratios reflects the significantly depressed non-COVID utilization in the first half of 2020 and in the last two months of 4Q20, along with the reinstatement of the non-deductible HIF in FY 2020 as previously discussed, and the receipt of commercial risk corridor receivables (previously written off) in the third quarter of 2020. These decreases were partially offset by the following factors:</w:t>
      </w:r>
    </w:p>
    <w:p>
      <w:pPr>
        <w:spacing w:after="0" w:line="120" w:lineRule="exact"/>
        <w:rPr>
          <w:sz w:val="20"/>
          <w:szCs w:val="20"/>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meaningful COVID-19 treatment and testing costs,</w:t>
      </w:r>
    </w:p>
    <w:p>
      <w:pPr>
        <w:spacing w:after="0" w:line="165" w:lineRule="exact"/>
        <w:rPr>
          <w:rFonts w:ascii="Arial" w:cs="Arial" w:eastAsia="Arial" w:hAnsi="Arial"/>
          <w:sz w:val="13"/>
          <w:szCs w:val="13"/>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ongoing pandemic relief efforts and strategic investments in the company's integrated care delivery model, and</w:t>
      </w:r>
    </w:p>
    <w:p>
      <w:pPr>
        <w:spacing w:after="0" w:line="165" w:lineRule="exact"/>
        <w:rPr>
          <w:rFonts w:ascii="Arial" w:cs="Arial" w:eastAsia="Arial" w:hAnsi="Arial"/>
          <w:sz w:val="13"/>
          <w:szCs w:val="13"/>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lower favorable Prior Period Development in FY 2020.</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The Adjusted consolidated benefit ratio for both 4Q20 and FY 2020 were impacted by the same factors affecting the GAAP comparisons while excluding the receipt of commercial risk corridors receivables (previously written off) in the third quarter of 2020.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300"/>
          </w:cols>
          <w:pgMar w:left="300" w:top="913" w:right="29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auto"/>
        </w:rPr>
        <w:t>Prior Period Medical Claims Reserve Development (Prior Period Development)</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5280" w:type="dxa"/>
            <w:vAlign w:val="bottom"/>
            <w:tcBorders>
              <w:top w:val="single" w:sz="8" w:color="auto"/>
              <w:left w:val="single" w:sz="8" w:color="auto"/>
              <w:right w:val="single" w:sz="8" w:color="auto"/>
            </w:tcBorders>
          </w:tcPr>
          <w:p>
            <w:pPr>
              <w:ind w:left="20"/>
              <w:spacing w:after="0" w:line="117" w:lineRule="exact"/>
              <w:rPr>
                <w:sz w:val="20"/>
                <w:szCs w:val="20"/>
                <w:color w:val="auto"/>
              </w:rPr>
            </w:pPr>
            <w:r>
              <w:rPr>
                <w:rFonts w:ascii="Arial" w:cs="Arial" w:eastAsia="Arial" w:hAnsi="Arial"/>
                <w:sz w:val="11"/>
                <w:szCs w:val="11"/>
                <w:b w:val="1"/>
                <w:bCs w:val="1"/>
                <w:color w:val="auto"/>
              </w:rPr>
              <w:t>Consolidated Prior Period Development (in millions)</w:t>
            </w:r>
          </w:p>
        </w:tc>
        <w:tc>
          <w:tcPr>
            <w:tcW w:w="116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First</w:t>
            </w:r>
          </w:p>
        </w:tc>
        <w:tc>
          <w:tcPr>
            <w:tcW w:w="1160" w:type="dxa"/>
            <w:vAlign w:val="bottom"/>
            <w:tcBorders>
              <w:top w:val="single" w:sz="8" w:color="auto"/>
              <w:right w:val="single" w:sz="8" w:color="auto"/>
            </w:tcBorders>
          </w:tcPr>
          <w:p>
            <w:pPr>
              <w:ind w:left="360"/>
              <w:spacing w:after="0" w:line="117" w:lineRule="exact"/>
              <w:rPr>
                <w:sz w:val="20"/>
                <w:szCs w:val="20"/>
                <w:color w:val="auto"/>
              </w:rPr>
            </w:pPr>
            <w:r>
              <w:rPr>
                <w:rFonts w:ascii="Arial" w:cs="Arial" w:eastAsia="Arial" w:hAnsi="Arial"/>
                <w:sz w:val="11"/>
                <w:szCs w:val="11"/>
                <w:b w:val="1"/>
                <w:bCs w:val="1"/>
                <w:color w:val="auto"/>
              </w:rPr>
              <w:t>Second</w:t>
            </w:r>
          </w:p>
        </w:tc>
        <w:tc>
          <w:tcPr>
            <w:tcW w:w="120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Third</w:t>
            </w:r>
          </w:p>
        </w:tc>
        <w:tc>
          <w:tcPr>
            <w:tcW w:w="124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Fourth</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9"/>
              </w:rPr>
              <w:t>FY</w:t>
            </w:r>
          </w:p>
        </w:tc>
        <w:tc>
          <w:tcPr>
            <w:tcW w:w="0" w:type="dxa"/>
            <w:vAlign w:val="bottom"/>
          </w:tcPr>
          <w:p>
            <w:pPr>
              <w:spacing w:after="0"/>
              <w:rPr>
                <w:sz w:val="1"/>
                <w:szCs w:val="1"/>
                <w:color w:val="auto"/>
              </w:rPr>
            </w:pPr>
          </w:p>
        </w:tc>
      </w:tr>
      <w:tr>
        <w:trPr>
          <w:trHeight w:val="144"/>
        </w:trPr>
        <w:tc>
          <w:tcPr>
            <w:tcW w:w="5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Favorable (unfavorable)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Quarter</w:t>
            </w:r>
          </w:p>
        </w:tc>
        <w:tc>
          <w:tcPr>
            <w:tcW w:w="11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1"/>
                <w:szCs w:val="11"/>
                <w:b w:val="1"/>
                <w:bCs w:val="1"/>
                <w:color w:val="auto"/>
              </w:rPr>
              <w:t>Quarter</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Quarter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Quarter</w:t>
            </w:r>
          </w:p>
        </w:tc>
        <w:tc>
          <w:tcPr>
            <w:tcW w:w="12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Prior Period Development from prior years recognized in 2020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$284</w:t>
            </w:r>
          </w:p>
        </w:tc>
        <w:tc>
          <w:tcPr>
            <w:tcW w:w="116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$(49)</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$43</w:t>
            </w:r>
          </w:p>
        </w:tc>
        <w:tc>
          <w:tcPr>
            <w:tcW w:w="1240" w:type="dxa"/>
            <w:vAlign w:val="bottom"/>
            <w:tcBorders>
              <w:bottom w:val="single" w:sz="8" w:color="auto"/>
              <w:right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$35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$313</w:t>
            </w:r>
          </w:p>
        </w:tc>
        <w:tc>
          <w:tcPr>
            <w:tcW w:w="0" w:type="dxa"/>
            <w:vAlign w:val="bottom"/>
          </w:tcPr>
          <w:p>
            <w:pPr>
              <w:spacing w:after="0"/>
              <w:rPr>
                <w:sz w:val="1"/>
                <w:szCs w:val="1"/>
                <w:color w:val="auto"/>
              </w:rPr>
            </w:pPr>
          </w:p>
        </w:tc>
      </w:tr>
      <w:tr>
        <w:trPr>
          <w:trHeight w:val="133"/>
        </w:trPr>
        <w:tc>
          <w:tcPr>
            <w:tcW w:w="5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2019</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$267</w:t>
            </w:r>
          </w:p>
        </w:tc>
        <w:tc>
          <w:tcPr>
            <w:tcW w:w="1160" w:type="dxa"/>
            <w:vAlign w:val="bottom"/>
            <w:tcBorders>
              <w:bottom w:val="single" w:sz="8" w:color="auto"/>
              <w:right w:val="single" w:sz="8" w:color="auto"/>
            </w:tcBorders>
          </w:tcPr>
          <w:p>
            <w:pPr>
              <w:jc w:val="right"/>
              <w:ind w:right="486"/>
              <w:spacing w:after="0"/>
              <w:rPr>
                <w:sz w:val="20"/>
                <w:szCs w:val="20"/>
                <w:color w:val="auto"/>
              </w:rPr>
            </w:pPr>
            <w:r>
              <w:rPr>
                <w:rFonts w:ascii="Arial" w:cs="Arial" w:eastAsia="Arial" w:hAnsi="Arial"/>
                <w:sz w:val="11"/>
                <w:szCs w:val="11"/>
                <w:color w:val="auto"/>
              </w:rPr>
              <w:t>$8</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$56</w:t>
            </w:r>
          </w:p>
        </w:tc>
        <w:tc>
          <w:tcPr>
            <w:tcW w:w="1240" w:type="dxa"/>
            <w:vAlign w:val="bottom"/>
            <w:tcBorders>
              <w:bottom w:val="single" w:sz="8" w:color="auto"/>
              <w:right w:val="single" w:sz="8" w:color="auto"/>
            </w:tcBorders>
          </w:tcPr>
          <w:p>
            <w:pPr>
              <w:jc w:val="right"/>
              <w:ind w:right="526"/>
              <w:spacing w:after="0"/>
              <w:rPr>
                <w:sz w:val="20"/>
                <w:szCs w:val="20"/>
                <w:color w:val="auto"/>
              </w:rPr>
            </w:pPr>
            <w:r>
              <w:rPr>
                <w:rFonts w:ascii="Arial" w:cs="Arial" w:eastAsia="Arial" w:hAnsi="Arial"/>
                <w:sz w:val="11"/>
                <w:szCs w:val="11"/>
                <w:color w:val="auto"/>
              </w:rPr>
              <w:t>$5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$336</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Favorable Prior Period Development decreased the consolidated benefit ratio by 20 basis points in 4Q20 and did not materially impact the consolidated benefit ratio in 4Q19. Favorable Prior Period Development decreased the FY 2020 consolidated benefit ratio by 40 basis points while decreasing the FY 2019 consolidated benefit ratio by 50 basis points.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operating expenses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5620" w:type="dxa"/>
            <w:vAlign w:val="bottom"/>
            <w:tcBorders>
              <w:top w:val="single" w:sz="8" w:color="auto"/>
              <w:left w:val="single" w:sz="8" w:color="auto"/>
              <w:right w:val="single" w:sz="8" w:color="auto"/>
            </w:tcBorders>
          </w:tcPr>
          <w:p>
            <w:pPr>
              <w:ind w:left="20"/>
              <w:spacing w:after="0" w:line="117" w:lineRule="exact"/>
              <w:rPr>
                <w:sz w:val="20"/>
                <w:szCs w:val="20"/>
                <w:color w:val="auto"/>
              </w:rPr>
            </w:pPr>
            <w:r>
              <w:rPr>
                <w:rFonts w:ascii="Arial" w:cs="Arial" w:eastAsia="Arial" w:hAnsi="Arial"/>
                <w:sz w:val="11"/>
                <w:szCs w:val="11"/>
                <w:b w:val="1"/>
                <w:bCs w:val="1"/>
                <w:color w:val="auto"/>
              </w:rPr>
              <w:t>Consolidated operating cost ratio</w:t>
            </w:r>
          </w:p>
        </w:tc>
        <w:tc>
          <w:tcPr>
            <w:tcW w:w="1320" w:type="dxa"/>
            <w:vAlign w:val="bottom"/>
            <w:tcBorders>
              <w:top w:val="single" w:sz="8" w:color="auto"/>
              <w:right w:val="single" w:sz="8" w:color="auto"/>
            </w:tcBorders>
            <w:gridSpan w:val="2"/>
            <w:vMerge w:val="restart"/>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4Q20 (a)</w:t>
            </w:r>
          </w:p>
        </w:tc>
        <w:tc>
          <w:tcPr>
            <w:tcW w:w="1520" w:type="dxa"/>
            <w:vAlign w:val="bottom"/>
            <w:tcBorders>
              <w:top w:val="single" w:sz="8" w:color="auto"/>
              <w:right w:val="single" w:sz="8" w:color="auto"/>
            </w:tcBorders>
            <w:vMerge w:val="restart"/>
          </w:tcPr>
          <w:p>
            <w:pPr>
              <w:jc w:val="right"/>
              <w:ind w:right="506"/>
              <w:spacing w:after="0"/>
              <w:rPr>
                <w:sz w:val="20"/>
                <w:szCs w:val="20"/>
                <w:color w:val="auto"/>
              </w:rPr>
            </w:pPr>
            <w:r>
              <w:rPr>
                <w:rFonts w:ascii="Arial" w:cs="Arial" w:eastAsia="Arial" w:hAnsi="Arial"/>
                <w:sz w:val="11"/>
                <w:szCs w:val="11"/>
                <w:color w:val="auto"/>
              </w:rPr>
              <w:t>4Q19 (b)</w:t>
            </w:r>
          </w:p>
        </w:tc>
        <w:tc>
          <w:tcPr>
            <w:tcW w:w="1380" w:type="dxa"/>
            <w:vAlign w:val="bottom"/>
            <w:tcBorders>
              <w:top w:val="single" w:sz="8" w:color="auto"/>
              <w:right w:val="single" w:sz="8" w:color="auto"/>
            </w:tcBorders>
            <w:gridSpan w:val="2"/>
            <w:vMerge w:val="restart"/>
            <w:shd w:val="clear" w:color="auto" w:fill="EAEAEA"/>
          </w:tcPr>
          <w:p>
            <w:pPr>
              <w:jc w:val="right"/>
              <w:ind w:right="377"/>
              <w:spacing w:after="0"/>
              <w:rPr>
                <w:sz w:val="20"/>
                <w:szCs w:val="20"/>
                <w:color w:val="auto"/>
              </w:rPr>
            </w:pPr>
            <w:r>
              <w:rPr>
                <w:rFonts w:ascii="Arial" w:cs="Arial" w:eastAsia="Arial" w:hAnsi="Arial"/>
                <w:sz w:val="11"/>
                <w:szCs w:val="11"/>
                <w:b w:val="1"/>
                <w:bCs w:val="1"/>
                <w:color w:val="auto"/>
              </w:rPr>
              <w:t>FY 2020 (c)</w:t>
            </w:r>
          </w:p>
        </w:tc>
        <w:tc>
          <w:tcPr>
            <w:tcW w:w="1400" w:type="dxa"/>
            <w:vAlign w:val="bottom"/>
            <w:tcBorders>
              <w:top w:val="single" w:sz="8" w:color="auto"/>
              <w:right w:val="single" w:sz="8" w:color="auto"/>
            </w:tcBorders>
            <w:vMerge w:val="restart"/>
          </w:tcPr>
          <w:p>
            <w:pPr>
              <w:jc w:val="right"/>
              <w:ind w:right="386"/>
              <w:spacing w:after="0"/>
              <w:rPr>
                <w:sz w:val="20"/>
                <w:szCs w:val="20"/>
                <w:color w:val="auto"/>
              </w:rPr>
            </w:pPr>
            <w:r>
              <w:rPr>
                <w:rFonts w:ascii="Arial" w:cs="Arial" w:eastAsia="Arial" w:hAnsi="Arial"/>
                <w:sz w:val="11"/>
                <w:szCs w:val="11"/>
                <w:color w:val="auto"/>
              </w:rPr>
              <w:t>FY 2019 (d)</w:t>
            </w:r>
          </w:p>
        </w:tc>
        <w:tc>
          <w:tcPr>
            <w:tcW w:w="0" w:type="dxa"/>
            <w:vAlign w:val="bottom"/>
          </w:tcPr>
          <w:p>
            <w:pPr>
              <w:spacing w:after="0"/>
              <w:rPr>
                <w:sz w:val="1"/>
                <w:szCs w:val="1"/>
                <w:color w:val="auto"/>
              </w:rPr>
            </w:pPr>
          </w:p>
        </w:tc>
      </w:tr>
      <w:tr>
        <w:trPr>
          <w:trHeight w:val="144"/>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(operating costs as a percent of total revenues less investment income)</w:t>
            </w:r>
          </w:p>
        </w:tc>
        <w:tc>
          <w:tcPr>
            <w:tcW w:w="132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52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gridSpan w:val="2"/>
            <w:vMerge w:val="continue"/>
            <w:shd w:val="clear" w:color="auto" w:fill="EAEAEA"/>
          </w:tcPr>
          <w:p>
            <w:pPr>
              <w:spacing w:after="0"/>
              <w:rPr>
                <w:sz w:val="12"/>
                <w:szCs w:val="12"/>
                <w:color w:val="auto"/>
              </w:rPr>
            </w:pPr>
          </w:p>
        </w:tc>
        <w:tc>
          <w:tcPr>
            <w:tcW w:w="14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16.3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13.2</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11.5 %</w:t>
            </w: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0.1</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Charges associated with workforce optimization</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right w:val="single" w:sz="8" w:color="auto"/>
            </w:tcBorders>
            <w:shd w:val="clear" w:color="auto" w:fill="EAEAEA"/>
          </w:tcPr>
          <w:p>
            <w:pPr>
              <w:spacing w:after="0"/>
              <w:rPr>
                <w:sz w:val="11"/>
                <w:szCs w:val="11"/>
                <w:color w:val="auto"/>
              </w:rPr>
            </w:pP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33"/>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(non-GAAP)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16.3</w:t>
            </w:r>
          </w:p>
        </w:tc>
        <w:tc>
          <w:tcPr>
            <w:tcW w:w="14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13.2 %</w:t>
            </w: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13.3</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9"/>
                <w:szCs w:val="9"/>
                <w:b w:val="1"/>
                <w:bCs w:val="1"/>
                <w:color w:val="auto"/>
                <w:w w:val="74"/>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11.4 %</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60"/>
        <w:spacing w:after="0" w:line="290" w:lineRule="auto"/>
        <w:rPr>
          <w:sz w:val="20"/>
          <w:szCs w:val="20"/>
          <w:color w:val="auto"/>
        </w:rPr>
      </w:pPr>
      <w:r>
        <w:rPr>
          <w:rFonts w:ascii="Arial" w:cs="Arial" w:eastAsia="Arial" w:hAnsi="Arial"/>
          <w:sz w:val="13"/>
          <w:szCs w:val="13"/>
          <w:color w:val="auto"/>
        </w:rPr>
        <w:t>The 4Q20 GAAP consolidated operating cost ratio (operating costs as a percent of total revenues less investment income) of 16.3 percent increased 310 basis points from the 4Q19 ratio of 13.2 percent. The increase was primarily related to the following factors:</w:t>
      </w:r>
    </w:p>
    <w:p>
      <w:pPr>
        <w:spacing w:after="0" w:line="89" w:lineRule="exact"/>
        <w:rPr>
          <w:sz w:val="20"/>
          <w:szCs w:val="20"/>
          <w:color w:val="auto"/>
        </w:rPr>
      </w:pPr>
    </w:p>
    <w:p>
      <w:pPr>
        <w:ind w:left="420" w:hanging="212"/>
        <w:spacing w:after="0" w:line="290" w:lineRule="auto"/>
        <w:tabs>
          <w:tab w:leader="none" w:pos="3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COVID-19 related administrative costs, including those associated with purchasing personal protective equipment for the company's clinicians and the build-out of infrastructure necessary to support employees working remotely,</w:t>
      </w:r>
    </w:p>
    <w:p>
      <w:pPr>
        <w:spacing w:after="0" w:line="88" w:lineRule="exact"/>
        <w:rPr>
          <w:rFonts w:ascii="Arial" w:cs="Arial" w:eastAsia="Arial" w:hAnsi="Arial"/>
          <w:sz w:val="13"/>
          <w:szCs w:val="13"/>
          <w:color w:val="auto"/>
        </w:rPr>
      </w:pPr>
    </w:p>
    <w:p>
      <w:pPr>
        <w:ind w:left="420" w:hanging="212"/>
        <w:spacing w:after="0" w:line="290" w:lineRule="auto"/>
        <w:tabs>
          <w:tab w:leader="none" w:pos="3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continued support for the company's constituents, including members, providers, employer groups, employees, and communities, as well as strategic investments in the company's integrated care delivery model,</w:t>
      </w:r>
    </w:p>
    <w:p>
      <w:pPr>
        <w:spacing w:after="0" w:line="88" w:lineRule="exact"/>
        <w:rPr>
          <w:rFonts w:ascii="Arial" w:cs="Arial" w:eastAsia="Arial" w:hAnsi="Arial"/>
          <w:sz w:val="13"/>
          <w:szCs w:val="13"/>
          <w:color w:val="auto"/>
        </w:rPr>
      </w:pPr>
    </w:p>
    <w:p>
      <w:pPr>
        <w:ind w:left="400" w:hanging="192"/>
        <w:spacing w:after="0"/>
        <w:tabs>
          <w:tab w:leader="none" w:pos="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increased spending associated with Medicare AEP, and</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reinstatement of the non-deductible HIF in 2020, which increased the consolidated GAAP operating cost ratio by approximately 160 basis points in 4Q20.</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above items were partially offset by the following items:</w:t>
      </w:r>
    </w:p>
    <w:p>
      <w:pPr>
        <w:spacing w:after="0" w:line="148" w:lineRule="exact"/>
        <w:rPr>
          <w:sz w:val="20"/>
          <w:szCs w:val="20"/>
          <w:color w:val="auto"/>
        </w:rPr>
      </w:pPr>
    </w:p>
    <w:p>
      <w:pPr>
        <w:ind w:left="400" w:hanging="192"/>
        <w:spacing w:after="0"/>
        <w:tabs>
          <w:tab w:leader="none" w:pos="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scale efficiencies associated with growth in the company's Medicare Advantage membership; and</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significant operating cost efficiencies in 4Q20 driven by previously disclosed productivity initiatives.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The 170 basis point increase in the FY 2020 GAAP consolidated operating cost ratio of 13.2 percent from 11.5 percent in FY 2019 was primarily impacted by the same factors influencing the fourth quarter GAAP comparison combined with the $200 million of contributions to the Humana Foundation in the first half of 2020 to support the communities served by the company, particularly those with social and health disparities.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The non-deductible HIF increased the FY 2020 consolidated GAAP operating cost ratio by approximately 160 basis points.</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The Adjusted consolidated operating cost ratios for both 4Q20 and FY 2020 were impacted by the same factors affecting the GAAP comparisons while excluding the impact of the factors detailed in the table above.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300"/>
          </w:cols>
          <w:pgMar w:left="300" w:top="929" w:right="29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auto"/>
        </w:rPr>
        <w:t>Balance sheet</w:t>
      </w:r>
    </w:p>
    <w:p>
      <w:pPr>
        <w:spacing w:after="0" w:line="151" w:lineRule="exact"/>
        <w:rPr>
          <w:sz w:val="20"/>
          <w:szCs w:val="20"/>
          <w:color w:val="auto"/>
        </w:rPr>
      </w:pPr>
    </w:p>
    <w:p>
      <w:pPr>
        <w:jc w:val="both"/>
        <w:ind w:left="420" w:hanging="212"/>
        <w:spacing w:after="0" w:line="260" w:lineRule="auto"/>
        <w:tabs>
          <w:tab w:leader="none" w:pos="3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 December 31, 2020, the company had cash, cash equivalents, and investment securities of $18.44 billion, down approximately $3.39 billion, or 16 percent, from $21.83 billion at September 30, 2020 primarily resulting from common stock repurchases related to the company's accelerated stock repurchase (ASR) program more fully described below, the $1.00 billion repayment of a term loan, and repayment of $400 million related to the company's 2.50 percent senior notes which came due on December 15, 2020. Detailed changes are outlined in the company’s consolidated statement of cash flows on pages S-6 of the statistical supplement included in this release.</w:t>
      </w:r>
    </w:p>
    <w:p>
      <w:pPr>
        <w:spacing w:after="0" w:line="72" w:lineRule="exact"/>
        <w:rPr>
          <w:rFonts w:ascii="Arial" w:cs="Arial" w:eastAsia="Arial" w:hAnsi="Arial"/>
          <w:sz w:val="13"/>
          <w:szCs w:val="13"/>
          <w:color w:val="auto"/>
        </w:rPr>
      </w:pPr>
    </w:p>
    <w:p>
      <w:pPr>
        <w:jc w:val="both"/>
        <w:ind w:left="420" w:hanging="212"/>
        <w:spacing w:after="0" w:line="260" w:lineRule="auto"/>
        <w:tabs>
          <w:tab w:leader="none" w:pos="3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 December 31, 2020, cash and short-term investments held at the parent company of $772 million decreased approximately $1.65 billion, or 68 percent, from $2.42 billion at September 30, 2020. The sequential change primarily reflects common stock repurchases related to the company's ASR more fully described below, the $1.00 billion repayment of a term loan, repayment of $400 million related to the company's 2.50 percent senior notes, capital expenditures, capital contributions to certain subsidiaries, and cash dividends to shareholders. These decreases were partially offset by dividends from certain regulated subsidiaries and non-regulated subsidiary earnings.</w:t>
      </w:r>
    </w:p>
    <w:p>
      <w:pPr>
        <w:spacing w:after="0" w:line="72" w:lineRule="exact"/>
        <w:rPr>
          <w:rFonts w:ascii="Arial" w:cs="Arial" w:eastAsia="Arial" w:hAnsi="Arial"/>
          <w:sz w:val="13"/>
          <w:szCs w:val="13"/>
          <w:color w:val="auto"/>
        </w:rPr>
      </w:pPr>
    </w:p>
    <w:p>
      <w:pPr>
        <w:ind w:left="420" w:hanging="212"/>
        <w:spacing w:after="0" w:line="290" w:lineRule="auto"/>
        <w:tabs>
          <w:tab w:leader="none" w:pos="3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Days in claims payable (DCP) of 46.2 days at December 31, 2020, decreased by 2.2 days from 48.4 days at September 30, 2020 but increased 5.8 days from 40.4 days at December 31, 2019. The sequential decline primarily resulted from timing of surplus payments to providers in risk sharing arrangements.</w:t>
      </w:r>
    </w:p>
    <w:p>
      <w:pPr>
        <w:spacing w:after="0" w:line="53" w:lineRule="exact"/>
        <w:rPr>
          <w:sz w:val="20"/>
          <w:szCs w:val="20"/>
          <w:color w:val="auto"/>
        </w:rPr>
      </w:pPr>
    </w:p>
    <w:p>
      <w:pPr>
        <w:ind w:left="420"/>
        <w:spacing w:after="0" w:line="290" w:lineRule="auto"/>
        <w:rPr>
          <w:sz w:val="20"/>
          <w:szCs w:val="20"/>
          <w:color w:val="auto"/>
        </w:rPr>
      </w:pPr>
      <w:r>
        <w:rPr>
          <w:rFonts w:ascii="Arial" w:cs="Arial" w:eastAsia="Arial" w:hAnsi="Arial"/>
          <w:sz w:val="13"/>
          <w:szCs w:val="13"/>
          <w:color w:val="auto"/>
        </w:rPr>
        <w:t>The year-over-year increase in DCP primarily reflects the previously discussed lower utilization levels during FY 2020 compared to FY 2019, which led to higher provider surplus accruals related to the company's risk sharing arrangements.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Changes are outlined in the DCP rollforward on page S-19 of the statistical supplement included in this release.</w:t>
      </w:r>
    </w:p>
    <w:p>
      <w:pPr>
        <w:spacing w:after="0" w:line="112" w:lineRule="exact"/>
        <w:rPr>
          <w:sz w:val="20"/>
          <w:szCs w:val="20"/>
          <w:color w:val="auto"/>
        </w:rPr>
      </w:pPr>
    </w:p>
    <w:p>
      <w:pPr>
        <w:jc w:val="both"/>
        <w:ind w:left="420" w:right="20" w:hanging="212"/>
        <w:spacing w:after="0" w:line="268" w:lineRule="auto"/>
        <w:tabs>
          <w:tab w:leader="none" w:pos="394"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Debt-to-total capitalization at December 31, 2020 was 32.7 percent, down 30 basis points from 33.0 percent at September 30, 2020 primarily resulting from a $1.00 billion repayment of a term loan and $400 million repayment of the company's 2.50 percent senior notes which came due on December 15, 2020. These decreases were partially offset by the impact of share repurchases resulting from the ASR program as more fully described below, additional commercial paper borrowings, and the impact of the 4Q20 loss.</w:t>
      </w:r>
    </w:p>
    <w:p>
      <w:pPr>
        <w:spacing w:after="0" w:line="66" w:lineRule="exact"/>
        <w:rPr>
          <w:sz w:val="20"/>
          <w:szCs w:val="20"/>
          <w:color w:val="auto"/>
        </w:rPr>
      </w:pPr>
    </w:p>
    <w:p>
      <w:pPr>
        <w:ind w:left="420" w:right="20"/>
        <w:spacing w:after="0" w:line="290" w:lineRule="auto"/>
        <w:rPr>
          <w:sz w:val="20"/>
          <w:szCs w:val="20"/>
          <w:color w:val="auto"/>
        </w:rPr>
      </w:pPr>
      <w:r>
        <w:rPr>
          <w:rFonts w:ascii="Arial" w:cs="Arial" w:eastAsia="Arial" w:hAnsi="Arial"/>
          <w:sz w:val="13"/>
          <w:szCs w:val="13"/>
          <w:color w:val="auto"/>
        </w:rPr>
        <w:t>The company’s long-term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Operating cash flows</w:t>
      </w:r>
    </w:p>
    <w:p>
      <w:pPr>
        <w:spacing w:after="0" w:line="150" w:lineRule="exact"/>
        <w:rPr>
          <w:sz w:val="20"/>
          <w:szCs w:val="20"/>
          <w:color w:val="auto"/>
        </w:rPr>
      </w:pPr>
    </w:p>
    <w:p>
      <w:pPr>
        <w:ind w:left="420" w:hanging="212"/>
        <w:spacing w:after="0" w:line="290" w:lineRule="auto"/>
        <w:tabs>
          <w:tab w:leader="none" w:pos="394" w:val="left"/>
        </w:tabs>
        <w:numPr>
          <w:ilvl w:val="0"/>
          <w:numId w:val="19"/>
        </w:numPr>
        <w:rPr>
          <w:rFonts w:ascii="Arial" w:cs="Arial" w:eastAsia="Arial" w:hAnsi="Arial"/>
          <w:sz w:val="13"/>
          <w:szCs w:val="13"/>
          <w:color w:val="auto"/>
        </w:rPr>
      </w:pPr>
      <w:r>
        <w:rPr>
          <w:rFonts w:ascii="Arial" w:cs="Arial" w:eastAsia="Arial" w:hAnsi="Arial"/>
          <w:sz w:val="13"/>
          <w:szCs w:val="13"/>
          <w:color w:val="auto"/>
        </w:rPr>
        <w:t>GAAP cash flows provided by operations of $283 million in 4Q20 compared to GAAP cash flows provided by operations of $512 million in 4Q19, a decrease of $229 million, or 45 percent, year over year. The year-over-year decrease was primarily impacted by the earnings decline in 4Q20 compared to 4Q19 partially offset by the positive impact of working capital items.</w:t>
      </w:r>
    </w:p>
    <w:p>
      <w:pPr>
        <w:spacing w:after="0" w:line="88" w:lineRule="exact"/>
        <w:rPr>
          <w:rFonts w:ascii="Arial" w:cs="Arial" w:eastAsia="Arial" w:hAnsi="Arial"/>
          <w:sz w:val="13"/>
          <w:szCs w:val="13"/>
          <w:color w:val="auto"/>
        </w:rPr>
      </w:pPr>
    </w:p>
    <w:p>
      <w:pPr>
        <w:ind w:left="420" w:hanging="212"/>
        <w:spacing w:after="0" w:line="275" w:lineRule="auto"/>
        <w:tabs>
          <w:tab w:leader="none" w:pos="394" w:val="left"/>
        </w:tabs>
        <w:numPr>
          <w:ilvl w:val="0"/>
          <w:numId w:val="19"/>
        </w:numPr>
        <w:rPr>
          <w:rFonts w:ascii="Arial" w:cs="Arial" w:eastAsia="Arial" w:hAnsi="Arial"/>
          <w:sz w:val="13"/>
          <w:szCs w:val="13"/>
          <w:color w:val="auto"/>
        </w:rPr>
      </w:pPr>
      <w:r>
        <w:rPr>
          <w:rFonts w:ascii="Arial" w:cs="Arial" w:eastAsia="Arial" w:hAnsi="Arial"/>
          <w:sz w:val="13"/>
          <w:szCs w:val="13"/>
          <w:color w:val="auto"/>
        </w:rPr>
        <w:t>GAAP cash flows provided by operations for FY 2020 totaled $5.64 billion versus $5.28 billion during FY 2019, an increase of $355 million, or 7 percent, year over year. The year-over-year increase primarily reflected higher earnings in FY 2020 compared to FY 2019 and the impact of working capital items.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300"/>
          </w:cols>
          <w:pgMar w:left="300" w:top="916" w:right="29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auto"/>
        </w:rPr>
        <w:t>Share repurchases</w:t>
      </w:r>
    </w:p>
    <w:p>
      <w:pPr>
        <w:spacing w:after="0" w:line="150" w:lineRule="exact"/>
        <w:rPr>
          <w:sz w:val="20"/>
          <w:szCs w:val="20"/>
          <w:color w:val="auto"/>
        </w:rPr>
      </w:pPr>
    </w:p>
    <w:p>
      <w:pPr>
        <w:ind w:left="420" w:hanging="212"/>
        <w:spacing w:after="0" w:line="290" w:lineRule="auto"/>
        <w:tabs>
          <w:tab w:leader="none" w:pos="394"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July 2019, Humana's Board of Directors approved a $3.00 billion share repurchase authorization with an expiration date of June 30, 2022. Prior to 2020, Humana repurchased $1.00 billion of shares through a previously disclosed ASR agreement under this authorization.</w:t>
      </w:r>
    </w:p>
    <w:p>
      <w:pPr>
        <w:spacing w:after="0" w:line="89" w:lineRule="exact"/>
        <w:rPr>
          <w:sz w:val="20"/>
          <w:szCs w:val="20"/>
          <w:color w:val="auto"/>
        </w:rPr>
      </w:pPr>
    </w:p>
    <w:p>
      <w:pPr>
        <w:jc w:val="both"/>
        <w:ind w:left="420" w:hanging="53"/>
        <w:spacing w:after="0" w:line="256" w:lineRule="auto"/>
        <w:rPr>
          <w:sz w:val="20"/>
          <w:szCs w:val="20"/>
          <w:color w:val="auto"/>
        </w:rPr>
      </w:pPr>
      <w:r>
        <w:rPr>
          <w:rFonts w:ascii="Arial" w:cs="Arial" w:eastAsia="Arial" w:hAnsi="Arial"/>
          <w:sz w:val="13"/>
          <w:szCs w:val="13"/>
          <w:color w:val="auto"/>
        </w:rPr>
        <w:t>In December 2020, the company entered into separate agreements with two third-party financial institutions to effect an aggregate $1.75 billion ASR program under the authorization. During 4Q20, under the terms of this program, the company repurchased approximately 3,829,400 shares. The actual number of shares repurchased under the December 2020 ASR agreements will be determined based on a volume-weighted average price of the company's common stock during the purchase period. Settlement of approximately $ 263 million of repurchases under the ASR agreements remains pending, and the company expects final settlement in second quarter of 2021. Aside from the completion of the ASR program, the company did not complete any additional open-market share repurchase transactions during 4Q20.</w:t>
      </w:r>
    </w:p>
    <w:p>
      <w:pPr>
        <w:spacing w:after="0" w:line="112" w:lineRule="exact"/>
        <w:rPr>
          <w:sz w:val="20"/>
          <w:szCs w:val="20"/>
          <w:color w:val="auto"/>
        </w:rPr>
      </w:pPr>
    </w:p>
    <w:p>
      <w:pPr>
        <w:ind w:left="400" w:hanging="192"/>
        <w:spacing w:after="0"/>
        <w:tabs>
          <w:tab w:leader="none" w:pos="4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 of February 2, 2021, the company has a remaining repurchase authorization of approximately $250 million.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Cash dividends</w:t>
      </w:r>
    </w:p>
    <w:p>
      <w:pPr>
        <w:spacing w:after="0" w:line="150" w:lineRule="exact"/>
        <w:rPr>
          <w:sz w:val="20"/>
          <w:szCs w:val="20"/>
          <w:color w:val="auto"/>
        </w:rPr>
      </w:pPr>
    </w:p>
    <w:p>
      <w:pPr>
        <w:jc w:val="both"/>
        <w:ind w:left="420" w:hanging="212"/>
        <w:spacing w:after="0" w:line="268" w:lineRule="auto"/>
        <w:tabs>
          <w:tab w:leader="none" w:pos="394"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company paid cash dividends to its stockholders of $84 million in 4Q20 versus $75 million in 4Q19. Cash dividends of $323 million were paid to the company’s stockholders during FY 2020 compared to $291 million in FY 2019. The increases reflect growth in the per share dividend amount to $0.625, as approved by the company's Board of Directors in February 2020, versus the previous per share amount of $0.55.</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Humana’s Retail Segment</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services under the Medicaid program, including Temporary Assistance for Needy Families (TANF), dual eligible, and Long-Term Support Services benefits. In addition, this segment also includes the company’s contract with Centers for Medicare &amp; Medicaid Services (CMS) to administer the Limited Income Newly Eligible Transition prescription drug plan (PDP) program.</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revenues:</w:t>
      </w:r>
    </w:p>
    <w:p>
      <w:pPr>
        <w:spacing w:after="0" w:line="150" w:lineRule="exact"/>
        <w:rPr>
          <w:sz w:val="20"/>
          <w:szCs w:val="20"/>
          <w:color w:val="auto"/>
        </w:rPr>
      </w:pPr>
    </w:p>
    <w:p>
      <w:pPr>
        <w:jc w:val="both"/>
        <w:ind w:left="420" w:hanging="212"/>
        <w:spacing w:after="0" w:line="268" w:lineRule="auto"/>
        <w:tabs>
          <w:tab w:leader="none" w:pos="394"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4Q20 revenues for the Retail segment were $16.83 billion, an increase of $2.63 billion, or 18 percent, from $14.21 billion in 4Q19 primarily reflecting higher premiums as a result of Medicare Advantage and state-based contracts membership growth and higher per member Medicare Advantage premiums. These favorable items were partially offset by the decline in membership in the company's stand-alone PDP offerings. The year-over-year membership changes are further discussed below.</w:t>
      </w:r>
    </w:p>
    <w:p>
      <w:pPr>
        <w:spacing w:after="0" w:line="102" w:lineRule="exact"/>
        <w:rPr>
          <w:rFonts w:ascii="Arial" w:cs="Arial" w:eastAsia="Arial" w:hAnsi="Arial"/>
          <w:sz w:val="13"/>
          <w:szCs w:val="13"/>
          <w:color w:val="auto"/>
        </w:rPr>
      </w:pPr>
    </w:p>
    <w:p>
      <w:pPr>
        <w:ind w:left="420" w:hanging="212"/>
        <w:spacing w:after="0" w:line="290" w:lineRule="auto"/>
        <w:tabs>
          <w:tab w:leader="none" w:pos="394"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FY 2020 revenues for the Retail segment were $67.30 billion, up $10.83 billion, or 19 percent, from $56.47 billion in FY 2019, primarily reflecting the same factors impacting the year-over-year fourth quarter comparison.</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enrollment:</w:t>
      </w:r>
    </w:p>
    <w:p>
      <w:pPr>
        <w:spacing w:after="0" w:line="150" w:lineRule="exact"/>
        <w:rPr>
          <w:sz w:val="20"/>
          <w:szCs w:val="20"/>
          <w:color w:val="auto"/>
        </w:rPr>
      </w:pPr>
    </w:p>
    <w:p>
      <w:pPr>
        <w:jc w:val="both"/>
        <w:ind w:left="420" w:hanging="212"/>
        <w:spacing w:after="0" w:line="260" w:lineRule="auto"/>
        <w:tabs>
          <w:tab w:leader="none" w:pos="394"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Individual Medicare Advantage </w:t>
      </w:r>
      <w:r>
        <w:rPr>
          <w:rFonts w:ascii="Arial" w:cs="Arial" w:eastAsia="Arial" w:hAnsi="Arial"/>
          <w:sz w:val="13"/>
          <w:szCs w:val="13"/>
          <w:color w:val="auto"/>
        </w:rPr>
        <w:t>membership was 3,962,700 as of December 31, 2020, a net increase of 375,500 or 10 percent, from 3,587,200 as of December 31, 2019, and up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27,600, or 1 percent, from 3,935,100 as of September 30, 2020. The year-over-year increase was primarily due to membership additions associated with the 2020 Annual Election Period (AEP), continued enrollment due to special elections, age-ins, and and Dual Eligible Special Need Plans (D-SNP) members, as well as the 2020 Open Election Period (OEP) for Medicare beneficiaries. The 2020 OEP sales period, which ran from January 1 to March 31, 2020, added approximately 30,000 members.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300"/>
          </w:cols>
          <w:pgMar w:left="300" w:top="911" w:right="299" w:bottom="1440" w:gutter="0" w:footer="0" w:header="0"/>
        </w:sectPr>
      </w:pPr>
    </w:p>
    <w:bookmarkStart w:id="22" w:name="page23"/>
    <w:bookmarkEnd w:id="22"/>
    <w:p>
      <w:pPr>
        <w:ind w:left="420"/>
        <w:spacing w:after="0" w:line="290" w:lineRule="auto"/>
        <w:rPr>
          <w:sz w:val="20"/>
          <w:szCs w:val="20"/>
          <w:color w:val="auto"/>
        </w:rPr>
      </w:pPr>
      <w:r>
        <w:rPr>
          <w:rFonts w:ascii="Arial" w:cs="Arial" w:eastAsia="Arial" w:hAnsi="Arial"/>
          <w:sz w:val="13"/>
          <w:szCs w:val="13"/>
          <w:color w:val="auto"/>
        </w:rPr>
        <w:t>Individual Medicare Advantage membership includes 406,100 D-SNP members as of December 31, 2020, a net increase of 117,900, or 41 percent, from 288,200 as of December 31, 2019, and up 15,000, or 4 percent, from 391,100 as of September 30, 2020.</w:t>
      </w:r>
    </w:p>
    <w:p>
      <w:pPr>
        <w:spacing w:after="0" w:line="89" w:lineRule="exact"/>
        <w:rPr>
          <w:sz w:val="20"/>
          <w:szCs w:val="20"/>
          <w:color w:val="auto"/>
        </w:rPr>
      </w:pPr>
    </w:p>
    <w:p>
      <w:pPr>
        <w:ind w:left="420" w:right="20" w:hanging="212"/>
        <w:spacing w:after="0" w:line="290" w:lineRule="auto"/>
        <w:tabs>
          <w:tab w:leader="none" w:pos="394"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January 2021 individual Medicare Advantage </w:t>
      </w:r>
      <w:r>
        <w:rPr>
          <w:rFonts w:ascii="Arial" w:cs="Arial" w:eastAsia="Arial" w:hAnsi="Arial"/>
          <w:sz w:val="13"/>
          <w:szCs w:val="13"/>
          <w:color w:val="auto"/>
        </w:rPr>
        <w:t>membership approximated 4,270,600, up approximately 307,900, or 8 percent, from December 31, 2020, reflecting net membership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additions of 299,700 during the recently concluded 2021 AEP, plus an additional 8,200 D-SNP members associated with the recently completed iCare acquisition.</w:t>
      </w:r>
    </w:p>
    <w:p>
      <w:pPr>
        <w:spacing w:after="0" w:line="89" w:lineRule="exact"/>
        <w:rPr>
          <w:sz w:val="20"/>
          <w:szCs w:val="20"/>
          <w:color w:val="auto"/>
        </w:rPr>
      </w:pPr>
    </w:p>
    <w:p>
      <w:pPr>
        <w:ind w:left="420"/>
        <w:spacing w:after="0" w:line="290" w:lineRule="auto"/>
        <w:rPr>
          <w:sz w:val="20"/>
          <w:szCs w:val="20"/>
          <w:color w:val="auto"/>
        </w:rPr>
      </w:pPr>
      <w:r>
        <w:rPr>
          <w:rFonts w:ascii="Arial" w:cs="Arial" w:eastAsia="Arial" w:hAnsi="Arial"/>
          <w:sz w:val="13"/>
          <w:szCs w:val="13"/>
          <w:color w:val="auto"/>
        </w:rPr>
        <w:t>Including the impact of the recently completed iCare acquisition, January 2021 individual Medicare Advantage membership includes 475,200 D-SNP members, which represents growth of 69,100, or 17 percent, over December 31, 2020.</w:t>
      </w:r>
    </w:p>
    <w:p>
      <w:pPr>
        <w:spacing w:after="0" w:line="87" w:lineRule="exact"/>
        <w:rPr>
          <w:sz w:val="20"/>
          <w:szCs w:val="20"/>
          <w:color w:val="auto"/>
        </w:rPr>
      </w:pPr>
    </w:p>
    <w:p>
      <w:pPr>
        <w:jc w:val="both"/>
        <w:ind w:left="420" w:hanging="212"/>
        <w:spacing w:after="0" w:line="269"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Group Medicare Advantag</w:t>
      </w:r>
      <w:r>
        <w:rPr>
          <w:rFonts w:ascii="Arial" w:cs="Arial" w:eastAsia="Arial" w:hAnsi="Arial"/>
          <w:sz w:val="13"/>
          <w:szCs w:val="13"/>
          <w:b w:val="1"/>
          <w:bCs w:val="1"/>
          <w:color w:val="auto"/>
        </w:rPr>
        <w: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membership was 613,200 as of December 31, 2020, a net increase of 87,900, or 17 percent, from 525,300 at December 31, 2019, and up 1,200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612,000 as of September 30, 2020. The year-over-year increase reflects the addition of a large account in January 2020, along with net membership additions associated with the 2020 selling season.</w:t>
      </w:r>
    </w:p>
    <w:p>
      <w:pPr>
        <w:spacing w:after="0" w:line="102" w:lineRule="exact"/>
        <w:rPr>
          <w:rFonts w:ascii="Arial" w:cs="Arial" w:eastAsia="Arial" w:hAnsi="Arial"/>
          <w:sz w:val="13"/>
          <w:szCs w:val="13"/>
          <w:color w:val="auto"/>
        </w:rPr>
      </w:pPr>
    </w:p>
    <w:p>
      <w:pPr>
        <w:ind w:left="420" w:hanging="212"/>
        <w:spacing w:after="0" w:line="290"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January 2021 group Medicare Advantage </w:t>
      </w:r>
      <w:r>
        <w:rPr>
          <w:rFonts w:ascii="Arial" w:cs="Arial" w:eastAsia="Arial" w:hAnsi="Arial"/>
          <w:sz w:val="13"/>
          <w:szCs w:val="13"/>
          <w:color w:val="auto"/>
        </w:rPr>
        <w:t>membership approximated 556,900, down approximately 56,300, or 9 percent, from December 31, 2020, reflecting net membership declines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during the 2021 selling season.</w:t>
      </w:r>
    </w:p>
    <w:p>
      <w:pPr>
        <w:spacing w:after="0" w:line="88" w:lineRule="exact"/>
        <w:rPr>
          <w:rFonts w:ascii="Arial" w:cs="Arial" w:eastAsia="Arial" w:hAnsi="Arial"/>
          <w:sz w:val="13"/>
          <w:szCs w:val="13"/>
          <w:color w:val="auto"/>
        </w:rPr>
      </w:pPr>
    </w:p>
    <w:p>
      <w:pPr>
        <w:jc w:val="both"/>
        <w:ind w:left="420" w:hanging="212"/>
        <w:spacing w:after="0" w:line="256"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Membership in the company’s </w:t>
      </w:r>
      <w:r>
        <w:rPr>
          <w:rFonts w:ascii="Arial" w:cs="Arial" w:eastAsia="Arial" w:hAnsi="Arial"/>
          <w:sz w:val="13"/>
          <w:szCs w:val="13"/>
          <w:b w:val="1"/>
          <w:bCs w:val="1"/>
          <w:i w:val="1"/>
          <w:iCs w:val="1"/>
          <w:color w:val="auto"/>
        </w:rPr>
        <w:t>stand-alone PDP</w:t>
      </w:r>
      <w:r>
        <w:rPr>
          <w:rFonts w:ascii="Arial" w:cs="Arial" w:eastAsia="Arial" w:hAnsi="Arial"/>
          <w:sz w:val="13"/>
          <w:szCs w:val="13"/>
          <w:color w:val="auto"/>
        </w:rPr>
        <w:t xml:space="preserve"> offerings was 3,866,700 as of December 31, 2020, a net decrease of 498,500, or 11 percent, from 4,365,200 as of December 31, 2019, and down 25,500, or 1 percent, from 3,892,200 as of September 30, 2020. The anticipated year-over-year decline was primarily the result of terminations driven by premium and benefit adjustments experienced by members that were previously enrolled in the company's 2019 Humana Walmart Rx plan and the 2019 Humana Enhanced plan, which were consolidated into the Premier Rx plan in 2020. The expected PDP losses were partially offset by growth in the new low-price Humana Walmart Value Rx plan, driven by both new sales and plan to plan changes.</w:t>
      </w:r>
    </w:p>
    <w:p>
      <w:pPr>
        <w:spacing w:after="0" w:line="111" w:lineRule="exact"/>
        <w:rPr>
          <w:rFonts w:ascii="Arial" w:cs="Arial" w:eastAsia="Arial" w:hAnsi="Arial"/>
          <w:sz w:val="13"/>
          <w:szCs w:val="13"/>
          <w:color w:val="auto"/>
        </w:rPr>
      </w:pPr>
    </w:p>
    <w:p>
      <w:pPr>
        <w:jc w:val="both"/>
        <w:ind w:left="420" w:hanging="212"/>
        <w:spacing w:after="0" w:line="268"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January 2021 stand-alone PDP </w:t>
      </w:r>
      <w:r>
        <w:rPr>
          <w:rFonts w:ascii="Arial" w:cs="Arial" w:eastAsia="Arial" w:hAnsi="Arial"/>
          <w:sz w:val="13"/>
          <w:szCs w:val="13"/>
          <w:color w:val="auto"/>
        </w:rPr>
        <w:t>membership approximated 3,663,200, down approximately 203,500, or 5 percent, from December 31, 2020, reflecting net membership declines during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recently concluded AEP for Medicare beneficiaries. As previously disclosed, these anticipated membership losses were primarily the result of Humana's Walmart Value plan not being the low cost leader in the industry in 2021.</w:t>
      </w:r>
    </w:p>
    <w:p>
      <w:pPr>
        <w:spacing w:after="0" w:line="102" w:lineRule="exact"/>
        <w:rPr>
          <w:rFonts w:ascii="Arial" w:cs="Arial" w:eastAsia="Arial" w:hAnsi="Arial"/>
          <w:sz w:val="13"/>
          <w:szCs w:val="13"/>
          <w:color w:val="auto"/>
        </w:rPr>
      </w:pPr>
    </w:p>
    <w:p>
      <w:pPr>
        <w:jc w:val="both"/>
        <w:ind w:left="420" w:hanging="212"/>
        <w:spacing w:after="0" w:line="260"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State-based contracts </w:t>
      </w:r>
      <w:r>
        <w:rPr>
          <w:rFonts w:ascii="Arial" w:cs="Arial" w:eastAsia="Arial" w:hAnsi="Arial"/>
          <w:sz w:val="13"/>
          <w:szCs w:val="13"/>
          <w:color w:val="auto"/>
        </w:rPr>
        <w:t>membership (including dual-eligible demonstration members) was 772,400 as of December 31, 2020, a net increase of 303,400, or 65 percent, from 469,000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2019 and up 42,300, or 6 percent, from 730,100 at September 30, 2020. The membership increases in 2020 primarily reflect the impact of discontinuing the reinsurance agreement with CareSource and the assumption of full financial risk for the existing Kentucky Medicaid contract as of January 1, 2020, as well as additional enrollment resulting from the current economic downturn due to the COVID-19 pandemic.</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benefits expense:</w:t>
      </w:r>
    </w:p>
    <w:p>
      <w:pPr>
        <w:spacing w:after="0" w:line="150" w:lineRule="exact"/>
        <w:rPr>
          <w:sz w:val="20"/>
          <w:szCs w:val="20"/>
          <w:color w:val="auto"/>
        </w:rPr>
      </w:pPr>
    </w:p>
    <w:p>
      <w:pPr>
        <w:ind w:left="420" w:right="160" w:hanging="212"/>
        <w:spacing w:after="0" w:line="290" w:lineRule="auto"/>
        <w:tabs>
          <w:tab w:leader="none" w:pos="394" w:val="left"/>
        </w:tabs>
        <w:numPr>
          <w:ilvl w:val="0"/>
          <w:numId w:val="27"/>
        </w:numPr>
        <w:rPr>
          <w:rFonts w:ascii="Arial" w:cs="Arial" w:eastAsia="Arial" w:hAnsi="Arial"/>
          <w:sz w:val="13"/>
          <w:szCs w:val="13"/>
          <w:b w:val="1"/>
          <w:bCs w:val="1"/>
          <w:color w:val="auto"/>
        </w:rPr>
      </w:pPr>
      <w:r>
        <w:rPr>
          <w:rFonts w:ascii="Arial" w:cs="Arial" w:eastAsia="Arial" w:hAnsi="Arial"/>
          <w:sz w:val="13"/>
          <w:szCs w:val="13"/>
          <w:color w:val="auto"/>
        </w:rPr>
        <w:t>The 4Q20 benefit ratio for the Retail segment was 87.0 percent, an increase of 70 basis points from 86.3 percent for 4Q19. The year-over-year increase in the segment benefit ratio was primarily due to the following factors:</w:t>
      </w:r>
    </w:p>
    <w:p>
      <w:pPr>
        <w:spacing w:after="0" w:line="88" w:lineRule="exact"/>
        <w:rPr>
          <w:rFonts w:ascii="Arial" w:cs="Arial" w:eastAsia="Arial" w:hAnsi="Arial"/>
          <w:sz w:val="13"/>
          <w:szCs w:val="13"/>
          <w:b w:val="1"/>
          <w:bCs w:val="1"/>
          <w:color w:val="auto"/>
        </w:rPr>
      </w:pPr>
    </w:p>
    <w:p>
      <w:pPr>
        <w:ind w:left="860" w:hanging="220"/>
        <w:spacing w:after="0"/>
        <w:tabs>
          <w:tab w:leader="none" w:pos="8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meaningful COVID-19 treatment and testing costs,</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ongoing pandemic relief efforts and strategic investments in the company's integrated care delivery model, both of which were heavily weighted to the final months of 2020, and</w:t>
      </w:r>
    </w:p>
    <w:p>
      <w:pPr>
        <w:spacing w:after="0" w:line="147" w:lineRule="exact"/>
        <w:rPr>
          <w:rFonts w:ascii="Arial" w:cs="Arial" w:eastAsia="Arial" w:hAnsi="Arial"/>
          <w:sz w:val="13"/>
          <w:szCs w:val="13"/>
          <w:color w:val="auto"/>
        </w:rPr>
      </w:pPr>
    </w:p>
    <w:p>
      <w:pPr>
        <w:ind w:left="860" w:right="220" w:hanging="220"/>
        <w:spacing w:after="0" w:line="290" w:lineRule="auto"/>
        <w:tabs>
          <w:tab w:leader="none" w:pos="862" w:val="left"/>
        </w:tabs>
        <w:numPr>
          <w:ilvl w:val="1"/>
          <w:numId w:val="27"/>
        </w:numPr>
        <w:rPr>
          <w:rFonts w:ascii="Arial" w:cs="Arial" w:eastAsia="Arial" w:hAnsi="Arial"/>
          <w:sz w:val="13"/>
          <w:szCs w:val="13"/>
          <w:color w:val="auto"/>
        </w:rPr>
      </w:pPr>
      <w:r>
        <w:rPr>
          <w:rFonts w:ascii="Arial" w:cs="Arial" w:eastAsia="Arial" w:hAnsi="Arial"/>
          <w:sz w:val="13"/>
          <w:szCs w:val="13"/>
          <w:color w:val="auto"/>
        </w:rPr>
        <w:t>a shift in Medicare membership mix due to the loss of stand-alone PDP members and significant growth in Medicare Advantage members; the benefit ratio for stand-alone PDP members generally decreases as the year progress.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300"/>
          </w:cols>
          <w:pgMar w:left="300" w:top="913" w:right="299" w:bottom="1440" w:gutter="0" w:footer="0" w:header="0"/>
        </w:sectPr>
      </w:pPr>
    </w:p>
    <w:bookmarkStart w:id="23" w:name="page24"/>
    <w:bookmarkEnd w:id="23"/>
    <w:p>
      <w:pPr>
        <w:ind w:left="220"/>
        <w:spacing w:after="0"/>
        <w:rPr>
          <w:sz w:val="20"/>
          <w:szCs w:val="20"/>
          <w:color w:val="auto"/>
        </w:rPr>
      </w:pPr>
      <w:r>
        <w:rPr>
          <w:rFonts w:ascii="Arial" w:cs="Arial" w:eastAsia="Arial" w:hAnsi="Arial"/>
          <w:sz w:val="13"/>
          <w:szCs w:val="13"/>
          <w:color w:val="auto"/>
        </w:rPr>
        <w:t>The above items were partially offset by the following factors:</w:t>
      </w:r>
    </w:p>
    <w:p>
      <w:pPr>
        <w:spacing w:after="0" w:line="148" w:lineRule="exact"/>
        <w:rPr>
          <w:sz w:val="20"/>
          <w:szCs w:val="20"/>
          <w:color w:val="auto"/>
        </w:rPr>
      </w:pPr>
    </w:p>
    <w:p>
      <w:pPr>
        <w:ind w:left="540" w:hanging="276"/>
        <w:spacing w:after="0"/>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the temporary deferral of non-COVID utilization in the latter part of 4Q20 as previously discussed,</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the reinstatement of the non-deductible HIF in 2020 that was contemplated in the pricing and benefit design of the company's products, and</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slightly higher favorable Prior Period Development in 4Q20 compared to 4Q19.</w:t>
      </w:r>
    </w:p>
    <w:p>
      <w:pPr>
        <w:spacing w:after="0" w:line="147" w:lineRule="exact"/>
        <w:rPr>
          <w:rFonts w:ascii="Arial" w:cs="Arial" w:eastAsia="Arial" w:hAnsi="Arial"/>
          <w:sz w:val="13"/>
          <w:szCs w:val="13"/>
          <w:color w:val="auto"/>
        </w:rPr>
      </w:pPr>
    </w:p>
    <w:p>
      <w:pPr>
        <w:ind w:left="240" w:hanging="192"/>
        <w:spacing w:after="0"/>
        <w:tabs>
          <w:tab w:leader="none" w:pos="2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FY 2020 benefit ratio for the segment of 84.2 percent was 220 basis points lower than the FY 2019 ratio of 86.4 percent primarily reflecting the following factors:</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significantly depressed non-COVID utilization in the first half of 2020 and again in the last two months of 4Q20; and</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reinstatement of the non-deductible HIF in 2020 that was contemplated in the pricing and benefit design of the company's products.</w:t>
      </w:r>
    </w:p>
    <w:p>
      <w:pPr>
        <w:spacing w:after="0" w:line="200" w:lineRule="exact"/>
        <w:rPr>
          <w:sz w:val="20"/>
          <w:szCs w:val="20"/>
          <w:color w:val="auto"/>
        </w:rPr>
      </w:pPr>
    </w:p>
    <w:p>
      <w:pPr>
        <w:spacing w:after="0" w:line="245" w:lineRule="exact"/>
        <w:rPr>
          <w:sz w:val="20"/>
          <w:szCs w:val="20"/>
          <w:color w:val="auto"/>
        </w:rPr>
      </w:pPr>
    </w:p>
    <w:p>
      <w:pPr>
        <w:ind w:left="540" w:hanging="276"/>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meaningful COVID-19 treatment and testing costs,</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company's ongoing pandemic relief efforts and strategic investments in the company's integrated care delivery model,</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impact from a shift in Medicare membership mix, and</w:t>
      </w:r>
    </w:p>
    <w:p>
      <w:pPr>
        <w:spacing w:after="0" w:line="147" w:lineRule="exact"/>
        <w:rPr>
          <w:rFonts w:ascii="Arial" w:cs="Arial" w:eastAsia="Arial" w:hAnsi="Arial"/>
          <w:sz w:val="13"/>
          <w:szCs w:val="13"/>
          <w:color w:val="auto"/>
        </w:rPr>
      </w:pPr>
    </w:p>
    <w:p>
      <w:pPr>
        <w:ind w:left="540" w:hanging="276"/>
        <w:spacing w:after="0"/>
        <w:tabs>
          <w:tab w:leader="none" w:pos="5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lower favorable Prior Period Development in FY 2020.</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Prior Period Development</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Favorable Prior Period Development in the Retail segment decreased the segment benefit ratio by 20 basis points in 4Q20 compared to decreasing the 4Q19 ratio by 10 basis points.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Favorable Prior Period Development decreased the FY 2020 ratio by 40 basis points and decreased the FY 2019 benefit ratio by 70 basis points.</w:t>
      </w:r>
    </w:p>
    <w:p>
      <w:pPr>
        <w:spacing w:after="0" w:line="164" w:lineRule="exact"/>
        <w:rPr>
          <w:sz w:val="20"/>
          <w:szCs w:val="20"/>
          <w:color w:val="auto"/>
        </w:rPr>
      </w:pPr>
    </w:p>
    <w:tbl>
      <w:tblPr>
        <w:tblLayout w:type="fixed"/>
        <w:tblInd w:w="270" w:type="dxa"/>
        <w:tblCellMar>
          <w:top w:w="0" w:type="dxa"/>
          <w:left w:w="0" w:type="dxa"/>
          <w:bottom w:w="0" w:type="dxa"/>
          <w:right w:w="0" w:type="dxa"/>
        </w:tblCellMar>
      </w:tblPr>
      <w:tr>
        <w:trPr>
          <w:trHeight w:val="117"/>
        </w:trPr>
        <w:tc>
          <w:tcPr>
            <w:tcW w:w="5040" w:type="dxa"/>
            <w:vAlign w:val="bottom"/>
            <w:tcBorders>
              <w:top w:val="single" w:sz="8" w:color="auto"/>
              <w:left w:val="single" w:sz="8" w:color="auto"/>
              <w:right w:val="single" w:sz="8" w:color="auto"/>
            </w:tcBorders>
          </w:tcPr>
          <w:p>
            <w:pPr>
              <w:ind w:left="20"/>
              <w:spacing w:after="0" w:line="117" w:lineRule="exact"/>
              <w:rPr>
                <w:sz w:val="20"/>
                <w:szCs w:val="20"/>
                <w:color w:val="auto"/>
              </w:rPr>
            </w:pPr>
            <w:r>
              <w:rPr>
                <w:rFonts w:ascii="Arial" w:cs="Arial" w:eastAsia="Arial" w:hAnsi="Arial"/>
                <w:sz w:val="11"/>
                <w:szCs w:val="11"/>
                <w:b w:val="1"/>
                <w:bCs w:val="1"/>
                <w:color w:val="auto"/>
              </w:rPr>
              <w:t>Retail Segment Prior Period Development (in millions)</w:t>
            </w:r>
          </w:p>
        </w:tc>
        <w:tc>
          <w:tcPr>
            <w:tcW w:w="90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First</w:t>
            </w:r>
          </w:p>
        </w:tc>
        <w:tc>
          <w:tcPr>
            <w:tcW w:w="980" w:type="dxa"/>
            <w:vAlign w:val="bottom"/>
            <w:tcBorders>
              <w:top w:val="single" w:sz="8" w:color="auto"/>
              <w:right w:val="single" w:sz="8" w:color="auto"/>
            </w:tcBorders>
          </w:tcPr>
          <w:p>
            <w:pPr>
              <w:jc w:val="right"/>
              <w:ind w:right="266"/>
              <w:spacing w:after="0" w:line="117" w:lineRule="exact"/>
              <w:rPr>
                <w:sz w:val="20"/>
                <w:szCs w:val="20"/>
                <w:color w:val="auto"/>
              </w:rPr>
            </w:pPr>
            <w:r>
              <w:rPr>
                <w:rFonts w:ascii="Arial" w:cs="Arial" w:eastAsia="Arial" w:hAnsi="Arial"/>
                <w:sz w:val="11"/>
                <w:szCs w:val="11"/>
                <w:b w:val="1"/>
                <w:bCs w:val="1"/>
                <w:color w:val="auto"/>
              </w:rPr>
              <w:t>Second</w:t>
            </w:r>
          </w:p>
        </w:tc>
        <w:tc>
          <w:tcPr>
            <w:tcW w:w="104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Third</w:t>
            </w:r>
          </w:p>
        </w:tc>
        <w:tc>
          <w:tcPr>
            <w:tcW w:w="82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7"/>
              </w:rPr>
              <w:t>Fourth</w:t>
            </w:r>
          </w:p>
        </w:tc>
        <w:tc>
          <w:tcPr>
            <w:tcW w:w="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9"/>
              </w:rPr>
              <w:t>FY</w:t>
            </w:r>
          </w:p>
        </w:tc>
        <w:tc>
          <w:tcPr>
            <w:tcW w:w="0" w:type="dxa"/>
            <w:vAlign w:val="bottom"/>
          </w:tcPr>
          <w:p>
            <w:pPr>
              <w:spacing w:after="0"/>
              <w:rPr>
                <w:sz w:val="1"/>
                <w:szCs w:val="1"/>
                <w:color w:val="auto"/>
              </w:rPr>
            </w:pPr>
          </w:p>
        </w:tc>
      </w:tr>
      <w:tr>
        <w:trPr>
          <w:trHeight w:val="144"/>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Favorable (unfavorable)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Quarter</w:t>
            </w:r>
          </w:p>
        </w:tc>
        <w:tc>
          <w:tcPr>
            <w:tcW w:w="980" w:type="dxa"/>
            <w:vAlign w:val="bottom"/>
            <w:tcBorders>
              <w:bottom w:val="single" w:sz="8" w:color="auto"/>
              <w:right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Quarter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Quarter</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Quarter</w:t>
            </w:r>
          </w:p>
        </w:tc>
        <w:tc>
          <w:tcPr>
            <w:tcW w:w="9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Prior Period Development from prior years recognized in 2020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$238</w:t>
            </w:r>
          </w:p>
        </w:tc>
        <w:tc>
          <w:tcPr>
            <w:tcW w:w="980" w:type="dxa"/>
            <w:vAlign w:val="bottom"/>
            <w:tcBorders>
              <w:bottom w:val="single" w:sz="8" w:color="auto"/>
              <w:right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$(33)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$266</w:t>
            </w:r>
          </w:p>
        </w:tc>
        <w:tc>
          <w:tcPr>
            <w:tcW w:w="0" w:type="dxa"/>
            <w:vAlign w:val="bottom"/>
          </w:tcPr>
          <w:p>
            <w:pPr>
              <w:spacing w:after="0"/>
              <w:rPr>
                <w:sz w:val="1"/>
                <w:szCs w:val="1"/>
                <w:color w:val="auto"/>
              </w:rPr>
            </w:pPr>
          </w:p>
        </w:tc>
      </w:tr>
      <w:tr>
        <w:trPr>
          <w:trHeight w:val="133"/>
        </w:trPr>
        <w:tc>
          <w:tcPr>
            <w:tcW w:w="5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2019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$283</w:t>
            </w:r>
          </w:p>
        </w:tc>
        <w:tc>
          <w:tcPr>
            <w:tcW w:w="98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$28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$386</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operating costs:</w:t>
      </w:r>
    </w:p>
    <w:p>
      <w:pPr>
        <w:spacing w:after="0" w:line="150" w:lineRule="exact"/>
        <w:rPr>
          <w:sz w:val="20"/>
          <w:szCs w:val="20"/>
          <w:color w:val="auto"/>
        </w:rPr>
      </w:pPr>
    </w:p>
    <w:p>
      <w:pPr>
        <w:ind w:left="260" w:hanging="212"/>
        <w:spacing w:after="0" w:line="290" w:lineRule="auto"/>
        <w:tabs>
          <w:tab w:leader="none" w:pos="234"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Retail segment’s operating cost ratio of 14.0 percent in 4Q20 increased 240 basis points from 11.6 percent in 4Q19. The year-over-year comparison was negatively impacted by the following factors:</w:t>
      </w:r>
    </w:p>
    <w:p>
      <w:pPr>
        <w:spacing w:after="0" w:line="88" w:lineRule="exact"/>
        <w:rPr>
          <w:rFonts w:ascii="Arial" w:cs="Arial" w:eastAsia="Arial" w:hAnsi="Arial"/>
          <w:sz w:val="13"/>
          <w:szCs w:val="13"/>
          <w:color w:val="auto"/>
        </w:rPr>
      </w:pPr>
    </w:p>
    <w:p>
      <w:pPr>
        <w:ind w:left="480" w:hanging="216"/>
        <w:spacing w:after="0"/>
        <w:tabs>
          <w:tab w:leader="none" w:pos="4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reinstatement of the non-deductible HIF in 2020, which increased the Retail segment's GAAP operating cost ratio by approximately 160 basis points in 4Q20,</w:t>
      </w:r>
    </w:p>
    <w:p>
      <w:pPr>
        <w:spacing w:after="0" w:line="147" w:lineRule="exact"/>
        <w:rPr>
          <w:rFonts w:ascii="Arial" w:cs="Arial" w:eastAsia="Arial" w:hAnsi="Arial"/>
          <w:sz w:val="13"/>
          <w:szCs w:val="13"/>
          <w:color w:val="auto"/>
        </w:rPr>
      </w:pPr>
    </w:p>
    <w:p>
      <w:pPr>
        <w:ind w:left="480" w:hanging="216"/>
        <w:spacing w:after="0"/>
        <w:tabs>
          <w:tab w:leader="none" w:pos="4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COVID-19 related administrative costs as previously discussed,</w:t>
      </w:r>
    </w:p>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140"/>
          </w:cols>
          <w:pgMar w:left="460" w:top="913" w:right="299" w:bottom="1440" w:gutter="0" w:footer="0" w:header="0"/>
        </w:sectPr>
      </w:pPr>
    </w:p>
    <w:bookmarkStart w:id="24" w:name="page25"/>
    <w:bookmarkEnd w:id="24"/>
    <w:p>
      <w:pPr>
        <w:ind w:left="640" w:hanging="216"/>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continued support for the company's constituents and strategic investments in the company's integrated care delivery model,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increased spending associated with Medicare AEP.</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above increases were partially offset by the following items:</w:t>
      </w:r>
    </w:p>
    <w:p>
      <w:pPr>
        <w:spacing w:after="0" w:line="148" w:lineRule="exact"/>
        <w:rPr>
          <w:sz w:val="20"/>
          <w:szCs w:val="20"/>
          <w:color w:val="auto"/>
        </w:rPr>
      </w:pPr>
    </w:p>
    <w:p>
      <w:pPr>
        <w:ind w:left="640" w:hanging="216"/>
        <w:spacing w:after="0"/>
        <w:tabs>
          <w:tab w:leader="none" w:pos="6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scale efficiencies associated with growth in the company's Medicare Advantage membership;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significant operating cost efficiencies in 4Q20 driven by previously disclosed productivity initiatives.</w:t>
      </w:r>
    </w:p>
    <w:p>
      <w:pPr>
        <w:spacing w:after="0" w:line="147" w:lineRule="exact"/>
        <w:rPr>
          <w:rFonts w:ascii="Arial" w:cs="Arial" w:eastAsia="Arial" w:hAnsi="Arial"/>
          <w:sz w:val="13"/>
          <w:szCs w:val="13"/>
          <w:color w:val="auto"/>
        </w:rPr>
      </w:pPr>
    </w:p>
    <w:p>
      <w:pPr>
        <w:ind w:left="420" w:right="20" w:hanging="212"/>
        <w:spacing w:after="0" w:line="290" w:lineRule="auto"/>
        <w:tabs>
          <w:tab w:leader="none" w:pos="394"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Retail segment’s FY 2020 operating cost ratio of 11.0 percent increased 160 basis points from 9.4 percent in FY 2019 primarily reflecting the same factors that impacted the year-over-year comparison for the fourth quarter. The non-deductible HIF impacted the segment’s FY 2020 operating cost ratio by approximately 160 points.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results: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5800" w:type="dxa"/>
            <w:vAlign w:val="bottom"/>
            <w:tcBorders>
              <w:top w:val="single" w:sz="8" w:color="auto"/>
              <w:left w:val="single" w:sz="8" w:color="auto"/>
              <w:right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rPr>
              <w:t>Retail segment (loss) earnings</w:t>
            </w:r>
          </w:p>
        </w:tc>
        <w:tc>
          <w:tcPr>
            <w:tcW w:w="1380" w:type="dxa"/>
            <w:vAlign w:val="bottom"/>
            <w:tcBorders>
              <w:top w:val="single" w:sz="8" w:color="auto"/>
              <w:right w:val="single" w:sz="8" w:color="auto"/>
            </w:tcBorders>
            <w:shd w:val="clear" w:color="auto" w:fill="EAEAEA"/>
          </w:tcPr>
          <w:p>
            <w:pPr>
              <w:spacing w:after="0"/>
              <w:rPr>
                <w:sz w:val="9"/>
                <w:szCs w:val="9"/>
                <w:color w:val="auto"/>
              </w:rPr>
            </w:pPr>
          </w:p>
        </w:tc>
        <w:tc>
          <w:tcPr>
            <w:tcW w:w="1380" w:type="dxa"/>
            <w:vAlign w:val="bottom"/>
            <w:tcBorders>
              <w:top w:val="single" w:sz="8" w:color="auto"/>
              <w:right w:val="single" w:sz="8" w:color="auto"/>
            </w:tcBorders>
          </w:tcPr>
          <w:p>
            <w:pPr>
              <w:spacing w:after="0"/>
              <w:rPr>
                <w:sz w:val="9"/>
                <w:szCs w:val="9"/>
                <w:color w:val="auto"/>
              </w:rPr>
            </w:pPr>
          </w:p>
        </w:tc>
        <w:tc>
          <w:tcPr>
            <w:tcW w:w="1380" w:type="dxa"/>
            <w:vAlign w:val="bottom"/>
            <w:tcBorders>
              <w:top w:val="single" w:sz="8" w:color="auto"/>
              <w:right w:val="single" w:sz="8" w:color="auto"/>
            </w:tcBorders>
            <w:shd w:val="clear" w:color="auto" w:fill="EAEAEA"/>
          </w:tcPr>
          <w:p>
            <w:pPr>
              <w:spacing w:after="0"/>
              <w:rPr>
                <w:sz w:val="9"/>
                <w:szCs w:val="9"/>
                <w:color w:val="auto"/>
              </w:rPr>
            </w:pPr>
          </w:p>
        </w:tc>
        <w:tc>
          <w:tcPr>
            <w:tcW w:w="1380" w:type="dxa"/>
            <w:vAlign w:val="bottom"/>
            <w:tcBorders>
              <w:top w:val="single" w:sz="8" w:color="auto"/>
              <w:right w:val="single" w:sz="8" w:color="auto"/>
            </w:tcBorders>
          </w:tcPr>
          <w:p>
            <w:pPr>
              <w:spacing w:after="0"/>
              <w:rPr>
                <w:sz w:val="9"/>
                <w:szCs w:val="9"/>
                <w:color w:val="auto"/>
              </w:rPr>
            </w:pPr>
          </w:p>
        </w:tc>
      </w:tr>
      <w:tr>
        <w:trPr>
          <w:trHeight w:val="135"/>
        </w:trPr>
        <w:tc>
          <w:tcPr>
            <w:tcW w:w="5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380" w:type="dxa"/>
            <w:vAlign w:val="bottom"/>
            <w:tcBorders>
              <w:bottom w:val="single" w:sz="8" w:color="auto"/>
              <w:right w:val="single" w:sz="8" w:color="auto"/>
            </w:tcBorders>
            <w:shd w:val="clear" w:color="auto" w:fill="EAEAEA"/>
          </w:tcPr>
          <w:p>
            <w:pPr>
              <w:jc w:val="right"/>
              <w:ind w:right="448"/>
              <w:spacing w:after="0"/>
              <w:rPr>
                <w:sz w:val="20"/>
                <w:szCs w:val="20"/>
                <w:color w:val="auto"/>
              </w:rPr>
            </w:pPr>
            <w:r>
              <w:rPr>
                <w:rFonts w:ascii="Arial" w:cs="Arial" w:eastAsia="Arial" w:hAnsi="Arial"/>
                <w:sz w:val="10"/>
                <w:szCs w:val="10"/>
                <w:b w:val="1"/>
                <w:bCs w:val="1"/>
                <w:color w:val="auto"/>
              </w:rPr>
              <w:t>4Q20 (a)</w:t>
            </w:r>
          </w:p>
        </w:tc>
        <w:tc>
          <w:tcPr>
            <w:tcW w:w="1380" w:type="dxa"/>
            <w:vAlign w:val="bottom"/>
            <w:tcBorders>
              <w:bottom w:val="single" w:sz="8" w:color="auto"/>
              <w:right w:val="single" w:sz="8" w:color="auto"/>
            </w:tcBorders>
          </w:tcPr>
          <w:p>
            <w:pPr>
              <w:jc w:val="right"/>
              <w:ind w:right="468"/>
              <w:spacing w:after="0"/>
              <w:rPr>
                <w:sz w:val="20"/>
                <w:szCs w:val="20"/>
                <w:color w:val="auto"/>
              </w:rPr>
            </w:pPr>
            <w:r>
              <w:rPr>
                <w:rFonts w:ascii="Arial" w:cs="Arial" w:eastAsia="Arial" w:hAnsi="Arial"/>
                <w:sz w:val="10"/>
                <w:szCs w:val="10"/>
                <w:color w:val="auto"/>
              </w:rPr>
              <w:t>4Q19 (b)</w:t>
            </w:r>
          </w:p>
        </w:tc>
        <w:tc>
          <w:tcPr>
            <w:tcW w:w="1380" w:type="dxa"/>
            <w:vAlign w:val="bottom"/>
            <w:tcBorders>
              <w:bottom w:val="single" w:sz="8" w:color="auto"/>
              <w:right w:val="single" w:sz="8" w:color="auto"/>
            </w:tcBorders>
            <w:shd w:val="clear" w:color="auto" w:fill="EAEAEA"/>
          </w:tcPr>
          <w:p>
            <w:pPr>
              <w:jc w:val="right"/>
              <w:ind w:right="408"/>
              <w:spacing w:after="0"/>
              <w:rPr>
                <w:sz w:val="20"/>
                <w:szCs w:val="20"/>
                <w:color w:val="auto"/>
              </w:rPr>
            </w:pPr>
            <w:r>
              <w:rPr>
                <w:rFonts w:ascii="Arial" w:cs="Arial" w:eastAsia="Arial" w:hAnsi="Arial"/>
                <w:sz w:val="10"/>
                <w:szCs w:val="10"/>
                <w:b w:val="1"/>
                <w:bCs w:val="1"/>
                <w:color w:val="auto"/>
              </w:rPr>
              <w:t>FY 2020 (c)</w:t>
            </w:r>
          </w:p>
        </w:tc>
        <w:tc>
          <w:tcPr>
            <w:tcW w:w="138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0"/>
                <w:szCs w:val="10"/>
                <w:color w:val="auto"/>
              </w:rPr>
              <w:t>FY 2019 (d)</w:t>
            </w:r>
          </w:p>
        </w:tc>
      </w:tr>
      <w:tr>
        <w:trPr>
          <w:trHeight w:val="133"/>
        </w:trPr>
        <w:tc>
          <w:tcPr>
            <w:tcW w:w="5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3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($210)</w:t>
            </w:r>
          </w:p>
        </w:tc>
        <w:tc>
          <w:tcPr>
            <w:tcW w:w="13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$275</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$3,017</w:t>
            </w:r>
          </w:p>
        </w:tc>
        <w:tc>
          <w:tcPr>
            <w:tcW w:w="13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color w:val="auto"/>
              </w:rPr>
              <w:t>$2,235</w:t>
            </w:r>
          </w:p>
        </w:tc>
      </w:tr>
      <w:tr>
        <w:trPr>
          <w:trHeight w:val="133"/>
        </w:trPr>
        <w:tc>
          <w:tcPr>
            <w:tcW w:w="5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3</w:t>
            </w:r>
          </w:p>
        </w:tc>
        <w:tc>
          <w:tcPr>
            <w:tcW w:w="13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4</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15</w:t>
            </w:r>
          </w:p>
        </w:tc>
        <w:tc>
          <w:tcPr>
            <w:tcW w:w="13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color w:val="auto"/>
              </w:rPr>
              <w:t>16</w:t>
            </w:r>
          </w:p>
        </w:tc>
      </w:tr>
      <w:tr>
        <w:trPr>
          <w:trHeight w:val="133"/>
        </w:trPr>
        <w:tc>
          <w:tcPr>
            <w:tcW w:w="5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8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($207)</w:t>
            </w:r>
          </w:p>
        </w:tc>
        <w:tc>
          <w:tcPr>
            <w:tcW w:w="13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$279</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$3,032</w:t>
            </w:r>
          </w:p>
        </w:tc>
        <w:tc>
          <w:tcPr>
            <w:tcW w:w="13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color w:val="auto"/>
              </w:rPr>
              <w:t>$2,251</w:t>
            </w:r>
          </w:p>
        </w:tc>
      </w:tr>
    </w:tbl>
    <w:p>
      <w:pPr>
        <w:spacing w:after="0" w:line="117" w:lineRule="exact"/>
        <w:rPr>
          <w:sz w:val="20"/>
          <w:szCs w:val="20"/>
          <w:color w:val="auto"/>
        </w:rPr>
      </w:pPr>
    </w:p>
    <w:p>
      <w:pPr>
        <w:ind w:left="420" w:right="20" w:hanging="212"/>
        <w:spacing w:after="0" w:line="268" w:lineRule="auto"/>
        <w:tabs>
          <w:tab w:leader="none" w:pos="394"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year-over-year unfavorable quarter comparison in GAAP segment results was impacted by the same factors that led to the segment's higher benefit and operating cost ratios in 4Q20. The year-over-year favorable comparison in FY GAAP segment earnings resulted from the net favorable impact of a lower segment benefit ratio partially offset by a higher operating cost ratio as previously described.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Humana’s Group and Specialty Segment</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revenues:</w:t>
      </w:r>
    </w:p>
    <w:p>
      <w:pPr>
        <w:spacing w:after="0" w:line="150" w:lineRule="exact"/>
        <w:rPr>
          <w:sz w:val="20"/>
          <w:szCs w:val="20"/>
          <w:color w:val="auto"/>
        </w:rPr>
      </w:pPr>
    </w:p>
    <w:p>
      <w:pPr>
        <w:ind w:left="420" w:hanging="212"/>
        <w:spacing w:after="0" w:line="290" w:lineRule="auto"/>
        <w:tabs>
          <w:tab w:leader="none" w:pos="3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4Q20 revenues for the Group and Specialty segment were $1.79 billion, down $84 million, or 4 percent, year over year from $1.88 billion in 4Q19. This decrease was primarily due to the decline in the company's fully-insured group commercial membership, partially offset by higher per member premiums across the fully-insured commercial business.</w:t>
      </w:r>
    </w:p>
    <w:p>
      <w:pPr>
        <w:spacing w:after="0" w:line="88" w:lineRule="exact"/>
        <w:rPr>
          <w:rFonts w:ascii="Arial" w:cs="Arial" w:eastAsia="Arial" w:hAnsi="Arial"/>
          <w:sz w:val="13"/>
          <w:szCs w:val="13"/>
          <w:color w:val="auto"/>
        </w:rPr>
      </w:pPr>
    </w:p>
    <w:p>
      <w:pPr>
        <w:jc w:val="both"/>
        <w:ind w:left="420" w:hanging="212"/>
        <w:spacing w:after="0" w:line="268" w:lineRule="auto"/>
        <w:tabs>
          <w:tab w:leader="none" w:pos="3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FY 2020 revenues for the Group and Specialty segment were $7.29 billion, down $240 million, or 3 percent, from $7.53 billion in FY 2019 primarily reflecting the same factors that impacted the year-over-year fourth quarter comparison, along with higher stop-loss revenues related to the company's level-funded ASO accounts resulting from membership growth in this product as more fully described below.</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enrollment:</w:t>
      </w:r>
    </w:p>
    <w:p>
      <w:pPr>
        <w:spacing w:after="0" w:line="150" w:lineRule="exact"/>
        <w:rPr>
          <w:sz w:val="20"/>
          <w:szCs w:val="20"/>
          <w:color w:val="auto"/>
        </w:rPr>
      </w:pPr>
    </w:p>
    <w:p>
      <w:pPr>
        <w:ind w:left="420" w:right="20" w:hanging="212"/>
        <w:spacing w:after="0" w:line="290" w:lineRule="auto"/>
        <w:tabs>
          <w:tab w:leader="none" w:pos="394" w:val="left"/>
        </w:tabs>
        <w:numPr>
          <w:ilvl w:val="0"/>
          <w:numId w:val="3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Group fully-insured commercial medical </w:t>
      </w:r>
      <w:r>
        <w:rPr>
          <w:rFonts w:ascii="Arial" w:cs="Arial" w:eastAsia="Arial" w:hAnsi="Arial"/>
          <w:sz w:val="13"/>
          <w:szCs w:val="13"/>
          <w:color w:val="auto"/>
        </w:rPr>
        <w:t>membership was 777,400 at December 31, 2020, a decrease of 131,200, or 14 percent, from 908,600 at December 31, 2019, and down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22,100, or 3 percent, from 799,500 at September 30, 2020. These anticipated declines primarily reflect lower membership in small group accounts due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300"/>
          </w:cols>
          <w:pgMar w:left="300" w:top="913" w:right="299" w:bottom="1440" w:gutter="0" w:footer="0" w:header="0"/>
        </w:sectPr>
      </w:pPr>
    </w:p>
    <w:bookmarkStart w:id="25" w:name="page26"/>
    <w:bookmarkEnd w:id="25"/>
    <w:p>
      <w:pPr>
        <w:jc w:val="both"/>
        <w:ind w:left="420"/>
        <w:spacing w:after="0" w:line="260" w:lineRule="auto"/>
        <w:rPr>
          <w:sz w:val="20"/>
          <w:szCs w:val="20"/>
          <w:color w:val="auto"/>
        </w:rPr>
      </w:pPr>
      <w:r>
        <w:rPr>
          <w:rFonts w:ascii="Arial" w:cs="Arial" w:eastAsia="Arial" w:hAnsi="Arial"/>
          <w:sz w:val="13"/>
          <w:szCs w:val="13"/>
          <w:color w:val="auto"/>
        </w:rPr>
        <w:t>in part to more small group accounts selecting level-funded ASO products, as well as the loss of certain large group accounts due to disciplined pricing in the competitive environment. Additionally, the declines in membership were impacted by the current economic downturn driven by the COVID-19 pandemic resulting in higher unemployment rates and loss of coverage for fully-insured commercial group members. The portion of group fully-insured commercial medical membership in small group accounts (2-99 sized employer groups) was approximately 54 percent at December 31, 2020 compared to 56 percent at September 30, 2020 and 59 percent at December 31, 2019.</w:t>
      </w:r>
    </w:p>
    <w:p>
      <w:pPr>
        <w:spacing w:after="0" w:line="108" w:lineRule="exact"/>
        <w:rPr>
          <w:sz w:val="20"/>
          <w:szCs w:val="20"/>
          <w:color w:val="auto"/>
        </w:rPr>
      </w:pPr>
    </w:p>
    <w:p>
      <w:pPr>
        <w:jc w:val="both"/>
        <w:ind w:left="420" w:hanging="212"/>
        <w:spacing w:after="0" w:line="256" w:lineRule="auto"/>
        <w:tabs>
          <w:tab w:leader="none" w:pos="394" w:val="left"/>
        </w:tabs>
        <w:numPr>
          <w:ilvl w:val="0"/>
          <w:numId w:val="3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Group ASO commercial medical </w:t>
      </w:r>
      <w:r>
        <w:rPr>
          <w:rFonts w:ascii="Arial" w:cs="Arial" w:eastAsia="Arial" w:hAnsi="Arial"/>
          <w:sz w:val="13"/>
          <w:szCs w:val="13"/>
          <w:color w:val="auto"/>
        </w:rPr>
        <w:t>membership was 504,900 at December 31, 2020, a decrease of 24,300, or 5 percent, from 529,200 at December 31, 2019, but up 2,800, or 1 percent,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502,100 at September 30, 2020. These changes primarily reflect the loss of certain large group accounts due to continued discipline in pricing of services for self-funded accounts amid a highly competitive environment and the impact of the current economic downturn driven by the COVID-19 pandemic as previously discussed, partially offset by more small group accounts selecting level-funded ASO products. Small group membership comprised 45 percent of group ASO medical membership at December 31, 2020 and at September 30, 2020 versus 40 percent at December 31, 2019.</w:t>
      </w:r>
    </w:p>
    <w:p>
      <w:pPr>
        <w:spacing w:after="0" w:line="111" w:lineRule="exact"/>
        <w:rPr>
          <w:rFonts w:ascii="Arial" w:cs="Arial" w:eastAsia="Arial" w:hAnsi="Arial"/>
          <w:sz w:val="13"/>
          <w:szCs w:val="13"/>
          <w:color w:val="auto"/>
        </w:rPr>
      </w:pPr>
    </w:p>
    <w:p>
      <w:pPr>
        <w:jc w:val="both"/>
        <w:ind w:left="420" w:hanging="212"/>
        <w:spacing w:after="0" w:line="290" w:lineRule="auto"/>
        <w:tabs>
          <w:tab w:leader="none" w:pos="394" w:val="left"/>
        </w:tabs>
        <w:numPr>
          <w:ilvl w:val="0"/>
          <w:numId w:val="3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Military services </w:t>
      </w:r>
      <w:r>
        <w:rPr>
          <w:rFonts w:ascii="Arial" w:cs="Arial" w:eastAsia="Arial" w:hAnsi="Arial"/>
          <w:sz w:val="13"/>
          <w:szCs w:val="13"/>
          <w:color w:val="auto"/>
        </w:rPr>
        <w:t>membership was 5,998,700 at December 31, 2020, an increase of 14,400, from 5,984,300 at December 31, 2019, but down 17,700 from 6,016,400 at September 30,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2020. Membership includes military service members, retirees, and their families to whom the company is providing healthcare services under the current TRICARE East Region contract.</w:t>
      </w:r>
    </w:p>
    <w:p>
      <w:pPr>
        <w:spacing w:after="0" w:line="88" w:lineRule="exact"/>
        <w:rPr>
          <w:rFonts w:ascii="Arial" w:cs="Arial" w:eastAsia="Arial" w:hAnsi="Arial"/>
          <w:sz w:val="13"/>
          <w:szCs w:val="13"/>
          <w:color w:val="auto"/>
        </w:rPr>
      </w:pPr>
    </w:p>
    <w:p>
      <w:pPr>
        <w:jc w:val="both"/>
        <w:ind w:left="420" w:hanging="212"/>
        <w:spacing w:after="0" w:line="268" w:lineRule="auto"/>
        <w:tabs>
          <w:tab w:leader="none" w:pos="3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Membership in </w:t>
      </w:r>
      <w:r>
        <w:rPr>
          <w:rFonts w:ascii="Arial" w:cs="Arial" w:eastAsia="Arial" w:hAnsi="Arial"/>
          <w:sz w:val="13"/>
          <w:szCs w:val="13"/>
          <w:b w:val="1"/>
          <w:bCs w:val="1"/>
          <w:i w:val="1"/>
          <w:iCs w:val="1"/>
          <w:color w:val="auto"/>
        </w:rPr>
        <w:t>specialty products</w:t>
      </w:r>
      <w:r>
        <w:rPr>
          <w:rFonts w:ascii="Arial" w:cs="Arial" w:eastAsia="Arial" w:hAnsi="Arial"/>
          <w:sz w:val="7"/>
          <w:szCs w:val="7"/>
          <w:color w:val="auto"/>
        </w:rPr>
        <w:t>(h)</w:t>
      </w:r>
      <w:r>
        <w:rPr>
          <w:rFonts w:ascii="Arial" w:cs="Arial" w:eastAsia="Arial" w:hAnsi="Arial"/>
          <w:sz w:val="13"/>
          <w:szCs w:val="13"/>
          <w:color w:val="auto"/>
        </w:rPr>
        <w:t xml:space="preserve"> was 5,310,300 at December 31, 2020, a decrease of 115,600, or 2 percent, from 5,425,900, at December 31, 2019, and down 15,300 from 5,325,600 at September 30, 2020. These decreases resulted from the loss of certain group accounts offering stand-alone dental and vision products, as well as the impact of the current economic downturn driven by the COVID-19 pandemic as previously discussed.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benefits expense:</w:t>
      </w:r>
    </w:p>
    <w:p>
      <w:pPr>
        <w:spacing w:after="0" w:line="150" w:lineRule="exact"/>
        <w:rPr>
          <w:sz w:val="20"/>
          <w:szCs w:val="20"/>
          <w:color w:val="auto"/>
        </w:rPr>
      </w:pPr>
    </w:p>
    <w:p>
      <w:pPr>
        <w:ind w:left="420" w:right="140" w:hanging="212"/>
        <w:spacing w:after="0" w:line="290" w:lineRule="auto"/>
        <w:tabs>
          <w:tab w:leader="none" w:pos="394" w:val="left"/>
        </w:tabs>
        <w:numPr>
          <w:ilvl w:val="0"/>
          <w:numId w:val="37"/>
        </w:numPr>
        <w:rPr>
          <w:rFonts w:ascii="Arial" w:cs="Arial" w:eastAsia="Arial" w:hAnsi="Arial"/>
          <w:sz w:val="13"/>
          <w:szCs w:val="13"/>
          <w:b w:val="1"/>
          <w:bCs w:val="1"/>
          <w:color w:val="auto"/>
        </w:rPr>
      </w:pPr>
      <w:r>
        <w:rPr>
          <w:rFonts w:ascii="Arial" w:cs="Arial" w:eastAsia="Arial" w:hAnsi="Arial"/>
          <w:sz w:val="13"/>
          <w:szCs w:val="13"/>
          <w:color w:val="auto"/>
        </w:rPr>
        <w:t>The 4Q20 benefit ratio for the Group and Specialty segment was 104.3 percent, an increase of 910 basis points from 95.2 percent for 4Q19. The year-over-year increase in the segment benefit ratio was primarily due to the following factors:</w:t>
      </w:r>
    </w:p>
    <w:p>
      <w:pPr>
        <w:spacing w:after="0" w:line="88" w:lineRule="exact"/>
        <w:rPr>
          <w:rFonts w:ascii="Arial" w:cs="Arial" w:eastAsia="Arial" w:hAnsi="Arial"/>
          <w:sz w:val="13"/>
          <w:szCs w:val="13"/>
          <w:b w:val="1"/>
          <w:bCs w:val="1"/>
          <w:color w:val="auto"/>
        </w:rPr>
      </w:pPr>
    </w:p>
    <w:p>
      <w:pPr>
        <w:jc w:val="both"/>
        <w:ind w:left="860" w:right="120" w:hanging="220"/>
        <w:spacing w:after="0" w:line="268" w:lineRule="auto"/>
        <w:tabs>
          <w:tab w:leader="none" w:pos="862" w:val="left"/>
        </w:tabs>
        <w:numPr>
          <w:ilvl w:val="1"/>
          <w:numId w:val="37"/>
        </w:numPr>
        <w:rPr>
          <w:rFonts w:ascii="Arial" w:cs="Arial" w:eastAsia="Arial" w:hAnsi="Arial"/>
          <w:sz w:val="13"/>
          <w:szCs w:val="13"/>
          <w:color w:val="auto"/>
        </w:rPr>
      </w:pPr>
      <w:r>
        <w:rPr>
          <w:rFonts w:ascii="Arial" w:cs="Arial" w:eastAsia="Arial" w:hAnsi="Arial"/>
          <w:sz w:val="13"/>
          <w:szCs w:val="13"/>
          <w:color w:val="auto"/>
        </w:rPr>
        <w:t>ongoing pandemic relief efforts and strategic investments in the business, primarily surrounding initiatives to ease administrative and financial stress for providers and employers while positioning the business for long-term success. Investments in the segment were disproportionate relative to the reduction in non-COVID utilization levels for the company's commercial group medical and specialty members; and</w:t>
      </w:r>
    </w:p>
    <w:p>
      <w:pPr>
        <w:spacing w:after="0" w:line="102" w:lineRule="exact"/>
        <w:rPr>
          <w:rFonts w:ascii="Arial" w:cs="Arial" w:eastAsia="Arial" w:hAnsi="Arial"/>
          <w:sz w:val="13"/>
          <w:szCs w:val="13"/>
          <w:color w:val="auto"/>
        </w:rPr>
      </w:pPr>
    </w:p>
    <w:p>
      <w:pPr>
        <w:ind w:left="860" w:hanging="220"/>
        <w:spacing w:after="0"/>
        <w:tabs>
          <w:tab w:leader="none" w:pos="8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meaningful COVID-19 treatment and testing costs.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above items were partially offset by the following factors:</w:t>
      </w:r>
    </w:p>
    <w:p>
      <w:pPr>
        <w:spacing w:after="0" w:line="148" w:lineRule="exact"/>
        <w:rPr>
          <w:sz w:val="20"/>
          <w:szCs w:val="20"/>
          <w:color w:val="auto"/>
        </w:rPr>
      </w:pPr>
    </w:p>
    <w:p>
      <w:pPr>
        <w:ind w:left="860" w:hanging="220"/>
        <w:spacing w:after="0"/>
        <w:tabs>
          <w:tab w:leader="none" w:pos="860" w:val="left"/>
        </w:tabs>
        <w:numPr>
          <w:ilvl w:val="1"/>
          <w:numId w:val="38"/>
        </w:numPr>
        <w:rPr>
          <w:rFonts w:ascii="Arial" w:cs="Arial" w:eastAsia="Arial" w:hAnsi="Arial"/>
          <w:sz w:val="13"/>
          <w:szCs w:val="13"/>
          <w:color w:val="auto"/>
        </w:rPr>
      </w:pPr>
      <w:r>
        <w:rPr>
          <w:rFonts w:ascii="Arial" w:cs="Arial" w:eastAsia="Arial" w:hAnsi="Arial"/>
          <w:sz w:val="13"/>
          <w:szCs w:val="13"/>
          <w:color w:val="auto"/>
        </w:rPr>
        <w:t>reinstatement of the non-deductible HIF in 2020 that was contemplated in the pricing and benefit design of the company's products,</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38"/>
        </w:numPr>
        <w:rPr>
          <w:rFonts w:ascii="Arial" w:cs="Arial" w:eastAsia="Arial" w:hAnsi="Arial"/>
          <w:sz w:val="13"/>
          <w:szCs w:val="13"/>
          <w:color w:val="auto"/>
        </w:rPr>
      </w:pPr>
      <w:r>
        <w:rPr>
          <w:rFonts w:ascii="Arial" w:cs="Arial" w:eastAsia="Arial" w:hAnsi="Arial"/>
          <w:sz w:val="13"/>
          <w:szCs w:val="13"/>
          <w:color w:val="auto"/>
        </w:rPr>
        <w:t>the temporary deferral of non-COVID utilization in the last two months of 4Q20 as previously discussed, and</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38"/>
        </w:numPr>
        <w:rPr>
          <w:rFonts w:ascii="Arial" w:cs="Arial" w:eastAsia="Arial" w:hAnsi="Arial"/>
          <w:sz w:val="13"/>
          <w:szCs w:val="13"/>
          <w:color w:val="auto"/>
        </w:rPr>
      </w:pPr>
      <w:r>
        <w:rPr>
          <w:rFonts w:ascii="Arial" w:cs="Arial" w:eastAsia="Arial" w:hAnsi="Arial"/>
          <w:sz w:val="13"/>
          <w:szCs w:val="13"/>
          <w:color w:val="auto"/>
        </w:rPr>
        <w:t>higher favorable Prior Period Development in the segment in 4Q20.</w:t>
      </w:r>
    </w:p>
    <w:p>
      <w:pPr>
        <w:spacing w:after="0" w:line="147" w:lineRule="exact"/>
        <w:rPr>
          <w:rFonts w:ascii="Arial" w:cs="Arial" w:eastAsia="Arial" w:hAnsi="Arial"/>
          <w:sz w:val="13"/>
          <w:szCs w:val="13"/>
          <w:color w:val="auto"/>
        </w:rPr>
      </w:pPr>
    </w:p>
    <w:p>
      <w:pPr>
        <w:ind w:left="420" w:right="40" w:hanging="212"/>
        <w:spacing w:after="0" w:line="290" w:lineRule="auto"/>
        <w:tabs>
          <w:tab w:leader="none" w:pos="394"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FY 2020 benefit ratio for the segment of 85.6 percent was 40 basis points lower than the FY 2019 ratio of 86.0 percent. The year-over-year comparison was impacted by the following factors: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1300"/>
          </w:cols>
          <w:pgMar w:left="300" w:top="913" w:right="299" w:bottom="1440" w:gutter="0" w:footer="0" w:header="0"/>
        </w:sectPr>
      </w:pPr>
    </w:p>
    <w:bookmarkStart w:id="26" w:name="page27"/>
    <w:bookmarkEnd w:id="26"/>
    <w:p>
      <w:pPr>
        <w:ind w:left="860" w:hanging="220"/>
        <w:spacing w:after="0"/>
        <w:tabs>
          <w:tab w:leader="none" w:pos="8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significantly depressed non-COVID utilization in the first half of 2020 and again in the last two months of 4Q20,</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reinstatement of the non-deductible HIF in 2020 that was contemplated in the pricing and benefit design of the company's products, and</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higher favorable Prior Period Development in the segment in FY 2020.</w:t>
      </w:r>
    </w:p>
    <w:p>
      <w:pPr>
        <w:spacing w:after="0" w:line="200" w:lineRule="exact"/>
        <w:rPr>
          <w:sz w:val="20"/>
          <w:szCs w:val="20"/>
          <w:color w:val="auto"/>
        </w:rPr>
      </w:pPr>
    </w:p>
    <w:p>
      <w:pPr>
        <w:spacing w:after="0" w:line="245" w:lineRule="exact"/>
        <w:rPr>
          <w:sz w:val="20"/>
          <w:szCs w:val="20"/>
          <w:color w:val="auto"/>
        </w:rPr>
      </w:pPr>
    </w:p>
    <w:p>
      <w:pPr>
        <w:ind w:left="860" w:hanging="220"/>
        <w:spacing w:after="0"/>
        <w:tabs>
          <w:tab w:leader="none" w:pos="8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meaningful COVID-19 treatment and testing costs; and</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company's ongoing pandemic relief efforts and strategic investments as previously described.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u w:val="single" w:color="auto"/>
          <w:color w:val="auto"/>
        </w:rPr>
        <w:t>Prior Period Development</w:t>
      </w:r>
    </w:p>
    <w:p>
      <w:pPr>
        <w:spacing w:after="0" w:line="150" w:lineRule="exact"/>
        <w:rPr>
          <w:sz w:val="20"/>
          <w:szCs w:val="20"/>
          <w:color w:val="auto"/>
        </w:rPr>
      </w:pPr>
    </w:p>
    <w:p>
      <w:pPr>
        <w:ind w:left="420"/>
        <w:spacing w:after="0" w:line="290" w:lineRule="auto"/>
        <w:rPr>
          <w:sz w:val="20"/>
          <w:szCs w:val="20"/>
          <w:color w:val="auto"/>
        </w:rPr>
      </w:pPr>
      <w:r>
        <w:rPr>
          <w:rFonts w:ascii="Arial" w:cs="Arial" w:eastAsia="Arial" w:hAnsi="Arial"/>
          <w:sz w:val="13"/>
          <w:szCs w:val="13"/>
          <w:color w:val="auto"/>
        </w:rPr>
        <w:t>The Group and Specialty segment's favorable Prior Period Development for 4Q20, as noted in the table below, decreased the segment benefit ratio by 30 basis points in 4Q20 compared to unfavorable Prior Period Development in 4Q19 increasing the segment ratio by 90 basis points.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Favorable Prior Period Development decreased the FY 2020 ratio by 70 basis points while unfavorable development in FY 2019 increased the benefit ratio by 70 basis points.</w:t>
      </w:r>
    </w:p>
    <w:p>
      <w:pPr>
        <w:spacing w:after="0" w:line="326" w:lineRule="exact"/>
        <w:rPr>
          <w:sz w:val="20"/>
          <w:szCs w:val="20"/>
          <w:color w:val="auto"/>
        </w:rPr>
      </w:pPr>
    </w:p>
    <w:tbl>
      <w:tblPr>
        <w:tblLayout w:type="fixed"/>
        <w:tblInd w:w="450" w:type="dxa"/>
        <w:tblCellMar>
          <w:top w:w="0" w:type="dxa"/>
          <w:left w:w="0" w:type="dxa"/>
          <w:bottom w:w="0" w:type="dxa"/>
          <w:right w:w="0" w:type="dxa"/>
        </w:tblCellMar>
      </w:tblPr>
      <w:tr>
        <w:trPr>
          <w:trHeight w:val="117"/>
        </w:trPr>
        <w:tc>
          <w:tcPr>
            <w:tcW w:w="56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Group and Specialty segment Prior Period Development (in millions) Favorable (unfavorable)</w:t>
            </w:r>
          </w:p>
        </w:tc>
        <w:tc>
          <w:tcPr>
            <w:tcW w:w="1000" w:type="dxa"/>
            <w:vAlign w:val="bottom"/>
            <w:tcBorders>
              <w:top w:val="single" w:sz="8" w:color="auto"/>
              <w:right w:val="single" w:sz="8" w:color="auto"/>
            </w:tcBorders>
            <w:vMerge w:val="restart"/>
          </w:tcPr>
          <w:p>
            <w:pPr>
              <w:jc w:val="right"/>
              <w:ind w:right="126"/>
              <w:spacing w:after="0"/>
              <w:rPr>
                <w:sz w:val="20"/>
                <w:szCs w:val="20"/>
                <w:color w:val="auto"/>
              </w:rPr>
            </w:pPr>
            <w:r>
              <w:rPr>
                <w:rFonts w:ascii="Arial" w:cs="Arial" w:eastAsia="Arial" w:hAnsi="Arial"/>
                <w:sz w:val="11"/>
                <w:szCs w:val="11"/>
                <w:b w:val="1"/>
                <w:bCs w:val="1"/>
                <w:color w:val="auto"/>
              </w:rPr>
              <w:t>First Quarter</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9"/>
              </w:rPr>
              <w:t>Second Quarter</w:t>
            </w:r>
          </w:p>
        </w:tc>
        <w:tc>
          <w:tcPr>
            <w:tcW w:w="94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w w:val="94"/>
              </w:rPr>
              <w:t>Third</w:t>
            </w:r>
          </w:p>
        </w:tc>
        <w:tc>
          <w:tcPr>
            <w:tcW w:w="920" w:type="dxa"/>
            <w:vAlign w:val="bottom"/>
            <w:tcBorders>
              <w:top w:val="single" w:sz="8" w:color="auto"/>
              <w:right w:val="single" w:sz="8" w:color="auto"/>
            </w:tcBorders>
          </w:tcPr>
          <w:p>
            <w:pPr>
              <w:jc w:val="center"/>
              <w:spacing w:after="0" w:line="117" w:lineRule="exact"/>
              <w:rPr>
                <w:sz w:val="20"/>
                <w:szCs w:val="20"/>
                <w:color w:val="auto"/>
              </w:rPr>
            </w:pPr>
            <w:r>
              <w:rPr>
                <w:rFonts w:ascii="Arial" w:cs="Arial" w:eastAsia="Arial" w:hAnsi="Arial"/>
                <w:sz w:val="11"/>
                <w:szCs w:val="11"/>
                <w:b w:val="1"/>
                <w:bCs w:val="1"/>
                <w:color w:val="auto"/>
              </w:rPr>
              <w:t>Fourth</w:t>
            </w:r>
          </w:p>
        </w:tc>
        <w:tc>
          <w:tcPr>
            <w:tcW w:w="1020" w:type="dxa"/>
            <w:vAlign w:val="bottom"/>
            <w:tcBorders>
              <w:top w:val="single" w:sz="8" w:color="auto"/>
              <w:right w:val="single" w:sz="8" w:color="auto"/>
            </w:tcBorders>
            <w:vMerge w:val="restart"/>
          </w:tcPr>
          <w:p>
            <w:pPr>
              <w:jc w:val="right"/>
              <w:ind w:right="406"/>
              <w:spacing w:after="0"/>
              <w:rPr>
                <w:sz w:val="20"/>
                <w:szCs w:val="20"/>
                <w:color w:val="auto"/>
              </w:rPr>
            </w:pPr>
            <w:r>
              <w:rPr>
                <w:rFonts w:ascii="Arial" w:cs="Arial" w:eastAsia="Arial" w:hAnsi="Arial"/>
                <w:sz w:val="11"/>
                <w:szCs w:val="11"/>
                <w:b w:val="1"/>
                <w:bCs w:val="1"/>
                <w:color w:val="auto"/>
              </w:rPr>
              <w:t>FY</w:t>
            </w: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000" w:type="dxa"/>
            <w:vAlign w:val="bottom"/>
            <w:tcBorders>
              <w:bottom w:val="single" w:sz="8" w:color="auto"/>
              <w:right w:val="single" w:sz="8" w:color="auto"/>
            </w:tcBorders>
            <w:vMerge w:val="continue"/>
          </w:tcPr>
          <w:p>
            <w:pPr>
              <w:spacing w:after="0"/>
              <w:rPr>
                <w:sz w:val="12"/>
                <w:szCs w:val="12"/>
                <w:color w:val="auto"/>
              </w:rPr>
            </w:pPr>
          </w:p>
        </w:tc>
        <w:tc>
          <w:tcPr>
            <w:tcW w:w="920" w:type="dxa"/>
            <w:vAlign w:val="bottom"/>
            <w:tcBorders>
              <w:bottom w:val="single" w:sz="8" w:color="auto"/>
              <w:right w:val="single" w:sz="8" w:color="auto"/>
            </w:tcBorders>
            <w:vMerge w:val="continue"/>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Quarter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Quarter</w:t>
            </w: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Prior Period Development from prior years recognized in 2020</w:t>
            </w:r>
          </w:p>
        </w:tc>
        <w:tc>
          <w:tcPr>
            <w:tcW w:w="100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$46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w:t>
            </w:r>
          </w:p>
        </w:tc>
        <w:tc>
          <w:tcPr>
            <w:tcW w:w="940" w:type="dxa"/>
            <w:vAlign w:val="bottom"/>
            <w:tcBorders>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$13</w:t>
            </w:r>
          </w:p>
        </w:tc>
        <w:tc>
          <w:tcPr>
            <w:tcW w:w="92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$4</w:t>
            </w:r>
          </w:p>
        </w:tc>
        <w:tc>
          <w:tcPr>
            <w:tcW w:w="1020" w:type="dxa"/>
            <w:vAlign w:val="bottom"/>
            <w:tcBorders>
              <w:bottom w:val="single" w:sz="8" w:color="auto"/>
              <w:right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33"/>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Prior Period Development from prior years recognized in 2019</w:t>
            </w:r>
          </w:p>
        </w:tc>
        <w:tc>
          <w:tcPr>
            <w:tcW w:w="1000" w:type="dxa"/>
            <w:vAlign w:val="bottom"/>
            <w:tcBorders>
              <w:bottom w:val="single" w:sz="8" w:color="auto"/>
              <w:right w:val="single" w:sz="8" w:color="auto"/>
            </w:tcBorders>
          </w:tcPr>
          <w:p>
            <w:pPr>
              <w:jc w:val="right"/>
              <w:ind w:right="326"/>
              <w:spacing w:after="0"/>
              <w:rPr>
                <w:sz w:val="20"/>
                <w:szCs w:val="20"/>
                <w:color w:val="auto"/>
              </w:rPr>
            </w:pPr>
            <w:r>
              <w:rPr>
                <w:rFonts w:ascii="Arial" w:cs="Arial" w:eastAsia="Arial" w:hAnsi="Arial"/>
                <w:sz w:val="11"/>
                <w:szCs w:val="11"/>
                <w:color w:val="auto"/>
              </w:rPr>
              <w:t>$(16)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$(20)</w:t>
            </w:r>
          </w:p>
        </w:tc>
        <w:tc>
          <w:tcPr>
            <w:tcW w:w="94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$1</w:t>
            </w:r>
          </w:p>
        </w:tc>
        <w:tc>
          <w:tcPr>
            <w:tcW w:w="920" w:type="dxa"/>
            <w:vAlign w:val="bottom"/>
            <w:tcBorders>
              <w:bottom w:val="single" w:sz="8" w:color="auto"/>
              <w:right w:val="single" w:sz="8" w:color="auto"/>
            </w:tcBorders>
          </w:tcPr>
          <w:p>
            <w:pPr>
              <w:jc w:val="right"/>
              <w:ind w:right="306"/>
              <w:spacing w:after="0"/>
              <w:rPr>
                <w:sz w:val="20"/>
                <w:szCs w:val="20"/>
                <w:color w:val="auto"/>
              </w:rPr>
            </w:pPr>
            <w:r>
              <w:rPr>
                <w:rFonts w:ascii="Arial" w:cs="Arial" w:eastAsia="Arial" w:hAnsi="Arial"/>
                <w:sz w:val="11"/>
                <w:szCs w:val="11"/>
                <w:color w:val="auto"/>
              </w:rPr>
              <w:t>$(15)</w:t>
            </w:r>
          </w:p>
        </w:tc>
        <w:tc>
          <w:tcPr>
            <w:tcW w:w="1020" w:type="dxa"/>
            <w:vAlign w:val="bottom"/>
            <w:tcBorders>
              <w:bottom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operating costs:</w:t>
      </w:r>
    </w:p>
    <w:p>
      <w:pPr>
        <w:spacing w:after="0" w:line="150" w:lineRule="exact"/>
        <w:rPr>
          <w:sz w:val="20"/>
          <w:szCs w:val="20"/>
          <w:color w:val="auto"/>
        </w:rPr>
      </w:pPr>
    </w:p>
    <w:p>
      <w:pPr>
        <w:ind w:left="400" w:hanging="192"/>
        <w:spacing w:after="0"/>
        <w:tabs>
          <w:tab w:leader="none" w:pos="400"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The Group and Specialty segment’s operating cost ratio was 28.1 percent in 4Q20, an increase of 570 basis points from 22.4 percent in 4Q19 primarily reflecting the following factors:</w:t>
      </w:r>
    </w:p>
    <w:p>
      <w:pPr>
        <w:spacing w:after="0" w:line="147" w:lineRule="exact"/>
        <w:rPr>
          <w:rFonts w:ascii="Arial" w:cs="Arial" w:eastAsia="Arial" w:hAnsi="Arial"/>
          <w:sz w:val="13"/>
          <w:szCs w:val="13"/>
          <w:b w:val="1"/>
          <w:bCs w:val="1"/>
          <w:color w:val="auto"/>
        </w:rPr>
      </w:pPr>
    </w:p>
    <w:p>
      <w:pPr>
        <w:ind w:left="860" w:hanging="220"/>
        <w:spacing w:after="0"/>
        <w:tabs>
          <w:tab w:leader="none" w:pos="8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COVID-19 related administrative costs as previously discussed,</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continued support for the company's constituents and strategic investments in the segment to position the business for long-term success, and</w:t>
      </w:r>
    </w:p>
    <w:p>
      <w:pPr>
        <w:spacing w:after="0" w:line="147" w:lineRule="exact"/>
        <w:rPr>
          <w:rFonts w:ascii="Arial" w:cs="Arial" w:eastAsia="Arial" w:hAnsi="Arial"/>
          <w:sz w:val="13"/>
          <w:szCs w:val="13"/>
          <w:color w:val="auto"/>
        </w:rPr>
      </w:pPr>
    </w:p>
    <w:p>
      <w:pPr>
        <w:ind w:left="420" w:right="440" w:firstLine="220"/>
        <w:spacing w:after="0" w:line="476" w:lineRule="auto"/>
        <w:tabs>
          <w:tab w:leader="none" w:pos="854" w:val="left"/>
        </w:tabs>
        <w:numPr>
          <w:ilvl w:val="1"/>
          <w:numId w:val="41"/>
        </w:numPr>
        <w:rPr>
          <w:rFonts w:ascii="Arial" w:cs="Arial" w:eastAsia="Arial" w:hAnsi="Arial"/>
          <w:sz w:val="13"/>
          <w:szCs w:val="13"/>
          <w:color w:val="auto"/>
        </w:rPr>
      </w:pPr>
      <w:r>
        <w:rPr>
          <w:rFonts w:ascii="Arial" w:cs="Arial" w:eastAsia="Arial" w:hAnsi="Arial"/>
          <w:sz w:val="13"/>
          <w:szCs w:val="13"/>
          <w:color w:val="auto"/>
        </w:rPr>
        <w:t>reinstatement of the non-deductible HIF in 2020, which increased the Group and Specialty segment's GAAP operating cost ratio by approximately 130 basis points in 4Q20. The impact of the above items was partially offset by significant operating cost efficiencies in 4Q20 driven by previously disclosed productivity initiatives.</w:t>
      </w:r>
    </w:p>
    <w:p>
      <w:pPr>
        <w:spacing w:after="0" w:line="1" w:lineRule="exact"/>
        <w:rPr>
          <w:rFonts w:ascii="Arial" w:cs="Arial" w:eastAsia="Arial" w:hAnsi="Arial"/>
          <w:sz w:val="13"/>
          <w:szCs w:val="13"/>
          <w:color w:val="auto"/>
        </w:rPr>
      </w:pPr>
    </w:p>
    <w:p>
      <w:pPr>
        <w:ind w:left="420" w:right="300" w:hanging="212"/>
        <w:spacing w:after="0" w:line="290" w:lineRule="auto"/>
        <w:tabs>
          <w:tab w:leader="none" w:pos="394"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Group and Specialty segment’s operating cost ratio of 25.0 percent for FY 2020 was up 300 basis points compared to 22.0 percent for FY 2019. The year-over-year increase was primarily impacted by the same factors influencing the fourth quarter comparison.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non-deductible HIF impacted the segment’s FY 2020 operating cost ratio by approximately 130 basis points.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1300"/>
          </w:cols>
          <w:pgMar w:left="300" w:top="913" w:right="29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Group and Specialty segment results: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6480" w:type="dxa"/>
            <w:vAlign w:val="bottom"/>
            <w:tcBorders>
              <w:top w:val="single" w:sz="8" w:color="auto"/>
              <w:left w:val="single" w:sz="8" w:color="auto"/>
              <w:right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rPr>
              <w:t>Group and Specialty segment (loss) earnings</w:t>
            </w:r>
          </w:p>
        </w:tc>
        <w:tc>
          <w:tcPr>
            <w:tcW w:w="1200" w:type="dxa"/>
            <w:vAlign w:val="bottom"/>
            <w:tcBorders>
              <w:top w:val="single" w:sz="8" w:color="auto"/>
              <w:right w:val="single" w:sz="8" w:color="auto"/>
            </w:tcBorders>
            <w:shd w:val="clear" w:color="auto" w:fill="EAEAEA"/>
          </w:tcPr>
          <w:p>
            <w:pPr>
              <w:spacing w:after="0"/>
              <w:rPr>
                <w:sz w:val="9"/>
                <w:szCs w:val="9"/>
                <w:color w:val="auto"/>
              </w:rPr>
            </w:pPr>
          </w:p>
        </w:tc>
        <w:tc>
          <w:tcPr>
            <w:tcW w:w="120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right w:val="single" w:sz="8" w:color="auto"/>
            </w:tcBorders>
            <w:shd w:val="clear" w:color="auto" w:fill="EAEAEA"/>
          </w:tcPr>
          <w:p>
            <w:pPr>
              <w:spacing w:after="0"/>
              <w:rPr>
                <w:sz w:val="9"/>
                <w:szCs w:val="9"/>
                <w:color w:val="auto"/>
              </w:rPr>
            </w:pPr>
          </w:p>
        </w:tc>
        <w:tc>
          <w:tcPr>
            <w:tcW w:w="1200" w:type="dxa"/>
            <w:vAlign w:val="bottom"/>
            <w:tcBorders>
              <w:top w:val="single" w:sz="8" w:color="auto"/>
              <w:right w:val="single" w:sz="8" w:color="auto"/>
            </w:tcBorders>
          </w:tcPr>
          <w:p>
            <w:pPr>
              <w:spacing w:after="0"/>
              <w:rPr>
                <w:sz w:val="9"/>
                <w:szCs w:val="9"/>
                <w:color w:val="auto"/>
              </w:rPr>
            </w:pPr>
          </w:p>
        </w:tc>
      </w:tr>
      <w:tr>
        <w:trPr>
          <w:trHeight w:val="135"/>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200" w:type="dxa"/>
            <w:vAlign w:val="bottom"/>
            <w:tcBorders>
              <w:bottom w:val="single" w:sz="8" w:color="auto"/>
              <w:right w:val="single" w:sz="8" w:color="auto"/>
            </w:tcBorders>
            <w:shd w:val="clear" w:color="auto" w:fill="EAEAEA"/>
          </w:tcPr>
          <w:p>
            <w:pPr>
              <w:jc w:val="right"/>
              <w:ind w:right="368"/>
              <w:spacing w:after="0"/>
              <w:rPr>
                <w:sz w:val="20"/>
                <w:szCs w:val="20"/>
                <w:color w:val="auto"/>
              </w:rPr>
            </w:pPr>
            <w:r>
              <w:rPr>
                <w:rFonts w:ascii="Arial" w:cs="Arial" w:eastAsia="Arial" w:hAnsi="Arial"/>
                <w:sz w:val="10"/>
                <w:szCs w:val="10"/>
                <w:b w:val="1"/>
                <w:bCs w:val="1"/>
                <w:color w:val="auto"/>
              </w:rPr>
              <w:t>4Q20 (a)</w:t>
            </w:r>
          </w:p>
        </w:tc>
        <w:tc>
          <w:tcPr>
            <w:tcW w:w="120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0"/>
                <w:szCs w:val="10"/>
                <w:color w:val="auto"/>
              </w:rPr>
              <w:t>4Q19 (b)</w:t>
            </w:r>
          </w:p>
        </w:tc>
        <w:tc>
          <w:tcPr>
            <w:tcW w:w="1220" w:type="dxa"/>
            <w:vAlign w:val="bottom"/>
            <w:tcBorders>
              <w:bottom w:val="single" w:sz="8" w:color="auto"/>
              <w:right w:val="single" w:sz="8" w:color="auto"/>
            </w:tcBorders>
            <w:shd w:val="clear" w:color="auto" w:fill="EAEAEA"/>
          </w:tcPr>
          <w:p>
            <w:pPr>
              <w:jc w:val="right"/>
              <w:ind w:right="328"/>
              <w:spacing w:after="0"/>
              <w:rPr>
                <w:sz w:val="20"/>
                <w:szCs w:val="20"/>
                <w:color w:val="auto"/>
              </w:rPr>
            </w:pPr>
            <w:r>
              <w:rPr>
                <w:rFonts w:ascii="Arial" w:cs="Arial" w:eastAsia="Arial" w:hAnsi="Arial"/>
                <w:sz w:val="10"/>
                <w:szCs w:val="10"/>
                <w:b w:val="1"/>
                <w:bCs w:val="1"/>
                <w:color w:val="auto"/>
              </w:rPr>
              <w:t>FY 2020 (c)</w:t>
            </w:r>
          </w:p>
        </w:tc>
        <w:tc>
          <w:tcPr>
            <w:tcW w:w="12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0"/>
                <w:szCs w:val="10"/>
                <w:color w:val="auto"/>
              </w:rPr>
              <w:t>FY 2019 (d)</w:t>
            </w: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($375)</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2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($143)</w:t>
            </w:r>
          </w:p>
        </w:tc>
        <w:tc>
          <w:tcPr>
            <w:tcW w:w="12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$28</w:t>
            </w: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20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1</w:t>
            </w:r>
          </w:p>
        </w:tc>
        <w:tc>
          <w:tcPr>
            <w:tcW w:w="12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auto"/>
              <w:right w:val="single" w:sz="8" w:color="auto"/>
            </w:tcBorders>
            <w:shd w:val="clear" w:color="auto" w:fill="EAEAEA"/>
          </w:tcPr>
          <w:p>
            <w:pPr>
              <w:jc w:val="right"/>
              <w:ind w:right="28"/>
              <w:spacing w:after="0"/>
              <w:rPr>
                <w:sz w:val="20"/>
                <w:szCs w:val="20"/>
                <w:color w:val="auto"/>
              </w:rPr>
            </w:pPr>
            <w:r>
              <w:rPr>
                <w:rFonts w:ascii="Arial" w:cs="Arial" w:eastAsia="Arial" w:hAnsi="Arial"/>
                <w:sz w:val="11"/>
                <w:szCs w:val="11"/>
                <w:b w:val="1"/>
                <w:bCs w:val="1"/>
                <w:color w:val="auto"/>
              </w:rPr>
              <w:t>4</w:t>
            </w:r>
          </w:p>
        </w:tc>
        <w:tc>
          <w:tcPr>
            <w:tcW w:w="12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4</w:t>
            </w: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($374)</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($145)</w:t>
            </w:r>
          </w:p>
        </w:tc>
        <w:tc>
          <w:tcPr>
            <w:tcW w:w="12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($139)</w:t>
            </w:r>
          </w:p>
        </w:tc>
        <w:tc>
          <w:tcPr>
            <w:tcW w:w="12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$32</w:t>
            </w:r>
          </w:p>
        </w:tc>
      </w:tr>
    </w:tbl>
    <w:p>
      <w:pPr>
        <w:spacing w:after="0" w:line="117" w:lineRule="exact"/>
        <w:rPr>
          <w:sz w:val="20"/>
          <w:szCs w:val="20"/>
          <w:color w:val="auto"/>
        </w:rPr>
      </w:pPr>
    </w:p>
    <w:p>
      <w:pPr>
        <w:jc w:val="both"/>
        <w:ind w:left="420" w:hanging="212"/>
        <w:spacing w:after="0" w:line="268" w:lineRule="auto"/>
        <w:tabs>
          <w:tab w:leader="none" w:pos="394"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unfavorable year-over-year quarter comparison in GAAP segment results was impacted by the same factors that led to the segment's higher benefit and operating cost ratios in 4Q20. The unfavorable year-over-year FY comparison of GAAP segment earnings resulted from the net negative impact of a higher operating cost ratio, partially offset by a slightly lower benefit ratio in FY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Humana’s Healthcare Services Segment</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non-consolidating minority interest investments in Kindred at Home and the strategic partnership with Welsh, Carson, Anderson &amp; Stowe (WCAS) to develop and operate senior-focused, payor-agnostic, primary care centers.</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Services offered by this segment are designed to enhance the healthcare experience overall. These services may lead to lower utilization associated with improved member health and/or lower drug costs.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revenues:</w:t>
      </w:r>
    </w:p>
    <w:p>
      <w:pPr>
        <w:spacing w:after="0" w:line="150" w:lineRule="exact"/>
        <w:rPr>
          <w:sz w:val="20"/>
          <w:szCs w:val="20"/>
          <w:color w:val="auto"/>
        </w:rPr>
      </w:pPr>
    </w:p>
    <w:p>
      <w:pPr>
        <w:ind w:left="420" w:hanging="212"/>
        <w:spacing w:after="0" w:line="290" w:lineRule="auto"/>
        <w:tabs>
          <w:tab w:leader="none" w:pos="394"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Revenues of $7.29 billion in 4Q20 for the Healthcare Services segment increased by $595 million, or 9 percent, from $6.70 billion in 4Q19. The year-over-year comparison was favorably impacted by the following factors:</w:t>
      </w:r>
    </w:p>
    <w:p>
      <w:pPr>
        <w:spacing w:after="0" w:line="88" w:lineRule="exact"/>
        <w:rPr>
          <w:rFonts w:ascii="Arial" w:cs="Arial" w:eastAsia="Arial" w:hAnsi="Arial"/>
          <w:sz w:val="13"/>
          <w:szCs w:val="13"/>
          <w:color w:val="auto"/>
        </w:rPr>
      </w:pPr>
    </w:p>
    <w:p>
      <w:pPr>
        <w:ind w:left="580" w:hanging="210"/>
        <w:spacing w:after="0"/>
        <w:tabs>
          <w:tab w:leader="none" w:pos="5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company's strong Medicare Advantage membership growth; and</w:t>
      </w:r>
    </w:p>
    <w:p>
      <w:pPr>
        <w:spacing w:after="0" w:line="147" w:lineRule="exact"/>
        <w:rPr>
          <w:rFonts w:ascii="Arial" w:cs="Arial" w:eastAsia="Arial" w:hAnsi="Arial"/>
          <w:sz w:val="13"/>
          <w:szCs w:val="13"/>
          <w:color w:val="auto"/>
        </w:rPr>
      </w:pPr>
    </w:p>
    <w:p>
      <w:pPr>
        <w:ind w:left="580" w:hanging="210"/>
        <w:spacing w:after="0"/>
        <w:tabs>
          <w:tab w:leader="none" w:pos="5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additional pharmacy revenues in 4Q20 associated with the acquisition of Enclara Healthcare.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increases were partially offset by the loss of intersegment revenues associated with the decline in stand-alone PDP membership as previously discussed.</w:t>
      </w:r>
    </w:p>
    <w:p>
      <w:pPr>
        <w:spacing w:after="0" w:line="148" w:lineRule="exact"/>
        <w:rPr>
          <w:sz w:val="20"/>
          <w:szCs w:val="20"/>
          <w:color w:val="auto"/>
        </w:rPr>
      </w:pPr>
    </w:p>
    <w:p>
      <w:pPr>
        <w:ind w:left="420" w:hanging="212"/>
        <w:spacing w:after="0" w:line="290" w:lineRule="auto"/>
        <w:tabs>
          <w:tab w:leader="none" w:pos="394" w:val="left"/>
        </w:tabs>
        <w:numPr>
          <w:ilvl w:val="0"/>
          <w:numId w:val="44"/>
        </w:numPr>
        <w:rPr>
          <w:rFonts w:ascii="Arial" w:cs="Arial" w:eastAsia="Arial" w:hAnsi="Arial"/>
          <w:sz w:val="13"/>
          <w:szCs w:val="13"/>
          <w:color w:val="auto"/>
        </w:rPr>
      </w:pPr>
      <w:r>
        <w:rPr>
          <w:rFonts w:ascii="Arial" w:cs="Arial" w:eastAsia="Arial" w:hAnsi="Arial"/>
          <w:sz w:val="13"/>
          <w:szCs w:val="13"/>
          <w:color w:val="auto"/>
        </w:rPr>
        <w:t>FY 2020 revenues for the Healthcare Services segment were $28.45 billion, an increase of $2.67 billion, or 10 percent, from $25.78 billion in FY 2019 primarily due to the same factors affecting the year-over-year comparison for the fourth quarter, along with a slight shift by members to 90-day supply.</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operating costs:</w:t>
      </w:r>
    </w:p>
    <w:p>
      <w:pPr>
        <w:spacing w:after="0" w:line="22" w:lineRule="exact"/>
        <w:rPr>
          <w:sz w:val="20"/>
          <w:szCs w:val="20"/>
          <w:color w:val="auto"/>
        </w:rPr>
      </w:pPr>
    </w:p>
    <w:p>
      <w:pPr>
        <w:ind w:left="400" w:hanging="192"/>
        <w:spacing w:after="0"/>
        <w:tabs>
          <w:tab w:leader="none" w:pos="4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Healthcare Services segment’s operating cost ratio of 97.8 percent in 4Q20 increased 100 basis points from 96.8 percent in 4Q19 primarily resulting from the following:</w:t>
      </w:r>
    </w:p>
    <w:p>
      <w:pPr>
        <w:spacing w:after="0" w:line="149" w:lineRule="exact"/>
        <w:rPr>
          <w:rFonts w:ascii="Arial" w:cs="Arial" w:eastAsia="Arial" w:hAnsi="Arial"/>
          <w:sz w:val="13"/>
          <w:szCs w:val="13"/>
          <w:color w:val="auto"/>
        </w:rPr>
      </w:pPr>
    </w:p>
    <w:p>
      <w:pPr>
        <w:ind w:left="580" w:right="340" w:hanging="210"/>
        <w:spacing w:after="0" w:line="290" w:lineRule="auto"/>
        <w:tabs>
          <w:tab w:leader="none" w:pos="582" w:val="left"/>
        </w:tabs>
        <w:numPr>
          <w:ilvl w:val="1"/>
          <w:numId w:val="45"/>
        </w:numPr>
        <w:rPr>
          <w:rFonts w:ascii="Arial" w:cs="Arial" w:eastAsia="Arial" w:hAnsi="Arial"/>
          <w:sz w:val="13"/>
          <w:szCs w:val="13"/>
          <w:color w:val="auto"/>
        </w:rPr>
      </w:pPr>
      <w:r>
        <w:rPr>
          <w:rFonts w:ascii="Arial" w:cs="Arial" w:eastAsia="Arial" w:hAnsi="Arial"/>
          <w:sz w:val="13"/>
          <w:szCs w:val="13"/>
          <w:color w:val="auto"/>
        </w:rPr>
        <w:t>COVID-19 administrative related costs, including expenses associated with additional safety measures taken for the company's provider and clinical teams who have continued to provide services to members during the crisis,</w:t>
      </w:r>
    </w:p>
    <w:p>
      <w:pPr>
        <w:spacing w:after="0" w:line="106" w:lineRule="exact"/>
        <w:rPr>
          <w:rFonts w:ascii="Arial" w:cs="Arial" w:eastAsia="Arial" w:hAnsi="Arial"/>
          <w:sz w:val="13"/>
          <w:szCs w:val="13"/>
          <w:color w:val="auto"/>
        </w:rPr>
      </w:pPr>
    </w:p>
    <w:p>
      <w:pPr>
        <w:ind w:left="580" w:hanging="210"/>
        <w:spacing w:after="0"/>
        <w:tabs>
          <w:tab w:leader="none" w:pos="5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higher costs incurred in the pharmacy business to ensure timely delivery of prescriptions amid the COVID-19 pandemic,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1300"/>
          </w:cols>
          <w:pgMar w:left="300" w:top="911" w:right="299" w:bottom="1440" w:gutter="0" w:footer="0" w:header="0"/>
        </w:sectPr>
      </w:pPr>
    </w:p>
    <w:bookmarkStart w:id="28" w:name="page29"/>
    <w:bookmarkEnd w:id="28"/>
    <w:p>
      <w:pPr>
        <w:ind w:left="580" w:hanging="210"/>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additional investments in the segment's provider business during 4Q20 related to marketing and AEP initiatives.</w:t>
      </w:r>
    </w:p>
    <w:p>
      <w:pPr>
        <w:spacing w:after="0" w:line="166" w:lineRule="exact"/>
        <w:rPr>
          <w:sz w:val="20"/>
          <w:szCs w:val="20"/>
          <w:color w:val="auto"/>
        </w:rPr>
      </w:pPr>
    </w:p>
    <w:p>
      <w:pPr>
        <w:ind w:left="420" w:right="540"/>
        <w:spacing w:after="0" w:line="290" w:lineRule="auto"/>
        <w:rPr>
          <w:sz w:val="20"/>
          <w:szCs w:val="20"/>
          <w:color w:val="auto"/>
        </w:rPr>
      </w:pPr>
      <w:r>
        <w:rPr>
          <w:rFonts w:ascii="Arial" w:cs="Arial" w:eastAsia="Arial" w:hAnsi="Arial"/>
          <w:sz w:val="13"/>
          <w:szCs w:val="13"/>
          <w:color w:val="auto"/>
        </w:rPr>
        <w:t>These costs were partially offset by operational improvements and reduced utilization resulting from COVID-19 in the company's provider services business, as well as significant operating cost efficiencies in 4Q20 driven by previously disclosed productivity initiatives.</w:t>
      </w:r>
    </w:p>
    <w:p>
      <w:pPr>
        <w:spacing w:after="0" w:line="89" w:lineRule="exact"/>
        <w:rPr>
          <w:sz w:val="20"/>
          <w:szCs w:val="20"/>
          <w:color w:val="auto"/>
        </w:rPr>
      </w:pPr>
    </w:p>
    <w:p>
      <w:pPr>
        <w:ind w:left="420" w:hanging="212"/>
        <w:spacing w:after="0" w:line="290" w:lineRule="auto"/>
        <w:tabs>
          <w:tab w:leader="none" w:pos="394"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Healthcare Services segment’s FY 2020 operating cost ratio of 96.3 percent decreased 10 basis points from 96.4 percent in FY 2019 as a result of the net favorable impact of the same factors affecting the fourth quarter comparison.</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operating statistics:</w:t>
      </w:r>
    </w:p>
    <w:p>
      <w:pPr>
        <w:spacing w:after="0" w:line="150" w:lineRule="exact"/>
        <w:rPr>
          <w:sz w:val="20"/>
          <w:szCs w:val="20"/>
          <w:color w:val="auto"/>
        </w:rPr>
      </w:pPr>
    </w:p>
    <w:p>
      <w:pPr>
        <w:jc w:val="both"/>
        <w:ind w:left="420" w:hanging="212"/>
        <w:spacing w:after="0" w:line="268" w:lineRule="auto"/>
        <w:tabs>
          <w:tab w:leader="none" w:pos="394"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Primary care providers in value-based (shared risk and path to risk) relationships of 67,800 at December 31, 2020, increased 10 percent from 61,900 at December 31, 2019, and increased 1 percent from 67,000 at September 30, 2020. The percentage of the company’s individual Medicare Advantage members in value-based relationships was 67 percent as of December 31, 2020 and as of December 31, 2019, versus 66 percent at September 30, 2020.</w:t>
      </w:r>
    </w:p>
    <w:p>
      <w:pPr>
        <w:spacing w:after="0" w:line="102" w:lineRule="exact"/>
        <w:rPr>
          <w:rFonts w:ascii="Arial" w:cs="Arial" w:eastAsia="Arial" w:hAnsi="Arial"/>
          <w:sz w:val="13"/>
          <w:szCs w:val="13"/>
          <w:b w:val="1"/>
          <w:bCs w:val="1"/>
          <w:color w:val="auto"/>
        </w:rPr>
      </w:pPr>
    </w:p>
    <w:p>
      <w:pPr>
        <w:jc w:val="both"/>
        <w:ind w:left="420" w:hanging="212"/>
        <w:spacing w:after="0" w:line="268" w:lineRule="auto"/>
        <w:tabs>
          <w:tab w:leader="none" w:pos="394"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Medicare Advantage and dual demonstration program membership enrolled in a Humana care management program</w:t>
      </w:r>
      <w:r>
        <w:rPr>
          <w:rFonts w:ascii="Arial" w:cs="Arial" w:eastAsia="Arial" w:hAnsi="Arial"/>
          <w:sz w:val="7"/>
          <w:szCs w:val="7"/>
          <w:color w:val="auto"/>
        </w:rPr>
        <w:t>(i)</w:t>
      </w:r>
      <w:r>
        <w:rPr>
          <w:rFonts w:ascii="Arial" w:cs="Arial" w:eastAsia="Arial" w:hAnsi="Arial"/>
          <w:sz w:val="13"/>
          <w:szCs w:val="13"/>
          <w:color w:val="auto"/>
        </w:rPr>
        <w:t xml:space="preserve"> was 910,600 at December 31, 2020, up 5 percent from 868,800 at December 31, 2019 but down 1 percent from 917,200 at September 30, 2020. These changes were driven by the company's improved process for identifying and enrolling members in the appropriate program at the right time, coupled with growth in Special Needs Plans (SNP) membership.</w:t>
      </w:r>
    </w:p>
    <w:p>
      <w:pPr>
        <w:spacing w:after="0" w:line="102" w:lineRule="exact"/>
        <w:rPr>
          <w:rFonts w:ascii="Arial" w:cs="Arial" w:eastAsia="Arial" w:hAnsi="Arial"/>
          <w:sz w:val="13"/>
          <w:szCs w:val="13"/>
          <w:b w:val="1"/>
          <w:bCs w:val="1"/>
          <w:color w:val="auto"/>
        </w:rPr>
      </w:pPr>
    </w:p>
    <w:p>
      <w:pPr>
        <w:jc w:val="both"/>
        <w:ind w:left="420" w:hanging="212"/>
        <w:spacing w:after="0" w:line="268" w:lineRule="auto"/>
        <w:tabs>
          <w:tab w:leader="none" w:pos="394"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Pharmacy script volume on an adjusted 30-day equivalent basis of 122 million for 4Q20 increased 3 percent compared to 118 million for 4Q19. Pharmacy script volume of 478 million for FY 2020 increased 5 percent compared to 456 million for FY 2019. These increases primarily were driven by higher Medicare Advantage and state-based contracts membership, partially offset by the decline in stand-alone PDP membership.</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results: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6480" w:type="dxa"/>
            <w:vAlign w:val="bottom"/>
            <w:tcBorders>
              <w:top w:val="single" w:sz="8" w:color="auto"/>
              <w:left w:val="single" w:sz="8" w:color="auto"/>
              <w:right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rPr>
              <w:t>Healthcare Services segment results</w:t>
            </w:r>
          </w:p>
        </w:tc>
        <w:tc>
          <w:tcPr>
            <w:tcW w:w="1200" w:type="dxa"/>
            <w:vAlign w:val="bottom"/>
            <w:tcBorders>
              <w:top w:val="single" w:sz="8" w:color="auto"/>
              <w:right w:val="single" w:sz="8" w:color="auto"/>
            </w:tcBorders>
            <w:vMerge w:val="restart"/>
            <w:shd w:val="clear" w:color="auto" w:fill="EAEAEA"/>
          </w:tcPr>
          <w:p>
            <w:pPr>
              <w:jc w:val="right"/>
              <w:ind w:right="426"/>
              <w:spacing w:after="0"/>
              <w:rPr>
                <w:sz w:val="20"/>
                <w:szCs w:val="20"/>
                <w:color w:val="auto"/>
              </w:rPr>
            </w:pPr>
            <w:r>
              <w:rPr>
                <w:rFonts w:ascii="Arial" w:cs="Arial" w:eastAsia="Arial" w:hAnsi="Arial"/>
                <w:sz w:val="11"/>
                <w:szCs w:val="11"/>
                <w:b w:val="1"/>
                <w:bCs w:val="1"/>
                <w:color w:val="auto"/>
              </w:rPr>
              <w:t>4Q20</w:t>
            </w:r>
          </w:p>
        </w:tc>
        <w:tc>
          <w:tcPr>
            <w:tcW w:w="1200" w:type="dxa"/>
            <w:vAlign w:val="bottom"/>
            <w:tcBorders>
              <w:top w:val="single" w:sz="8" w:color="auto"/>
              <w:right w:val="single" w:sz="8" w:color="auto"/>
            </w:tcBorders>
            <w:vMerge w:val="restart"/>
          </w:tcPr>
          <w:p>
            <w:pPr>
              <w:jc w:val="right"/>
              <w:ind w:right="426"/>
              <w:spacing w:after="0"/>
              <w:rPr>
                <w:sz w:val="20"/>
                <w:szCs w:val="20"/>
                <w:color w:val="auto"/>
              </w:rPr>
            </w:pPr>
            <w:r>
              <w:rPr>
                <w:rFonts w:ascii="Arial" w:cs="Arial" w:eastAsia="Arial" w:hAnsi="Arial"/>
                <w:sz w:val="11"/>
                <w:szCs w:val="11"/>
                <w:color w:val="auto"/>
              </w:rPr>
              <w:t>4Q19</w:t>
            </w:r>
          </w:p>
        </w:tc>
        <w:tc>
          <w:tcPr>
            <w:tcW w:w="1220" w:type="dxa"/>
            <w:vAlign w:val="bottom"/>
            <w:tcBorders>
              <w:top w:val="single" w:sz="8" w:color="auto"/>
              <w:right w:val="single" w:sz="8" w:color="auto"/>
            </w:tcBorders>
            <w:vMerge w:val="restart"/>
            <w:shd w:val="clear" w:color="auto" w:fill="EAEAEA"/>
          </w:tcPr>
          <w:p>
            <w:pPr>
              <w:jc w:val="right"/>
              <w:ind w:right="366"/>
              <w:spacing w:after="0"/>
              <w:rPr>
                <w:sz w:val="20"/>
                <w:szCs w:val="20"/>
                <w:color w:val="auto"/>
              </w:rPr>
            </w:pPr>
            <w:r>
              <w:rPr>
                <w:rFonts w:ascii="Arial" w:cs="Arial" w:eastAsia="Arial" w:hAnsi="Arial"/>
                <w:sz w:val="11"/>
                <w:szCs w:val="11"/>
                <w:b w:val="1"/>
                <w:bCs w:val="1"/>
                <w:color w:val="auto"/>
              </w:rPr>
              <w:t>FY 2020</w:t>
            </w:r>
          </w:p>
        </w:tc>
        <w:tc>
          <w:tcPr>
            <w:tcW w:w="1200" w:type="dxa"/>
            <w:vAlign w:val="bottom"/>
            <w:tcBorders>
              <w:top w:val="single" w:sz="8" w:color="auto"/>
              <w:right w:val="single" w:sz="8" w:color="auto"/>
            </w:tcBorders>
            <w:vMerge w:val="restart"/>
          </w:tcPr>
          <w:p>
            <w:pPr>
              <w:jc w:val="right"/>
              <w:ind w:right="366"/>
              <w:spacing w:after="0"/>
              <w:rPr>
                <w:sz w:val="20"/>
                <w:szCs w:val="20"/>
                <w:color w:val="auto"/>
              </w:rPr>
            </w:pPr>
            <w:r>
              <w:rPr>
                <w:rFonts w:ascii="Arial" w:cs="Arial" w:eastAsia="Arial" w:hAnsi="Arial"/>
                <w:sz w:val="11"/>
                <w:szCs w:val="11"/>
                <w:color w:val="auto"/>
              </w:rPr>
              <w:t>FY 2019</w:t>
            </w:r>
          </w:p>
        </w:tc>
        <w:tc>
          <w:tcPr>
            <w:tcW w:w="0" w:type="dxa"/>
            <w:vAlign w:val="bottom"/>
          </w:tcPr>
          <w:p>
            <w:pPr>
              <w:spacing w:after="0"/>
              <w:rPr>
                <w:sz w:val="1"/>
                <w:szCs w:val="1"/>
                <w:color w:val="auto"/>
              </w:rPr>
            </w:pPr>
          </w:p>
        </w:tc>
      </w:tr>
      <w:tr>
        <w:trPr>
          <w:trHeight w:val="135"/>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200" w:type="dxa"/>
            <w:vAlign w:val="bottom"/>
            <w:tcBorders>
              <w:bottom w:val="single" w:sz="8" w:color="auto"/>
              <w:right w:val="single" w:sz="8" w:color="auto"/>
            </w:tcBorders>
            <w:vMerge w:val="continue"/>
            <w:shd w:val="clear" w:color="auto" w:fill="EAEAEA"/>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1220" w:type="dxa"/>
            <w:vAlign w:val="bottom"/>
            <w:tcBorders>
              <w:bottom w:val="single" w:sz="8" w:color="auto"/>
              <w:right w:val="single" w:sz="8" w:color="auto"/>
            </w:tcBorders>
            <w:vMerge w:val="continue"/>
            <w:shd w:val="clear" w:color="auto" w:fill="EAEAEA"/>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 segment earnings</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$128</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$178</w:t>
            </w:r>
          </w:p>
        </w:tc>
        <w:tc>
          <w:tcPr>
            <w:tcW w:w="122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$944</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$789</w:t>
            </w:r>
          </w:p>
        </w:tc>
        <w:tc>
          <w:tcPr>
            <w:tcW w:w="0" w:type="dxa"/>
            <w:vAlign w:val="bottom"/>
          </w:tcPr>
          <w:p>
            <w:pPr>
              <w:spacing w:after="0"/>
              <w:rPr>
                <w:sz w:val="1"/>
                <w:szCs w:val="1"/>
                <w:color w:val="auto"/>
              </w:rPr>
            </w:pP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Depreciation and amortization expense</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52</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44</w:t>
            </w:r>
          </w:p>
        </w:tc>
        <w:tc>
          <w:tcPr>
            <w:tcW w:w="122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203</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179</w:t>
            </w:r>
          </w:p>
        </w:tc>
        <w:tc>
          <w:tcPr>
            <w:tcW w:w="0" w:type="dxa"/>
            <w:vAlign w:val="bottom"/>
          </w:tcPr>
          <w:p>
            <w:pPr>
              <w:spacing w:after="0"/>
              <w:rPr>
                <w:sz w:val="1"/>
                <w:szCs w:val="1"/>
                <w:color w:val="auto"/>
              </w:rPr>
            </w:pP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and taxes</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16</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122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85</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33"/>
        </w:trPr>
        <w:tc>
          <w:tcPr>
            <w:tcW w:w="6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EBITDA (e)</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$196</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$241</w:t>
            </w:r>
          </w:p>
        </w:tc>
        <w:tc>
          <w:tcPr>
            <w:tcW w:w="122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$1,232</w:t>
            </w:r>
          </w:p>
        </w:tc>
        <w:tc>
          <w:tcPr>
            <w:tcW w:w="1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20" w:right="20" w:hanging="212"/>
        <w:spacing w:after="0" w:line="290" w:lineRule="auto"/>
        <w:tabs>
          <w:tab w:leader="none" w:pos="394"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Healthcare Services segment’s 4Q20 GAAP segment earnings decreased $50 million, or 28 percent, to $128 million compared to GAAP segment earnings of $178 million in 4Q19. The decrease was primarily effected by the same factors that resulted in a higher operating cost ratio for the segment in 4Q20 compared to the 4Q19 segment ratio.</w:t>
      </w:r>
    </w:p>
    <w:p>
      <w:pPr>
        <w:spacing w:after="0" w:line="89" w:lineRule="exact"/>
        <w:rPr>
          <w:sz w:val="20"/>
          <w:szCs w:val="20"/>
          <w:color w:val="auto"/>
        </w:rPr>
      </w:pPr>
    </w:p>
    <w:p>
      <w:pPr>
        <w:jc w:val="both"/>
        <w:ind w:left="420" w:right="20"/>
        <w:spacing w:after="0" w:line="268" w:lineRule="auto"/>
        <w:rPr>
          <w:sz w:val="20"/>
          <w:szCs w:val="20"/>
          <w:color w:val="auto"/>
        </w:rPr>
      </w:pPr>
      <w:r>
        <w:rPr>
          <w:rFonts w:ascii="Arial" w:cs="Arial" w:eastAsia="Arial" w:hAnsi="Arial"/>
          <w:sz w:val="13"/>
          <w:szCs w:val="13"/>
          <w:color w:val="auto"/>
        </w:rPr>
        <w:t>Adjusted EBITDA in 4Q20 for the Healthcare Services segment of $196 million was down $45 million, or 19 percent, compared to Adjusted EBITDA of $241 million in 4Q19. The unfavorable year-over-year comparison of Adjusted EBITDA primarily resulted from the same factors that impacted the quarterly GAAP segment results comparison while excluding the impact of the factors detailed in the table above.</w:t>
      </w:r>
    </w:p>
    <w:p>
      <w:pPr>
        <w:spacing w:after="0" w:line="102" w:lineRule="exact"/>
        <w:rPr>
          <w:sz w:val="20"/>
          <w:szCs w:val="20"/>
          <w:color w:val="auto"/>
        </w:rPr>
      </w:pPr>
    </w:p>
    <w:p>
      <w:pPr>
        <w:ind w:left="420" w:hanging="212"/>
        <w:spacing w:after="0" w:line="290" w:lineRule="auto"/>
        <w:tabs>
          <w:tab w:leader="none" w:pos="394"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Healthcare Services segment’s GAAP segment earnings in FY 2020 increased $155 million, or 20 percent, to $944 million compared to GAAP segment earnings of $789 million in FY 2019 primarily reflecting the same factors that resulted in a lower FY 2020 operating cost ratio, as well as higher earnings from equity in affiliates in FY 2020.</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1300"/>
          </w:cols>
          <w:pgMar w:left="300" w:top="769" w:right="299" w:bottom="1440" w:gutter="0" w:footer="0" w:header="0"/>
        </w:sectPr>
      </w:pPr>
    </w:p>
    <w:bookmarkStart w:id="29" w:name="page30"/>
    <w:bookmarkEnd w:id="29"/>
    <w:p>
      <w:pPr>
        <w:jc w:val="both"/>
        <w:ind w:left="500" w:right="20"/>
        <w:spacing w:after="0" w:line="268" w:lineRule="auto"/>
        <w:rPr>
          <w:sz w:val="20"/>
          <w:szCs w:val="20"/>
          <w:color w:val="auto"/>
        </w:rPr>
      </w:pPr>
      <w:r>
        <w:rPr>
          <w:rFonts w:ascii="Arial" w:cs="Arial" w:eastAsia="Arial" w:hAnsi="Arial"/>
          <w:sz w:val="13"/>
          <w:szCs w:val="13"/>
          <w:color w:val="auto"/>
        </w:rPr>
        <w:t>Adjusted EBITDA for FY 2020 of $1.23 billion increased $176 million, or 17 percent, versus the FY 2019 Adjusted EBITDA for the Healthcare Services segment of $1.06 billion. The favorable year-over-year comparison of Adjusted EBITDA primarily resulted from the same factors that impacted the FY GAAP segment results comparison while excluding the impact of the factors detailed in the table above.</w:t>
      </w: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Humana will host a conference call at 9:00 a.m. Eastern time today to discuss its financial results for the quarter and the company’s expectations for future earnings.</w:t>
      </w:r>
    </w:p>
    <w:p>
      <w:pPr>
        <w:spacing w:after="0" w:line="148" w:lineRule="exact"/>
        <w:rPr>
          <w:sz w:val="20"/>
          <w:szCs w:val="20"/>
          <w:color w:val="auto"/>
        </w:rPr>
      </w:pPr>
    </w:p>
    <w:p>
      <w:pPr>
        <w:jc w:val="both"/>
        <w:ind w:left="80"/>
        <w:spacing w:after="0" w:line="268" w:lineRule="auto"/>
        <w:rPr>
          <w:sz w:val="20"/>
          <w:szCs w:val="20"/>
          <w:color w:val="auto"/>
        </w:rPr>
      </w:pPr>
      <w:r>
        <w:rPr>
          <w:rFonts w:ascii="Arial" w:cs="Arial" w:eastAsia="Arial" w:hAnsi="Arial"/>
          <w:sz w:val="13"/>
          <w:szCs w:val="13"/>
          <w:color w:val="auto"/>
        </w:rPr>
        <w:t>All parties interested in the company’s 4Q20 earnings conference call are invited to dial 888-625-7430. No password is required. The audio-only webcast of the 4Q20 earnings call may be accessed via Humana’s Investor Relations page at humana.com. The company suggests participants for both the conference call and those listening via the web dial in or sign on at least 15 minutes in advance of the call.</w:t>
      </w:r>
    </w:p>
    <w:p>
      <w:pPr>
        <w:spacing w:after="0" w:line="102" w:lineRule="exact"/>
        <w:rPr>
          <w:sz w:val="20"/>
          <w:szCs w:val="20"/>
          <w:color w:val="auto"/>
        </w:rPr>
      </w:pPr>
    </w:p>
    <w:p>
      <w:pPr>
        <w:jc w:val="both"/>
        <w:ind w:left="80"/>
        <w:spacing w:after="0" w:line="268" w:lineRule="auto"/>
        <w:rPr>
          <w:sz w:val="20"/>
          <w:szCs w:val="20"/>
          <w:color w:val="auto"/>
        </w:rPr>
      </w:pPr>
      <w:r>
        <w:rPr>
          <w:rFonts w:ascii="Arial" w:cs="Arial" w:eastAsia="Arial" w:hAnsi="Arial"/>
          <w:sz w:val="13"/>
          <w:szCs w:val="13"/>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February 3, 2021 until 11:59 p.m. Eastern time on April 3, 2021 and can be accessed by dialing 855-859-2056 and providing the conference ID #5899612.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ootnotes</w:t>
      </w:r>
    </w:p>
    <w:p>
      <w:pPr>
        <w:spacing w:after="0" w:line="151" w:lineRule="exact"/>
        <w:rPr>
          <w:sz w:val="20"/>
          <w:szCs w:val="20"/>
          <w:color w:val="auto"/>
        </w:rPr>
      </w:pPr>
    </w:p>
    <w:p>
      <w:pPr>
        <w:ind w:left="440" w:hanging="206"/>
        <w:spacing w:after="0"/>
        <w:tabs>
          <w:tab w:leader="none" w:pos="440"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4Q20 Adjusted results exclude the following:</w:t>
      </w:r>
    </w:p>
    <w:p>
      <w:pPr>
        <w:spacing w:after="0" w:line="19" w:lineRule="exact"/>
        <w:rPr>
          <w:rFonts w:ascii="Arial" w:cs="Arial" w:eastAsia="Arial" w:hAnsi="Arial"/>
          <w:sz w:val="13"/>
          <w:szCs w:val="13"/>
          <w:color w:val="auto"/>
        </w:rPr>
      </w:pPr>
    </w:p>
    <w:p>
      <w:pPr>
        <w:ind w:left="740" w:right="20" w:hanging="209"/>
        <w:spacing w:after="0" w:line="245" w:lineRule="auto"/>
        <w:tabs>
          <w:tab w:leader="none" w:pos="714" w:val="left"/>
        </w:tabs>
        <w:numPr>
          <w:ilvl w:val="2"/>
          <w:numId w:val="51"/>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$22 million pretax, or $0.13 per common share; GAAP measures affected in this release include consolidated pretax, EPS, and segment earnings (for respective amortization expense for the Retail and Group and Specialty segments).</w:t>
      </w:r>
    </w:p>
    <w:p>
      <w:pPr>
        <w:ind w:left="740" w:right="120" w:hanging="209"/>
        <w:spacing w:after="0" w:line="245" w:lineRule="auto"/>
        <w:tabs>
          <w:tab w:leader="none" w:pos="714" w:val="left"/>
        </w:tabs>
        <w:numPr>
          <w:ilvl w:val="2"/>
          <w:numId w:val="51"/>
        </w:numPr>
        <w:rPr>
          <w:rFonts w:ascii="Arial" w:cs="Arial" w:eastAsia="Arial" w:hAnsi="Arial"/>
          <w:sz w:val="13"/>
          <w:szCs w:val="13"/>
          <w:color w:val="auto"/>
        </w:rPr>
      </w:pPr>
      <w:r>
        <w:rPr>
          <w:rFonts w:ascii="Arial" w:cs="Arial" w:eastAsia="Arial" w:hAnsi="Arial"/>
          <w:sz w:val="13"/>
          <w:szCs w:val="13"/>
          <w:color w:val="auto"/>
        </w:rPr>
        <w:t>Put/call valuation adjustments of approximately $40 million, or $0.24 per common share, associated with Humana’s non-consolidating minority interest investments. GAAP measures affected in this release include consolidated pretax and EPS.</w:t>
      </w:r>
    </w:p>
    <w:p>
      <w:pPr>
        <w:ind w:left="720" w:right="220" w:hanging="216"/>
        <w:spacing w:after="0" w:line="250" w:lineRule="auto"/>
        <w:tabs>
          <w:tab w:leader="none" w:pos="694" w:val="left"/>
        </w:tabs>
        <w:numPr>
          <w:ilvl w:val="1"/>
          <w:numId w:val="51"/>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$102 million, or $0.60 per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 GAAP measures affected in this release include consolidated pretax, EPS, and consolidated revenues.</w:t>
      </w:r>
    </w:p>
    <w:p>
      <w:pPr>
        <w:spacing w:after="0" w:line="132" w:lineRule="exact"/>
        <w:rPr>
          <w:rFonts w:ascii="Arial" w:cs="Arial" w:eastAsia="Arial" w:hAnsi="Arial"/>
          <w:sz w:val="13"/>
          <w:szCs w:val="13"/>
          <w:color w:val="auto"/>
        </w:rPr>
      </w:pPr>
    </w:p>
    <w:p>
      <w:pPr>
        <w:ind w:left="440" w:hanging="206"/>
        <w:spacing w:after="0"/>
        <w:tabs>
          <w:tab w:leader="none" w:pos="440"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4Q19 Adjusted results exclude the following:</w:t>
      </w:r>
    </w:p>
    <w:p>
      <w:pPr>
        <w:spacing w:after="0" w:line="19" w:lineRule="exact"/>
        <w:rPr>
          <w:rFonts w:ascii="Arial" w:cs="Arial" w:eastAsia="Arial" w:hAnsi="Arial"/>
          <w:sz w:val="13"/>
          <w:szCs w:val="13"/>
          <w:color w:val="auto"/>
        </w:rPr>
      </w:pPr>
    </w:p>
    <w:p>
      <w:pPr>
        <w:ind w:left="780" w:right="780" w:hanging="222"/>
        <w:spacing w:after="0" w:line="245" w:lineRule="auto"/>
        <w:tabs>
          <w:tab w:leader="none" w:pos="754" w:val="left"/>
        </w:tabs>
        <w:numPr>
          <w:ilvl w:val="3"/>
          <w:numId w:val="51"/>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$17 million pretax, or $0.10 per diluted common share; GAAP measures affected in this release include consolidated pretax, EPS, and segment earnings (for respective amortization expense for the Retail and Group and Specialty segments).</w:t>
      </w:r>
    </w:p>
    <w:p>
      <w:pPr>
        <w:ind w:left="780" w:right="200" w:hanging="222"/>
        <w:spacing w:after="0" w:line="245" w:lineRule="auto"/>
        <w:tabs>
          <w:tab w:leader="none" w:pos="754" w:val="left"/>
        </w:tabs>
        <w:numPr>
          <w:ilvl w:val="3"/>
          <w:numId w:val="51"/>
        </w:numPr>
        <w:rPr>
          <w:rFonts w:ascii="Arial" w:cs="Arial" w:eastAsia="Arial" w:hAnsi="Arial"/>
          <w:sz w:val="13"/>
          <w:szCs w:val="13"/>
          <w:color w:val="auto"/>
        </w:rPr>
      </w:pPr>
      <w:r>
        <w:rPr>
          <w:rFonts w:ascii="Arial" w:cs="Arial" w:eastAsia="Arial" w:hAnsi="Arial"/>
          <w:sz w:val="13"/>
          <w:szCs w:val="13"/>
          <w:color w:val="auto"/>
        </w:rPr>
        <w:t>Put/call valuation adjustments of approximately $289 million, or $1.67 per diluted common share, associated with Humana’s non-consolidating minority interest investments. GAAP measures affected in this release include consolidated pretax and EPS.</w:t>
      </w:r>
    </w:p>
    <w:p>
      <w:pPr>
        <w:ind w:left="780" w:right="340" w:hanging="222"/>
        <w:spacing w:after="0" w:line="264" w:lineRule="auto"/>
        <w:tabs>
          <w:tab w:leader="none" w:pos="754" w:val="left"/>
        </w:tabs>
        <w:numPr>
          <w:ilvl w:val="3"/>
          <w:numId w:val="51"/>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$1 million pretax, or $0.01 per diluted common share; GAAP measures affected in this release include consolidated pretax, EPS, and consolidated operating cost ratio.</w:t>
      </w: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1380"/>
          </w:cols>
          <w:pgMar w:left="220" w:top="913" w:right="299" w:bottom="1440" w:gutter="0" w:footer="0" w:header="0"/>
        </w:sectPr>
      </w:pPr>
    </w:p>
    <w:bookmarkStart w:id="30" w:name="page31"/>
    <w:bookmarkEnd w:id="30"/>
    <w:p>
      <w:pPr>
        <w:ind w:left="186" w:hanging="186"/>
        <w:spacing w:after="0"/>
        <w:tabs>
          <w:tab w:leader="none" w:pos="186"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FY 2020 Adjusted results exclude the following:</w:t>
      </w:r>
    </w:p>
    <w:p>
      <w:pPr>
        <w:spacing w:after="0" w:line="19" w:lineRule="exact"/>
        <w:rPr>
          <w:rFonts w:ascii="Arial" w:cs="Arial" w:eastAsia="Arial" w:hAnsi="Arial"/>
          <w:sz w:val="13"/>
          <w:szCs w:val="13"/>
          <w:color w:val="auto"/>
        </w:rPr>
      </w:pPr>
    </w:p>
    <w:p>
      <w:pPr>
        <w:ind w:left="546" w:right="740" w:hanging="222"/>
        <w:spacing w:after="0" w:line="245"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$88 million pretax, or $0.51 per diluted common share; GAAP measures affected in this release include consolidated pretax, EPS and segment earnings (for respective amortization expense for the Retail and Group and Specialty segments.)</w:t>
      </w:r>
    </w:p>
    <w:p>
      <w:pPr>
        <w:ind w:left="546" w:right="160" w:hanging="222"/>
        <w:spacing w:after="0" w:line="245"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Put/call valuation adjustments of approximately $103 million, or $0.60 per diluted common share, associated with Humana's non-consolidating minority interest investments. GAAP measures affected in this release include consolidated pretax and EPS.</w:t>
      </w:r>
    </w:p>
    <w:p>
      <w:pPr>
        <w:ind w:left="546" w:hanging="222"/>
        <w:spacing w:after="0" w:line="245"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$745 million, or $4.32 per diluted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 GAAP measures affected in this release include consolidated pretax, EPS, and consolidated revenues.</w:t>
      </w:r>
    </w:p>
    <w:p>
      <w:pPr>
        <w:spacing w:after="0" w:line="1" w:lineRule="exact"/>
        <w:rPr>
          <w:rFonts w:ascii="Arial" w:cs="Arial" w:eastAsia="Arial" w:hAnsi="Arial"/>
          <w:sz w:val="13"/>
          <w:szCs w:val="13"/>
          <w:color w:val="auto"/>
        </w:rPr>
      </w:pPr>
    </w:p>
    <w:p>
      <w:pPr>
        <w:ind w:left="546" w:hanging="222"/>
        <w:spacing w:after="0" w:line="255"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Net adjustment of $578 million, or $3.35 per diluted common share, related to the receipt of unpaid risk corridor payments associated with the losses incurred by the company under the ACA business from 2014 to 2016 (previously written off). GAAP measures affected in this release include consolidated pretax, EPS, consolidated revenues, consolidated benefits expense ratio, and consolidated operating cost ratio.</w:t>
      </w:r>
    </w:p>
    <w:p>
      <w:pPr>
        <w:spacing w:after="0" w:line="128" w:lineRule="exact"/>
        <w:rPr>
          <w:rFonts w:ascii="Arial" w:cs="Arial" w:eastAsia="Arial" w:hAnsi="Arial"/>
          <w:sz w:val="13"/>
          <w:szCs w:val="13"/>
          <w:color w:val="auto"/>
        </w:rPr>
      </w:pPr>
    </w:p>
    <w:p>
      <w:pPr>
        <w:ind w:left="206" w:hanging="206"/>
        <w:spacing w:after="0"/>
        <w:tabs>
          <w:tab w:leader="none" w:pos="206"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FY 2019 Adjusted results exclude the following:</w:t>
      </w:r>
    </w:p>
    <w:p>
      <w:pPr>
        <w:spacing w:after="0" w:line="19" w:lineRule="exact"/>
        <w:rPr>
          <w:rFonts w:ascii="Arial" w:cs="Arial" w:eastAsia="Arial" w:hAnsi="Arial"/>
          <w:sz w:val="13"/>
          <w:szCs w:val="13"/>
          <w:color w:val="auto"/>
        </w:rPr>
      </w:pPr>
    </w:p>
    <w:p>
      <w:pPr>
        <w:ind w:left="546" w:right="740" w:hanging="222"/>
        <w:spacing w:after="0" w:line="245"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$70 million pretax, or $0.40 per diluted common share; GAAP measures affected in this release include consolidated pretax, EPS and segment earnings (for respective amortization expense for the Retail and Group and Specialty segments.)</w:t>
      </w:r>
    </w:p>
    <w:p>
      <w:pPr>
        <w:ind w:left="546" w:right="160" w:hanging="222"/>
        <w:spacing w:after="0" w:line="245"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Put/call valuation adjustments of approximately $506 million, or $2.89 per diluted common share, associated with Humana's non-consolidating minority interest investments. GAAP measures affected in this release include consolidated pretax and EPS.</w:t>
      </w:r>
    </w:p>
    <w:p>
      <w:pPr>
        <w:ind w:left="546" w:right="220" w:hanging="222"/>
        <w:spacing w:after="0" w:line="264" w:lineRule="auto"/>
        <w:tabs>
          <w:tab w:leader="none" w:pos="520" w:val="left"/>
        </w:tabs>
        <w:numPr>
          <w:ilvl w:val="2"/>
          <w:numId w:val="52"/>
        </w:numPr>
        <w:rPr>
          <w:rFonts w:ascii="Arial" w:cs="Arial" w:eastAsia="Arial" w:hAnsi="Arial"/>
          <w:sz w:val="13"/>
          <w:szCs w:val="13"/>
          <w:color w:val="auto"/>
        </w:rPr>
      </w:pPr>
      <w:r>
        <w:rPr>
          <w:rFonts w:ascii="Arial" w:cs="Arial" w:eastAsia="Arial" w:hAnsi="Arial"/>
          <w:sz w:val="13"/>
          <w:szCs w:val="13"/>
          <w:color w:val="auto"/>
        </w:rPr>
        <w:t>Expense associated with involuntary workforce reduction of approximately $47 million pretax, or $0.26 per diluted common share; GAAP measures affected in this release include consolidated pretax, EPS, and consolidated operating cost ratio.</w:t>
      </w:r>
    </w:p>
    <w:p>
      <w:pPr>
        <w:spacing w:after="0" w:line="123" w:lineRule="exact"/>
        <w:rPr>
          <w:rFonts w:ascii="Arial" w:cs="Arial" w:eastAsia="Arial" w:hAnsi="Arial"/>
          <w:sz w:val="13"/>
          <w:szCs w:val="13"/>
          <w:color w:val="auto"/>
        </w:rPr>
      </w:pPr>
    </w:p>
    <w:p>
      <w:pPr>
        <w:jc w:val="both"/>
        <w:ind w:left="226" w:right="20" w:hanging="226"/>
        <w:spacing w:after="0" w:line="268" w:lineRule="auto"/>
        <w:tabs>
          <w:tab w:leader="none" w:pos="208"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120" w:lineRule="exact"/>
        <w:rPr>
          <w:rFonts w:ascii="Arial" w:cs="Arial" w:eastAsia="Arial" w:hAnsi="Arial"/>
          <w:sz w:val="13"/>
          <w:szCs w:val="13"/>
          <w:color w:val="auto"/>
        </w:rPr>
      </w:pPr>
    </w:p>
    <w:p>
      <w:pPr>
        <w:ind w:left="166" w:hanging="166"/>
        <w:spacing w:after="0"/>
        <w:tabs>
          <w:tab w:leader="none" w:pos="166"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FY 2021 Adjusted EPS projections exclude the following:</w:t>
      </w:r>
    </w:p>
    <w:p>
      <w:pPr>
        <w:spacing w:after="0" w:line="19" w:lineRule="exact"/>
        <w:rPr>
          <w:rFonts w:ascii="Arial" w:cs="Arial" w:eastAsia="Arial" w:hAnsi="Arial"/>
          <w:sz w:val="13"/>
          <w:szCs w:val="13"/>
          <w:color w:val="auto"/>
        </w:rPr>
      </w:pPr>
    </w:p>
    <w:p>
      <w:pPr>
        <w:ind w:left="246" w:hanging="192"/>
        <w:spacing w:after="0"/>
        <w:tabs>
          <w:tab w:leader="none" w:pos="246" w:val="left"/>
        </w:tabs>
        <w:numPr>
          <w:ilvl w:val="1"/>
          <w:numId w:val="52"/>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~$0.43 per diluted common share.</w:t>
      </w:r>
    </w:p>
    <w:p>
      <w:pPr>
        <w:spacing w:after="0" w:line="3" w:lineRule="exact"/>
        <w:rPr>
          <w:rFonts w:ascii="Arial" w:cs="Arial" w:eastAsia="Arial" w:hAnsi="Arial"/>
          <w:sz w:val="13"/>
          <w:szCs w:val="13"/>
          <w:color w:val="auto"/>
        </w:rPr>
      </w:pPr>
    </w:p>
    <w:p>
      <w:pPr>
        <w:ind w:left="266" w:right="100" w:hanging="212"/>
        <w:spacing w:after="0" w:line="245" w:lineRule="auto"/>
        <w:tabs>
          <w:tab w:leader="none" w:pos="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FY21 GAAP EPS guidance excludes the impact of future value changes of put/call options related to Humana’s non-consolidating minority interest investments. The future value change of these put/call options cannot be estimated.</w:t>
      </w:r>
    </w:p>
    <w:p>
      <w:pPr>
        <w:ind w:left="266" w:right="20" w:hanging="212"/>
        <w:spacing w:after="0" w:line="264" w:lineRule="auto"/>
        <w:tabs>
          <w:tab w:leader="none" w:pos="24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future value of publicly-traded equity securities, their impact on GAAP EPS, and the related non-GAAP adjustment will fluctuate on the public trading value of the stock. The guidance set forth herein assumes no further change in the fair value of these investments.</w:t>
      </w:r>
    </w:p>
    <w:p>
      <w:pPr>
        <w:spacing w:after="0" w:line="123" w:lineRule="exact"/>
        <w:rPr>
          <w:rFonts w:ascii="Arial" w:cs="Arial" w:eastAsia="Arial" w:hAnsi="Arial"/>
          <w:sz w:val="13"/>
          <w:szCs w:val="13"/>
          <w:color w:val="auto"/>
        </w:rPr>
      </w:pPr>
    </w:p>
    <w:p>
      <w:pPr>
        <w:ind w:left="206" w:hanging="206"/>
        <w:spacing w:after="0"/>
        <w:tabs>
          <w:tab w:leader="none" w:pos="206" w:val="left"/>
        </w:tabs>
        <w:numPr>
          <w:ilvl w:val="0"/>
          <w:numId w:val="52"/>
        </w:numPr>
        <w:rPr>
          <w:rFonts w:ascii="Arial" w:cs="Arial" w:eastAsia="Arial" w:hAnsi="Arial"/>
          <w:sz w:val="13"/>
          <w:szCs w:val="13"/>
          <w:color w:val="auto"/>
        </w:rPr>
      </w:pPr>
      <w:r>
        <w:rPr>
          <w:rFonts w:ascii="Arial" w:cs="Arial" w:eastAsia="Arial" w:hAnsi="Arial"/>
          <w:sz w:val="13"/>
          <w:szCs w:val="13"/>
          <w:color w:val="auto"/>
        </w:rPr>
        <w:t>Excludes estimates of changes in revenues associated with increased accuracy of risk coding.</w:t>
      </w:r>
    </w:p>
    <w:p>
      <w:pPr>
        <w:spacing w:after="0" w:line="156" w:lineRule="exact"/>
        <w:rPr>
          <w:rFonts w:ascii="Arial" w:cs="Arial" w:eastAsia="Arial" w:hAnsi="Arial"/>
          <w:sz w:val="13"/>
          <w:szCs w:val="13"/>
          <w:color w:val="auto"/>
        </w:rPr>
      </w:pPr>
    </w:p>
    <w:p>
      <w:pPr>
        <w:ind w:left="6" w:right="480" w:hanging="6"/>
        <w:spacing w:after="0" w:line="290" w:lineRule="auto"/>
        <w:tabs>
          <w:tab w:leader="none" w:pos="204"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390"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1106"/>
          </w:cols>
          <w:pgMar w:left="454" w:top="931" w:right="339" w:bottom="1440" w:gutter="0" w:footer="0" w:header="0"/>
        </w:sectPr>
      </w:pPr>
    </w:p>
    <w:bookmarkStart w:id="31" w:name="page32"/>
    <w:bookmarkEnd w:id="31"/>
    <w:p>
      <w:pPr>
        <w:ind w:left="6" w:hanging="6"/>
        <w:spacing w:after="0" w:line="260" w:lineRule="auto"/>
        <w:tabs>
          <w:tab w:leader="none" w:pos="1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Medicare Advantage (including Special Needs Plans (SNP)) and dual-eligible demonstration program members enrolled in one of Humana’s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1106"/>
          </w:cols>
          <w:pgMar w:left="454" w:top="769"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auto"/>
        </w:rPr>
        <w:t>Cautionary Statement</w:t>
      </w:r>
    </w:p>
    <w:p>
      <w:pPr>
        <w:spacing w:after="0" w:line="168" w:lineRule="exact"/>
        <w:rPr>
          <w:sz w:val="20"/>
          <w:szCs w:val="20"/>
          <w:color w:val="auto"/>
        </w:rPr>
      </w:pPr>
    </w:p>
    <w:p>
      <w:pPr>
        <w:ind w:left="200" w:right="140"/>
        <w:spacing w:after="0" w:line="252" w:lineRule="auto"/>
        <w:rPr>
          <w:sz w:val="20"/>
          <w:szCs w:val="20"/>
          <w:color w:val="auto"/>
        </w:rPr>
      </w:pPr>
      <w:r>
        <w:rPr>
          <w:rFonts w:ascii="Arial" w:cs="Arial" w:eastAsia="Arial" w:hAnsi="Arial"/>
          <w:sz w:val="13"/>
          <w:szCs w:val="13"/>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ind w:left="200" w:right="120"/>
        <w:spacing w:after="0" w:line="254" w:lineRule="auto"/>
        <w:rPr>
          <w:sz w:val="20"/>
          <w:szCs w:val="20"/>
          <w:color w:val="auto"/>
        </w:rPr>
      </w:pPr>
      <w:r>
        <w:rPr>
          <w:rFonts w:ascii="Arial" w:cs="Arial" w:eastAsia="Arial" w:hAnsi="Arial"/>
          <w:sz w:val="13"/>
          <w:szCs w:val="13"/>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 w:lineRule="exact"/>
        <w:rPr>
          <w:sz w:val="20"/>
          <w:szCs w:val="20"/>
          <w:color w:val="auto"/>
        </w:rPr>
      </w:pPr>
    </w:p>
    <w:p>
      <w:pPr>
        <w:ind w:left="860" w:hanging="220"/>
        <w:spacing w:after="0" w:line="248" w:lineRule="auto"/>
        <w:tabs>
          <w:tab w:leader="none" w:pos="834"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w:t>
      </w:r>
    </w:p>
    <w:p>
      <w:pPr>
        <w:spacing w:after="0" w:line="4" w:lineRule="exact"/>
        <w:rPr>
          <w:rFonts w:ascii="Arial" w:cs="Arial" w:eastAsia="Arial" w:hAnsi="Arial"/>
          <w:sz w:val="13"/>
          <w:szCs w:val="13"/>
          <w:color w:val="auto"/>
        </w:rPr>
      </w:pPr>
    </w:p>
    <w:p>
      <w:pPr>
        <w:jc w:val="both"/>
        <w:ind w:left="860" w:right="80" w:hanging="220"/>
        <w:spacing w:after="0" w:line="245" w:lineRule="auto"/>
        <w:tabs>
          <w:tab w:leader="none" w:pos="834"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13"/>
          <w:szCs w:val="13"/>
          <w:color w:val="auto"/>
        </w:rPr>
      </w:pPr>
    </w:p>
    <w:p>
      <w:pPr>
        <w:ind w:left="860" w:right="180" w:hanging="220"/>
        <w:spacing w:after="0" w:line="245" w:lineRule="auto"/>
        <w:tabs>
          <w:tab w:leader="none" w:pos="834"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Humana fails to properly maintain the integrity of its data, to strategically maintain existing or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1" w:lineRule="exact"/>
        <w:rPr>
          <w:rFonts w:ascii="Arial" w:cs="Arial" w:eastAsia="Arial" w:hAnsi="Arial"/>
          <w:sz w:val="13"/>
          <w:szCs w:val="13"/>
          <w:color w:val="auto"/>
        </w:rPr>
      </w:pPr>
    </w:p>
    <w:p>
      <w:pPr>
        <w:ind w:left="860" w:right="40" w:hanging="220"/>
        <w:spacing w:after="0" w:line="245" w:lineRule="auto"/>
        <w:tabs>
          <w:tab w:leader="none" w:pos="834" w:val="left"/>
        </w:tabs>
        <w:numPr>
          <w:ilvl w:val="0"/>
          <w:numId w:val="54"/>
        </w:numPr>
        <w:rPr>
          <w:rFonts w:ascii="Arial" w:cs="Arial" w:eastAsia="Arial" w:hAnsi="Arial"/>
          <w:sz w:val="13"/>
          <w:szCs w:val="13"/>
          <w:color w:val="auto"/>
        </w:rPr>
      </w:pPr>
      <w:r>
        <w:rPr>
          <w:rFonts w:ascii="Arial" w:cs="Arial" w:eastAsia="Arial" w:hAnsi="Arial"/>
          <w:sz w:val="13"/>
          <w:szCs w:val="13"/>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1" w:lineRule="exact"/>
        <w:rPr>
          <w:rFonts w:ascii="Arial" w:cs="Arial" w:eastAsia="Arial" w:hAnsi="Arial"/>
          <w:sz w:val="13"/>
          <w:szCs w:val="13"/>
          <w:color w:val="auto"/>
        </w:rPr>
      </w:pPr>
    </w:p>
    <w:p>
      <w:pPr>
        <w:ind w:left="860" w:right="20" w:hanging="220"/>
        <w:spacing w:after="0" w:line="250" w:lineRule="auto"/>
        <w:tabs>
          <w:tab w:leader="none" w:pos="834" w:val="left"/>
        </w:tabs>
        <w:numPr>
          <w:ilvl w:val="0"/>
          <w:numId w:val="54"/>
        </w:numPr>
        <w:rPr>
          <w:rFonts w:ascii="Arial" w:cs="Arial" w:eastAsia="Arial" w:hAnsi="Arial"/>
          <w:sz w:val="13"/>
          <w:szCs w:val="13"/>
          <w:color w:val="auto"/>
        </w:rPr>
      </w:pPr>
      <w:r>
        <w:rPr>
          <w:rFonts w:ascii="Arial" w:cs="Arial" w:eastAsia="Arial" w:hAnsi="Arial"/>
          <w:sz w:val="13"/>
          <w:szCs w:val="13"/>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1220"/>
          </w:cols>
          <w:pgMar w:left="300" w:top="848" w:right="379" w:bottom="1440" w:gutter="0" w:footer="0" w:header="0"/>
        </w:sectPr>
      </w:pPr>
    </w:p>
    <w:bookmarkStart w:id="33" w:name="page34"/>
    <w:bookmarkEnd w:id="33"/>
    <w:p>
      <w:pPr>
        <w:ind w:left="220" w:right="160"/>
        <w:spacing w:after="0" w:line="258" w:lineRule="auto"/>
        <w:rPr>
          <w:sz w:val="20"/>
          <w:szCs w:val="20"/>
          <w:color w:val="auto"/>
        </w:rPr>
      </w:pPr>
      <w:r>
        <w:rPr>
          <w:rFonts w:ascii="Arial" w:cs="Arial" w:eastAsia="Arial" w:hAnsi="Arial"/>
          <w:sz w:val="13"/>
          <w:szCs w:val="13"/>
          <w:color w:val="auto"/>
        </w:rPr>
        <w:t>fail to address adequately the statutory requirement of actuarial equivalence, if implemented, could have a material adverse effect on our operating results, financial position and cash flows.</w:t>
      </w:r>
    </w:p>
    <w:p>
      <w:pPr>
        <w:spacing w:after="0" w:line="1" w:lineRule="exact"/>
        <w:rPr>
          <w:sz w:val="20"/>
          <w:szCs w:val="20"/>
          <w:color w:val="auto"/>
        </w:rPr>
      </w:pPr>
    </w:p>
    <w:p>
      <w:pPr>
        <w:ind w:left="220" w:right="20" w:hanging="220"/>
        <w:spacing w:after="0" w:line="245" w:lineRule="auto"/>
        <w:tabs>
          <w:tab w:leader="none" w:pos="194" w:val="left"/>
        </w:tabs>
        <w:numPr>
          <w:ilvl w:val="0"/>
          <w:numId w:val="55"/>
        </w:numPr>
        <w:rPr>
          <w:rFonts w:ascii="Arial" w:cs="Arial" w:eastAsia="Arial" w:hAnsi="Arial"/>
          <w:sz w:val="13"/>
          <w:szCs w:val="13"/>
          <w:color w:val="auto"/>
        </w:rPr>
      </w:pPr>
      <w:r>
        <w:rPr>
          <w:rFonts w:ascii="Arial" w:cs="Arial" w:eastAsia="Arial" w:hAnsi="Arial"/>
          <w:sz w:val="13"/>
          <w:szCs w:val="13"/>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2" w:lineRule="exact"/>
        <w:rPr>
          <w:rFonts w:ascii="Arial" w:cs="Arial" w:eastAsia="Arial" w:hAnsi="Arial"/>
          <w:sz w:val="13"/>
          <w:szCs w:val="13"/>
          <w:color w:val="auto"/>
        </w:rPr>
      </w:pPr>
    </w:p>
    <w:p>
      <w:pPr>
        <w:ind w:left="220" w:right="220" w:hanging="220"/>
        <w:spacing w:after="0" w:line="245" w:lineRule="auto"/>
        <w:tabs>
          <w:tab w:leader="none" w:pos="194" w:val="left"/>
        </w:tabs>
        <w:numPr>
          <w:ilvl w:val="0"/>
          <w:numId w:val="55"/>
        </w:numPr>
        <w:rPr>
          <w:rFonts w:ascii="Arial" w:cs="Arial" w:eastAsia="Arial" w:hAnsi="Arial"/>
          <w:sz w:val="13"/>
          <w:szCs w:val="13"/>
          <w:color w:val="auto"/>
        </w:rPr>
      </w:pPr>
      <w:r>
        <w:rPr>
          <w:rFonts w:ascii="Arial" w:cs="Arial" w:eastAsia="Arial" w:hAnsi="Arial"/>
          <w:sz w:val="13"/>
          <w:szCs w:val="13"/>
          <w:color w:val="auto"/>
        </w:rPr>
        <w:t>Humana’s failure to manage acquisitions, divestitures and other significant transactions successfully may have a material adverse effect on the company’s results of operations, financial position, and cash flows.</w:t>
      </w:r>
    </w:p>
    <w:p>
      <w:pPr>
        <w:ind w:left="200" w:hanging="200"/>
        <w:spacing w:after="0"/>
        <w:tabs>
          <w:tab w:leader="none" w:pos="2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If Humana fails to develop and maintain satisfactory relationships with the providers of care to its members, the company’s business may be adversely affected.</w:t>
      </w:r>
    </w:p>
    <w:p>
      <w:pPr>
        <w:spacing w:after="0" w:line="3" w:lineRule="exact"/>
        <w:rPr>
          <w:rFonts w:ascii="Arial" w:cs="Arial" w:eastAsia="Arial" w:hAnsi="Arial"/>
          <w:sz w:val="13"/>
          <w:szCs w:val="13"/>
          <w:color w:val="auto"/>
        </w:rPr>
      </w:pPr>
    </w:p>
    <w:p>
      <w:pPr>
        <w:ind w:left="220" w:right="520" w:hanging="220"/>
        <w:spacing w:after="0" w:line="245" w:lineRule="auto"/>
        <w:tabs>
          <w:tab w:leader="none" w:pos="194" w:val="left"/>
        </w:tabs>
        <w:numPr>
          <w:ilvl w:val="0"/>
          <w:numId w:val="55"/>
        </w:numPr>
        <w:rPr>
          <w:rFonts w:ascii="Arial" w:cs="Arial" w:eastAsia="Arial" w:hAnsi="Arial"/>
          <w:sz w:val="13"/>
          <w:szCs w:val="13"/>
          <w:color w:val="auto"/>
        </w:rPr>
      </w:pPr>
      <w:r>
        <w:rPr>
          <w:rFonts w:ascii="Arial" w:cs="Arial" w:eastAsia="Arial" w:hAnsi="Arial"/>
          <w:sz w:val="13"/>
          <w:szCs w:val="13"/>
          <w:color w:val="auto"/>
        </w:rPr>
        <w:t>Humana’s pharmacy business is highly competitive and subjects it to regulations and supply chain risks in addition to those the company faces with its core health benefits businesses.</w:t>
      </w:r>
    </w:p>
    <w:p>
      <w:pPr>
        <w:ind w:left="200" w:hanging="200"/>
        <w:spacing w:after="0"/>
        <w:tabs>
          <w:tab w:leader="none" w:pos="2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Changes in the prescription drug industry pricing benchmarks may adversely affect Humana’s financial performance.</w:t>
      </w:r>
    </w:p>
    <w:p>
      <w:pPr>
        <w:spacing w:after="0" w:line="3" w:lineRule="exact"/>
        <w:rPr>
          <w:rFonts w:ascii="Arial" w:cs="Arial" w:eastAsia="Arial" w:hAnsi="Arial"/>
          <w:sz w:val="13"/>
          <w:szCs w:val="13"/>
          <w:color w:val="auto"/>
        </w:rPr>
      </w:pPr>
    </w:p>
    <w:p>
      <w:pPr>
        <w:ind w:left="200" w:hanging="200"/>
        <w:spacing w:after="0"/>
        <w:tabs>
          <w:tab w:leader="none" w:pos="2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Humana’s ability to obtain funds from certain of its licensed subsidiaries is restricted by state insurance regulations.</w:t>
      </w:r>
    </w:p>
    <w:p>
      <w:pPr>
        <w:spacing w:after="0" w:line="3" w:lineRule="exact"/>
        <w:rPr>
          <w:rFonts w:ascii="Arial" w:cs="Arial" w:eastAsia="Arial" w:hAnsi="Arial"/>
          <w:sz w:val="13"/>
          <w:szCs w:val="13"/>
          <w:color w:val="auto"/>
        </w:rPr>
      </w:pPr>
    </w:p>
    <w:p>
      <w:pPr>
        <w:ind w:left="200" w:hanging="200"/>
        <w:spacing w:after="0"/>
        <w:tabs>
          <w:tab w:leader="none" w:pos="2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Downgrades in Humana’s debt ratings, should they occur, may adversely affect its business, results of operations, and financial condition.</w:t>
      </w:r>
    </w:p>
    <w:p>
      <w:pPr>
        <w:spacing w:after="0" w:line="3" w:lineRule="exact"/>
        <w:rPr>
          <w:rFonts w:ascii="Arial" w:cs="Arial" w:eastAsia="Arial" w:hAnsi="Arial"/>
          <w:sz w:val="13"/>
          <w:szCs w:val="13"/>
          <w:color w:val="auto"/>
        </w:rPr>
      </w:pPr>
    </w:p>
    <w:p>
      <w:pPr>
        <w:ind w:left="200" w:hanging="200"/>
        <w:spacing w:after="0"/>
        <w:tabs>
          <w:tab w:leader="none" w:pos="2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securities and credit markets may experience volatility and disruption, which may adversely affect Humana’s business.</w:t>
      </w:r>
    </w:p>
    <w:p>
      <w:pPr>
        <w:spacing w:after="0" w:line="3" w:lineRule="exact"/>
        <w:rPr>
          <w:rFonts w:ascii="Arial" w:cs="Arial" w:eastAsia="Arial" w:hAnsi="Arial"/>
          <w:sz w:val="13"/>
          <w:szCs w:val="13"/>
          <w:color w:val="auto"/>
        </w:rPr>
      </w:pPr>
    </w:p>
    <w:p>
      <w:pPr>
        <w:ind w:left="220" w:right="320" w:hanging="166"/>
        <w:spacing w:after="0" w:line="264" w:lineRule="auto"/>
        <w:tabs>
          <w:tab w:leader="none" w:pos="194"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spread of, and response to, the novel coronavirus, or COVID-19, underscores certain risks Humana faces, including those discussed above, and the ongoing, heightened uncertainty created by the pandemic precludes any prediction as to the ultimate adverse impact to Humana of COVID-19.</w:t>
      </w:r>
    </w:p>
    <w:p>
      <w:pPr>
        <w:spacing w:after="0" w:line="213" w:lineRule="exact"/>
        <w:rPr>
          <w:sz w:val="20"/>
          <w:szCs w:val="20"/>
          <w:color w:val="auto"/>
        </w:rPr>
      </w:pPr>
    </w:p>
    <w:p>
      <w:pPr>
        <w:jc w:val="both"/>
        <w:ind w:left="220"/>
        <w:spacing w:after="0"/>
        <w:rPr>
          <w:sz w:val="20"/>
          <w:szCs w:val="20"/>
          <w:color w:val="auto"/>
        </w:rPr>
      </w:pPr>
      <w:r>
        <w:rPr>
          <w:rFonts w:ascii="Arial" w:cs="Arial" w:eastAsia="Arial" w:hAnsi="Arial"/>
          <w:sz w:val="13"/>
          <w:szCs w:val="13"/>
          <w:color w:val="auto"/>
        </w:rPr>
        <w:t>To the extent that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Humana may also experience increased costs or decreased revenues if, as a result of the company’s members being unable or unwilling to see their providers due to actions taken to mitigate the spread of COVID-19, Humana is unable to implement clinical initiatives to manage health care costs and chronic conditions of its members, and appropriately document their risk profiles. In addition, Humana is offering, and has been mandated by legislative and regulatory action (including the Families First Act and CARES Act) to provide, certain expanded benefit coverage to its members, such as waiving out of pocket costs for COVID-19 testing and treatment. Humana is also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of regulatory requirements associated with those services and the costs and challenges associated with ensuring timely compliance with such requirements, to provide further relief for the health care provider community, or in connection with the relaxation of stay-at-home and physical distancing orders and other restrictions on movement and economic activity, including the potential for widespread testing and therapeutic treatments and the distribution and administration of COVID-19 vaccines, could adversely impact the company’s profitability.</w:t>
      </w:r>
    </w:p>
    <w:p>
      <w:pPr>
        <w:spacing w:after="0" w:line="147" w:lineRule="exact"/>
        <w:rPr>
          <w:sz w:val="20"/>
          <w:szCs w:val="20"/>
          <w:color w:val="auto"/>
        </w:rPr>
      </w:pPr>
    </w:p>
    <w:p>
      <w:pPr>
        <w:ind w:left="220" w:right="260"/>
        <w:spacing w:after="0" w:line="290" w:lineRule="auto"/>
        <w:rPr>
          <w:sz w:val="20"/>
          <w:szCs w:val="20"/>
          <w:color w:val="auto"/>
        </w:rPr>
      </w:pPr>
      <w:r>
        <w:rPr>
          <w:rFonts w:ascii="Arial" w:cs="Arial" w:eastAsia="Arial" w:hAnsi="Arial"/>
          <w:sz w:val="13"/>
          <w:szCs w:val="13"/>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w:t>
      </w:r>
    </w:p>
    <w:p>
      <w:pPr>
        <w:spacing w:after="0" w:line="39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660"/>
          </w:cols>
          <w:pgMar w:left="940" w:top="634" w:right="299" w:bottom="1440" w:gutter="0" w:footer="0" w:header="0"/>
        </w:sectPr>
      </w:pPr>
    </w:p>
    <w:bookmarkStart w:id="34" w:name="page35"/>
    <w:bookmarkEnd w:id="34"/>
    <w:p>
      <w:pPr>
        <w:ind w:left="860"/>
        <w:spacing w:after="0" w:line="252" w:lineRule="auto"/>
        <w:rPr>
          <w:sz w:val="20"/>
          <w:szCs w:val="20"/>
          <w:color w:val="auto"/>
        </w:rPr>
      </w:pPr>
      <w:r>
        <w:rPr>
          <w:rFonts w:ascii="Arial" w:cs="Arial" w:eastAsia="Arial" w:hAnsi="Arial"/>
          <w:sz w:val="13"/>
          <w:szCs w:val="13"/>
          <w:color w:val="auto"/>
        </w:rPr>
        <w:t>including communications, 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67" w:lineRule="exact"/>
        <w:rPr>
          <w:sz w:val="20"/>
          <w:szCs w:val="20"/>
          <w:color w:val="auto"/>
        </w:rPr>
      </w:pPr>
    </w:p>
    <w:p>
      <w:pPr>
        <w:ind w:left="860" w:right="240"/>
        <w:spacing w:after="0" w:line="256" w:lineRule="auto"/>
        <w:rPr>
          <w:sz w:val="20"/>
          <w:szCs w:val="20"/>
          <w:color w:val="auto"/>
        </w:rPr>
      </w:pPr>
      <w:r>
        <w:rPr>
          <w:rFonts w:ascii="Arial" w:cs="Arial" w:eastAsia="Arial" w:hAnsi="Arial"/>
          <w:sz w:val="13"/>
          <w:szCs w:val="13"/>
          <w:color w:val="auto"/>
        </w:rPr>
        <w:t>The ongoing, heightened uncertainty created by the pandemic precludes any prediction as to the ultimate adverse impact to Humana of COVID-19. Humana is continuing to monitor the spread of COVID-19, changes to the company’s benefit coverages, and the ongoing costs and business impacts of dealing with COVID-19, including the potential costs and impacts associated with lifting or reimposing restrictions on movement and economic activity and related risks. The magnitude and duration of the pandemic and its impact on Humana’s business, results of operations, financial position, and cash flows is uncertain, but such impacts could be material to the company’s business, results of operations, financial position and cash flows.</w:t>
      </w:r>
    </w:p>
    <w:p>
      <w:pPr>
        <w:spacing w:after="0" w:line="58" w:lineRule="exact"/>
        <w:rPr>
          <w:sz w:val="20"/>
          <w:szCs w:val="20"/>
          <w:color w:val="auto"/>
        </w:rPr>
      </w:pPr>
    </w:p>
    <w:p>
      <w:pPr>
        <w:ind w:left="200" w:right="120"/>
        <w:spacing w:after="0" w:line="268" w:lineRule="auto"/>
        <w:rPr>
          <w:sz w:val="20"/>
          <w:szCs w:val="20"/>
          <w:color w:val="auto"/>
        </w:rPr>
      </w:pPr>
      <w:r>
        <w:rPr>
          <w:rFonts w:ascii="Arial" w:cs="Arial" w:eastAsia="Arial" w:hAnsi="Arial"/>
          <w:sz w:val="13"/>
          <w:szCs w:val="13"/>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Humana advises investors to read the following documents as filed by the company with the SEC for further discussion both of the risks it faces and its historical performance:</w:t>
      </w:r>
    </w:p>
    <w:p>
      <w:pPr>
        <w:spacing w:after="0" w:line="148" w:lineRule="exact"/>
        <w:rPr>
          <w:sz w:val="20"/>
          <w:szCs w:val="20"/>
          <w:color w:val="auto"/>
        </w:rPr>
      </w:pPr>
    </w:p>
    <w:p>
      <w:pPr>
        <w:ind w:left="400" w:hanging="192"/>
        <w:spacing w:after="0"/>
        <w:tabs>
          <w:tab w:leader="none" w:pos="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Form 10-K for the year ended December 31, 2019;</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Form 10-Q for the quarter ended March 31, 2020; June 30, 2020; September 30, 2020; and</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Form 8-Ks filed during 2020 and 2021.</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220"/>
          </w:cols>
          <w:pgMar w:left="300" w:top="634" w:right="3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auto"/>
        </w:rPr>
        <w:t>About Humana</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02" w:lineRule="exact"/>
        <w:rPr>
          <w:sz w:val="20"/>
          <w:szCs w:val="20"/>
          <w:color w:val="auto"/>
        </w:rPr>
      </w:pPr>
    </w:p>
    <w:p>
      <w:pPr>
        <w:ind w:right="160"/>
        <w:spacing w:after="0" w:line="268" w:lineRule="auto"/>
        <w:rPr>
          <w:sz w:val="20"/>
          <w:szCs w:val="20"/>
          <w:color w:val="auto"/>
        </w:rPr>
      </w:pPr>
      <w:r>
        <w:rPr>
          <w:rFonts w:ascii="Arial" w:cs="Arial" w:eastAsia="Arial" w:hAnsi="Arial"/>
          <w:sz w:val="13"/>
          <w:szCs w:val="13"/>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More information regarding Humana is available to investors via the Investor Relations page of the company’s website at humana.com, including copies of:</w:t>
      </w:r>
    </w:p>
    <w:p>
      <w:pPr>
        <w:spacing w:after="0" w:line="148" w:lineRule="exact"/>
        <w:rPr>
          <w:sz w:val="20"/>
          <w:szCs w:val="20"/>
          <w:color w:val="auto"/>
        </w:rPr>
      </w:pPr>
    </w:p>
    <w:p>
      <w:pPr>
        <w:ind w:left="400" w:hanging="192"/>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Annual reports to stockholders</w:t>
      </w:r>
    </w:p>
    <w:p>
      <w:pPr>
        <w:spacing w:after="0" w:line="19" w:lineRule="exact"/>
        <w:rPr>
          <w:rFonts w:ascii="Arial" w:cs="Arial" w:eastAsia="Arial" w:hAnsi="Arial"/>
          <w:sz w:val="13"/>
          <w:szCs w:val="13"/>
          <w:color w:val="auto"/>
        </w:rPr>
      </w:pPr>
    </w:p>
    <w:p>
      <w:pPr>
        <w:ind w:left="400" w:hanging="192"/>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Securities and Exchange Commission filings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Most recent investor conference presentations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Quarterly earnings news releases and conference calls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Calendar of events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1280"/>
          </w:cols>
          <w:pgMar w:left="300" w:top="909" w:right="31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144"/>
        </w:trPr>
        <w:tc>
          <w:tcPr>
            <w:tcW w:w="186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In accordance</w:t>
            </w:r>
          </w:p>
        </w:tc>
        <w:tc>
          <w:tcPr>
            <w:tcW w:w="4320" w:type="dxa"/>
            <w:vAlign w:val="bottom"/>
            <w:tcBorders>
              <w:top w:val="single" w:sz="8" w:color="auto"/>
            </w:tcBorders>
            <w:gridSpan w:val="2"/>
          </w:tcPr>
          <w:p>
            <w:pPr>
              <w:jc w:val="center"/>
              <w:ind w:left="1643"/>
              <w:spacing w:after="0" w:line="144" w:lineRule="exact"/>
              <w:rPr>
                <w:sz w:val="20"/>
                <w:szCs w:val="20"/>
                <w:color w:val="auto"/>
              </w:rPr>
            </w:pPr>
            <w:r>
              <w:rPr>
                <w:rFonts w:ascii="Arial" w:cs="Arial" w:eastAsia="Arial" w:hAnsi="Arial"/>
                <w:sz w:val="14"/>
                <w:szCs w:val="14"/>
                <w:b w:val="1"/>
                <w:bCs w:val="1"/>
                <w:color w:val="477915"/>
              </w:rPr>
              <w:t>Humana Inc.</w:t>
            </w:r>
          </w:p>
        </w:tc>
        <w:tc>
          <w:tcPr>
            <w:tcW w:w="174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300" w:type="dxa"/>
            <w:vAlign w:val="bottom"/>
            <w:tcBorders>
              <w:top w:val="single" w:sz="8" w:color="auto"/>
              <w:right w:val="single" w:sz="8" w:color="auto"/>
            </w:tcBorders>
          </w:tcPr>
          <w:p>
            <w:pPr>
              <w:jc w:val="center"/>
              <w:ind w:right="71"/>
              <w:spacing w:after="0" w:line="144" w:lineRule="exact"/>
              <w:rPr>
                <w:sz w:val="20"/>
                <w:szCs w:val="20"/>
                <w:color w:val="auto"/>
              </w:rPr>
            </w:pPr>
            <w:r>
              <w:rPr>
                <w:rFonts w:ascii="Arial" w:cs="Arial" w:eastAsia="Arial" w:hAnsi="Arial"/>
                <w:sz w:val="14"/>
                <w:szCs w:val="14"/>
                <w:b w:val="1"/>
                <w:bCs w:val="1"/>
                <w:color w:val="477915"/>
              </w:rPr>
              <w:t>Comments</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with GAAP</w:t>
            </w:r>
          </w:p>
        </w:tc>
        <w:tc>
          <w:tcPr>
            <w:tcW w:w="4320" w:type="dxa"/>
            <w:vAlign w:val="bottom"/>
            <w:gridSpan w:val="2"/>
          </w:tcPr>
          <w:p>
            <w:pPr>
              <w:jc w:val="center"/>
              <w:ind w:left="1663"/>
              <w:spacing w:after="0" w:line="144" w:lineRule="exact"/>
              <w:rPr>
                <w:sz w:val="20"/>
                <w:szCs w:val="20"/>
                <w:color w:val="auto"/>
              </w:rPr>
            </w:pPr>
            <w:r>
              <w:rPr>
                <w:rFonts w:ascii="Arial" w:cs="Arial" w:eastAsia="Arial" w:hAnsi="Arial"/>
                <w:sz w:val="14"/>
                <w:szCs w:val="14"/>
                <w:b w:val="1"/>
                <w:bCs w:val="1"/>
                <w:color w:val="477915"/>
              </w:rPr>
              <w:t>Full-Year 2021 Projections</w:t>
            </w:r>
          </w:p>
        </w:tc>
        <w:tc>
          <w:tcPr>
            <w:tcW w:w="1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w w:val="99"/>
              </w:rPr>
              <w:t>unless</w:t>
            </w:r>
          </w:p>
        </w:tc>
        <w:tc>
          <w:tcPr>
            <w:tcW w:w="4320" w:type="dxa"/>
            <w:vAlign w:val="bottom"/>
            <w:gridSpan w:val="2"/>
          </w:tcPr>
          <w:p>
            <w:pPr>
              <w:jc w:val="center"/>
              <w:ind w:left="1643"/>
              <w:spacing w:after="0" w:line="144" w:lineRule="exact"/>
              <w:rPr>
                <w:sz w:val="20"/>
                <w:szCs w:val="20"/>
                <w:color w:val="auto"/>
              </w:rPr>
            </w:pPr>
            <w:r>
              <w:rPr>
                <w:rFonts w:ascii="Arial" w:cs="Arial" w:eastAsia="Arial" w:hAnsi="Arial"/>
                <w:sz w:val="14"/>
                <w:szCs w:val="14"/>
                <w:b w:val="1"/>
                <w:bCs w:val="1"/>
                <w:color w:val="477915"/>
              </w:rPr>
              <w:t>As of February 3, 2021</w:t>
            </w:r>
          </w:p>
        </w:tc>
        <w:tc>
          <w:tcPr>
            <w:tcW w:w="1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otherwise</w:t>
            </w:r>
          </w:p>
        </w:tc>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noted</w:t>
            </w:r>
          </w:p>
        </w:tc>
        <w:tc>
          <w:tcPr>
            <w:tcW w:w="3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Diluted earnings</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GAAP</w:t>
            </w:r>
          </w:p>
        </w:tc>
        <w:tc>
          <w:tcPr>
            <w:tcW w:w="78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$20.82 to $21.32</w:t>
            </w:r>
          </w:p>
        </w:tc>
        <w:tc>
          <w:tcPr>
            <w:tcW w:w="100" w:type="dxa"/>
            <w:vAlign w:val="bottom"/>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60" w:type="dxa"/>
            <w:vAlign w:val="bottom"/>
            <w:tcBorders>
              <w:left w:val="single" w:sz="8" w:color="auto"/>
              <w:right w:val="single" w:sz="8" w:color="auto"/>
            </w:tcBorders>
          </w:tcPr>
          <w:p>
            <w:pPr>
              <w:ind w:left="120"/>
              <w:spacing w:after="0" w:line="117" w:lineRule="exact"/>
              <w:rPr>
                <w:sz w:val="20"/>
                <w:szCs w:val="20"/>
                <w:color w:val="auto"/>
              </w:rPr>
            </w:pPr>
            <w:r>
              <w:rPr>
                <w:rFonts w:ascii="Arial" w:cs="Arial" w:eastAsia="Arial" w:hAnsi="Arial"/>
                <w:sz w:val="11"/>
                <w:szCs w:val="11"/>
                <w:b w:val="1"/>
                <w:bCs w:val="1"/>
                <w:color w:val="auto"/>
              </w:rPr>
              <w:t>per common</w:t>
            </w:r>
          </w:p>
        </w:tc>
        <w:tc>
          <w:tcPr>
            <w:tcW w:w="3540" w:type="dxa"/>
            <w:vAlign w:val="bottom"/>
            <w:tcBorders>
              <w:right w:val="single" w:sz="8" w:color="auto"/>
            </w:tcBorders>
          </w:tcPr>
          <w:p>
            <w:pPr>
              <w:spacing w:after="0" w:line="117" w:lineRule="exact"/>
              <w:rPr>
                <w:sz w:val="20"/>
                <w:szCs w:val="20"/>
                <w:color w:val="auto"/>
              </w:rPr>
            </w:pPr>
            <w:r>
              <w:rPr>
                <w:rFonts w:ascii="Arial" w:cs="Arial" w:eastAsia="Arial" w:hAnsi="Arial"/>
                <w:sz w:val="11"/>
                <w:szCs w:val="11"/>
                <w:b w:val="1"/>
                <w:bCs w:val="1"/>
                <w:color w:val="auto"/>
              </w:rPr>
              <w:t>Adjustments</w:t>
            </w:r>
          </w:p>
        </w:tc>
        <w:tc>
          <w:tcPr>
            <w:tcW w:w="780" w:type="dxa"/>
            <w:vAlign w:val="bottom"/>
          </w:tcPr>
          <w:p>
            <w:pPr>
              <w:spacing w:after="0"/>
              <w:rPr>
                <w:sz w:val="10"/>
                <w:szCs w:val="10"/>
                <w:color w:val="auto"/>
              </w:rPr>
            </w:pPr>
          </w:p>
        </w:tc>
        <w:tc>
          <w:tcPr>
            <w:tcW w:w="1740" w:type="dxa"/>
            <w:vAlign w:val="bottom"/>
            <w:tcBorders>
              <w:right w:val="single" w:sz="8" w:color="auto"/>
            </w:tcBorders>
          </w:tcPr>
          <w:p>
            <w:pPr>
              <w:jc w:val="right"/>
              <w:spacing w:after="0" w:line="117" w:lineRule="exact"/>
              <w:rPr>
                <w:sz w:val="20"/>
                <w:szCs w:val="20"/>
                <w:color w:val="auto"/>
              </w:rPr>
            </w:pPr>
            <w:r>
              <w:rPr>
                <w:rFonts w:ascii="Arial" w:cs="Arial" w:eastAsia="Arial" w:hAnsi="Arial"/>
                <w:sz w:val="11"/>
                <w:szCs w:val="11"/>
                <w:color w:val="auto"/>
              </w:rPr>
              <w:t>~$0.43</w:t>
            </w:r>
          </w:p>
        </w:tc>
        <w:tc>
          <w:tcPr>
            <w:tcW w:w="34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0"/>
                <w:szCs w:val="10"/>
                <w:color w:val="auto"/>
              </w:rPr>
              <w:t>•   Non-GAAP adjustments noted in footnote (f).</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1"/>
                <w:szCs w:val="11"/>
                <w:b w:val="1"/>
                <w:bCs w:val="1"/>
                <w:color w:val="auto"/>
              </w:rPr>
              <w:t>share (EPS)</w:t>
            </w:r>
          </w:p>
        </w:tc>
        <w:tc>
          <w:tcPr>
            <w:tcW w:w="35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340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860" w:type="dxa"/>
            <w:vAlign w:val="bottom"/>
            <w:tcBorders>
              <w:left w:val="single" w:sz="8" w:color="auto"/>
              <w:right w:val="single" w:sz="8" w:color="auto"/>
            </w:tcBorders>
            <w:vMerge w:val="continue"/>
          </w:tcPr>
          <w:p>
            <w:pPr>
              <w:spacing w:after="0"/>
              <w:rPr>
                <w:sz w:val="6"/>
                <w:szCs w:val="6"/>
                <w:color w:val="auto"/>
              </w:rPr>
            </w:pPr>
          </w:p>
        </w:tc>
        <w:tc>
          <w:tcPr>
            <w:tcW w:w="3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Non-GAAP</w:t>
            </w:r>
          </w:p>
        </w:tc>
        <w:tc>
          <w:tcPr>
            <w:tcW w:w="780" w:type="dxa"/>
            <w:vAlign w:val="bottom"/>
          </w:tcPr>
          <w:p>
            <w:pPr>
              <w:spacing w:after="0"/>
              <w:rPr>
                <w:sz w:val="6"/>
                <w:szCs w:val="6"/>
                <w:color w:val="auto"/>
              </w:rPr>
            </w:pPr>
          </w:p>
        </w:tc>
        <w:tc>
          <w:tcPr>
            <w:tcW w:w="1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$21.25 to $21.75</w:t>
            </w:r>
          </w:p>
        </w:tc>
        <w:tc>
          <w:tcPr>
            <w:tcW w:w="34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860" w:type="dxa"/>
            <w:vAlign w:val="bottom"/>
            <w:tcBorders>
              <w:left w:val="single" w:sz="8" w:color="auto"/>
              <w:bottom w:val="single" w:sz="8" w:color="auto"/>
              <w:right w:val="single" w:sz="8" w:color="auto"/>
            </w:tcBorders>
          </w:tcPr>
          <w:p>
            <w:pPr>
              <w:spacing w:after="0"/>
              <w:rPr>
                <w:sz w:val="7"/>
                <w:szCs w:val="7"/>
                <w:color w:val="auto"/>
              </w:rPr>
            </w:pPr>
          </w:p>
        </w:tc>
        <w:tc>
          <w:tcPr>
            <w:tcW w:w="3540" w:type="dxa"/>
            <w:vAlign w:val="bottom"/>
            <w:tcBorders>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740" w:type="dxa"/>
            <w:vAlign w:val="bottom"/>
            <w:tcBorders>
              <w:bottom w:val="single" w:sz="8" w:color="auto"/>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540" w:type="dxa"/>
            <w:vAlign w:val="bottom"/>
            <w:tcBorders>
              <w:bottom w:val="single" w:sz="8" w:color="auto"/>
              <w:right w:val="single" w:sz="8" w:color="ACACAC"/>
            </w:tcBorders>
            <w:shd w:val="clear" w:color="auto" w:fill="ACACAC"/>
          </w:tcPr>
          <w:p>
            <w:pPr>
              <w:spacing w:after="0"/>
              <w:rPr>
                <w:sz w:val="10"/>
                <w:szCs w:val="10"/>
                <w:color w:val="auto"/>
              </w:rPr>
            </w:pPr>
          </w:p>
        </w:tc>
        <w:tc>
          <w:tcPr>
            <w:tcW w:w="780" w:type="dxa"/>
            <w:vAlign w:val="bottom"/>
            <w:tcBorders>
              <w:bottom w:val="single" w:sz="8" w:color="auto"/>
            </w:tcBorders>
            <w:shd w:val="clear" w:color="auto" w:fill="ACACAC"/>
          </w:tcPr>
          <w:p>
            <w:pPr>
              <w:spacing w:after="0"/>
              <w:rPr>
                <w:sz w:val="10"/>
                <w:szCs w:val="10"/>
                <w:color w:val="auto"/>
              </w:rPr>
            </w:pPr>
          </w:p>
        </w:tc>
        <w:tc>
          <w:tcPr>
            <w:tcW w:w="1740" w:type="dxa"/>
            <w:vAlign w:val="bottom"/>
            <w:tcBorders>
              <w:bottom w:val="single" w:sz="8" w:color="auto"/>
              <w:right w:val="single" w:sz="8" w:color="auto"/>
            </w:tcBorders>
            <w:shd w:val="clear" w:color="auto" w:fill="ACACAC"/>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Consolidated</w:t>
            </w:r>
          </w:p>
        </w:tc>
        <w:tc>
          <w:tcPr>
            <w:tcW w:w="780" w:type="dxa"/>
            <w:vAlign w:val="bottom"/>
          </w:tcPr>
          <w:p>
            <w:pPr>
              <w:spacing w:after="0"/>
              <w:rPr>
                <w:sz w:val="12"/>
                <w:szCs w:val="12"/>
                <w:color w:val="auto"/>
              </w:rPr>
            </w:pP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$80.3 billion to $81.9 billion</w:t>
            </w: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3300" w:type="dxa"/>
            <w:vAlign w:val="bottom"/>
            <w:tcBorders>
              <w:right w:val="single" w:sz="8" w:color="auto"/>
            </w:tcBorders>
          </w:tcPr>
          <w:p>
            <w:pPr>
              <w:jc w:val="center"/>
              <w:ind w:right="71"/>
              <w:spacing w:after="0"/>
              <w:rPr>
                <w:sz w:val="20"/>
                <w:szCs w:val="20"/>
                <w:color w:val="auto"/>
              </w:rPr>
            </w:pPr>
            <w:r>
              <w:rPr>
                <w:rFonts w:ascii="Arial" w:cs="Arial" w:eastAsia="Arial" w:hAnsi="Arial"/>
                <w:sz w:val="10"/>
                <w:szCs w:val="10"/>
                <w:color w:val="auto"/>
                <w:w w:val="95"/>
              </w:rPr>
              <w:t>Consolidated and segment-level revenue projections include expected</w:t>
            </w:r>
          </w:p>
        </w:tc>
        <w:tc>
          <w:tcPr>
            <w:tcW w:w="0" w:type="dxa"/>
            <w:vAlign w:val="bottom"/>
          </w:tcPr>
          <w:p>
            <w:pPr>
              <w:spacing w:after="0"/>
              <w:rPr>
                <w:sz w:val="1"/>
                <w:szCs w:val="1"/>
                <w:color w:val="auto"/>
              </w:rPr>
            </w:pPr>
          </w:p>
        </w:tc>
      </w:tr>
      <w:tr>
        <w:trPr>
          <w:trHeight w:val="42"/>
        </w:trPr>
        <w:tc>
          <w:tcPr>
            <w:tcW w:w="1860" w:type="dxa"/>
            <w:vAlign w:val="bottom"/>
            <w:tcBorders>
              <w:left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Borders>
              <w:right w:val="single" w:sz="8" w:color="auto"/>
            </w:tcBorders>
            <w:vMerge w:val="restart"/>
          </w:tcPr>
          <w:p>
            <w:pPr>
              <w:ind w:left="20"/>
              <w:spacing w:after="0" w:line="87" w:lineRule="exact"/>
              <w:rPr>
                <w:sz w:val="20"/>
                <w:szCs w:val="20"/>
                <w:color w:val="auto"/>
              </w:rPr>
            </w:pPr>
            <w:r>
              <w:rPr>
                <w:rFonts w:ascii="Arial" w:cs="Arial" w:eastAsia="Arial" w:hAnsi="Arial"/>
                <w:sz w:val="10"/>
                <w:szCs w:val="10"/>
                <w:color w:val="auto"/>
              </w:rPr>
              <w:t>investment income.</w:t>
            </w:r>
          </w:p>
        </w:tc>
        <w:tc>
          <w:tcPr>
            <w:tcW w:w="0" w:type="dxa"/>
            <w:vAlign w:val="bottom"/>
          </w:tcPr>
          <w:p>
            <w:pPr>
              <w:spacing w:after="0"/>
              <w:rPr>
                <w:sz w:val="1"/>
                <w:szCs w:val="1"/>
                <w:color w:val="auto"/>
              </w:rPr>
            </w:pPr>
          </w:p>
        </w:tc>
      </w:tr>
      <w:tr>
        <w:trPr>
          <w:trHeight w:val="25"/>
        </w:trPr>
        <w:tc>
          <w:tcPr>
            <w:tcW w:w="1860" w:type="dxa"/>
            <w:vAlign w:val="bottom"/>
            <w:tcBorders>
              <w:left w:val="single" w:sz="8" w:color="auto"/>
              <w:right w:val="single" w:sz="8" w:color="auto"/>
            </w:tcBorders>
          </w:tcPr>
          <w:p>
            <w:pPr>
              <w:spacing w:after="0"/>
              <w:rPr>
                <w:sz w:val="2"/>
                <w:szCs w:val="2"/>
                <w:color w:val="auto"/>
              </w:rPr>
            </w:pPr>
          </w:p>
        </w:tc>
        <w:tc>
          <w:tcPr>
            <w:tcW w:w="3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Retail segment</w:t>
            </w:r>
          </w:p>
        </w:tc>
        <w:tc>
          <w:tcPr>
            <w:tcW w:w="780" w:type="dxa"/>
            <w:vAlign w:val="bottom"/>
          </w:tcPr>
          <w:p>
            <w:pPr>
              <w:spacing w:after="0"/>
              <w:rPr>
                <w:sz w:val="2"/>
                <w:szCs w:val="2"/>
                <w:color w:val="auto"/>
              </w:rPr>
            </w:pPr>
          </w:p>
        </w:tc>
        <w:tc>
          <w:tcPr>
            <w:tcW w:w="1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$72.6 billion to $73.7 billion</w:t>
            </w:r>
          </w:p>
        </w:tc>
        <w:tc>
          <w:tcPr>
            <w:tcW w:w="100" w:type="dxa"/>
            <w:vAlign w:val="bottom"/>
            <w:vMerge w:val="restart"/>
          </w:tcPr>
          <w:p>
            <w:pPr>
              <w:spacing w:after="0"/>
              <w:rPr>
                <w:sz w:val="20"/>
                <w:szCs w:val="20"/>
                <w:color w:val="auto"/>
              </w:rPr>
            </w:pPr>
            <w:r>
              <w:rPr>
                <w:rFonts w:ascii="Arial" w:cs="Arial" w:eastAsia="Arial" w:hAnsi="Arial"/>
                <w:sz w:val="10"/>
                <w:szCs w:val="10"/>
                <w:color w:val="auto"/>
              </w:rPr>
              <w:t>•</w:t>
            </w:r>
          </w:p>
        </w:tc>
        <w:tc>
          <w:tcPr>
            <w:tcW w:w="33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Total revenues</w:t>
            </w:r>
          </w:p>
        </w:tc>
        <w:tc>
          <w:tcPr>
            <w:tcW w:w="3540" w:type="dxa"/>
            <w:vAlign w:val="bottom"/>
            <w:tcBorders>
              <w:bottom w:val="single" w:sz="8" w:color="auto"/>
              <w:right w:val="single" w:sz="8" w:color="auto"/>
            </w:tcBorders>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300" w:type="dxa"/>
            <w:vAlign w:val="bottom"/>
            <w:tcBorders>
              <w:right w:val="single" w:sz="8" w:color="auto"/>
            </w:tcBorders>
          </w:tcPr>
          <w:p>
            <w:pPr>
              <w:jc w:val="center"/>
              <w:ind w:right="91"/>
              <w:spacing w:after="0"/>
              <w:rPr>
                <w:sz w:val="20"/>
                <w:szCs w:val="20"/>
                <w:color w:val="auto"/>
              </w:rPr>
            </w:pPr>
            <w:r>
              <w:rPr>
                <w:rFonts w:ascii="Arial" w:cs="Arial" w:eastAsia="Arial" w:hAnsi="Arial"/>
                <w:sz w:val="10"/>
                <w:szCs w:val="10"/>
                <w:color w:val="auto"/>
                <w:w w:val="96"/>
              </w:rPr>
              <w:t>Segment-level revenues include amounts that eliminate in consolidation.</w:t>
            </w:r>
          </w:p>
        </w:tc>
        <w:tc>
          <w:tcPr>
            <w:tcW w:w="0" w:type="dxa"/>
            <w:vAlign w:val="bottom"/>
          </w:tcPr>
          <w:p>
            <w:pPr>
              <w:spacing w:after="0"/>
              <w:rPr>
                <w:sz w:val="1"/>
                <w:szCs w:val="1"/>
                <w:color w:val="auto"/>
              </w:rPr>
            </w:pPr>
          </w:p>
        </w:tc>
      </w:tr>
      <w:tr>
        <w:trPr>
          <w:trHeight w:val="49"/>
        </w:trPr>
        <w:tc>
          <w:tcPr>
            <w:tcW w:w="1860" w:type="dxa"/>
            <w:vAlign w:val="bottom"/>
            <w:tcBorders>
              <w:left w:val="single" w:sz="8" w:color="auto"/>
              <w:right w:val="single" w:sz="8" w:color="auto"/>
            </w:tcBorders>
            <w:vMerge w:val="continue"/>
          </w:tcPr>
          <w:p>
            <w:pPr>
              <w:spacing w:after="0"/>
              <w:rPr>
                <w:sz w:val="4"/>
                <w:szCs w:val="4"/>
                <w:color w:val="auto"/>
              </w:rPr>
            </w:pPr>
          </w:p>
        </w:tc>
        <w:tc>
          <w:tcPr>
            <w:tcW w:w="3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Group and Specialty segment</w:t>
            </w:r>
          </w:p>
        </w:tc>
        <w:tc>
          <w:tcPr>
            <w:tcW w:w="780" w:type="dxa"/>
            <w:vAlign w:val="bottom"/>
          </w:tcPr>
          <w:p>
            <w:pPr>
              <w:spacing w:after="0"/>
              <w:rPr>
                <w:sz w:val="4"/>
                <w:szCs w:val="4"/>
                <w:color w:val="auto"/>
              </w:rPr>
            </w:pPr>
          </w:p>
        </w:tc>
        <w:tc>
          <w:tcPr>
            <w:tcW w:w="1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$6.6 billion to $7.1 billion</w:t>
            </w:r>
          </w:p>
        </w:tc>
        <w:tc>
          <w:tcPr>
            <w:tcW w:w="100" w:type="dxa"/>
            <w:vAlign w:val="bottom"/>
          </w:tcPr>
          <w:p>
            <w:pPr>
              <w:spacing w:after="0"/>
              <w:rPr>
                <w:sz w:val="4"/>
                <w:szCs w:val="4"/>
                <w:color w:val="auto"/>
              </w:rPr>
            </w:pPr>
          </w:p>
        </w:tc>
        <w:tc>
          <w:tcPr>
            <w:tcW w:w="3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1860" w:type="dxa"/>
            <w:vAlign w:val="bottom"/>
            <w:tcBorders>
              <w:left w:val="single" w:sz="8" w:color="auto"/>
              <w:right w:val="single" w:sz="8" w:color="auto"/>
            </w:tcBorders>
          </w:tcPr>
          <w:p>
            <w:pPr>
              <w:spacing w:after="0"/>
              <w:rPr>
                <w:sz w:val="9"/>
                <w:szCs w:val="9"/>
                <w:color w:val="auto"/>
              </w:rPr>
            </w:pPr>
          </w:p>
        </w:tc>
        <w:tc>
          <w:tcPr>
            <w:tcW w:w="3540" w:type="dxa"/>
            <w:vAlign w:val="bottom"/>
            <w:tcBorders>
              <w:bottom w:val="single" w:sz="8" w:color="auto"/>
              <w:right w:val="single" w:sz="8" w:color="auto"/>
            </w:tcBorders>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Healthcare Services segment</w:t>
            </w:r>
          </w:p>
        </w:tc>
        <w:tc>
          <w:tcPr>
            <w:tcW w:w="78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$30.2 billion to $30.5 billion</w:t>
            </w:r>
          </w:p>
        </w:tc>
        <w:tc>
          <w:tcPr>
            <w:tcW w:w="100" w:type="dxa"/>
            <w:vAlign w:val="bottom"/>
            <w:tcBorders>
              <w:bottom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6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540" w:type="dxa"/>
            <w:vAlign w:val="bottom"/>
            <w:tcBorders>
              <w:bottom w:val="single" w:sz="8" w:color="auto"/>
              <w:right w:val="single" w:sz="8" w:color="ACACAC"/>
            </w:tcBorders>
            <w:shd w:val="clear" w:color="auto" w:fill="ACACAC"/>
          </w:tcPr>
          <w:p>
            <w:pPr>
              <w:spacing w:after="0"/>
              <w:rPr>
                <w:sz w:val="10"/>
                <w:szCs w:val="10"/>
                <w:color w:val="auto"/>
              </w:rPr>
            </w:pPr>
          </w:p>
        </w:tc>
        <w:tc>
          <w:tcPr>
            <w:tcW w:w="780" w:type="dxa"/>
            <w:vAlign w:val="bottom"/>
            <w:tcBorders>
              <w:bottom w:val="single" w:sz="8" w:color="auto"/>
            </w:tcBorders>
            <w:shd w:val="clear" w:color="auto" w:fill="ACACAC"/>
          </w:tcPr>
          <w:p>
            <w:pPr>
              <w:spacing w:after="0"/>
              <w:rPr>
                <w:sz w:val="10"/>
                <w:szCs w:val="10"/>
                <w:color w:val="auto"/>
              </w:rPr>
            </w:pPr>
          </w:p>
        </w:tc>
        <w:tc>
          <w:tcPr>
            <w:tcW w:w="1740" w:type="dxa"/>
            <w:vAlign w:val="bottom"/>
            <w:tcBorders>
              <w:bottom w:val="single" w:sz="8" w:color="auto"/>
              <w:right w:val="single" w:sz="8" w:color="auto"/>
            </w:tcBorders>
            <w:shd w:val="clear" w:color="auto" w:fill="ACACAC"/>
          </w:tcPr>
          <w:p>
            <w:pPr>
              <w:spacing w:after="0"/>
              <w:rPr>
                <w:sz w:val="10"/>
                <w:szCs w:val="10"/>
                <w:color w:val="auto"/>
              </w:rPr>
            </w:pPr>
          </w:p>
        </w:tc>
        <w:tc>
          <w:tcPr>
            <w:tcW w:w="100" w:type="dxa"/>
            <w:vAlign w:val="bottom"/>
            <w:tcBorders>
              <w:bottom w:val="single" w:sz="8" w:color="auto"/>
            </w:tcBorders>
            <w:shd w:val="clear" w:color="auto" w:fill="ACACAC"/>
          </w:tcPr>
          <w:p>
            <w:pPr>
              <w:spacing w:after="0"/>
              <w:rPr>
                <w:sz w:val="10"/>
                <w:szCs w:val="10"/>
                <w:color w:val="auto"/>
              </w:rPr>
            </w:pPr>
          </w:p>
        </w:tc>
        <w:tc>
          <w:tcPr>
            <w:tcW w:w="330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1860" w:type="dxa"/>
            <w:vAlign w:val="bottom"/>
            <w:tcBorders>
              <w:left w:val="single" w:sz="8" w:color="auto"/>
              <w:right w:val="single" w:sz="8" w:color="auto"/>
            </w:tcBorders>
          </w:tcPr>
          <w:p>
            <w:pPr>
              <w:spacing w:after="0"/>
              <w:rPr>
                <w:sz w:val="24"/>
                <w:szCs w:val="24"/>
                <w:color w:val="auto"/>
              </w:rPr>
            </w:pPr>
          </w:p>
        </w:tc>
        <w:tc>
          <w:tcPr>
            <w:tcW w:w="4320" w:type="dxa"/>
            <w:vAlign w:val="bottom"/>
            <w:gridSpan w:val="2"/>
          </w:tcPr>
          <w:p>
            <w:pPr>
              <w:ind w:left="220"/>
              <w:spacing w:after="0"/>
              <w:rPr>
                <w:sz w:val="20"/>
                <w:szCs w:val="20"/>
                <w:color w:val="auto"/>
              </w:rPr>
            </w:pPr>
            <w:r>
              <w:rPr>
                <w:rFonts w:ascii="Arial" w:cs="Arial" w:eastAsia="Arial" w:hAnsi="Arial"/>
                <w:sz w:val="11"/>
                <w:szCs w:val="11"/>
                <w:color w:val="auto"/>
              </w:rPr>
              <w:t>•   Individual Medicare Advantage: Up ~425,000 to 475,000 (no change)</w:t>
            </w:r>
          </w:p>
        </w:tc>
        <w:tc>
          <w:tcPr>
            <w:tcW w:w="1740" w:type="dxa"/>
            <w:vAlign w:val="bottom"/>
            <w:tcBorders>
              <w:right w:val="single" w:sz="8" w:color="auto"/>
            </w:tcBorders>
          </w:tcPr>
          <w:p>
            <w:pPr>
              <w:spacing w:after="0"/>
              <w:rPr>
                <w:sz w:val="24"/>
                <w:szCs w:val="24"/>
                <w:color w:val="auto"/>
              </w:rPr>
            </w:pP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  State-based contracts include current membership in Florida, Illinois,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Change in year-end medical</w:t>
            </w:r>
          </w:p>
        </w:tc>
        <w:tc>
          <w:tcPr>
            <w:tcW w:w="4320" w:type="dxa"/>
            <w:vAlign w:val="bottom"/>
            <w:gridSpan w:val="2"/>
          </w:tcPr>
          <w:p>
            <w:pPr>
              <w:ind w:left="220"/>
              <w:spacing w:after="0" w:line="108" w:lineRule="exact"/>
              <w:rPr>
                <w:sz w:val="20"/>
                <w:szCs w:val="20"/>
                <w:color w:val="auto"/>
              </w:rPr>
            </w:pPr>
            <w:r>
              <w:rPr>
                <w:rFonts w:ascii="Arial" w:cs="Arial" w:eastAsia="Arial" w:hAnsi="Arial"/>
                <w:sz w:val="11"/>
                <w:szCs w:val="11"/>
                <w:color w:val="auto"/>
              </w:rPr>
              <w:t>•   Group Medicare Advantage: Down ~50,000 (no change)</w:t>
            </w:r>
          </w:p>
        </w:tc>
        <w:tc>
          <w:tcPr>
            <w:tcW w:w="17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300" w:type="dxa"/>
            <w:vAlign w:val="bottom"/>
            <w:tcBorders>
              <w:right w:val="single" w:sz="8" w:color="auto"/>
            </w:tcBorders>
          </w:tcPr>
          <w:p>
            <w:pPr>
              <w:ind w:left="20"/>
              <w:spacing w:after="0" w:line="108" w:lineRule="exact"/>
              <w:rPr>
                <w:sz w:val="20"/>
                <w:szCs w:val="20"/>
                <w:color w:val="auto"/>
              </w:rPr>
            </w:pPr>
            <w:r>
              <w:rPr>
                <w:rFonts w:ascii="Arial" w:cs="Arial" w:eastAsia="Arial" w:hAnsi="Arial"/>
                <w:sz w:val="10"/>
                <w:szCs w:val="10"/>
                <w:color w:val="auto"/>
                <w:w w:val="97"/>
              </w:rPr>
              <w:t>Kentucky, and Wisconsin. The low end of the guidance range assumes the</w:t>
            </w:r>
          </w:p>
        </w:tc>
        <w:tc>
          <w:tcPr>
            <w:tcW w:w="0" w:type="dxa"/>
            <w:vAlign w:val="bottom"/>
          </w:tcPr>
          <w:p>
            <w:pPr>
              <w:spacing w:after="0"/>
              <w:rPr>
                <w:sz w:val="1"/>
                <w:szCs w:val="1"/>
                <w:color w:val="auto"/>
              </w:rPr>
            </w:pPr>
          </w:p>
        </w:tc>
      </w:tr>
      <w:tr>
        <w:trPr>
          <w:trHeight w:val="63"/>
        </w:trPr>
        <w:tc>
          <w:tcPr>
            <w:tcW w:w="1860" w:type="dxa"/>
            <w:vAlign w:val="bottom"/>
            <w:tcBorders>
              <w:left w:val="single" w:sz="8" w:color="auto"/>
              <w:right w:val="single" w:sz="8" w:color="auto"/>
            </w:tcBorders>
            <w:vMerge w:val="continue"/>
          </w:tcPr>
          <w:p>
            <w:pPr>
              <w:spacing w:after="0"/>
              <w:rPr>
                <w:sz w:val="5"/>
                <w:szCs w:val="5"/>
                <w:color w:val="auto"/>
              </w:rPr>
            </w:pPr>
          </w:p>
        </w:tc>
        <w:tc>
          <w:tcPr>
            <w:tcW w:w="4320" w:type="dxa"/>
            <w:vAlign w:val="bottom"/>
            <w:gridSpan w:val="2"/>
            <w:vMerge w:val="restart"/>
          </w:tcPr>
          <w:p>
            <w:pPr>
              <w:ind w:left="220"/>
              <w:spacing w:after="0" w:line="108" w:lineRule="exact"/>
              <w:rPr>
                <w:sz w:val="20"/>
                <w:szCs w:val="20"/>
                <w:color w:val="auto"/>
              </w:rPr>
            </w:pPr>
            <w:r>
              <w:rPr>
                <w:rFonts w:ascii="Arial" w:cs="Arial" w:eastAsia="Arial" w:hAnsi="Arial"/>
                <w:sz w:val="11"/>
                <w:szCs w:val="11"/>
                <w:color w:val="auto"/>
              </w:rPr>
              <w:t>•   Medicare stand-alone PDP: Down ~300,000 (no change)</w:t>
            </w:r>
          </w:p>
        </w:tc>
        <w:tc>
          <w:tcPr>
            <w:tcW w:w="174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300" w:type="dxa"/>
            <w:vAlign w:val="bottom"/>
            <w:tcBorders>
              <w:right w:val="single" w:sz="8" w:color="auto"/>
            </w:tcBorders>
          </w:tcPr>
          <w:p>
            <w:pPr>
              <w:ind w:left="20"/>
              <w:spacing w:after="0" w:line="63" w:lineRule="exact"/>
              <w:rPr>
                <w:sz w:val="20"/>
                <w:szCs w:val="20"/>
                <w:color w:val="auto"/>
              </w:rPr>
            </w:pPr>
            <w:r>
              <w:rPr>
                <w:rFonts w:ascii="Arial" w:cs="Arial" w:eastAsia="Arial" w:hAnsi="Arial"/>
                <w:sz w:val="7"/>
                <w:szCs w:val="7"/>
                <w:color w:val="auto"/>
              </w:rPr>
              <w:t>Public Health Emergency (PHE) ends on April 20, 2021 while the high end</w:t>
            </w:r>
          </w:p>
        </w:tc>
        <w:tc>
          <w:tcPr>
            <w:tcW w:w="0" w:type="dxa"/>
            <w:vAlign w:val="bottom"/>
          </w:tcPr>
          <w:p>
            <w:pPr>
              <w:spacing w:after="0"/>
              <w:rPr>
                <w:sz w:val="1"/>
                <w:szCs w:val="1"/>
                <w:color w:val="auto"/>
              </w:rPr>
            </w:pPr>
          </w:p>
        </w:tc>
      </w:tr>
      <w:tr>
        <w:trPr>
          <w:trHeight w:val="45"/>
        </w:trPr>
        <w:tc>
          <w:tcPr>
            <w:tcW w:w="1860" w:type="dxa"/>
            <w:vAlign w:val="bottom"/>
            <w:tcBorders>
              <w:left w:val="single" w:sz="8" w:color="auto"/>
              <w:right w:val="single" w:sz="8" w:color="auto"/>
            </w:tcBorders>
            <w:vMerge w:val="restart"/>
          </w:tcPr>
          <w:p>
            <w:pPr>
              <w:ind w:left="20"/>
              <w:spacing w:after="0" w:line="99" w:lineRule="exact"/>
              <w:rPr>
                <w:sz w:val="20"/>
                <w:szCs w:val="20"/>
                <w:color w:val="auto"/>
              </w:rPr>
            </w:pPr>
            <w:r>
              <w:rPr>
                <w:rFonts w:ascii="Arial" w:cs="Arial" w:eastAsia="Arial" w:hAnsi="Arial"/>
                <w:sz w:val="11"/>
                <w:szCs w:val="11"/>
                <w:b w:val="1"/>
                <w:bCs w:val="1"/>
                <w:color w:val="auto"/>
              </w:rPr>
              <w:t>membership from prior year end</w:t>
            </w:r>
          </w:p>
        </w:tc>
        <w:tc>
          <w:tcPr>
            <w:tcW w:w="4320" w:type="dxa"/>
            <w:vAlign w:val="bottom"/>
            <w:gridSpan w:val="2"/>
            <w:vMerge w:val="continue"/>
          </w:tcPr>
          <w:p>
            <w:pPr>
              <w:spacing w:after="0"/>
              <w:rPr>
                <w:sz w:val="3"/>
                <w:szCs w:val="3"/>
                <w:color w:val="auto"/>
              </w:rPr>
            </w:pPr>
          </w:p>
        </w:tc>
        <w:tc>
          <w:tcPr>
            <w:tcW w:w="17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Borders>
              <w:right w:val="single" w:sz="8" w:color="auto"/>
            </w:tcBorders>
            <w:vMerge w:val="restart"/>
          </w:tcPr>
          <w:p>
            <w:pPr>
              <w:ind w:left="20"/>
              <w:spacing w:after="0" w:line="99" w:lineRule="exact"/>
              <w:rPr>
                <w:sz w:val="20"/>
                <w:szCs w:val="20"/>
                <w:color w:val="auto"/>
              </w:rPr>
            </w:pPr>
            <w:r>
              <w:rPr>
                <w:rFonts w:ascii="Arial" w:cs="Arial" w:eastAsia="Arial" w:hAnsi="Arial"/>
                <w:sz w:val="10"/>
                <w:szCs w:val="10"/>
                <w:color w:val="auto"/>
              </w:rPr>
              <w:t>of the range assumes the PHE continues through 2021.</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vMerge w:val="continue"/>
          </w:tcPr>
          <w:p>
            <w:pPr>
              <w:spacing w:after="0"/>
              <w:rPr>
                <w:sz w:val="4"/>
                <w:szCs w:val="4"/>
                <w:color w:val="auto"/>
              </w:rPr>
            </w:pPr>
          </w:p>
        </w:tc>
        <w:tc>
          <w:tcPr>
            <w:tcW w:w="4320" w:type="dxa"/>
            <w:vAlign w:val="bottom"/>
            <w:gridSpan w:val="2"/>
            <w:vMerge w:val="restart"/>
          </w:tcPr>
          <w:p>
            <w:pPr>
              <w:ind w:left="220"/>
              <w:spacing w:after="0"/>
              <w:rPr>
                <w:sz w:val="20"/>
                <w:szCs w:val="20"/>
                <w:color w:val="auto"/>
              </w:rPr>
            </w:pPr>
            <w:r>
              <w:rPr>
                <w:rFonts w:ascii="Arial" w:cs="Arial" w:eastAsia="Arial" w:hAnsi="Arial"/>
                <w:sz w:val="11"/>
                <w:szCs w:val="11"/>
                <w:color w:val="auto"/>
              </w:rPr>
              <w:t>•   State-based contracts: Down ~50,000 to Up ~100,000</w:t>
            </w:r>
          </w:p>
        </w:tc>
        <w:tc>
          <w:tcPr>
            <w:tcW w:w="17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auto"/>
              <w:right w:val="single" w:sz="8" w:color="auto"/>
            </w:tcBorders>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3400" w:type="dxa"/>
            <w:vAlign w:val="bottom"/>
            <w:tcBorders>
              <w:right w:val="single" w:sz="8" w:color="auto"/>
            </w:tcBorders>
            <w:gridSpan w:val="2"/>
          </w:tcPr>
          <w:p>
            <w:pPr>
              <w:spacing w:after="0" w:line="81" w:lineRule="exact"/>
              <w:rPr>
                <w:sz w:val="20"/>
                <w:szCs w:val="20"/>
                <w:color w:val="auto"/>
              </w:rPr>
            </w:pPr>
            <w:r>
              <w:rPr>
                <w:rFonts w:ascii="Arial" w:cs="Arial" w:eastAsia="Arial" w:hAnsi="Arial"/>
                <w:sz w:val="8"/>
                <w:szCs w:val="8"/>
                <w:color w:val="auto"/>
              </w:rPr>
              <w:t>•  Group commercial medical membership includes fully-insured and ASO</w:t>
            </w:r>
          </w:p>
        </w:tc>
        <w:tc>
          <w:tcPr>
            <w:tcW w:w="0" w:type="dxa"/>
            <w:vAlign w:val="bottom"/>
          </w:tcPr>
          <w:p>
            <w:pPr>
              <w:spacing w:after="0"/>
              <w:rPr>
                <w:sz w:val="1"/>
                <w:szCs w:val="1"/>
                <w:color w:val="auto"/>
              </w:rPr>
            </w:pPr>
          </w:p>
        </w:tc>
      </w:tr>
      <w:tr>
        <w:trPr>
          <w:trHeight w:val="146"/>
        </w:trPr>
        <w:tc>
          <w:tcPr>
            <w:tcW w:w="1860" w:type="dxa"/>
            <w:vAlign w:val="bottom"/>
            <w:tcBorders>
              <w:left w:val="single" w:sz="8" w:color="auto"/>
              <w:right w:val="single" w:sz="8" w:color="auto"/>
            </w:tcBorders>
          </w:tcPr>
          <w:p>
            <w:pPr>
              <w:spacing w:after="0"/>
              <w:rPr>
                <w:sz w:val="12"/>
                <w:szCs w:val="12"/>
                <w:color w:val="auto"/>
              </w:rPr>
            </w:pPr>
          </w:p>
        </w:tc>
        <w:tc>
          <w:tcPr>
            <w:tcW w:w="4320" w:type="dxa"/>
            <w:vAlign w:val="bottom"/>
            <w:gridSpan w:val="2"/>
          </w:tcPr>
          <w:p>
            <w:pPr>
              <w:ind w:left="220"/>
              <w:spacing w:after="0"/>
              <w:rPr>
                <w:sz w:val="20"/>
                <w:szCs w:val="20"/>
                <w:color w:val="auto"/>
              </w:rPr>
            </w:pPr>
            <w:r>
              <w:rPr>
                <w:rFonts w:ascii="Arial" w:cs="Arial" w:eastAsia="Arial" w:hAnsi="Arial"/>
                <w:sz w:val="11"/>
                <w:szCs w:val="11"/>
                <w:color w:val="auto"/>
              </w:rPr>
              <w:t>•   Group commercial medical: Down ~100,000</w:t>
            </w:r>
          </w:p>
        </w:tc>
        <w:tc>
          <w:tcPr>
            <w:tcW w:w="1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(self-insured).</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860" w:type="dxa"/>
            <w:vAlign w:val="bottom"/>
            <w:tcBorders>
              <w:left w:val="single" w:sz="8" w:color="auto"/>
              <w:bottom w:val="single" w:sz="8" w:color="auto"/>
              <w:right w:val="single" w:sz="8" w:color="auto"/>
            </w:tcBorders>
            <w:shd w:val="clear" w:color="auto" w:fill="ACACAC"/>
          </w:tcPr>
          <w:p>
            <w:pPr>
              <w:spacing w:after="0"/>
              <w:rPr>
                <w:sz w:val="24"/>
                <w:szCs w:val="24"/>
                <w:color w:val="auto"/>
              </w:rPr>
            </w:pPr>
          </w:p>
        </w:tc>
        <w:tc>
          <w:tcPr>
            <w:tcW w:w="3540" w:type="dxa"/>
            <w:vAlign w:val="bottom"/>
            <w:tcBorders>
              <w:bottom w:val="single" w:sz="8" w:color="auto"/>
              <w:right w:val="single" w:sz="8" w:color="ACACAC"/>
            </w:tcBorders>
            <w:shd w:val="clear" w:color="auto" w:fill="ACACAC"/>
          </w:tcPr>
          <w:p>
            <w:pPr>
              <w:spacing w:after="0"/>
              <w:rPr>
                <w:sz w:val="24"/>
                <w:szCs w:val="24"/>
                <w:color w:val="auto"/>
              </w:rPr>
            </w:pPr>
          </w:p>
        </w:tc>
        <w:tc>
          <w:tcPr>
            <w:tcW w:w="780" w:type="dxa"/>
            <w:vAlign w:val="bottom"/>
            <w:tcBorders>
              <w:bottom w:val="single" w:sz="8" w:color="auto"/>
            </w:tcBorders>
            <w:shd w:val="clear" w:color="auto" w:fill="ACACAC"/>
          </w:tcPr>
          <w:p>
            <w:pPr>
              <w:spacing w:after="0"/>
              <w:rPr>
                <w:sz w:val="24"/>
                <w:szCs w:val="24"/>
                <w:color w:val="auto"/>
              </w:rPr>
            </w:pPr>
          </w:p>
        </w:tc>
        <w:tc>
          <w:tcPr>
            <w:tcW w:w="1740" w:type="dxa"/>
            <w:vAlign w:val="bottom"/>
            <w:tcBorders>
              <w:bottom w:val="single" w:sz="8" w:color="auto"/>
              <w:right w:val="single" w:sz="8" w:color="auto"/>
            </w:tcBorders>
            <w:shd w:val="clear" w:color="auto" w:fill="ACACAC"/>
          </w:tcPr>
          <w:p>
            <w:pPr>
              <w:spacing w:after="0"/>
              <w:rPr>
                <w:sz w:val="24"/>
                <w:szCs w:val="24"/>
                <w:color w:val="auto"/>
              </w:rPr>
            </w:pPr>
          </w:p>
        </w:tc>
        <w:tc>
          <w:tcPr>
            <w:tcW w:w="100" w:type="dxa"/>
            <w:vAlign w:val="bottom"/>
            <w:tcBorders>
              <w:bottom w:val="single" w:sz="8" w:color="auto"/>
            </w:tcBorders>
            <w:shd w:val="clear" w:color="auto" w:fill="ACACAC"/>
          </w:tcPr>
          <w:p>
            <w:pPr>
              <w:spacing w:after="0"/>
              <w:rPr>
                <w:sz w:val="24"/>
                <w:szCs w:val="24"/>
                <w:color w:val="auto"/>
              </w:rPr>
            </w:pPr>
          </w:p>
        </w:tc>
        <w:tc>
          <w:tcPr>
            <w:tcW w:w="3300" w:type="dxa"/>
            <w:vAlign w:val="bottom"/>
            <w:tcBorders>
              <w:bottom w:val="single" w:sz="8" w:color="auto"/>
              <w:right w:val="single" w:sz="8" w:color="auto"/>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Benefit Ratio</w:t>
            </w: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Retail segment</w:t>
            </w:r>
          </w:p>
        </w:tc>
        <w:tc>
          <w:tcPr>
            <w:tcW w:w="78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87.5% to 88.5 %</w:t>
            </w:r>
          </w:p>
        </w:tc>
        <w:tc>
          <w:tcPr>
            <w:tcW w:w="34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0"/>
                <w:szCs w:val="10"/>
                <w:color w:val="auto"/>
              </w:rPr>
              <w:t>•  Ratio calculation: benefits expense as a percent of premiums revenues.</w:t>
            </w:r>
          </w:p>
        </w:tc>
        <w:tc>
          <w:tcPr>
            <w:tcW w:w="0" w:type="dxa"/>
            <w:vAlign w:val="bottom"/>
          </w:tcPr>
          <w:p>
            <w:pPr>
              <w:spacing w:after="0"/>
              <w:rPr>
                <w:sz w:val="1"/>
                <w:szCs w:val="1"/>
                <w:color w:val="auto"/>
              </w:rPr>
            </w:pPr>
          </w:p>
        </w:tc>
      </w:tr>
      <w:tr>
        <w:trPr>
          <w:trHeight w:val="164"/>
        </w:trPr>
        <w:tc>
          <w:tcPr>
            <w:tcW w:w="18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Group and Specialty segment</w:t>
            </w: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83.2% to 83.7%</w:t>
            </w:r>
          </w:p>
        </w:tc>
        <w:tc>
          <w:tcPr>
            <w:tcW w:w="340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1860" w:type="dxa"/>
            <w:vAlign w:val="bottom"/>
            <w:tcBorders>
              <w:left w:val="single" w:sz="8" w:color="auto"/>
              <w:bottom w:val="single" w:sz="8" w:color="auto"/>
              <w:right w:val="single" w:sz="8" w:color="auto"/>
            </w:tcBorders>
            <w:shd w:val="clear" w:color="auto" w:fill="ACACAC"/>
          </w:tcPr>
          <w:p>
            <w:pPr>
              <w:spacing w:after="0"/>
              <w:rPr>
                <w:sz w:val="24"/>
                <w:szCs w:val="24"/>
                <w:color w:val="auto"/>
              </w:rPr>
            </w:pPr>
          </w:p>
        </w:tc>
        <w:tc>
          <w:tcPr>
            <w:tcW w:w="3540" w:type="dxa"/>
            <w:vAlign w:val="bottom"/>
            <w:tcBorders>
              <w:bottom w:val="single" w:sz="8" w:color="auto"/>
              <w:right w:val="single" w:sz="8" w:color="ACACAC"/>
            </w:tcBorders>
            <w:shd w:val="clear" w:color="auto" w:fill="ACACAC"/>
          </w:tcPr>
          <w:p>
            <w:pPr>
              <w:spacing w:after="0"/>
              <w:rPr>
                <w:sz w:val="24"/>
                <w:szCs w:val="24"/>
                <w:color w:val="auto"/>
              </w:rPr>
            </w:pPr>
          </w:p>
        </w:tc>
        <w:tc>
          <w:tcPr>
            <w:tcW w:w="780" w:type="dxa"/>
            <w:vAlign w:val="bottom"/>
            <w:tcBorders>
              <w:bottom w:val="single" w:sz="8" w:color="auto"/>
            </w:tcBorders>
            <w:shd w:val="clear" w:color="auto" w:fill="ACACAC"/>
          </w:tcPr>
          <w:p>
            <w:pPr>
              <w:spacing w:after="0"/>
              <w:rPr>
                <w:sz w:val="24"/>
                <w:szCs w:val="24"/>
                <w:color w:val="auto"/>
              </w:rPr>
            </w:pPr>
          </w:p>
        </w:tc>
        <w:tc>
          <w:tcPr>
            <w:tcW w:w="1740" w:type="dxa"/>
            <w:vAlign w:val="bottom"/>
            <w:tcBorders>
              <w:bottom w:val="single" w:sz="8" w:color="auto"/>
              <w:right w:val="single" w:sz="8" w:color="auto"/>
            </w:tcBorders>
            <w:shd w:val="clear" w:color="auto" w:fill="ACACAC"/>
          </w:tcPr>
          <w:p>
            <w:pPr>
              <w:spacing w:after="0"/>
              <w:rPr>
                <w:sz w:val="24"/>
                <w:szCs w:val="24"/>
                <w:color w:val="auto"/>
              </w:rPr>
            </w:pPr>
          </w:p>
        </w:tc>
        <w:tc>
          <w:tcPr>
            <w:tcW w:w="100" w:type="dxa"/>
            <w:vAlign w:val="bottom"/>
            <w:tcBorders>
              <w:bottom w:val="single" w:sz="8" w:color="auto"/>
            </w:tcBorders>
            <w:shd w:val="clear" w:color="auto" w:fill="ACACAC"/>
          </w:tcPr>
          <w:p>
            <w:pPr>
              <w:spacing w:after="0"/>
              <w:rPr>
                <w:sz w:val="24"/>
                <w:szCs w:val="24"/>
                <w:color w:val="auto"/>
              </w:rPr>
            </w:pPr>
          </w:p>
        </w:tc>
        <w:tc>
          <w:tcPr>
            <w:tcW w:w="3300" w:type="dxa"/>
            <w:vAlign w:val="bottom"/>
            <w:tcBorders>
              <w:bottom w:val="single" w:sz="8" w:color="auto"/>
              <w:right w:val="single" w:sz="8" w:color="auto"/>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operating cost ratio</w:t>
            </w:r>
          </w:p>
        </w:tc>
        <w:tc>
          <w:tcPr>
            <w:tcW w:w="4320" w:type="dxa"/>
            <w:vAlign w:val="bottom"/>
            <w:gridSpan w:val="2"/>
          </w:tcPr>
          <w:p>
            <w:pPr>
              <w:ind w:left="60"/>
              <w:spacing w:after="0"/>
              <w:rPr>
                <w:sz w:val="20"/>
                <w:szCs w:val="20"/>
                <w:color w:val="auto"/>
              </w:rPr>
            </w:pPr>
            <w:r>
              <w:rPr>
                <w:rFonts w:ascii="Arial" w:cs="Arial" w:eastAsia="Arial" w:hAnsi="Arial"/>
                <w:sz w:val="11"/>
                <w:szCs w:val="11"/>
                <w:color w:val="auto"/>
              </w:rPr>
              <w:t>10.0% to 11.0%</w:t>
            </w:r>
          </w:p>
        </w:tc>
        <w:tc>
          <w:tcPr>
            <w:tcW w:w="1740" w:type="dxa"/>
            <w:vAlign w:val="bottom"/>
            <w:tcBorders>
              <w:right w:val="single" w:sz="8" w:color="auto"/>
            </w:tcBorders>
          </w:tcPr>
          <w:p>
            <w:pPr>
              <w:spacing w:after="0"/>
              <w:rPr>
                <w:sz w:val="11"/>
                <w:szCs w:val="11"/>
                <w:color w:val="auto"/>
              </w:rPr>
            </w:pPr>
          </w:p>
        </w:tc>
        <w:tc>
          <w:tcPr>
            <w:tcW w:w="3400" w:type="dxa"/>
            <w:vAlign w:val="bottom"/>
            <w:tcBorders>
              <w:right w:val="single" w:sz="8" w:color="auto"/>
            </w:tcBorders>
            <w:gridSpan w:val="2"/>
          </w:tcPr>
          <w:p>
            <w:pPr>
              <w:spacing w:after="0"/>
              <w:rPr>
                <w:sz w:val="20"/>
                <w:szCs w:val="20"/>
                <w:color w:val="auto"/>
              </w:rPr>
            </w:pPr>
            <w:r>
              <w:rPr>
                <w:rFonts w:ascii="Arial" w:cs="Arial" w:eastAsia="Arial" w:hAnsi="Arial"/>
                <w:sz w:val="10"/>
                <w:szCs w:val="10"/>
                <w:color w:val="auto"/>
              </w:rPr>
              <w:t>•  Ratio calculation: operating costs excluding depreciation and amortization</w:t>
            </w:r>
          </w:p>
        </w:tc>
        <w:tc>
          <w:tcPr>
            <w:tcW w:w="0" w:type="dxa"/>
            <w:vAlign w:val="bottom"/>
          </w:tcPr>
          <w:p>
            <w:pPr>
              <w:spacing w:after="0"/>
              <w:rPr>
                <w:sz w:val="1"/>
                <w:szCs w:val="1"/>
                <w:color w:val="auto"/>
              </w:rPr>
            </w:pPr>
          </w:p>
        </w:tc>
      </w:tr>
      <w:tr>
        <w:trPr>
          <w:trHeight w:val="72"/>
        </w:trPr>
        <w:tc>
          <w:tcPr>
            <w:tcW w:w="1860" w:type="dxa"/>
            <w:vAlign w:val="bottom"/>
            <w:tcBorders>
              <w:left w:val="single" w:sz="8" w:color="auto"/>
              <w:bottom w:val="single" w:sz="8" w:color="auto"/>
              <w:right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300" w:type="dxa"/>
            <w:vAlign w:val="bottom"/>
            <w:tcBorders>
              <w:bottom w:val="single" w:sz="8" w:color="auto"/>
              <w:right w:val="single" w:sz="8" w:color="auto"/>
            </w:tcBorders>
          </w:tcPr>
          <w:p>
            <w:pPr>
              <w:ind w:left="20"/>
              <w:spacing w:after="0" w:line="72" w:lineRule="exact"/>
              <w:rPr>
                <w:sz w:val="20"/>
                <w:szCs w:val="20"/>
                <w:color w:val="auto"/>
              </w:rPr>
            </w:pPr>
            <w:r>
              <w:rPr>
                <w:rFonts w:ascii="Arial" w:cs="Arial" w:eastAsia="Arial" w:hAnsi="Arial"/>
                <w:sz w:val="8"/>
                <w:szCs w:val="8"/>
                <w:color w:val="auto"/>
              </w:rPr>
              <w:t>as a percent of revenues excluding investment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1300"/>
          </w:cols>
          <w:pgMar w:left="300" w:top="947" w:right="29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144"/>
        </w:trPr>
        <w:tc>
          <w:tcPr>
            <w:tcW w:w="172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In accordance</w:t>
            </w:r>
          </w:p>
        </w:tc>
        <w:tc>
          <w:tcPr>
            <w:tcW w:w="2160" w:type="dxa"/>
            <w:vAlign w:val="bottom"/>
            <w:tcBorders>
              <w:top w:val="single" w:sz="8" w:color="auto"/>
            </w:tcBorders>
          </w:tcPr>
          <w:p>
            <w:pPr>
              <w:spacing w:after="0"/>
              <w:rPr>
                <w:sz w:val="12"/>
                <w:szCs w:val="12"/>
                <w:color w:val="auto"/>
              </w:rPr>
            </w:pPr>
          </w:p>
        </w:tc>
        <w:tc>
          <w:tcPr>
            <w:tcW w:w="4300" w:type="dxa"/>
            <w:vAlign w:val="bottom"/>
            <w:tcBorders>
              <w:top w:val="single" w:sz="8" w:color="auto"/>
              <w:right w:val="single" w:sz="8" w:color="auto"/>
            </w:tcBorders>
            <w:gridSpan w:val="2"/>
          </w:tcPr>
          <w:p>
            <w:pPr>
              <w:jc w:val="center"/>
              <w:ind w:right="2146"/>
              <w:spacing w:after="0" w:line="144" w:lineRule="exact"/>
              <w:rPr>
                <w:sz w:val="20"/>
                <w:szCs w:val="20"/>
                <w:color w:val="auto"/>
              </w:rPr>
            </w:pPr>
            <w:r>
              <w:rPr>
                <w:rFonts w:ascii="Arial" w:cs="Arial" w:eastAsia="Arial" w:hAnsi="Arial"/>
                <w:sz w:val="14"/>
                <w:szCs w:val="14"/>
                <w:b w:val="1"/>
                <w:bCs w:val="1"/>
                <w:color w:val="477915"/>
              </w:rPr>
              <w:t>Humana Inc.</w:t>
            </w:r>
          </w:p>
        </w:tc>
        <w:tc>
          <w:tcPr>
            <w:tcW w:w="3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477915"/>
              </w:rPr>
              <w:t>Comments</w:t>
            </w: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with GAAP</w:t>
            </w:r>
          </w:p>
        </w:tc>
        <w:tc>
          <w:tcPr>
            <w:tcW w:w="2160" w:type="dxa"/>
            <w:vAlign w:val="bottom"/>
          </w:tcPr>
          <w:p>
            <w:pPr>
              <w:spacing w:after="0"/>
              <w:rPr>
                <w:sz w:val="12"/>
                <w:szCs w:val="12"/>
                <w:color w:val="auto"/>
              </w:rPr>
            </w:pPr>
          </w:p>
        </w:tc>
        <w:tc>
          <w:tcPr>
            <w:tcW w:w="4300" w:type="dxa"/>
            <w:vAlign w:val="bottom"/>
            <w:tcBorders>
              <w:right w:val="single" w:sz="8" w:color="auto"/>
            </w:tcBorders>
            <w:gridSpan w:val="2"/>
          </w:tcPr>
          <w:p>
            <w:pPr>
              <w:jc w:val="center"/>
              <w:ind w:right="2146"/>
              <w:spacing w:after="0" w:line="144" w:lineRule="exact"/>
              <w:rPr>
                <w:sz w:val="20"/>
                <w:szCs w:val="20"/>
                <w:color w:val="auto"/>
              </w:rPr>
            </w:pPr>
            <w:r>
              <w:rPr>
                <w:rFonts w:ascii="Arial" w:cs="Arial" w:eastAsia="Arial" w:hAnsi="Arial"/>
                <w:sz w:val="14"/>
                <w:szCs w:val="14"/>
                <w:b w:val="1"/>
                <w:bCs w:val="1"/>
                <w:color w:val="477915"/>
              </w:rPr>
              <w:t>Full-Year 2021 Projections</w:t>
            </w:r>
          </w:p>
        </w:tc>
        <w:tc>
          <w:tcPr>
            <w:tcW w:w="3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unless</w:t>
            </w:r>
          </w:p>
        </w:tc>
        <w:tc>
          <w:tcPr>
            <w:tcW w:w="2160" w:type="dxa"/>
            <w:vAlign w:val="bottom"/>
          </w:tcPr>
          <w:p>
            <w:pPr>
              <w:spacing w:after="0"/>
              <w:rPr>
                <w:sz w:val="12"/>
                <w:szCs w:val="12"/>
                <w:color w:val="auto"/>
              </w:rPr>
            </w:pPr>
          </w:p>
        </w:tc>
        <w:tc>
          <w:tcPr>
            <w:tcW w:w="4300" w:type="dxa"/>
            <w:vAlign w:val="bottom"/>
            <w:tcBorders>
              <w:right w:val="single" w:sz="8" w:color="auto"/>
            </w:tcBorders>
            <w:gridSpan w:val="2"/>
          </w:tcPr>
          <w:p>
            <w:pPr>
              <w:jc w:val="center"/>
              <w:ind w:right="2146"/>
              <w:spacing w:after="0" w:line="144" w:lineRule="exact"/>
              <w:rPr>
                <w:sz w:val="20"/>
                <w:szCs w:val="20"/>
                <w:color w:val="auto"/>
              </w:rPr>
            </w:pPr>
            <w:r>
              <w:rPr>
                <w:rFonts w:ascii="Arial" w:cs="Arial" w:eastAsia="Arial" w:hAnsi="Arial"/>
                <w:sz w:val="14"/>
                <w:szCs w:val="14"/>
                <w:b w:val="1"/>
                <w:bCs w:val="1"/>
                <w:color w:val="477915"/>
              </w:rPr>
              <w:t>As of February 3, 2021</w:t>
            </w:r>
          </w:p>
        </w:tc>
        <w:tc>
          <w:tcPr>
            <w:tcW w:w="3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otherwise</w:t>
            </w:r>
          </w:p>
        </w:tc>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w w:val="99"/>
              </w:rPr>
              <w:t>noted</w:t>
            </w:r>
          </w:p>
        </w:tc>
        <w:tc>
          <w:tcPr>
            <w:tcW w:w="2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720" w:type="dxa"/>
            <w:vAlign w:val="bottom"/>
            <w:tcBorders>
              <w:left w:val="single" w:sz="8" w:color="auto"/>
              <w:right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Retail segment earnings</w:t>
            </w:r>
          </w:p>
        </w:tc>
        <w:tc>
          <w:tcPr>
            <w:tcW w:w="1220" w:type="dxa"/>
            <w:vAlign w:val="bottom"/>
            <w:tcBorders>
              <w:bottom w:val="single" w:sz="8" w:color="auto"/>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$2.1 billion to $2.3 billion</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  No material impact to segment earnings anticipated from non-GAAP</w:t>
            </w: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Segment results</w:t>
            </w:r>
          </w:p>
        </w:tc>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Group and Specialty segment earnings</w:t>
            </w:r>
          </w:p>
        </w:tc>
        <w:tc>
          <w:tcPr>
            <w:tcW w:w="1220" w:type="dxa"/>
            <w:vAlign w:val="bottom"/>
            <w:tcBorders>
              <w:bottom w:val="single" w:sz="8" w:color="auto"/>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$75 million to $125 million</w:t>
            </w:r>
          </w:p>
        </w:tc>
        <w:tc>
          <w:tcPr>
            <w:tcW w:w="3140" w:type="dxa"/>
            <w:vAlign w:val="bottom"/>
            <w:tcBorders>
              <w:right w:val="single" w:sz="8" w:color="auto"/>
            </w:tcBorders>
          </w:tcPr>
          <w:p>
            <w:pPr>
              <w:ind w:left="100"/>
              <w:spacing w:after="0" w:line="109" w:lineRule="exact"/>
              <w:rPr>
                <w:sz w:val="20"/>
                <w:szCs w:val="20"/>
                <w:color w:val="auto"/>
              </w:rPr>
            </w:pPr>
            <w:r>
              <w:rPr>
                <w:rFonts w:ascii="Arial" w:cs="Arial" w:eastAsia="Arial" w:hAnsi="Arial"/>
                <w:sz w:val="10"/>
                <w:szCs w:val="10"/>
                <w:color w:val="auto"/>
              </w:rPr>
              <w:t>adjustments.</w:t>
            </w:r>
          </w:p>
        </w:tc>
        <w:tc>
          <w:tcPr>
            <w:tcW w:w="0" w:type="dxa"/>
            <w:vAlign w:val="bottom"/>
          </w:tcPr>
          <w:p>
            <w:pPr>
              <w:spacing w:after="0"/>
              <w:rPr>
                <w:sz w:val="1"/>
                <w:szCs w:val="1"/>
                <w:color w:val="auto"/>
              </w:rPr>
            </w:pPr>
          </w:p>
        </w:tc>
      </w:tr>
      <w:tr>
        <w:trPr>
          <w:trHeight w:val="167"/>
        </w:trPr>
        <w:tc>
          <w:tcPr>
            <w:tcW w:w="1720" w:type="dxa"/>
            <w:vAlign w:val="bottom"/>
            <w:tcBorders>
              <w:left w:val="single" w:sz="8" w:color="auto"/>
              <w:bottom w:val="single" w:sz="8" w:color="auto"/>
              <w:right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Healthcare Services Adjusted EBITDA</w:t>
            </w:r>
          </w:p>
        </w:tc>
        <w:tc>
          <w:tcPr>
            <w:tcW w:w="1220" w:type="dxa"/>
            <w:vAlign w:val="bottom"/>
            <w:tcBorders>
              <w:bottom w:val="single" w:sz="8" w:color="auto"/>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$1.45 billion to $1.5 billion</w:t>
            </w:r>
          </w:p>
        </w:tc>
        <w:tc>
          <w:tcPr>
            <w:tcW w:w="3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2160" w:type="dxa"/>
            <w:vAlign w:val="bottom"/>
            <w:tcBorders>
              <w:bottom w:val="single" w:sz="8" w:color="auto"/>
            </w:tcBorders>
            <w:shd w:val="clear" w:color="auto" w:fill="ACACAC"/>
          </w:tcPr>
          <w:p>
            <w:pPr>
              <w:spacing w:after="0"/>
              <w:rPr>
                <w:sz w:val="10"/>
                <w:szCs w:val="10"/>
                <w:color w:val="auto"/>
              </w:rPr>
            </w:pPr>
          </w:p>
        </w:tc>
        <w:tc>
          <w:tcPr>
            <w:tcW w:w="1220" w:type="dxa"/>
            <w:vAlign w:val="bottom"/>
            <w:tcBorders>
              <w:bottom w:val="single" w:sz="8" w:color="auto"/>
              <w:right w:val="single" w:sz="8" w:color="ACACAC"/>
            </w:tcBorders>
            <w:shd w:val="clear" w:color="auto" w:fill="ACACAC"/>
          </w:tcPr>
          <w:p>
            <w:pPr>
              <w:spacing w:after="0"/>
              <w:rPr>
                <w:sz w:val="10"/>
                <w:szCs w:val="10"/>
                <w:color w:val="auto"/>
              </w:rPr>
            </w:pPr>
          </w:p>
        </w:tc>
        <w:tc>
          <w:tcPr>
            <w:tcW w:w="308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Effective tax rate</w:t>
            </w:r>
          </w:p>
        </w:tc>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22.1% to 22.7%</w:t>
            </w:r>
          </w:p>
        </w:tc>
        <w:tc>
          <w:tcPr>
            <w:tcW w:w="1220" w:type="dxa"/>
            <w:vAlign w:val="bottom"/>
            <w:tcBorders>
              <w:bottom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2160" w:type="dxa"/>
            <w:vAlign w:val="bottom"/>
            <w:tcBorders>
              <w:bottom w:val="single" w:sz="8" w:color="auto"/>
            </w:tcBorders>
            <w:shd w:val="clear" w:color="auto" w:fill="ACACAC"/>
          </w:tcPr>
          <w:p>
            <w:pPr>
              <w:spacing w:after="0"/>
              <w:rPr>
                <w:sz w:val="10"/>
                <w:szCs w:val="10"/>
                <w:color w:val="auto"/>
              </w:rPr>
            </w:pPr>
          </w:p>
        </w:tc>
        <w:tc>
          <w:tcPr>
            <w:tcW w:w="1220" w:type="dxa"/>
            <w:vAlign w:val="bottom"/>
            <w:tcBorders>
              <w:bottom w:val="single" w:sz="8" w:color="auto"/>
              <w:right w:val="single" w:sz="8" w:color="ACACAC"/>
            </w:tcBorders>
            <w:shd w:val="clear" w:color="auto" w:fill="ACACAC"/>
          </w:tcPr>
          <w:p>
            <w:pPr>
              <w:spacing w:after="0"/>
              <w:rPr>
                <w:sz w:val="10"/>
                <w:szCs w:val="10"/>
                <w:color w:val="auto"/>
              </w:rPr>
            </w:pPr>
          </w:p>
        </w:tc>
        <w:tc>
          <w:tcPr>
            <w:tcW w:w="308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ind w:left="20"/>
              <w:spacing w:after="0" w:line="97" w:lineRule="exact"/>
              <w:rPr>
                <w:sz w:val="20"/>
                <w:szCs w:val="20"/>
                <w:color w:val="auto"/>
              </w:rPr>
            </w:pPr>
            <w:r>
              <w:rPr>
                <w:rFonts w:ascii="Arial" w:cs="Arial" w:eastAsia="Arial" w:hAnsi="Arial"/>
                <w:sz w:val="11"/>
                <w:szCs w:val="11"/>
                <w:b w:val="1"/>
                <w:bCs w:val="1"/>
                <w:color w:val="auto"/>
              </w:rPr>
              <w:t>Weighted average share count</w:t>
            </w:r>
          </w:p>
        </w:tc>
        <w:tc>
          <w:tcPr>
            <w:tcW w:w="2160" w:type="dxa"/>
            <w:vAlign w:val="bottom"/>
            <w:vMerge w:val="restart"/>
          </w:tcPr>
          <w:p>
            <w:pPr>
              <w:spacing w:after="0"/>
              <w:rPr>
                <w:sz w:val="20"/>
                <w:szCs w:val="20"/>
                <w:color w:val="auto"/>
              </w:rPr>
            </w:pPr>
            <w:r>
              <w:rPr>
                <w:rFonts w:ascii="Arial" w:cs="Arial" w:eastAsia="Arial" w:hAnsi="Arial"/>
                <w:sz w:val="11"/>
                <w:szCs w:val="11"/>
                <w:color w:val="auto"/>
              </w:rPr>
              <w:t>128.6 million to 129.6 million</w:t>
            </w:r>
          </w:p>
        </w:tc>
        <w:tc>
          <w:tcPr>
            <w:tcW w:w="1220" w:type="dxa"/>
            <w:vAlign w:val="bottom"/>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color w:val="auto"/>
              </w:rPr>
              <w:t>•  FY 2021 guidance reflects incremental share repurchase.</w:t>
            </w:r>
          </w:p>
        </w:tc>
        <w:tc>
          <w:tcPr>
            <w:tcW w:w="0" w:type="dxa"/>
            <w:vAlign w:val="bottom"/>
          </w:tcPr>
          <w:p>
            <w:pPr>
              <w:spacing w:after="0"/>
              <w:rPr>
                <w:sz w:val="1"/>
                <w:szCs w:val="1"/>
                <w:color w:val="auto"/>
              </w:rPr>
            </w:pPr>
          </w:p>
        </w:tc>
      </w:tr>
      <w:tr>
        <w:trPr>
          <w:trHeight w:val="88"/>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for diluted EPS</w:t>
            </w:r>
          </w:p>
        </w:tc>
        <w:tc>
          <w:tcPr>
            <w:tcW w:w="21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3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2160" w:type="dxa"/>
            <w:vAlign w:val="bottom"/>
            <w:tcBorders>
              <w:bottom w:val="single" w:sz="8" w:color="auto"/>
            </w:tcBorders>
            <w:shd w:val="clear" w:color="auto" w:fill="ACACAC"/>
          </w:tcPr>
          <w:p>
            <w:pPr>
              <w:spacing w:after="0"/>
              <w:rPr>
                <w:sz w:val="10"/>
                <w:szCs w:val="10"/>
                <w:color w:val="auto"/>
              </w:rPr>
            </w:pPr>
          </w:p>
        </w:tc>
        <w:tc>
          <w:tcPr>
            <w:tcW w:w="1220" w:type="dxa"/>
            <w:vAlign w:val="bottom"/>
            <w:tcBorders>
              <w:bottom w:val="single" w:sz="8" w:color="auto"/>
              <w:right w:val="single" w:sz="8" w:color="ACACAC"/>
            </w:tcBorders>
            <w:shd w:val="clear" w:color="auto" w:fill="ACACAC"/>
          </w:tcPr>
          <w:p>
            <w:pPr>
              <w:spacing w:after="0"/>
              <w:rPr>
                <w:sz w:val="10"/>
                <w:szCs w:val="10"/>
                <w:color w:val="auto"/>
              </w:rPr>
            </w:pPr>
          </w:p>
        </w:tc>
        <w:tc>
          <w:tcPr>
            <w:tcW w:w="308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Cash flows from operations</w:t>
            </w:r>
          </w:p>
        </w:tc>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$4.0 billion to $4.5 billion</w:t>
            </w:r>
          </w:p>
        </w:tc>
        <w:tc>
          <w:tcPr>
            <w:tcW w:w="1220" w:type="dxa"/>
            <w:vAlign w:val="bottom"/>
            <w:tcBorders>
              <w:bottom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2160" w:type="dxa"/>
            <w:vAlign w:val="bottom"/>
            <w:tcBorders>
              <w:bottom w:val="single" w:sz="8" w:color="auto"/>
            </w:tcBorders>
            <w:shd w:val="clear" w:color="auto" w:fill="ACACAC"/>
          </w:tcPr>
          <w:p>
            <w:pPr>
              <w:spacing w:after="0"/>
              <w:rPr>
                <w:sz w:val="10"/>
                <w:szCs w:val="10"/>
                <w:color w:val="auto"/>
              </w:rPr>
            </w:pPr>
          </w:p>
        </w:tc>
        <w:tc>
          <w:tcPr>
            <w:tcW w:w="1220" w:type="dxa"/>
            <w:vAlign w:val="bottom"/>
            <w:tcBorders>
              <w:bottom w:val="single" w:sz="8" w:color="auto"/>
              <w:right w:val="single" w:sz="8" w:color="ACACAC"/>
            </w:tcBorders>
            <w:shd w:val="clear" w:color="auto" w:fill="ACACAC"/>
          </w:tcPr>
          <w:p>
            <w:pPr>
              <w:spacing w:after="0"/>
              <w:rPr>
                <w:sz w:val="10"/>
                <w:szCs w:val="10"/>
                <w:color w:val="auto"/>
              </w:rPr>
            </w:pPr>
          </w:p>
        </w:tc>
        <w:tc>
          <w:tcPr>
            <w:tcW w:w="308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Capital expenditures</w:t>
            </w:r>
          </w:p>
        </w:tc>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$1.1 billion to $1.2 billion</w:t>
            </w:r>
          </w:p>
        </w:tc>
        <w:tc>
          <w:tcPr>
            <w:tcW w:w="1220" w:type="dxa"/>
            <w:vAlign w:val="bottom"/>
            <w:tcBorders>
              <w:bottom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59"/>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300" w:type="dxa"/>
            <w:vAlign w:val="bottom"/>
            <w:gridSpan w:val="2"/>
          </w:tcPr>
          <w:p>
            <w:pPr>
              <w:jc w:val="right"/>
              <w:ind w:right="2406"/>
              <w:spacing w:after="0"/>
              <w:rPr>
                <w:sz w:val="20"/>
                <w:szCs w:val="20"/>
                <w:color w:val="auto"/>
              </w:rPr>
            </w:pPr>
            <w:r>
              <w:rPr>
                <w:rFonts w:ascii="Times New Roman" w:cs="Times New Roman" w:eastAsia="Times New Roman" w:hAnsi="Times New Roman"/>
                <w:sz w:val="13"/>
                <w:szCs w:val="13"/>
                <w:color w:val="auto"/>
              </w:rPr>
              <w:t>25</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48"/>
          <w:szCs w:val="48"/>
          <w:color w:val="auto"/>
        </w:rPr>
        <w:t>Humana Inc.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48"/>
          <w:szCs w:val="48"/>
          <w:color w:val="auto"/>
        </w:rPr>
        <w:t>Statistical Schedules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48"/>
          <w:szCs w:val="48"/>
          <w:color w:val="auto"/>
        </w:rPr>
        <w:t>And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47"/>
          <w:szCs w:val="47"/>
          <w:color w:val="auto"/>
        </w:rPr>
        <w:t>Supplementary Information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48"/>
          <w:szCs w:val="48"/>
          <w:color w:val="auto"/>
        </w:rPr>
        <w:t>4Q20 Earnings Release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w:t>
      </w:r>
    </w:p>
    <w:p>
      <w:pPr>
        <w:sectPr>
          <w:pgSz w:w="11900" w:h="16838" w:orient="portrait"/>
          <w:cols w:equalWidth="0" w:num="1">
            <w:col w:w="9019"/>
          </w:cols>
          <w:pgMar w:left="1440" w:top="1065" w:right="1440" w:bottom="1440" w:gutter="0" w:footer="0" w:header="0"/>
        </w:sectPr>
      </w:pPr>
    </w:p>
    <w:bookmarkStart w:id="39" w:name="page40"/>
    <w:bookmarkEnd w:id="39"/>
    <w:p>
      <w:pPr>
        <w:ind w:left="1700"/>
        <w:spacing w:after="0"/>
        <w:rPr>
          <w:sz w:val="20"/>
          <w:szCs w:val="20"/>
          <w:color w:val="auto"/>
        </w:rPr>
      </w:pPr>
      <w:r>
        <w:rPr>
          <w:rFonts w:ascii="Arial" w:cs="Arial" w:eastAsia="Arial" w:hAnsi="Arial"/>
          <w:sz w:val="18"/>
          <w:szCs w:val="18"/>
          <w:color w:val="auto"/>
        </w:rPr>
        <w:t>Humana Inc.</w:t>
      </w:r>
    </w:p>
    <w:p>
      <w:pPr>
        <w:ind w:left="1700"/>
        <w:spacing w:after="0" w:line="208" w:lineRule="auto"/>
        <w:rPr>
          <w:sz w:val="20"/>
          <w:szCs w:val="20"/>
          <w:color w:val="auto"/>
        </w:rPr>
      </w:pPr>
      <w:r>
        <w:rPr>
          <w:rFonts w:ascii="Arial" w:cs="Arial" w:eastAsia="Arial" w:hAnsi="Arial"/>
          <w:sz w:val="18"/>
          <w:szCs w:val="18"/>
          <w:color w:val="auto"/>
        </w:rPr>
        <w:t>Statistical Schedules and Supplementary Information 4Q20 Earnings</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Release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Contents</w:t>
      </w:r>
    </w:p>
    <w:p>
      <w:pPr>
        <w:spacing w:after="0" w:line="168"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Consolidated Financial Statements</w:t>
      </w:r>
    </w:p>
    <w:p>
      <w:pPr>
        <w:spacing w:after="0" w:line="33" w:lineRule="exact"/>
        <w:rPr>
          <w:sz w:val="20"/>
          <w:szCs w:val="20"/>
          <w:color w:val="auto"/>
        </w:rPr>
      </w:pPr>
    </w:p>
    <w:p>
      <w:pPr>
        <w:ind w:left="2460" w:hanging="352"/>
        <w:spacing w:after="0"/>
        <w:tabs>
          <w:tab w:leader="none" w:pos="2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Consolidated Statements of Income (S-3 - S-4)</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Consolidated Balance Sheets (S-5)</w:t>
      </w:r>
    </w:p>
    <w:p>
      <w:pPr>
        <w:spacing w:after="0" w:line="19" w:lineRule="exact"/>
        <w:rPr>
          <w:rFonts w:ascii="Arial" w:cs="Arial" w:eastAsia="Arial" w:hAnsi="Arial"/>
          <w:sz w:val="14"/>
          <w:szCs w:val="14"/>
          <w:color w:val="auto"/>
        </w:rPr>
      </w:pPr>
    </w:p>
    <w:p>
      <w:pPr>
        <w:ind w:left="1700" w:right="3279" w:firstLine="408"/>
        <w:spacing w:after="0" w:line="268" w:lineRule="auto"/>
        <w:tabs>
          <w:tab w:leader="none" w:pos="2465"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Consolidated Statements of Cash Flows (S-6 - S-7) Operating Results Detail</w:t>
      </w:r>
    </w:p>
    <w:p>
      <w:pPr>
        <w:ind w:left="2460" w:hanging="352"/>
        <w:spacing w:after="0"/>
        <w:tabs>
          <w:tab w:leader="none" w:pos="2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Consolidating Statements of Income - Quarter (S-8 - S-9)</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Consolidating Statements of Income - FY (S-10 - S-11)</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Ending Membership Detail (S-12)</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Premiums and Services Revenue Detail (S-13 - S-14)</w:t>
      </w:r>
    </w:p>
    <w:p>
      <w:pPr>
        <w:spacing w:after="0" w:line="19" w:lineRule="exact"/>
        <w:rPr>
          <w:rFonts w:ascii="Arial" w:cs="Arial" w:eastAsia="Arial" w:hAnsi="Arial"/>
          <w:sz w:val="14"/>
          <w:szCs w:val="14"/>
          <w:color w:val="auto"/>
        </w:rPr>
      </w:pPr>
    </w:p>
    <w:p>
      <w:pPr>
        <w:ind w:left="1740" w:right="3279" w:firstLine="368"/>
        <w:spacing w:after="0" w:line="268" w:lineRule="auto"/>
        <w:tabs>
          <w:tab w:leader="none" w:pos="2465" w:val="left"/>
        </w:tabs>
        <w:numPr>
          <w:ilvl w:val="0"/>
          <w:numId w:val="58"/>
        </w:numPr>
        <w:rPr>
          <w:rFonts w:ascii="Arial" w:cs="Arial" w:eastAsia="Arial" w:hAnsi="Arial"/>
          <w:sz w:val="14"/>
          <w:szCs w:val="14"/>
          <w:color w:val="auto"/>
        </w:rPr>
      </w:pPr>
      <w:r>
        <w:rPr>
          <w:rFonts w:ascii="Arial" w:cs="Arial" w:eastAsia="Arial" w:hAnsi="Arial"/>
          <w:sz w:val="14"/>
          <w:szCs w:val="14"/>
          <w:color w:val="auto"/>
        </w:rPr>
        <w:t>Healthcare Services Segment Metrics (S-15 - S-17) Balance Sheet Detail</w:t>
      </w:r>
    </w:p>
    <w:p>
      <w:pPr>
        <w:ind w:left="1700" w:right="3299" w:firstLine="408"/>
        <w:spacing w:after="0" w:line="296" w:lineRule="auto"/>
        <w:tabs>
          <w:tab w:leader="none" w:pos="2465" w:val="left"/>
        </w:tabs>
        <w:numPr>
          <w:ilvl w:val="0"/>
          <w:numId w:val="58"/>
        </w:numPr>
        <w:rPr>
          <w:rFonts w:ascii="Arial" w:cs="Arial" w:eastAsia="Arial" w:hAnsi="Arial"/>
          <w:sz w:val="14"/>
          <w:szCs w:val="14"/>
          <w:color w:val="auto"/>
        </w:rPr>
      </w:pPr>
      <w:r>
        <w:rPr>
          <w:rFonts w:ascii="Arial" w:cs="Arial" w:eastAsia="Arial" w:hAnsi="Arial"/>
          <w:sz w:val="14"/>
          <w:szCs w:val="14"/>
          <w:color w:val="auto"/>
        </w:rPr>
        <w:t>Benefits Payable Detail and Statistics (S-18 - S-19) Footnotes (S-20)</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w:t>
      </w:r>
    </w:p>
    <w:p>
      <w:pPr>
        <w:sectPr>
          <w:pgSz w:w="11900" w:h="16838" w:orient="portrait"/>
          <w:cols w:equalWidth="0" w:num="1">
            <w:col w:w="9019"/>
          </w:cols>
          <w:pgMar w:left="1440" w:top="787" w:right="1440"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Humana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w:t>
      </w:r>
    </w:p>
    <w:p>
      <w:pPr>
        <w:spacing w:after="0"/>
        <w:rPr>
          <w:sz w:val="20"/>
          <w:szCs w:val="20"/>
          <w:color w:val="auto"/>
        </w:rPr>
      </w:pPr>
      <w:r>
        <w:rPr>
          <w:rFonts w:ascii="Arial" w:cs="Arial" w:eastAsia="Arial" w:hAnsi="Arial"/>
          <w:sz w:val="13"/>
          <w:szCs w:val="13"/>
          <w:i w:val="1"/>
          <w:iCs w:val="1"/>
          <w:color w:val="auto"/>
        </w:rPr>
        <w:t>Dollars in millions, except per common share results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40" w:type="dxa"/>
            <w:vAlign w:val="bottom"/>
          </w:tcPr>
          <w:p>
            <w:pPr>
              <w:spacing w:after="0"/>
              <w:rPr>
                <w:sz w:val="14"/>
                <w:szCs w:val="14"/>
                <w:color w:val="auto"/>
              </w:rPr>
            </w:pPr>
          </w:p>
        </w:tc>
        <w:tc>
          <w:tcPr>
            <w:tcW w:w="3360" w:type="dxa"/>
            <w:vAlign w:val="bottom"/>
            <w:tcBorders>
              <w:top w:val="single" w:sz="8" w:color="auto"/>
              <w:left w:val="single" w:sz="8" w:color="auto"/>
              <w:bottom w:val="single" w:sz="8" w:color="auto"/>
              <w:right w:val="single" w:sz="8" w:color="auto"/>
            </w:tcBorders>
            <w:gridSpan w:val="4"/>
          </w:tcPr>
          <w:p>
            <w:pPr>
              <w:jc w:val="right"/>
              <w:ind w:right="294"/>
              <w:spacing w:after="0"/>
              <w:rPr>
                <w:sz w:val="20"/>
                <w:szCs w:val="20"/>
                <w:color w:val="auto"/>
              </w:rPr>
            </w:pPr>
            <w:r>
              <w:rPr>
                <w:rFonts w:ascii="Arial" w:cs="Arial" w:eastAsia="Arial" w:hAnsi="Arial"/>
                <w:sz w:val="13"/>
                <w:szCs w:val="13"/>
                <w:b w:val="1"/>
                <w:bCs w:val="1"/>
                <w:color w:val="auto"/>
              </w:rPr>
              <w:t>For the three months ended December 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3"/>
                <w:szCs w:val="13"/>
                <w:color w:val="auto"/>
              </w:rPr>
              <w:t>Dollar</w:t>
            </w:r>
          </w:p>
        </w:tc>
        <w:tc>
          <w:tcPr>
            <w:tcW w:w="1240" w:type="dxa"/>
            <w:vAlign w:val="bottom"/>
            <w:vMerge w:val="restart"/>
          </w:tcPr>
          <w:p>
            <w:pPr>
              <w:jc w:val="right"/>
              <w:ind w:right="214"/>
              <w:spacing w:after="0"/>
              <w:rPr>
                <w:sz w:val="20"/>
                <w:szCs w:val="20"/>
                <w:color w:val="auto"/>
              </w:rPr>
            </w:pPr>
            <w:r>
              <w:rPr>
                <w:rFonts w:ascii="Arial" w:cs="Arial" w:eastAsia="Arial" w:hAnsi="Arial"/>
                <w:sz w:val="13"/>
                <w:szCs w:val="13"/>
                <w:color w:val="auto"/>
              </w:rPr>
              <w:t>Percentage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40" w:type="dxa"/>
            <w:vAlign w:val="bottom"/>
            <w:vMerge w:val="restart"/>
          </w:tcPr>
          <w:p>
            <w:pPr>
              <w:spacing w:after="0"/>
              <w:rPr>
                <w:sz w:val="20"/>
                <w:szCs w:val="20"/>
                <w:color w:val="auto"/>
              </w:rPr>
            </w:pPr>
            <w:r>
              <w:rPr>
                <w:rFonts w:ascii="Arial" w:cs="Arial" w:eastAsia="Arial" w:hAnsi="Arial"/>
                <w:sz w:val="13"/>
                <w:szCs w:val="13"/>
                <w:color w:val="auto"/>
              </w:rPr>
              <w:t>Revenues:</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2020</w:t>
            </w:r>
          </w:p>
        </w:tc>
        <w:tc>
          <w:tcPr>
            <w:tcW w:w="62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2019</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Change</w:t>
            </w: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33"/>
        </w:trPr>
        <w:tc>
          <w:tcPr>
            <w:tcW w:w="5540" w:type="dxa"/>
            <w:vAlign w:val="bottom"/>
            <w:vMerge w:val="continue"/>
          </w:tcPr>
          <w:p>
            <w:pPr>
              <w:spacing w:after="0"/>
              <w:rPr>
                <w:sz w:val="11"/>
                <w:szCs w:val="11"/>
                <w:color w:val="auto"/>
              </w:rPr>
            </w:pPr>
          </w:p>
        </w:tc>
        <w:tc>
          <w:tcPr>
            <w:tcW w:w="1060" w:type="dxa"/>
            <w:vAlign w:val="bottom"/>
            <w:vMerge w:val="restart"/>
          </w:tcPr>
          <w:p>
            <w:pPr>
              <w:jc w:val="right"/>
              <w:ind w:right="894"/>
              <w:spacing w:after="0"/>
              <w:rPr>
                <w:sz w:val="20"/>
                <w:szCs w:val="20"/>
                <w:color w:val="auto"/>
              </w:rPr>
            </w:pPr>
            <w:r>
              <w:rPr>
                <w:rFonts w:ascii="Arial" w:cs="Arial" w:eastAsia="Arial" w:hAnsi="Arial"/>
                <w:sz w:val="13"/>
                <w:szCs w:val="13"/>
                <w:b w:val="1"/>
                <w:bCs w:val="1"/>
                <w:color w:val="00497F"/>
              </w:rPr>
              <w:t>$</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00497F"/>
              </w:rPr>
              <w:t>18,364</w:t>
            </w: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40" w:type="dxa"/>
            <w:vAlign w:val="bottom"/>
          </w:tcPr>
          <w:p>
            <w:pPr>
              <w:ind w:left="220"/>
              <w:spacing w:after="0"/>
              <w:rPr>
                <w:sz w:val="20"/>
                <w:szCs w:val="20"/>
                <w:color w:val="auto"/>
              </w:rPr>
            </w:pPr>
            <w:r>
              <w:rPr>
                <w:rFonts w:ascii="Arial" w:cs="Arial" w:eastAsia="Arial" w:hAnsi="Arial"/>
                <w:sz w:val="13"/>
                <w:szCs w:val="13"/>
                <w:color w:val="auto"/>
              </w:rPr>
              <w:t>Premiums</w:t>
            </w:r>
          </w:p>
        </w:tc>
        <w:tc>
          <w:tcPr>
            <w:tcW w:w="1060" w:type="dxa"/>
            <w:vAlign w:val="bottom"/>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15,809</w:t>
            </w:r>
          </w:p>
        </w:tc>
        <w:tc>
          <w:tcPr>
            <w:tcW w:w="6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2,555</w:t>
            </w:r>
          </w:p>
        </w:tc>
        <w:tc>
          <w:tcPr>
            <w:tcW w:w="1240" w:type="dxa"/>
            <w:vAlign w:val="bottom"/>
          </w:tcPr>
          <w:p>
            <w:pPr>
              <w:jc w:val="right"/>
              <w:spacing w:after="0"/>
              <w:rPr>
                <w:sz w:val="20"/>
                <w:szCs w:val="20"/>
                <w:color w:val="auto"/>
              </w:rPr>
            </w:pPr>
            <w:r>
              <w:rPr>
                <w:rFonts w:ascii="Arial" w:cs="Arial" w:eastAsia="Arial" w:hAnsi="Arial"/>
                <w:sz w:val="13"/>
                <w:szCs w:val="13"/>
                <w:color w:val="auto"/>
              </w:rPr>
              <w:t>16.2 %</w:t>
            </w:r>
          </w:p>
        </w:tc>
        <w:tc>
          <w:tcPr>
            <w:tcW w:w="0" w:type="dxa"/>
            <w:vAlign w:val="bottom"/>
          </w:tcPr>
          <w:p>
            <w:pPr>
              <w:spacing w:after="0"/>
              <w:rPr>
                <w:sz w:val="1"/>
                <w:szCs w:val="1"/>
                <w:color w:val="auto"/>
              </w:rPr>
            </w:pPr>
          </w:p>
        </w:tc>
      </w:tr>
      <w:tr>
        <w:trPr>
          <w:trHeight w:val="162"/>
        </w:trPr>
        <w:tc>
          <w:tcPr>
            <w:tcW w:w="5540" w:type="dxa"/>
            <w:vAlign w:val="bottom"/>
          </w:tcPr>
          <w:p>
            <w:pPr>
              <w:ind w:left="220"/>
              <w:spacing w:after="0"/>
              <w:rPr>
                <w:sz w:val="20"/>
                <w:szCs w:val="20"/>
                <w:color w:val="auto"/>
              </w:rPr>
            </w:pPr>
            <w:r>
              <w:rPr>
                <w:rFonts w:ascii="Arial" w:cs="Arial" w:eastAsia="Arial" w:hAnsi="Arial"/>
                <w:sz w:val="13"/>
                <w:szCs w:val="13"/>
                <w:color w:val="auto"/>
              </w:rPr>
              <w:t>Services</w:t>
            </w:r>
          </w:p>
        </w:tc>
        <w:tc>
          <w:tcPr>
            <w:tcW w:w="106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484</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336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148</w:t>
            </w:r>
          </w:p>
        </w:tc>
        <w:tc>
          <w:tcPr>
            <w:tcW w:w="1240" w:type="dxa"/>
            <w:vAlign w:val="bottom"/>
          </w:tcPr>
          <w:p>
            <w:pPr>
              <w:jc w:val="right"/>
              <w:spacing w:after="0"/>
              <w:rPr>
                <w:sz w:val="20"/>
                <w:szCs w:val="20"/>
                <w:color w:val="auto"/>
              </w:rPr>
            </w:pPr>
            <w:r>
              <w:rPr>
                <w:rFonts w:ascii="Arial" w:cs="Arial" w:eastAsia="Arial" w:hAnsi="Arial"/>
                <w:sz w:val="13"/>
                <w:szCs w:val="13"/>
                <w:color w:val="auto"/>
              </w:rPr>
              <w:t>44.0 %</w:t>
            </w:r>
          </w:p>
        </w:tc>
        <w:tc>
          <w:tcPr>
            <w:tcW w:w="0" w:type="dxa"/>
            <w:vAlign w:val="bottom"/>
          </w:tcPr>
          <w:p>
            <w:pPr>
              <w:spacing w:after="0"/>
              <w:rPr>
                <w:sz w:val="1"/>
                <w:szCs w:val="1"/>
                <w:color w:val="auto"/>
              </w:rPr>
            </w:pPr>
          </w:p>
        </w:tc>
      </w:tr>
      <w:tr>
        <w:trPr>
          <w:trHeight w:val="173"/>
        </w:trPr>
        <w:tc>
          <w:tcPr>
            <w:tcW w:w="5540" w:type="dxa"/>
            <w:vAlign w:val="bottom"/>
          </w:tcPr>
          <w:p>
            <w:pPr>
              <w:ind w:left="220"/>
              <w:spacing w:after="0"/>
              <w:rPr>
                <w:sz w:val="20"/>
                <w:szCs w:val="20"/>
                <w:color w:val="auto"/>
              </w:rPr>
            </w:pPr>
            <w:r>
              <w:rPr>
                <w:rFonts w:ascii="Arial" w:cs="Arial" w:eastAsia="Arial" w:hAnsi="Arial"/>
                <w:sz w:val="13"/>
                <w:szCs w:val="13"/>
                <w:color w:val="auto"/>
              </w:rPr>
              <w:t>Investment income</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214</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150</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240" w:type="dxa"/>
            <w:vAlign w:val="bottom"/>
          </w:tcPr>
          <w:p>
            <w:pPr>
              <w:jc w:val="right"/>
              <w:spacing w:after="0"/>
              <w:rPr>
                <w:sz w:val="20"/>
                <w:szCs w:val="20"/>
                <w:color w:val="auto"/>
              </w:rPr>
            </w:pPr>
            <w:r>
              <w:rPr>
                <w:rFonts w:ascii="Arial" w:cs="Arial" w:eastAsia="Arial" w:hAnsi="Arial"/>
                <w:sz w:val="13"/>
                <w:szCs w:val="13"/>
                <w:color w:val="auto"/>
              </w:rPr>
              <w:t>42.7 %</w:t>
            </w:r>
          </w:p>
        </w:tc>
        <w:tc>
          <w:tcPr>
            <w:tcW w:w="0" w:type="dxa"/>
            <w:vAlign w:val="bottom"/>
          </w:tcPr>
          <w:p>
            <w:pPr>
              <w:spacing w:after="0"/>
              <w:rPr>
                <w:sz w:val="1"/>
                <w:szCs w:val="1"/>
                <w:color w:val="auto"/>
              </w:rPr>
            </w:pPr>
          </w:p>
        </w:tc>
      </w:tr>
      <w:tr>
        <w:trPr>
          <w:trHeight w:val="151"/>
        </w:trPr>
        <w:tc>
          <w:tcPr>
            <w:tcW w:w="5540" w:type="dxa"/>
            <w:vAlign w:val="bottom"/>
          </w:tcPr>
          <w:p>
            <w:pPr>
              <w:ind w:left="440"/>
              <w:spacing w:after="0"/>
              <w:rPr>
                <w:sz w:val="20"/>
                <w:szCs w:val="20"/>
                <w:color w:val="auto"/>
              </w:rPr>
            </w:pPr>
            <w:r>
              <w:rPr>
                <w:rFonts w:ascii="Arial" w:cs="Arial" w:eastAsia="Arial" w:hAnsi="Arial"/>
                <w:sz w:val="13"/>
                <w:szCs w:val="13"/>
                <w:b w:val="1"/>
                <w:bCs w:val="1"/>
                <w:color w:val="auto"/>
              </w:rPr>
              <w:t>Total revenues</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19,062</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16,295</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2,767</w:t>
            </w:r>
          </w:p>
        </w:tc>
        <w:tc>
          <w:tcPr>
            <w:tcW w:w="1240" w:type="dxa"/>
            <w:vAlign w:val="bottom"/>
          </w:tcPr>
          <w:p>
            <w:pPr>
              <w:jc w:val="right"/>
              <w:spacing w:after="0"/>
              <w:rPr>
                <w:sz w:val="20"/>
                <w:szCs w:val="20"/>
                <w:color w:val="auto"/>
              </w:rPr>
            </w:pPr>
            <w:r>
              <w:rPr>
                <w:rFonts w:ascii="Arial" w:cs="Arial" w:eastAsia="Arial" w:hAnsi="Arial"/>
                <w:sz w:val="13"/>
                <w:szCs w:val="13"/>
                <w:color w:val="auto"/>
              </w:rPr>
              <w:t>17.0 %</w:t>
            </w:r>
          </w:p>
        </w:tc>
        <w:tc>
          <w:tcPr>
            <w:tcW w:w="0" w:type="dxa"/>
            <w:vAlign w:val="bottom"/>
          </w:tcPr>
          <w:p>
            <w:pPr>
              <w:spacing w:after="0"/>
              <w:rPr>
                <w:sz w:val="1"/>
                <w:szCs w:val="1"/>
                <w:color w:val="auto"/>
              </w:rPr>
            </w:pPr>
          </w:p>
        </w:tc>
      </w:tr>
      <w:tr>
        <w:trPr>
          <w:trHeight w:val="133"/>
        </w:trPr>
        <w:tc>
          <w:tcPr>
            <w:tcW w:w="5540" w:type="dxa"/>
            <w:vAlign w:val="bottom"/>
          </w:tcPr>
          <w:p>
            <w:pPr>
              <w:spacing w:after="0" w:line="133" w:lineRule="exact"/>
              <w:rPr>
                <w:sz w:val="20"/>
                <w:szCs w:val="20"/>
                <w:color w:val="auto"/>
              </w:rPr>
            </w:pPr>
            <w:r>
              <w:rPr>
                <w:rFonts w:ascii="Arial" w:cs="Arial" w:eastAsia="Arial" w:hAnsi="Arial"/>
                <w:sz w:val="13"/>
                <w:szCs w:val="13"/>
                <w:color w:val="auto"/>
              </w:rPr>
              <w:t>Operating expenses:</w:t>
            </w:r>
          </w:p>
        </w:tc>
        <w:tc>
          <w:tcPr>
            <w:tcW w:w="1060" w:type="dxa"/>
            <w:vAlign w:val="bottom"/>
          </w:tcPr>
          <w:p>
            <w:pPr>
              <w:spacing w:after="0"/>
              <w:rPr>
                <w:sz w:val="11"/>
                <w:szCs w:val="11"/>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00497F"/>
              </w:rPr>
              <w:t>16,213</w:t>
            </w: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40" w:type="dxa"/>
            <w:vAlign w:val="bottom"/>
          </w:tcPr>
          <w:p>
            <w:pPr>
              <w:ind w:left="220"/>
              <w:spacing w:after="0"/>
              <w:rPr>
                <w:sz w:val="20"/>
                <w:szCs w:val="20"/>
                <w:color w:val="auto"/>
              </w:rPr>
            </w:pPr>
            <w:r>
              <w:rPr>
                <w:rFonts w:ascii="Arial" w:cs="Arial" w:eastAsia="Arial" w:hAnsi="Arial"/>
                <w:sz w:val="13"/>
                <w:szCs w:val="13"/>
                <w:color w:val="auto"/>
              </w:rPr>
              <w:t>Benefits</w:t>
            </w:r>
          </w:p>
        </w:tc>
        <w:tc>
          <w:tcPr>
            <w:tcW w:w="106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13,689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2,524</w:t>
            </w:r>
          </w:p>
        </w:tc>
        <w:tc>
          <w:tcPr>
            <w:tcW w:w="1240" w:type="dxa"/>
            <w:vAlign w:val="bottom"/>
          </w:tcPr>
          <w:p>
            <w:pPr>
              <w:jc w:val="right"/>
              <w:spacing w:after="0"/>
              <w:rPr>
                <w:sz w:val="20"/>
                <w:szCs w:val="20"/>
                <w:color w:val="auto"/>
              </w:rPr>
            </w:pPr>
            <w:r>
              <w:rPr>
                <w:rFonts w:ascii="Arial" w:cs="Arial" w:eastAsia="Arial" w:hAnsi="Arial"/>
                <w:sz w:val="13"/>
                <w:szCs w:val="13"/>
                <w:color w:val="auto"/>
              </w:rPr>
              <w:t>18.4 %</w:t>
            </w:r>
          </w:p>
        </w:tc>
        <w:tc>
          <w:tcPr>
            <w:tcW w:w="0" w:type="dxa"/>
            <w:vAlign w:val="bottom"/>
          </w:tcPr>
          <w:p>
            <w:pPr>
              <w:spacing w:after="0"/>
              <w:rPr>
                <w:sz w:val="1"/>
                <w:szCs w:val="1"/>
                <w:color w:val="auto"/>
              </w:rPr>
            </w:pPr>
          </w:p>
        </w:tc>
      </w:tr>
      <w:tr>
        <w:trPr>
          <w:trHeight w:val="162"/>
        </w:trPr>
        <w:tc>
          <w:tcPr>
            <w:tcW w:w="5540" w:type="dxa"/>
            <w:vAlign w:val="bottom"/>
          </w:tcPr>
          <w:p>
            <w:pPr>
              <w:ind w:left="220"/>
              <w:spacing w:after="0"/>
              <w:rPr>
                <w:sz w:val="20"/>
                <w:szCs w:val="20"/>
                <w:color w:val="auto"/>
              </w:rPr>
            </w:pPr>
            <w:r>
              <w:rPr>
                <w:rFonts w:ascii="Arial" w:cs="Arial" w:eastAsia="Arial" w:hAnsi="Arial"/>
                <w:sz w:val="13"/>
                <w:szCs w:val="13"/>
                <w:color w:val="auto"/>
              </w:rPr>
              <w:t>Operating costs</w:t>
            </w:r>
          </w:p>
        </w:tc>
        <w:tc>
          <w:tcPr>
            <w:tcW w:w="106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3,068</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2,129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939</w:t>
            </w:r>
          </w:p>
        </w:tc>
        <w:tc>
          <w:tcPr>
            <w:tcW w:w="1240" w:type="dxa"/>
            <w:vAlign w:val="bottom"/>
          </w:tcPr>
          <w:p>
            <w:pPr>
              <w:jc w:val="right"/>
              <w:spacing w:after="0"/>
              <w:rPr>
                <w:sz w:val="20"/>
                <w:szCs w:val="20"/>
                <w:color w:val="auto"/>
              </w:rPr>
            </w:pPr>
            <w:r>
              <w:rPr>
                <w:rFonts w:ascii="Arial" w:cs="Arial" w:eastAsia="Arial" w:hAnsi="Arial"/>
                <w:sz w:val="13"/>
                <w:szCs w:val="13"/>
                <w:color w:val="auto"/>
              </w:rPr>
              <w:t>44.1 %</w:t>
            </w:r>
          </w:p>
        </w:tc>
        <w:tc>
          <w:tcPr>
            <w:tcW w:w="0" w:type="dxa"/>
            <w:vAlign w:val="bottom"/>
          </w:tcPr>
          <w:p>
            <w:pPr>
              <w:spacing w:after="0"/>
              <w:rPr>
                <w:sz w:val="1"/>
                <w:szCs w:val="1"/>
                <w:color w:val="auto"/>
              </w:rPr>
            </w:pPr>
          </w:p>
        </w:tc>
      </w:tr>
      <w:tr>
        <w:trPr>
          <w:trHeight w:val="173"/>
        </w:trPr>
        <w:tc>
          <w:tcPr>
            <w:tcW w:w="554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127</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40" w:type="dxa"/>
            <w:vAlign w:val="bottom"/>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51"/>
        </w:trPr>
        <w:tc>
          <w:tcPr>
            <w:tcW w:w="5540" w:type="dxa"/>
            <w:vAlign w:val="bottom"/>
          </w:tcPr>
          <w:p>
            <w:pPr>
              <w:ind w:left="440"/>
              <w:spacing w:after="0"/>
              <w:rPr>
                <w:sz w:val="20"/>
                <w:szCs w:val="20"/>
                <w:color w:val="auto"/>
              </w:rPr>
            </w:pPr>
            <w:r>
              <w:rPr>
                <w:rFonts w:ascii="Arial" w:cs="Arial" w:eastAsia="Arial" w:hAnsi="Arial"/>
                <w:sz w:val="13"/>
                <w:szCs w:val="13"/>
                <w:b w:val="1"/>
                <w:bCs w:val="1"/>
                <w:color w:val="auto"/>
              </w:rPr>
              <w:t>Total operating expenses</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19,408</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15,933</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3,475</w:t>
            </w:r>
          </w:p>
        </w:tc>
        <w:tc>
          <w:tcPr>
            <w:tcW w:w="1240" w:type="dxa"/>
            <w:vAlign w:val="bottom"/>
          </w:tcPr>
          <w:p>
            <w:pPr>
              <w:jc w:val="right"/>
              <w:spacing w:after="0"/>
              <w:rPr>
                <w:sz w:val="20"/>
                <w:szCs w:val="20"/>
                <w:color w:val="auto"/>
              </w:rPr>
            </w:pPr>
            <w:r>
              <w:rPr>
                <w:rFonts w:ascii="Arial" w:cs="Arial" w:eastAsia="Arial" w:hAnsi="Arial"/>
                <w:sz w:val="13"/>
                <w:szCs w:val="13"/>
                <w:color w:val="auto"/>
              </w:rPr>
              <w:t>21.8 %</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3"/>
                <w:szCs w:val="13"/>
                <w:b w:val="1"/>
                <w:bCs w:val="1"/>
                <w:color w:val="auto"/>
              </w:rPr>
              <w:t>(Loss) income from operations</w:t>
            </w:r>
          </w:p>
        </w:tc>
        <w:tc>
          <w:tcPr>
            <w:tcW w:w="1060" w:type="dxa"/>
            <w:vAlign w:val="bottom"/>
          </w:tcPr>
          <w:p>
            <w:pPr>
              <w:spacing w:after="0"/>
              <w:rPr>
                <w:sz w:val="12"/>
                <w:szCs w:val="12"/>
                <w:color w:val="auto"/>
              </w:rPr>
            </w:pPr>
          </w:p>
        </w:tc>
        <w:tc>
          <w:tcPr>
            <w:tcW w:w="6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00497F"/>
              </w:rPr>
              <w:t>(346)</w:t>
            </w:r>
          </w:p>
        </w:tc>
        <w:tc>
          <w:tcPr>
            <w:tcW w:w="1060" w:type="dxa"/>
            <w:vAlign w:val="bottom"/>
          </w:tcPr>
          <w:p>
            <w:pPr>
              <w:spacing w:after="0"/>
              <w:rPr>
                <w:sz w:val="12"/>
                <w:szCs w:val="12"/>
                <w:color w:val="auto"/>
              </w:rPr>
            </w:pPr>
          </w:p>
        </w:tc>
        <w:tc>
          <w:tcPr>
            <w:tcW w:w="620" w:type="dxa"/>
            <w:vAlign w:val="bottom"/>
          </w:tcPr>
          <w:p>
            <w:pPr>
              <w:jc w:val="right"/>
              <w:ind w:right="14"/>
              <w:spacing w:after="0" w:line="140" w:lineRule="exact"/>
              <w:rPr>
                <w:sz w:val="20"/>
                <w:szCs w:val="20"/>
                <w:color w:val="auto"/>
              </w:rPr>
            </w:pPr>
            <w:r>
              <w:rPr>
                <w:rFonts w:ascii="Arial" w:cs="Arial" w:eastAsia="Arial" w:hAnsi="Arial"/>
                <w:sz w:val="13"/>
                <w:szCs w:val="13"/>
                <w:color w:val="auto"/>
              </w:rPr>
              <w:t>362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(708)</w:t>
            </w:r>
          </w:p>
        </w:tc>
        <w:tc>
          <w:tcPr>
            <w:tcW w:w="1240" w:type="dxa"/>
            <w:vAlign w:val="bottom"/>
          </w:tcPr>
          <w:p>
            <w:pPr>
              <w:jc w:val="right"/>
              <w:spacing w:after="0" w:line="140" w:lineRule="exact"/>
              <w:rPr>
                <w:sz w:val="20"/>
                <w:szCs w:val="20"/>
                <w:color w:val="auto"/>
              </w:rPr>
            </w:pPr>
            <w:r>
              <w:rPr>
                <w:rFonts w:ascii="Arial" w:cs="Arial" w:eastAsia="Arial" w:hAnsi="Arial"/>
                <w:sz w:val="13"/>
                <w:szCs w:val="13"/>
                <w:color w:val="auto"/>
              </w:rPr>
              <w:t>-195.6 %</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20"/>
                <w:szCs w:val="20"/>
                <w:color w:val="auto"/>
              </w:rPr>
            </w:pPr>
            <w:r>
              <w:rPr>
                <w:rFonts w:ascii="Arial" w:cs="Arial" w:eastAsia="Arial" w:hAnsi="Arial"/>
                <w:sz w:val="13"/>
                <w:szCs w:val="13"/>
                <w:color w:val="auto"/>
              </w:rPr>
              <w:t>Interest expense</w:t>
            </w:r>
          </w:p>
        </w:tc>
        <w:tc>
          <w:tcPr>
            <w:tcW w:w="106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72</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58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w:t>
            </w:r>
          </w:p>
        </w:tc>
        <w:tc>
          <w:tcPr>
            <w:tcW w:w="1240" w:type="dxa"/>
            <w:vAlign w:val="bottom"/>
          </w:tcPr>
          <w:p>
            <w:pPr>
              <w:jc w:val="right"/>
              <w:spacing w:after="0"/>
              <w:rPr>
                <w:sz w:val="20"/>
                <w:szCs w:val="20"/>
                <w:color w:val="auto"/>
              </w:rPr>
            </w:pPr>
            <w:r>
              <w:rPr>
                <w:rFonts w:ascii="Arial" w:cs="Arial" w:eastAsia="Arial" w:hAnsi="Arial"/>
                <w:sz w:val="13"/>
                <w:szCs w:val="13"/>
                <w:color w:val="auto"/>
              </w:rPr>
              <w:t>24.1 %</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20"/>
                <w:szCs w:val="20"/>
                <w:color w:val="auto"/>
              </w:rPr>
            </w:pPr>
            <w:r>
              <w:rPr>
                <w:rFonts w:ascii="Arial" w:cs="Arial" w:eastAsia="Arial" w:hAnsi="Arial"/>
                <w:sz w:val="13"/>
                <w:szCs w:val="13"/>
                <w:color w:val="auto"/>
              </w:rPr>
              <w:t>Other expense (income), net (A)</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40</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1240" w:type="dxa"/>
            <w:vAlign w:val="bottom"/>
          </w:tcPr>
          <w:p>
            <w:pPr>
              <w:jc w:val="right"/>
              <w:spacing w:after="0"/>
              <w:rPr>
                <w:sz w:val="20"/>
                <w:szCs w:val="20"/>
                <w:color w:val="auto"/>
              </w:rPr>
            </w:pPr>
            <w:r>
              <w:rPr>
                <w:rFonts w:ascii="Arial" w:cs="Arial" w:eastAsia="Arial" w:hAnsi="Arial"/>
                <w:sz w:val="13"/>
                <w:szCs w:val="13"/>
                <w:color w:val="auto"/>
              </w:rPr>
              <w:t>113.8 %</w:t>
            </w:r>
          </w:p>
        </w:tc>
        <w:tc>
          <w:tcPr>
            <w:tcW w:w="0" w:type="dxa"/>
            <w:vAlign w:val="bottom"/>
          </w:tcPr>
          <w:p>
            <w:pPr>
              <w:spacing w:after="0"/>
              <w:rPr>
                <w:sz w:val="1"/>
                <w:szCs w:val="1"/>
                <w:color w:val="auto"/>
              </w:rPr>
            </w:pPr>
          </w:p>
        </w:tc>
      </w:tr>
      <w:tr>
        <w:trPr>
          <w:trHeight w:val="140"/>
        </w:trPr>
        <w:tc>
          <w:tcPr>
            <w:tcW w:w="5540" w:type="dxa"/>
            <w:vAlign w:val="bottom"/>
          </w:tcPr>
          <w:p>
            <w:pPr>
              <w:spacing w:after="0" w:line="140" w:lineRule="exact"/>
              <w:rPr>
                <w:sz w:val="20"/>
                <w:szCs w:val="20"/>
                <w:color w:val="auto"/>
              </w:rPr>
            </w:pPr>
            <w:r>
              <w:rPr>
                <w:rFonts w:ascii="Arial" w:cs="Arial" w:eastAsia="Arial" w:hAnsi="Arial"/>
                <w:sz w:val="13"/>
                <w:szCs w:val="13"/>
                <w:b w:val="1"/>
                <w:bCs w:val="1"/>
                <w:color w:val="auto"/>
              </w:rPr>
              <w:t>(Loss) income before income taxes and equity in net earnings</w:t>
            </w:r>
          </w:p>
        </w:tc>
        <w:tc>
          <w:tcPr>
            <w:tcW w:w="1060" w:type="dxa"/>
            <w:vAlign w:val="bottom"/>
          </w:tcPr>
          <w:p>
            <w:pPr>
              <w:spacing w:after="0"/>
              <w:rPr>
                <w:sz w:val="12"/>
                <w:szCs w:val="12"/>
                <w:color w:val="auto"/>
              </w:rPr>
            </w:pPr>
          </w:p>
        </w:tc>
        <w:tc>
          <w:tcPr>
            <w:tcW w:w="620" w:type="dxa"/>
            <w:vAlign w:val="bottom"/>
            <w:tcBorders>
              <w:right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00497F"/>
              </w:rPr>
              <w:t>(458)</w:t>
            </w:r>
          </w:p>
        </w:tc>
        <w:tc>
          <w:tcPr>
            <w:tcW w:w="1060" w:type="dxa"/>
            <w:vAlign w:val="bottom"/>
          </w:tcPr>
          <w:p>
            <w:pPr>
              <w:spacing w:after="0"/>
              <w:rPr>
                <w:sz w:val="12"/>
                <w:szCs w:val="12"/>
                <w:color w:val="auto"/>
              </w:rPr>
            </w:pPr>
          </w:p>
        </w:tc>
        <w:tc>
          <w:tcPr>
            <w:tcW w:w="620" w:type="dxa"/>
            <w:vAlign w:val="bottom"/>
          </w:tcPr>
          <w:p>
            <w:pPr>
              <w:jc w:val="right"/>
              <w:ind w:right="14"/>
              <w:spacing w:after="0" w:line="140" w:lineRule="exact"/>
              <w:rPr>
                <w:sz w:val="20"/>
                <w:szCs w:val="20"/>
                <w:color w:val="auto"/>
              </w:rPr>
            </w:pPr>
            <w:r>
              <w:rPr>
                <w:rFonts w:ascii="Arial" w:cs="Arial" w:eastAsia="Arial" w:hAnsi="Arial"/>
                <w:sz w:val="13"/>
                <w:szCs w:val="13"/>
                <w:color w:val="auto"/>
              </w:rPr>
              <w:t>593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(1,051)</w:t>
            </w:r>
          </w:p>
        </w:tc>
        <w:tc>
          <w:tcPr>
            <w:tcW w:w="1240" w:type="dxa"/>
            <w:vAlign w:val="bottom"/>
          </w:tcPr>
          <w:p>
            <w:pPr>
              <w:jc w:val="right"/>
              <w:spacing w:after="0" w:line="140" w:lineRule="exact"/>
              <w:rPr>
                <w:sz w:val="20"/>
                <w:szCs w:val="20"/>
                <w:color w:val="auto"/>
              </w:rPr>
            </w:pPr>
            <w:r>
              <w:rPr>
                <w:rFonts w:ascii="Arial" w:cs="Arial" w:eastAsia="Arial" w:hAnsi="Arial"/>
                <w:sz w:val="13"/>
                <w:szCs w:val="13"/>
                <w:color w:val="auto"/>
              </w:rPr>
              <w:t>177.2 %</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20"/>
                <w:szCs w:val="20"/>
                <w:color w:val="auto"/>
              </w:rPr>
            </w:pPr>
            <w:r>
              <w:rPr>
                <w:rFonts w:ascii="Arial" w:cs="Arial" w:eastAsia="Arial" w:hAnsi="Arial"/>
                <w:sz w:val="13"/>
                <w:szCs w:val="13"/>
                <w:color w:val="auto"/>
              </w:rPr>
              <w:t>(Benefit) provision for income taxes</w:t>
            </w:r>
          </w:p>
        </w:tc>
        <w:tc>
          <w:tcPr>
            <w:tcW w:w="106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(178)</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(257)</w:t>
            </w:r>
          </w:p>
        </w:tc>
        <w:tc>
          <w:tcPr>
            <w:tcW w:w="1240" w:type="dxa"/>
            <w:vAlign w:val="bottom"/>
          </w:tcPr>
          <w:p>
            <w:pPr>
              <w:jc w:val="right"/>
              <w:spacing w:after="0"/>
              <w:rPr>
                <w:sz w:val="20"/>
                <w:szCs w:val="20"/>
                <w:color w:val="auto"/>
              </w:rPr>
            </w:pPr>
            <w:r>
              <w:rPr>
                <w:rFonts w:ascii="Arial" w:cs="Arial" w:eastAsia="Arial" w:hAnsi="Arial"/>
                <w:sz w:val="13"/>
                <w:szCs w:val="13"/>
                <w:color w:val="auto"/>
              </w:rPr>
              <w:t>-325.3 %</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20"/>
                <w:szCs w:val="20"/>
                <w:color w:val="auto"/>
              </w:rPr>
            </w:pPr>
            <w:r>
              <w:rPr>
                <w:rFonts w:ascii="Arial" w:cs="Arial" w:eastAsia="Arial" w:hAnsi="Arial"/>
                <w:sz w:val="13"/>
                <w:szCs w:val="13"/>
                <w:color w:val="auto"/>
              </w:rPr>
              <w:t>Equity in net earnings (losses) (B)</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6</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40" w:type="dxa"/>
            <w:vAlign w:val="bottom"/>
          </w:tcPr>
          <w:p>
            <w:pPr>
              <w:jc w:val="right"/>
              <w:spacing w:after="0"/>
              <w:rPr>
                <w:sz w:val="20"/>
                <w:szCs w:val="20"/>
                <w:color w:val="auto"/>
              </w:rPr>
            </w:pPr>
            <w:r>
              <w:rPr>
                <w:rFonts w:ascii="Arial" w:cs="Arial" w:eastAsia="Arial" w:hAnsi="Arial"/>
                <w:sz w:val="13"/>
                <w:szCs w:val="13"/>
                <w:color w:val="auto"/>
              </w:rPr>
              <w:t>-400.0 %</w:t>
            </w:r>
          </w:p>
        </w:tc>
        <w:tc>
          <w:tcPr>
            <w:tcW w:w="0" w:type="dxa"/>
            <w:vAlign w:val="bottom"/>
          </w:tcPr>
          <w:p>
            <w:pPr>
              <w:spacing w:after="0"/>
              <w:rPr>
                <w:sz w:val="1"/>
                <w:szCs w:val="1"/>
                <w:color w:val="auto"/>
              </w:rPr>
            </w:pPr>
          </w:p>
        </w:tc>
      </w:tr>
      <w:tr>
        <w:trPr>
          <w:trHeight w:val="151"/>
        </w:trPr>
        <w:tc>
          <w:tcPr>
            <w:tcW w:w="5540" w:type="dxa"/>
            <w:vAlign w:val="bottom"/>
          </w:tcPr>
          <w:p>
            <w:pPr>
              <w:spacing w:after="0"/>
              <w:rPr>
                <w:sz w:val="20"/>
                <w:szCs w:val="20"/>
                <w:color w:val="auto"/>
              </w:rPr>
            </w:pPr>
            <w:r>
              <w:rPr>
                <w:rFonts w:ascii="Arial" w:cs="Arial" w:eastAsia="Arial" w:hAnsi="Arial"/>
                <w:sz w:val="13"/>
                <w:szCs w:val="13"/>
                <w:b w:val="1"/>
                <w:bCs w:val="1"/>
                <w:color w:val="auto"/>
              </w:rPr>
              <w:t>Net (loss) income</w:t>
            </w:r>
          </w:p>
        </w:tc>
        <w:tc>
          <w:tcPr>
            <w:tcW w:w="1060" w:type="dxa"/>
            <w:vAlign w:val="bottom"/>
            <w:tcBorders>
              <w:bottom w:val="single" w:sz="8" w:color="auto"/>
            </w:tcBorders>
          </w:tcPr>
          <w:p>
            <w:pPr>
              <w:jc w:val="right"/>
              <w:ind w:right="894"/>
              <w:spacing w:after="0"/>
              <w:rPr>
                <w:sz w:val="20"/>
                <w:szCs w:val="20"/>
                <w:color w:val="auto"/>
              </w:rPr>
            </w:pPr>
            <w:r>
              <w:rPr>
                <w:rFonts w:ascii="Arial" w:cs="Arial" w:eastAsia="Arial" w:hAnsi="Arial"/>
                <w:sz w:val="13"/>
                <w:szCs w:val="13"/>
                <w:b w:val="1"/>
                <w:bCs w:val="1"/>
                <w:color w:val="00497F"/>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(274)</w:t>
            </w:r>
          </w:p>
        </w:tc>
        <w:tc>
          <w:tcPr>
            <w:tcW w:w="1060" w:type="dxa"/>
            <w:vAlign w:val="bottom"/>
            <w:tcBorders>
              <w:bottom w:val="single" w:sz="8" w:color="auto"/>
            </w:tcBorders>
          </w:tcPr>
          <w:p>
            <w:pPr>
              <w:jc w:val="right"/>
              <w:ind w:right="914"/>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512</w:t>
            </w: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w:t>
            </w:r>
          </w:p>
        </w:tc>
        <w:tc>
          <w:tcPr>
            <w:tcW w:w="1240" w:type="dxa"/>
            <w:vAlign w:val="bottom"/>
          </w:tcPr>
          <w:p>
            <w:pPr>
              <w:jc w:val="right"/>
              <w:spacing w:after="0"/>
              <w:rPr>
                <w:sz w:val="20"/>
                <w:szCs w:val="20"/>
                <w:color w:val="auto"/>
              </w:rPr>
            </w:pPr>
            <w:r>
              <w:rPr>
                <w:rFonts w:ascii="Arial" w:cs="Arial" w:eastAsia="Arial" w:hAnsi="Arial"/>
                <w:sz w:val="13"/>
                <w:szCs w:val="13"/>
                <w:color w:val="auto"/>
              </w:rPr>
              <w:t>-153.5 %</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3"/>
                <w:szCs w:val="13"/>
                <w:color w:val="auto"/>
              </w:rPr>
              <w:t>Basic (loss) earnings per common share</w:t>
            </w: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-153.5 %</w:t>
            </w:r>
          </w:p>
        </w:tc>
        <w:tc>
          <w:tcPr>
            <w:tcW w:w="0" w:type="dxa"/>
            <w:vAlign w:val="bottom"/>
          </w:tcPr>
          <w:p>
            <w:pPr>
              <w:spacing w:after="0" w:line="20" w:lineRule="exact"/>
              <w:rPr>
                <w:sz w:val="1"/>
                <w:szCs w:val="1"/>
                <w:color w:val="auto"/>
              </w:rPr>
            </w:pPr>
          </w:p>
        </w:tc>
      </w:tr>
      <w:tr>
        <w:trPr>
          <w:trHeight w:val="127"/>
        </w:trPr>
        <w:tc>
          <w:tcPr>
            <w:tcW w:w="5540" w:type="dxa"/>
            <w:vAlign w:val="bottom"/>
            <w:vMerge w:val="continue"/>
          </w:tcPr>
          <w:p>
            <w:pPr>
              <w:spacing w:after="0"/>
              <w:rPr>
                <w:sz w:val="11"/>
                <w:szCs w:val="11"/>
                <w:color w:val="auto"/>
              </w:rPr>
            </w:pPr>
          </w:p>
        </w:tc>
        <w:tc>
          <w:tcPr>
            <w:tcW w:w="1060" w:type="dxa"/>
            <w:vAlign w:val="bottom"/>
            <w:tcBorders>
              <w:left w:val="single" w:sz="8" w:color="auto"/>
            </w:tcBorders>
          </w:tcPr>
          <w:p>
            <w:pPr>
              <w:jc w:val="right"/>
              <w:ind w:right="894"/>
              <w:spacing w:after="0" w:line="127" w:lineRule="exact"/>
              <w:rPr>
                <w:sz w:val="20"/>
                <w:szCs w:val="20"/>
                <w:color w:val="auto"/>
              </w:rPr>
            </w:pPr>
            <w:r>
              <w:rPr>
                <w:rFonts w:ascii="Arial" w:cs="Arial" w:eastAsia="Arial" w:hAnsi="Arial"/>
                <w:sz w:val="13"/>
                <w:szCs w:val="13"/>
                <w:b w:val="1"/>
                <w:bCs w:val="1"/>
                <w:color w:val="00497F"/>
              </w:rPr>
              <w:t>$</w:t>
            </w:r>
          </w:p>
        </w:tc>
        <w:tc>
          <w:tcPr>
            <w:tcW w:w="620" w:type="dxa"/>
            <w:vAlign w:val="bottom"/>
            <w:tcBorders>
              <w:right w:val="single" w:sz="8" w:color="auto"/>
            </w:tcBorders>
          </w:tcPr>
          <w:p>
            <w:pPr>
              <w:jc w:val="right"/>
              <w:spacing w:after="0" w:line="127" w:lineRule="exact"/>
              <w:rPr>
                <w:sz w:val="20"/>
                <w:szCs w:val="20"/>
                <w:color w:val="auto"/>
              </w:rPr>
            </w:pPr>
            <w:r>
              <w:rPr>
                <w:rFonts w:ascii="Arial" w:cs="Arial" w:eastAsia="Arial" w:hAnsi="Arial"/>
                <w:sz w:val="13"/>
                <w:szCs w:val="13"/>
                <w:b w:val="1"/>
                <w:bCs w:val="1"/>
                <w:color w:val="00497F"/>
              </w:rPr>
              <w:t>(2.07)</w:t>
            </w:r>
          </w:p>
        </w:tc>
        <w:tc>
          <w:tcPr>
            <w:tcW w:w="1060" w:type="dxa"/>
            <w:vAlign w:val="bottom"/>
          </w:tcPr>
          <w:p>
            <w:pPr>
              <w:jc w:val="right"/>
              <w:ind w:right="914"/>
              <w:spacing w:after="0" w:line="127"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ind w:right="14"/>
              <w:spacing w:after="0" w:line="127" w:lineRule="exact"/>
              <w:rPr>
                <w:sz w:val="20"/>
                <w:szCs w:val="20"/>
                <w:color w:val="auto"/>
              </w:rPr>
            </w:pPr>
            <w:r>
              <w:rPr>
                <w:rFonts w:ascii="Arial" w:cs="Arial" w:eastAsia="Arial" w:hAnsi="Arial"/>
                <w:sz w:val="13"/>
                <w:szCs w:val="13"/>
                <w:color w:val="auto"/>
              </w:rPr>
              <w:t>3.87</w:t>
            </w:r>
          </w:p>
        </w:tc>
        <w:tc>
          <w:tcPr>
            <w:tcW w:w="60" w:type="dxa"/>
            <w:vAlign w:val="bottom"/>
            <w:vMerge w:val="continue"/>
          </w:tcPr>
          <w:p>
            <w:pPr>
              <w:spacing w:after="0"/>
              <w:rPr>
                <w:sz w:val="11"/>
                <w:szCs w:val="11"/>
                <w:color w:val="auto"/>
              </w:rPr>
            </w:pPr>
          </w:p>
        </w:tc>
        <w:tc>
          <w:tcPr>
            <w:tcW w:w="200" w:type="dxa"/>
            <w:vAlign w:val="bottom"/>
          </w:tcPr>
          <w:p>
            <w:pPr>
              <w:jc w:val="right"/>
              <w:ind w:right="54"/>
              <w:spacing w:after="0" w:line="127"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27" w:lineRule="exact"/>
              <w:rPr>
                <w:sz w:val="20"/>
                <w:szCs w:val="20"/>
                <w:color w:val="auto"/>
              </w:rPr>
            </w:pPr>
            <w:r>
              <w:rPr>
                <w:rFonts w:ascii="Arial" w:cs="Arial" w:eastAsia="Arial" w:hAnsi="Arial"/>
                <w:sz w:val="13"/>
                <w:szCs w:val="13"/>
                <w:color w:val="auto"/>
              </w:rPr>
              <w:t>(5.94)</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20"/>
                <w:szCs w:val="20"/>
                <w:color w:val="auto"/>
              </w:rPr>
            </w:pPr>
            <w:r>
              <w:rPr>
                <w:rFonts w:ascii="Arial" w:cs="Arial" w:eastAsia="Arial" w:hAnsi="Arial"/>
                <w:sz w:val="13"/>
                <w:szCs w:val="13"/>
                <w:b w:val="1"/>
                <w:bCs w:val="1"/>
                <w:color w:val="auto"/>
              </w:rPr>
              <w:t>(Loss per common share) diluted earnings per common share</w:t>
            </w:r>
          </w:p>
        </w:tc>
        <w:tc>
          <w:tcPr>
            <w:tcW w:w="1060" w:type="dxa"/>
            <w:vAlign w:val="bottom"/>
            <w:tcBorders>
              <w:left w:val="single" w:sz="8" w:color="auto"/>
            </w:tcBorders>
          </w:tcPr>
          <w:p>
            <w:pPr>
              <w:jc w:val="right"/>
              <w:ind w:right="894"/>
              <w:spacing w:after="0"/>
              <w:rPr>
                <w:sz w:val="20"/>
                <w:szCs w:val="20"/>
                <w:color w:val="auto"/>
              </w:rPr>
            </w:pPr>
            <w:r>
              <w:rPr>
                <w:rFonts w:ascii="Arial" w:cs="Arial" w:eastAsia="Arial" w:hAnsi="Arial"/>
                <w:sz w:val="13"/>
                <w:szCs w:val="13"/>
                <w:b w:val="1"/>
                <w:bCs w:val="1"/>
                <w:color w:val="00497F"/>
              </w:rPr>
              <w:t>$</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(2.07)</w:t>
            </w: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3.84</w:t>
            </w:r>
          </w:p>
        </w:tc>
        <w:tc>
          <w:tcPr>
            <w:tcW w:w="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(5.91)</w:t>
            </w:r>
          </w:p>
        </w:tc>
        <w:tc>
          <w:tcPr>
            <w:tcW w:w="1240" w:type="dxa"/>
            <w:vAlign w:val="bottom"/>
          </w:tcPr>
          <w:p>
            <w:pPr>
              <w:jc w:val="right"/>
              <w:spacing w:after="0"/>
              <w:rPr>
                <w:sz w:val="20"/>
                <w:szCs w:val="20"/>
                <w:color w:val="auto"/>
              </w:rPr>
            </w:pPr>
            <w:r>
              <w:rPr>
                <w:rFonts w:ascii="Arial" w:cs="Arial" w:eastAsia="Arial" w:hAnsi="Arial"/>
                <w:sz w:val="13"/>
                <w:szCs w:val="13"/>
                <w:color w:val="auto"/>
              </w:rPr>
              <w:t>-153.9 %</w:t>
            </w:r>
          </w:p>
        </w:tc>
        <w:tc>
          <w:tcPr>
            <w:tcW w:w="0" w:type="dxa"/>
            <w:vAlign w:val="bottom"/>
          </w:tcPr>
          <w:p>
            <w:pPr>
              <w:spacing w:after="0"/>
              <w:rPr>
                <w:sz w:val="1"/>
                <w:szCs w:val="1"/>
                <w:color w:val="auto"/>
              </w:rPr>
            </w:pPr>
          </w:p>
        </w:tc>
      </w:tr>
      <w:tr>
        <w:trPr>
          <w:trHeight w:val="162"/>
        </w:trPr>
        <w:tc>
          <w:tcPr>
            <w:tcW w:w="5540" w:type="dxa"/>
            <w:vAlign w:val="bottom"/>
          </w:tcPr>
          <w:p>
            <w:pPr>
              <w:spacing w:after="0"/>
              <w:rPr>
                <w:sz w:val="20"/>
                <w:szCs w:val="20"/>
                <w:color w:val="auto"/>
              </w:rPr>
            </w:pPr>
            <w:r>
              <w:rPr>
                <w:rFonts w:ascii="Arial" w:cs="Arial" w:eastAsia="Arial" w:hAnsi="Arial"/>
                <w:sz w:val="13"/>
                <w:szCs w:val="13"/>
                <w:color w:val="auto"/>
              </w:rPr>
              <w:t>Shares used in computing basic earnings per common share (000’s)</w:t>
            </w:r>
          </w:p>
        </w:tc>
        <w:tc>
          <w:tcPr>
            <w:tcW w:w="1060" w:type="dxa"/>
            <w:vAlign w:val="bottom"/>
            <w:tcBorders>
              <w:left w:val="single" w:sz="8" w:color="auto"/>
            </w:tcBorders>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132,094</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132,453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20"/>
                <w:szCs w:val="20"/>
                <w:color w:val="auto"/>
              </w:rPr>
            </w:pPr>
            <w:r>
              <w:rPr>
                <w:rFonts w:ascii="Arial" w:cs="Arial" w:eastAsia="Arial" w:hAnsi="Arial"/>
                <w:sz w:val="13"/>
                <w:szCs w:val="13"/>
                <w:color w:val="auto"/>
              </w:rPr>
              <w:t>Shares used in computing diluted earnings per common share (000’s)</w:t>
            </w:r>
          </w:p>
        </w:tc>
        <w:tc>
          <w:tcPr>
            <w:tcW w:w="106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132,094</w:t>
            </w:r>
          </w:p>
        </w:tc>
        <w:tc>
          <w:tcPr>
            <w:tcW w:w="1060" w:type="dxa"/>
            <w:vAlign w:val="bottom"/>
          </w:tcPr>
          <w:p>
            <w:pPr>
              <w:spacing w:after="0"/>
              <w:rPr>
                <w:sz w:val="15"/>
                <w:szCs w:val="15"/>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133,342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w:t>
      </w:r>
    </w:p>
    <w:p>
      <w:pPr>
        <w:sectPr>
          <w:pgSz w:w="11900" w:h="16838" w:orient="portrait"/>
          <w:cols w:equalWidth="0" w:num="1">
            <w:col w:w="11300"/>
          </w:cols>
          <w:pgMar w:left="300" w:top="767" w:right="29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Humana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w:t>
      </w:r>
    </w:p>
    <w:p>
      <w:pPr>
        <w:spacing w:after="0"/>
        <w:rPr>
          <w:sz w:val="20"/>
          <w:szCs w:val="20"/>
          <w:color w:val="auto"/>
        </w:rPr>
      </w:pPr>
      <w:r>
        <w:rPr>
          <w:rFonts w:ascii="Arial" w:cs="Arial" w:eastAsia="Arial" w:hAnsi="Arial"/>
          <w:sz w:val="13"/>
          <w:szCs w:val="13"/>
          <w:i w:val="1"/>
          <w:iCs w:val="1"/>
          <w:color w:val="auto"/>
        </w:rPr>
        <w:t>Dollars in millions, except per common share results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For the year ended December 31,</w:t>
            </w:r>
          </w:p>
        </w:tc>
        <w:tc>
          <w:tcPr>
            <w:tcW w:w="600" w:type="dxa"/>
            <w:vAlign w:val="bottom"/>
            <w:tcBorders>
              <w:top w:val="single" w:sz="8" w:color="auto"/>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3"/>
                <w:szCs w:val="13"/>
                <w:color w:val="auto"/>
              </w:rPr>
              <w:t>Dollar</w:t>
            </w:r>
          </w:p>
        </w:tc>
        <w:tc>
          <w:tcPr>
            <w:tcW w:w="1240" w:type="dxa"/>
            <w:vAlign w:val="bottom"/>
            <w:vMerge w:val="restart"/>
          </w:tcPr>
          <w:p>
            <w:pPr>
              <w:jc w:val="right"/>
              <w:ind w:right="214"/>
              <w:spacing w:after="0"/>
              <w:rPr>
                <w:sz w:val="20"/>
                <w:szCs w:val="20"/>
                <w:color w:val="auto"/>
              </w:rPr>
            </w:pPr>
            <w:r>
              <w:rPr>
                <w:rFonts w:ascii="Arial" w:cs="Arial" w:eastAsia="Arial" w:hAnsi="Arial"/>
                <w:sz w:val="13"/>
                <w:szCs w:val="13"/>
                <w:color w:val="auto"/>
              </w:rPr>
              <w:t>Percentage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00" w:type="dxa"/>
            <w:vAlign w:val="bottom"/>
            <w:vMerge w:val="restart"/>
          </w:tcPr>
          <w:p>
            <w:pPr>
              <w:spacing w:after="0"/>
              <w:rPr>
                <w:sz w:val="20"/>
                <w:szCs w:val="20"/>
                <w:color w:val="auto"/>
              </w:rPr>
            </w:pPr>
            <w:r>
              <w:rPr>
                <w:rFonts w:ascii="Arial" w:cs="Arial" w:eastAsia="Arial" w:hAnsi="Arial"/>
                <w:sz w:val="13"/>
                <w:szCs w:val="13"/>
                <w:color w:val="auto"/>
              </w:rPr>
              <w:t>Revenues:</w:t>
            </w:r>
          </w:p>
        </w:tc>
        <w:tc>
          <w:tcPr>
            <w:tcW w:w="80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00497F"/>
              </w:rPr>
              <w:t>2020</w:t>
            </w:r>
          </w:p>
        </w:tc>
        <w:tc>
          <w:tcPr>
            <w:tcW w:w="62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2019</w:t>
            </w: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Change</w:t>
            </w: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33"/>
        </w:trPr>
        <w:tc>
          <w:tcPr>
            <w:tcW w:w="4800" w:type="dxa"/>
            <w:vAlign w:val="bottom"/>
            <w:vMerge w:val="continue"/>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020" w:type="dxa"/>
            <w:vAlign w:val="bottom"/>
            <w:vMerge w:val="restart"/>
          </w:tcPr>
          <w:p>
            <w:pPr>
              <w:jc w:val="right"/>
              <w:ind w:right="940"/>
              <w:spacing w:after="0"/>
              <w:rPr>
                <w:sz w:val="20"/>
                <w:szCs w:val="20"/>
                <w:color w:val="auto"/>
              </w:rPr>
            </w:pPr>
            <w:r>
              <w:rPr>
                <w:rFonts w:ascii="Arial" w:cs="Arial" w:eastAsia="Arial" w:hAnsi="Arial"/>
                <w:sz w:val="5"/>
                <w:szCs w:val="5"/>
                <w:b w:val="1"/>
                <w:bCs w:val="1"/>
                <w:color w:val="00497F"/>
                <w:w w:val="70"/>
              </w:rPr>
              <w:t>$</w:t>
            </w:r>
          </w:p>
        </w:tc>
        <w:tc>
          <w:tcPr>
            <w:tcW w:w="62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3"/>
                <w:szCs w:val="13"/>
                <w:b w:val="1"/>
                <w:bCs w:val="1"/>
                <w:color w:val="00497F"/>
              </w:rPr>
              <w:t>74,186</w:t>
            </w: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00" w:type="dxa"/>
            <w:vAlign w:val="bottom"/>
          </w:tcPr>
          <w:p>
            <w:pPr>
              <w:ind w:left="220"/>
              <w:spacing w:after="0"/>
              <w:rPr>
                <w:sz w:val="20"/>
                <w:szCs w:val="20"/>
                <w:color w:val="auto"/>
              </w:rPr>
            </w:pPr>
            <w:r>
              <w:rPr>
                <w:rFonts w:ascii="Arial" w:cs="Arial" w:eastAsia="Arial" w:hAnsi="Arial"/>
                <w:sz w:val="13"/>
                <w:szCs w:val="13"/>
                <w:color w:val="auto"/>
              </w:rPr>
              <w:t>Premiums</w:t>
            </w:r>
          </w:p>
        </w:tc>
        <w:tc>
          <w:tcPr>
            <w:tcW w:w="800" w:type="dxa"/>
            <w:vAlign w:val="bottom"/>
            <w:tcBorders>
              <w:right w:val="single" w:sz="8" w:color="auto"/>
            </w:tcBorders>
          </w:tcPr>
          <w:p>
            <w:pPr>
              <w:spacing w:after="0"/>
              <w:rPr>
                <w:sz w:val="13"/>
                <w:szCs w:val="13"/>
                <w:color w:val="auto"/>
              </w:rPr>
            </w:pPr>
          </w:p>
        </w:tc>
        <w:tc>
          <w:tcPr>
            <w:tcW w:w="1020" w:type="dxa"/>
            <w:vAlign w:val="bottom"/>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62,948</w:t>
            </w:r>
          </w:p>
        </w:tc>
        <w:tc>
          <w:tcPr>
            <w:tcW w:w="6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11,238</w:t>
            </w:r>
          </w:p>
        </w:tc>
        <w:tc>
          <w:tcPr>
            <w:tcW w:w="1240" w:type="dxa"/>
            <w:vAlign w:val="bottom"/>
          </w:tcPr>
          <w:p>
            <w:pPr>
              <w:jc w:val="right"/>
              <w:spacing w:after="0"/>
              <w:rPr>
                <w:sz w:val="20"/>
                <w:szCs w:val="20"/>
                <w:color w:val="auto"/>
              </w:rPr>
            </w:pPr>
            <w:r>
              <w:rPr>
                <w:rFonts w:ascii="Arial" w:cs="Arial" w:eastAsia="Arial" w:hAnsi="Arial"/>
                <w:sz w:val="13"/>
                <w:szCs w:val="13"/>
                <w:color w:val="auto"/>
              </w:rPr>
              <w:t>17.9 %</w:t>
            </w:r>
          </w:p>
        </w:tc>
        <w:tc>
          <w:tcPr>
            <w:tcW w:w="0" w:type="dxa"/>
            <w:vAlign w:val="bottom"/>
          </w:tcPr>
          <w:p>
            <w:pPr>
              <w:spacing w:after="0"/>
              <w:rPr>
                <w:sz w:val="1"/>
                <w:szCs w:val="1"/>
                <w:color w:val="auto"/>
              </w:rPr>
            </w:pPr>
          </w:p>
        </w:tc>
      </w:tr>
      <w:tr>
        <w:trPr>
          <w:trHeight w:val="162"/>
        </w:trPr>
        <w:tc>
          <w:tcPr>
            <w:tcW w:w="4800" w:type="dxa"/>
            <w:vAlign w:val="bottom"/>
          </w:tcPr>
          <w:p>
            <w:pPr>
              <w:ind w:left="220"/>
              <w:spacing w:after="0"/>
              <w:rPr>
                <w:sz w:val="20"/>
                <w:szCs w:val="20"/>
                <w:color w:val="auto"/>
              </w:rPr>
            </w:pPr>
            <w:r>
              <w:rPr>
                <w:rFonts w:ascii="Arial" w:cs="Arial" w:eastAsia="Arial" w:hAnsi="Arial"/>
                <w:sz w:val="13"/>
                <w:szCs w:val="13"/>
                <w:color w:val="auto"/>
              </w:rPr>
              <w:t>Services</w:t>
            </w:r>
          </w:p>
        </w:tc>
        <w:tc>
          <w:tcPr>
            <w:tcW w:w="8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1,815</w:t>
            </w:r>
          </w:p>
        </w:tc>
        <w:tc>
          <w:tcPr>
            <w:tcW w:w="10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1,439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376</w:t>
            </w:r>
          </w:p>
        </w:tc>
        <w:tc>
          <w:tcPr>
            <w:tcW w:w="1240" w:type="dxa"/>
            <w:vAlign w:val="bottom"/>
          </w:tcPr>
          <w:p>
            <w:pPr>
              <w:jc w:val="right"/>
              <w:spacing w:after="0"/>
              <w:rPr>
                <w:sz w:val="20"/>
                <w:szCs w:val="20"/>
                <w:color w:val="auto"/>
              </w:rPr>
            </w:pPr>
            <w:r>
              <w:rPr>
                <w:rFonts w:ascii="Arial" w:cs="Arial" w:eastAsia="Arial" w:hAnsi="Arial"/>
                <w:sz w:val="13"/>
                <w:szCs w:val="13"/>
                <w:color w:val="auto"/>
              </w:rPr>
              <w:t>26.1 %</w:t>
            </w:r>
          </w:p>
        </w:tc>
        <w:tc>
          <w:tcPr>
            <w:tcW w:w="0" w:type="dxa"/>
            <w:vAlign w:val="bottom"/>
          </w:tcPr>
          <w:p>
            <w:pPr>
              <w:spacing w:after="0"/>
              <w:rPr>
                <w:sz w:val="1"/>
                <w:szCs w:val="1"/>
                <w:color w:val="auto"/>
              </w:rPr>
            </w:pPr>
          </w:p>
        </w:tc>
      </w:tr>
      <w:tr>
        <w:trPr>
          <w:trHeight w:val="173"/>
        </w:trPr>
        <w:tc>
          <w:tcPr>
            <w:tcW w:w="4800" w:type="dxa"/>
            <w:vAlign w:val="bottom"/>
          </w:tcPr>
          <w:p>
            <w:pPr>
              <w:ind w:left="220"/>
              <w:spacing w:after="0"/>
              <w:rPr>
                <w:sz w:val="20"/>
                <w:szCs w:val="20"/>
                <w:color w:val="auto"/>
              </w:rPr>
            </w:pPr>
            <w:r>
              <w:rPr>
                <w:rFonts w:ascii="Arial" w:cs="Arial" w:eastAsia="Arial" w:hAnsi="Arial"/>
                <w:sz w:val="13"/>
                <w:szCs w:val="13"/>
                <w:color w:val="auto"/>
              </w:rPr>
              <w:t>Investment income</w:t>
            </w:r>
          </w:p>
        </w:tc>
        <w:tc>
          <w:tcPr>
            <w:tcW w:w="800" w:type="dxa"/>
            <w:vAlign w:val="bottom"/>
            <w:tcBorders>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1,154</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501</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653</w:t>
            </w:r>
          </w:p>
        </w:tc>
        <w:tc>
          <w:tcPr>
            <w:tcW w:w="1240" w:type="dxa"/>
            <w:vAlign w:val="bottom"/>
          </w:tcPr>
          <w:p>
            <w:pPr>
              <w:jc w:val="right"/>
              <w:spacing w:after="0"/>
              <w:rPr>
                <w:sz w:val="20"/>
                <w:szCs w:val="20"/>
                <w:color w:val="auto"/>
              </w:rPr>
            </w:pPr>
            <w:r>
              <w:rPr>
                <w:rFonts w:ascii="Arial" w:cs="Arial" w:eastAsia="Arial" w:hAnsi="Arial"/>
                <w:sz w:val="13"/>
                <w:szCs w:val="13"/>
                <w:color w:val="auto"/>
              </w:rPr>
              <w:t>130.3 %</w:t>
            </w:r>
          </w:p>
        </w:tc>
        <w:tc>
          <w:tcPr>
            <w:tcW w:w="0" w:type="dxa"/>
            <w:vAlign w:val="bottom"/>
          </w:tcPr>
          <w:p>
            <w:pPr>
              <w:spacing w:after="0"/>
              <w:rPr>
                <w:sz w:val="1"/>
                <w:szCs w:val="1"/>
                <w:color w:val="auto"/>
              </w:rPr>
            </w:pPr>
          </w:p>
        </w:tc>
      </w:tr>
      <w:tr>
        <w:trPr>
          <w:trHeight w:val="151"/>
        </w:trPr>
        <w:tc>
          <w:tcPr>
            <w:tcW w:w="4800" w:type="dxa"/>
            <w:vAlign w:val="bottom"/>
          </w:tcPr>
          <w:p>
            <w:pPr>
              <w:ind w:left="440"/>
              <w:spacing w:after="0"/>
              <w:rPr>
                <w:sz w:val="20"/>
                <w:szCs w:val="20"/>
                <w:color w:val="auto"/>
              </w:rPr>
            </w:pPr>
            <w:r>
              <w:rPr>
                <w:rFonts w:ascii="Arial" w:cs="Arial" w:eastAsia="Arial" w:hAnsi="Arial"/>
                <w:sz w:val="13"/>
                <w:szCs w:val="13"/>
                <w:b w:val="1"/>
                <w:bCs w:val="1"/>
                <w:color w:val="auto"/>
              </w:rPr>
              <w:t>Total revenues</w:t>
            </w:r>
          </w:p>
        </w:tc>
        <w:tc>
          <w:tcPr>
            <w:tcW w:w="80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77,155</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64,888</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12,267</w:t>
            </w:r>
          </w:p>
        </w:tc>
        <w:tc>
          <w:tcPr>
            <w:tcW w:w="1240" w:type="dxa"/>
            <w:vAlign w:val="bottom"/>
          </w:tcPr>
          <w:p>
            <w:pPr>
              <w:jc w:val="right"/>
              <w:spacing w:after="0"/>
              <w:rPr>
                <w:sz w:val="20"/>
                <w:szCs w:val="20"/>
                <w:color w:val="auto"/>
              </w:rPr>
            </w:pPr>
            <w:r>
              <w:rPr>
                <w:rFonts w:ascii="Arial" w:cs="Arial" w:eastAsia="Arial" w:hAnsi="Arial"/>
                <w:sz w:val="13"/>
                <w:szCs w:val="13"/>
                <w:color w:val="auto"/>
              </w:rPr>
              <w:t>18.9 %</w:t>
            </w:r>
          </w:p>
        </w:tc>
        <w:tc>
          <w:tcPr>
            <w:tcW w:w="0" w:type="dxa"/>
            <w:vAlign w:val="bottom"/>
          </w:tcPr>
          <w:p>
            <w:pPr>
              <w:spacing w:after="0"/>
              <w:rPr>
                <w:sz w:val="1"/>
                <w:szCs w:val="1"/>
                <w:color w:val="auto"/>
              </w:rPr>
            </w:pPr>
          </w:p>
        </w:tc>
      </w:tr>
      <w:tr>
        <w:trPr>
          <w:trHeight w:val="133"/>
        </w:trPr>
        <w:tc>
          <w:tcPr>
            <w:tcW w:w="4800" w:type="dxa"/>
            <w:vAlign w:val="bottom"/>
          </w:tcPr>
          <w:p>
            <w:pPr>
              <w:spacing w:after="0" w:line="133" w:lineRule="exact"/>
              <w:rPr>
                <w:sz w:val="20"/>
                <w:szCs w:val="20"/>
                <w:color w:val="auto"/>
              </w:rPr>
            </w:pPr>
            <w:r>
              <w:rPr>
                <w:rFonts w:ascii="Arial" w:cs="Arial" w:eastAsia="Arial" w:hAnsi="Arial"/>
                <w:sz w:val="13"/>
                <w:szCs w:val="13"/>
                <w:color w:val="auto"/>
              </w:rPr>
              <w:t>Operating expenses:</w:t>
            </w:r>
          </w:p>
        </w:tc>
        <w:tc>
          <w:tcPr>
            <w:tcW w:w="8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3"/>
                <w:szCs w:val="13"/>
                <w:b w:val="1"/>
                <w:bCs w:val="1"/>
                <w:color w:val="00497F"/>
              </w:rPr>
              <w:t>61,628</w:t>
            </w: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00" w:type="dxa"/>
            <w:vAlign w:val="bottom"/>
          </w:tcPr>
          <w:p>
            <w:pPr>
              <w:ind w:left="220"/>
              <w:spacing w:after="0"/>
              <w:rPr>
                <w:sz w:val="20"/>
                <w:szCs w:val="20"/>
                <w:color w:val="auto"/>
              </w:rPr>
            </w:pPr>
            <w:r>
              <w:rPr>
                <w:rFonts w:ascii="Arial" w:cs="Arial" w:eastAsia="Arial" w:hAnsi="Arial"/>
                <w:sz w:val="13"/>
                <w:szCs w:val="13"/>
                <w:color w:val="auto"/>
              </w:rPr>
              <w:t>Benefits</w:t>
            </w:r>
          </w:p>
        </w:tc>
        <w:tc>
          <w:tcPr>
            <w:tcW w:w="80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53,857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7,771</w:t>
            </w:r>
          </w:p>
        </w:tc>
        <w:tc>
          <w:tcPr>
            <w:tcW w:w="1240" w:type="dxa"/>
            <w:vAlign w:val="bottom"/>
          </w:tcPr>
          <w:p>
            <w:pPr>
              <w:jc w:val="right"/>
              <w:spacing w:after="0"/>
              <w:rPr>
                <w:sz w:val="20"/>
                <w:szCs w:val="20"/>
                <w:color w:val="auto"/>
              </w:rPr>
            </w:pPr>
            <w:r>
              <w:rPr>
                <w:rFonts w:ascii="Arial" w:cs="Arial" w:eastAsia="Arial" w:hAnsi="Arial"/>
                <w:sz w:val="13"/>
                <w:szCs w:val="13"/>
                <w:color w:val="auto"/>
              </w:rPr>
              <w:t>14.4 %</w:t>
            </w:r>
          </w:p>
        </w:tc>
        <w:tc>
          <w:tcPr>
            <w:tcW w:w="0" w:type="dxa"/>
            <w:vAlign w:val="bottom"/>
          </w:tcPr>
          <w:p>
            <w:pPr>
              <w:spacing w:after="0"/>
              <w:rPr>
                <w:sz w:val="1"/>
                <w:szCs w:val="1"/>
                <w:color w:val="auto"/>
              </w:rPr>
            </w:pPr>
          </w:p>
        </w:tc>
      </w:tr>
      <w:tr>
        <w:trPr>
          <w:trHeight w:val="162"/>
        </w:trPr>
        <w:tc>
          <w:tcPr>
            <w:tcW w:w="4800" w:type="dxa"/>
            <w:vAlign w:val="bottom"/>
          </w:tcPr>
          <w:p>
            <w:pPr>
              <w:ind w:left="220"/>
              <w:spacing w:after="0"/>
              <w:rPr>
                <w:sz w:val="20"/>
                <w:szCs w:val="20"/>
                <w:color w:val="auto"/>
              </w:rPr>
            </w:pPr>
            <w:r>
              <w:rPr>
                <w:rFonts w:ascii="Arial" w:cs="Arial" w:eastAsia="Arial" w:hAnsi="Arial"/>
                <w:sz w:val="13"/>
                <w:szCs w:val="13"/>
                <w:color w:val="auto"/>
              </w:rPr>
              <w:t>Operating costs</w:t>
            </w:r>
          </w:p>
        </w:tc>
        <w:tc>
          <w:tcPr>
            <w:tcW w:w="8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10,052</w:t>
            </w:r>
          </w:p>
        </w:tc>
        <w:tc>
          <w:tcPr>
            <w:tcW w:w="10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7,381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2,671</w:t>
            </w:r>
          </w:p>
        </w:tc>
        <w:tc>
          <w:tcPr>
            <w:tcW w:w="1240" w:type="dxa"/>
            <w:vAlign w:val="bottom"/>
          </w:tcPr>
          <w:p>
            <w:pPr>
              <w:jc w:val="right"/>
              <w:spacing w:after="0"/>
              <w:rPr>
                <w:sz w:val="20"/>
                <w:szCs w:val="20"/>
                <w:color w:val="auto"/>
              </w:rPr>
            </w:pPr>
            <w:r>
              <w:rPr>
                <w:rFonts w:ascii="Arial" w:cs="Arial" w:eastAsia="Arial" w:hAnsi="Arial"/>
                <w:sz w:val="13"/>
                <w:szCs w:val="13"/>
                <w:color w:val="auto"/>
              </w:rPr>
              <w:t>36.2 %</w:t>
            </w:r>
          </w:p>
        </w:tc>
        <w:tc>
          <w:tcPr>
            <w:tcW w:w="0" w:type="dxa"/>
            <w:vAlign w:val="bottom"/>
          </w:tcPr>
          <w:p>
            <w:pPr>
              <w:spacing w:after="0"/>
              <w:rPr>
                <w:sz w:val="1"/>
                <w:szCs w:val="1"/>
                <w:color w:val="auto"/>
              </w:rPr>
            </w:pPr>
          </w:p>
        </w:tc>
      </w:tr>
      <w:tr>
        <w:trPr>
          <w:trHeight w:val="173"/>
        </w:trPr>
        <w:tc>
          <w:tcPr>
            <w:tcW w:w="480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800" w:type="dxa"/>
            <w:vAlign w:val="bottom"/>
            <w:tcBorders>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489</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458</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40" w:type="dxa"/>
            <w:vAlign w:val="bottom"/>
          </w:tcPr>
          <w:p>
            <w:pPr>
              <w:jc w:val="right"/>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51"/>
        </w:trPr>
        <w:tc>
          <w:tcPr>
            <w:tcW w:w="4800" w:type="dxa"/>
            <w:vAlign w:val="bottom"/>
          </w:tcPr>
          <w:p>
            <w:pPr>
              <w:ind w:left="440"/>
              <w:spacing w:after="0"/>
              <w:rPr>
                <w:sz w:val="20"/>
                <w:szCs w:val="20"/>
                <w:color w:val="auto"/>
              </w:rPr>
            </w:pPr>
            <w:r>
              <w:rPr>
                <w:rFonts w:ascii="Arial" w:cs="Arial" w:eastAsia="Arial" w:hAnsi="Arial"/>
                <w:sz w:val="13"/>
                <w:szCs w:val="13"/>
                <w:b w:val="1"/>
                <w:bCs w:val="1"/>
                <w:color w:val="auto"/>
              </w:rPr>
              <w:t>Total operating expenses</w:t>
            </w:r>
          </w:p>
        </w:tc>
        <w:tc>
          <w:tcPr>
            <w:tcW w:w="80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72,169</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61,696</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10,473</w:t>
            </w:r>
          </w:p>
        </w:tc>
        <w:tc>
          <w:tcPr>
            <w:tcW w:w="1240" w:type="dxa"/>
            <w:vAlign w:val="bottom"/>
          </w:tcPr>
          <w:p>
            <w:pPr>
              <w:jc w:val="right"/>
              <w:spacing w:after="0"/>
              <w:rPr>
                <w:sz w:val="20"/>
                <w:szCs w:val="20"/>
                <w:color w:val="auto"/>
              </w:rPr>
            </w:pPr>
            <w:r>
              <w:rPr>
                <w:rFonts w:ascii="Arial" w:cs="Arial" w:eastAsia="Arial" w:hAnsi="Arial"/>
                <w:sz w:val="13"/>
                <w:szCs w:val="13"/>
                <w:color w:val="auto"/>
              </w:rPr>
              <w:t>17.0 %</w:t>
            </w:r>
          </w:p>
        </w:tc>
        <w:tc>
          <w:tcPr>
            <w:tcW w:w="0" w:type="dxa"/>
            <w:vAlign w:val="bottom"/>
          </w:tcPr>
          <w:p>
            <w:pPr>
              <w:spacing w:after="0"/>
              <w:rPr>
                <w:sz w:val="1"/>
                <w:szCs w:val="1"/>
                <w:color w:val="auto"/>
              </w:rPr>
            </w:pPr>
          </w:p>
        </w:tc>
      </w:tr>
      <w:tr>
        <w:trPr>
          <w:trHeight w:val="140"/>
        </w:trPr>
        <w:tc>
          <w:tcPr>
            <w:tcW w:w="4800" w:type="dxa"/>
            <w:vAlign w:val="bottom"/>
          </w:tcPr>
          <w:p>
            <w:pPr>
              <w:spacing w:after="0" w:line="140" w:lineRule="exact"/>
              <w:rPr>
                <w:sz w:val="20"/>
                <w:szCs w:val="20"/>
                <w:color w:val="auto"/>
              </w:rPr>
            </w:pPr>
            <w:r>
              <w:rPr>
                <w:rFonts w:ascii="Arial" w:cs="Arial" w:eastAsia="Arial" w:hAnsi="Arial"/>
                <w:sz w:val="13"/>
                <w:szCs w:val="13"/>
                <w:b w:val="1"/>
                <w:bCs w:val="1"/>
                <w:color w:val="auto"/>
              </w:rPr>
              <w:t>Income from operations</w:t>
            </w:r>
          </w:p>
        </w:tc>
        <w:tc>
          <w:tcPr>
            <w:tcW w:w="80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Borders>
              <w:right w:val="single" w:sz="8" w:color="auto"/>
            </w:tcBorders>
          </w:tcPr>
          <w:p>
            <w:pPr>
              <w:jc w:val="right"/>
              <w:ind w:right="14"/>
              <w:spacing w:after="0" w:line="140" w:lineRule="exact"/>
              <w:rPr>
                <w:sz w:val="20"/>
                <w:szCs w:val="20"/>
                <w:color w:val="auto"/>
              </w:rPr>
            </w:pPr>
            <w:r>
              <w:rPr>
                <w:rFonts w:ascii="Arial" w:cs="Arial" w:eastAsia="Arial" w:hAnsi="Arial"/>
                <w:sz w:val="13"/>
                <w:szCs w:val="13"/>
                <w:b w:val="1"/>
                <w:bCs w:val="1"/>
                <w:color w:val="00497F"/>
              </w:rPr>
              <w:t>4,986</w:t>
            </w:r>
          </w:p>
        </w:tc>
        <w:tc>
          <w:tcPr>
            <w:tcW w:w="1060" w:type="dxa"/>
            <w:vAlign w:val="bottom"/>
          </w:tcPr>
          <w:p>
            <w:pPr>
              <w:spacing w:after="0"/>
              <w:rPr>
                <w:sz w:val="12"/>
                <w:szCs w:val="12"/>
                <w:color w:val="auto"/>
              </w:rPr>
            </w:pPr>
          </w:p>
        </w:tc>
        <w:tc>
          <w:tcPr>
            <w:tcW w:w="600" w:type="dxa"/>
            <w:vAlign w:val="bottom"/>
          </w:tcPr>
          <w:p>
            <w:pPr>
              <w:jc w:val="right"/>
              <w:ind w:right="14"/>
              <w:spacing w:after="0" w:line="140" w:lineRule="exact"/>
              <w:rPr>
                <w:sz w:val="20"/>
                <w:szCs w:val="20"/>
                <w:color w:val="auto"/>
              </w:rPr>
            </w:pPr>
            <w:r>
              <w:rPr>
                <w:rFonts w:ascii="Arial" w:cs="Arial" w:eastAsia="Arial" w:hAnsi="Arial"/>
                <w:sz w:val="13"/>
                <w:szCs w:val="13"/>
                <w:color w:val="auto"/>
              </w:rPr>
              <w:t>3,192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1,794</w:t>
            </w:r>
          </w:p>
        </w:tc>
        <w:tc>
          <w:tcPr>
            <w:tcW w:w="1240" w:type="dxa"/>
            <w:vAlign w:val="bottom"/>
          </w:tcPr>
          <w:p>
            <w:pPr>
              <w:jc w:val="right"/>
              <w:spacing w:after="0" w:line="140" w:lineRule="exact"/>
              <w:rPr>
                <w:sz w:val="20"/>
                <w:szCs w:val="20"/>
                <w:color w:val="auto"/>
              </w:rPr>
            </w:pPr>
            <w:r>
              <w:rPr>
                <w:rFonts w:ascii="Arial" w:cs="Arial" w:eastAsia="Arial" w:hAnsi="Arial"/>
                <w:sz w:val="13"/>
                <w:szCs w:val="13"/>
                <w:color w:val="auto"/>
              </w:rPr>
              <w:t>56.2 %</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3"/>
                <w:szCs w:val="13"/>
                <w:color w:val="auto"/>
              </w:rPr>
              <w:t>Interest expense</w:t>
            </w:r>
          </w:p>
        </w:tc>
        <w:tc>
          <w:tcPr>
            <w:tcW w:w="8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283</w:t>
            </w:r>
          </w:p>
        </w:tc>
        <w:tc>
          <w:tcPr>
            <w:tcW w:w="10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242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w:t>
            </w:r>
          </w:p>
        </w:tc>
        <w:tc>
          <w:tcPr>
            <w:tcW w:w="1240" w:type="dxa"/>
            <w:vAlign w:val="bottom"/>
          </w:tcPr>
          <w:p>
            <w:pPr>
              <w:jc w:val="right"/>
              <w:spacing w:after="0"/>
              <w:rPr>
                <w:sz w:val="20"/>
                <w:szCs w:val="20"/>
                <w:color w:val="auto"/>
              </w:rPr>
            </w:pPr>
            <w:r>
              <w:rPr>
                <w:rFonts w:ascii="Arial" w:cs="Arial" w:eastAsia="Arial" w:hAnsi="Arial"/>
                <w:sz w:val="13"/>
                <w:szCs w:val="13"/>
                <w:color w:val="auto"/>
              </w:rPr>
              <w:t>16.9 %</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20"/>
                <w:szCs w:val="20"/>
                <w:color w:val="auto"/>
              </w:rPr>
            </w:pPr>
            <w:r>
              <w:rPr>
                <w:rFonts w:ascii="Arial" w:cs="Arial" w:eastAsia="Arial" w:hAnsi="Arial"/>
                <w:sz w:val="13"/>
                <w:szCs w:val="13"/>
                <w:color w:val="auto"/>
              </w:rPr>
              <w:t>Other expense (income), net (A)</w:t>
            </w:r>
          </w:p>
        </w:tc>
        <w:tc>
          <w:tcPr>
            <w:tcW w:w="800" w:type="dxa"/>
            <w:vAlign w:val="bottom"/>
            <w:tcBorders>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103</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w:t>
            </w:r>
          </w:p>
        </w:tc>
        <w:tc>
          <w:tcPr>
            <w:tcW w:w="1240" w:type="dxa"/>
            <w:vAlign w:val="bottom"/>
          </w:tcPr>
          <w:p>
            <w:pPr>
              <w:jc w:val="right"/>
              <w:spacing w:after="0"/>
              <w:rPr>
                <w:sz w:val="20"/>
                <w:szCs w:val="20"/>
                <w:color w:val="auto"/>
              </w:rPr>
            </w:pPr>
            <w:r>
              <w:rPr>
                <w:rFonts w:ascii="Arial" w:cs="Arial" w:eastAsia="Arial" w:hAnsi="Arial"/>
                <w:sz w:val="13"/>
                <w:szCs w:val="13"/>
                <w:color w:val="auto"/>
              </w:rPr>
              <w:t>120.4 %</w:t>
            </w:r>
          </w:p>
        </w:tc>
        <w:tc>
          <w:tcPr>
            <w:tcW w:w="0" w:type="dxa"/>
            <w:vAlign w:val="bottom"/>
          </w:tcPr>
          <w:p>
            <w:pPr>
              <w:spacing w:after="0"/>
              <w:rPr>
                <w:sz w:val="1"/>
                <w:szCs w:val="1"/>
                <w:color w:val="auto"/>
              </w:rPr>
            </w:pPr>
          </w:p>
        </w:tc>
      </w:tr>
      <w:tr>
        <w:trPr>
          <w:trHeight w:val="140"/>
        </w:trPr>
        <w:tc>
          <w:tcPr>
            <w:tcW w:w="4800" w:type="dxa"/>
            <w:vAlign w:val="bottom"/>
          </w:tcPr>
          <w:p>
            <w:pPr>
              <w:spacing w:after="0" w:line="140" w:lineRule="exact"/>
              <w:rPr>
                <w:sz w:val="20"/>
                <w:szCs w:val="20"/>
                <w:color w:val="auto"/>
              </w:rPr>
            </w:pPr>
            <w:r>
              <w:rPr>
                <w:rFonts w:ascii="Arial" w:cs="Arial" w:eastAsia="Arial" w:hAnsi="Arial"/>
                <w:sz w:val="13"/>
                <w:szCs w:val="13"/>
                <w:b w:val="1"/>
                <w:bCs w:val="1"/>
                <w:color w:val="auto"/>
              </w:rPr>
              <w:t>Income before income taxes and equity in net earnings</w:t>
            </w:r>
          </w:p>
        </w:tc>
        <w:tc>
          <w:tcPr>
            <w:tcW w:w="80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Borders>
              <w:right w:val="single" w:sz="8" w:color="auto"/>
            </w:tcBorders>
          </w:tcPr>
          <w:p>
            <w:pPr>
              <w:jc w:val="right"/>
              <w:ind w:right="14"/>
              <w:spacing w:after="0" w:line="140" w:lineRule="exact"/>
              <w:rPr>
                <w:sz w:val="20"/>
                <w:szCs w:val="20"/>
                <w:color w:val="auto"/>
              </w:rPr>
            </w:pPr>
            <w:r>
              <w:rPr>
                <w:rFonts w:ascii="Arial" w:cs="Arial" w:eastAsia="Arial" w:hAnsi="Arial"/>
                <w:sz w:val="13"/>
                <w:szCs w:val="13"/>
                <w:b w:val="1"/>
                <w:bCs w:val="1"/>
                <w:color w:val="00497F"/>
              </w:rPr>
              <w:t>4,600</w:t>
            </w:r>
          </w:p>
        </w:tc>
        <w:tc>
          <w:tcPr>
            <w:tcW w:w="1060" w:type="dxa"/>
            <w:vAlign w:val="bottom"/>
          </w:tcPr>
          <w:p>
            <w:pPr>
              <w:spacing w:after="0"/>
              <w:rPr>
                <w:sz w:val="12"/>
                <w:szCs w:val="12"/>
                <w:color w:val="auto"/>
              </w:rPr>
            </w:pPr>
          </w:p>
        </w:tc>
        <w:tc>
          <w:tcPr>
            <w:tcW w:w="600" w:type="dxa"/>
            <w:vAlign w:val="bottom"/>
          </w:tcPr>
          <w:p>
            <w:pPr>
              <w:jc w:val="right"/>
              <w:ind w:right="14"/>
              <w:spacing w:after="0" w:line="140" w:lineRule="exact"/>
              <w:rPr>
                <w:sz w:val="20"/>
                <w:szCs w:val="20"/>
                <w:color w:val="auto"/>
              </w:rPr>
            </w:pPr>
            <w:r>
              <w:rPr>
                <w:rFonts w:ascii="Arial" w:cs="Arial" w:eastAsia="Arial" w:hAnsi="Arial"/>
                <w:sz w:val="13"/>
                <w:szCs w:val="13"/>
                <w:color w:val="auto"/>
              </w:rPr>
              <w:t>3,456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1,144</w:t>
            </w:r>
          </w:p>
        </w:tc>
        <w:tc>
          <w:tcPr>
            <w:tcW w:w="1240" w:type="dxa"/>
            <w:vAlign w:val="bottom"/>
          </w:tcPr>
          <w:p>
            <w:pPr>
              <w:jc w:val="right"/>
              <w:spacing w:after="0" w:line="140" w:lineRule="exact"/>
              <w:rPr>
                <w:sz w:val="20"/>
                <w:szCs w:val="20"/>
                <w:color w:val="auto"/>
              </w:rPr>
            </w:pPr>
            <w:r>
              <w:rPr>
                <w:rFonts w:ascii="Arial" w:cs="Arial" w:eastAsia="Arial" w:hAnsi="Arial"/>
                <w:sz w:val="13"/>
                <w:szCs w:val="13"/>
                <w:color w:val="auto"/>
              </w:rPr>
              <w:t>33.1 %</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1,307</w:t>
            </w:r>
          </w:p>
        </w:tc>
        <w:tc>
          <w:tcPr>
            <w:tcW w:w="10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763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544</w:t>
            </w:r>
          </w:p>
        </w:tc>
        <w:tc>
          <w:tcPr>
            <w:tcW w:w="1240" w:type="dxa"/>
            <w:vAlign w:val="bottom"/>
          </w:tcPr>
          <w:p>
            <w:pPr>
              <w:jc w:val="right"/>
              <w:spacing w:after="0"/>
              <w:rPr>
                <w:sz w:val="20"/>
                <w:szCs w:val="20"/>
                <w:color w:val="auto"/>
              </w:rPr>
            </w:pPr>
            <w:r>
              <w:rPr>
                <w:rFonts w:ascii="Arial" w:cs="Arial" w:eastAsia="Arial" w:hAnsi="Arial"/>
                <w:sz w:val="13"/>
                <w:szCs w:val="13"/>
                <w:color w:val="auto"/>
              </w:rPr>
              <w:t>71.3 %</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20"/>
                <w:szCs w:val="20"/>
                <w:color w:val="auto"/>
              </w:rPr>
            </w:pPr>
            <w:r>
              <w:rPr>
                <w:rFonts w:ascii="Arial" w:cs="Arial" w:eastAsia="Arial" w:hAnsi="Arial"/>
                <w:sz w:val="13"/>
                <w:szCs w:val="13"/>
                <w:color w:val="auto"/>
              </w:rPr>
              <w:t>Equity in net earnings (B)</w:t>
            </w:r>
          </w:p>
        </w:tc>
        <w:tc>
          <w:tcPr>
            <w:tcW w:w="800" w:type="dxa"/>
            <w:vAlign w:val="bottom"/>
            <w:tcBorders>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74</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240" w:type="dxa"/>
            <w:vAlign w:val="bottom"/>
          </w:tcPr>
          <w:p>
            <w:pPr>
              <w:jc w:val="right"/>
              <w:spacing w:after="0"/>
              <w:rPr>
                <w:sz w:val="20"/>
                <w:szCs w:val="20"/>
                <w:color w:val="auto"/>
              </w:rPr>
            </w:pPr>
            <w:r>
              <w:rPr>
                <w:rFonts w:ascii="Arial" w:cs="Arial" w:eastAsia="Arial" w:hAnsi="Arial"/>
                <w:sz w:val="13"/>
                <w:szCs w:val="13"/>
                <w:color w:val="auto"/>
              </w:rPr>
              <w:t>428.6 %</w:t>
            </w:r>
          </w:p>
        </w:tc>
        <w:tc>
          <w:tcPr>
            <w:tcW w:w="0" w:type="dxa"/>
            <w:vAlign w:val="bottom"/>
          </w:tcPr>
          <w:p>
            <w:pPr>
              <w:spacing w:after="0"/>
              <w:rPr>
                <w:sz w:val="1"/>
                <w:szCs w:val="1"/>
                <w:color w:val="auto"/>
              </w:rPr>
            </w:pPr>
          </w:p>
        </w:tc>
      </w:tr>
      <w:tr>
        <w:trPr>
          <w:trHeight w:val="151"/>
        </w:trPr>
        <w:tc>
          <w:tcPr>
            <w:tcW w:w="48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80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jc w:val="right"/>
              <w:ind w:right="940"/>
              <w:spacing w:after="0"/>
              <w:rPr>
                <w:sz w:val="20"/>
                <w:szCs w:val="20"/>
                <w:color w:val="auto"/>
              </w:rPr>
            </w:pPr>
            <w:r>
              <w:rPr>
                <w:rFonts w:ascii="Arial" w:cs="Arial" w:eastAsia="Arial" w:hAnsi="Arial"/>
                <w:sz w:val="5"/>
                <w:szCs w:val="5"/>
                <w:b w:val="1"/>
                <w:bCs w:val="1"/>
                <w:color w:val="00497F"/>
                <w:w w:val="70"/>
              </w:rPr>
              <w:t>$</w:t>
            </w: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3,367</w:t>
            </w:r>
          </w:p>
        </w:tc>
        <w:tc>
          <w:tcPr>
            <w:tcW w:w="1060" w:type="dxa"/>
            <w:vAlign w:val="bottom"/>
            <w:tcBorders>
              <w:bottom w:val="single" w:sz="8" w:color="auto"/>
            </w:tcBorders>
          </w:tcPr>
          <w:p>
            <w:pPr>
              <w:jc w:val="right"/>
              <w:ind w:right="91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2,707</w:t>
            </w: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w:t>
            </w:r>
          </w:p>
        </w:tc>
        <w:tc>
          <w:tcPr>
            <w:tcW w:w="1240" w:type="dxa"/>
            <w:vAlign w:val="bottom"/>
          </w:tcPr>
          <w:p>
            <w:pPr>
              <w:jc w:val="right"/>
              <w:spacing w:after="0"/>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3"/>
                <w:szCs w:val="13"/>
                <w:color w:val="auto"/>
              </w:rPr>
              <w:t>Basic earnings per common share</w:t>
            </w:r>
          </w:p>
        </w:tc>
        <w:tc>
          <w:tcPr>
            <w:tcW w:w="800" w:type="dxa"/>
            <w:vAlign w:val="bottom"/>
            <w:tcBorders>
              <w:right w:val="single" w:sz="8" w:color="auto"/>
            </w:tcBorders>
          </w:tcPr>
          <w:p>
            <w:pPr>
              <w:spacing w:after="0"/>
              <w:rPr>
                <w:sz w:val="20"/>
                <w:szCs w:val="20"/>
                <w:color w:val="auto"/>
              </w:rPr>
            </w:pPr>
          </w:p>
        </w:tc>
        <w:tc>
          <w:tcPr>
            <w:tcW w:w="1020" w:type="dxa"/>
            <w:vAlign w:val="bottom"/>
          </w:tcPr>
          <w:p>
            <w:pPr>
              <w:jc w:val="right"/>
              <w:ind w:right="940"/>
              <w:spacing w:after="0"/>
              <w:rPr>
                <w:sz w:val="20"/>
                <w:szCs w:val="20"/>
                <w:color w:val="auto"/>
              </w:rPr>
            </w:pPr>
            <w:r>
              <w:rPr>
                <w:rFonts w:ascii="Arial" w:cs="Arial" w:eastAsia="Arial" w:hAnsi="Arial"/>
                <w:sz w:val="5"/>
                <w:szCs w:val="5"/>
                <w:b w:val="1"/>
                <w:bCs w:val="1"/>
                <w:color w:val="00497F"/>
                <w:w w:val="70"/>
              </w:rPr>
              <w:t>$</w:t>
            </w: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25.47</w:t>
            </w: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20.20</w:t>
            </w:r>
          </w:p>
        </w:tc>
        <w:tc>
          <w:tcPr>
            <w:tcW w:w="60" w:type="dxa"/>
            <w:vAlign w:val="bottom"/>
          </w:tcPr>
          <w:p>
            <w:pPr>
              <w:spacing w:after="0"/>
              <w:rPr>
                <w:sz w:val="20"/>
                <w:szCs w:val="20"/>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5.27</w:t>
            </w:r>
          </w:p>
        </w:tc>
        <w:tc>
          <w:tcPr>
            <w:tcW w:w="1240" w:type="dxa"/>
            <w:vAlign w:val="bottom"/>
          </w:tcPr>
          <w:p>
            <w:pPr>
              <w:jc w:val="right"/>
              <w:spacing w:after="0"/>
              <w:rPr>
                <w:sz w:val="20"/>
                <w:szCs w:val="20"/>
                <w:color w:val="auto"/>
              </w:rPr>
            </w:pPr>
            <w:r>
              <w:rPr>
                <w:rFonts w:ascii="Arial" w:cs="Arial" w:eastAsia="Arial" w:hAnsi="Arial"/>
                <w:sz w:val="13"/>
                <w:szCs w:val="13"/>
                <w:color w:val="auto"/>
              </w:rPr>
              <w:t>26.1 %</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800" w:type="dxa"/>
            <w:vAlign w:val="bottom"/>
            <w:tcBorders>
              <w:right w:val="single" w:sz="8" w:color="auto"/>
            </w:tcBorders>
          </w:tcPr>
          <w:p>
            <w:pPr>
              <w:spacing w:after="0"/>
              <w:rPr>
                <w:sz w:val="14"/>
                <w:szCs w:val="14"/>
                <w:color w:val="auto"/>
              </w:rPr>
            </w:pPr>
          </w:p>
        </w:tc>
        <w:tc>
          <w:tcPr>
            <w:tcW w:w="1020" w:type="dxa"/>
            <w:vAlign w:val="bottom"/>
          </w:tcPr>
          <w:p>
            <w:pPr>
              <w:jc w:val="right"/>
              <w:ind w:right="940"/>
              <w:spacing w:after="0"/>
              <w:rPr>
                <w:sz w:val="20"/>
                <w:szCs w:val="20"/>
                <w:color w:val="auto"/>
              </w:rPr>
            </w:pPr>
            <w:r>
              <w:rPr>
                <w:rFonts w:ascii="Arial" w:cs="Arial" w:eastAsia="Arial" w:hAnsi="Arial"/>
                <w:sz w:val="5"/>
                <w:szCs w:val="5"/>
                <w:b w:val="1"/>
                <w:bCs w:val="1"/>
                <w:color w:val="00497F"/>
                <w:w w:val="70"/>
              </w:rPr>
              <w:t>$</w:t>
            </w: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25.31</w:t>
            </w: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20.10</w:t>
            </w:r>
          </w:p>
        </w:tc>
        <w:tc>
          <w:tcPr>
            <w:tcW w:w="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5.21</w:t>
            </w:r>
          </w:p>
        </w:tc>
        <w:tc>
          <w:tcPr>
            <w:tcW w:w="1240" w:type="dxa"/>
            <w:vAlign w:val="bottom"/>
          </w:tcPr>
          <w:p>
            <w:pPr>
              <w:jc w:val="right"/>
              <w:spacing w:after="0"/>
              <w:rPr>
                <w:sz w:val="20"/>
                <w:szCs w:val="20"/>
                <w:color w:val="auto"/>
              </w:rPr>
            </w:pPr>
            <w:r>
              <w:rPr>
                <w:rFonts w:ascii="Arial" w:cs="Arial" w:eastAsia="Arial" w:hAnsi="Arial"/>
                <w:sz w:val="13"/>
                <w:szCs w:val="13"/>
                <w:color w:val="auto"/>
              </w:rPr>
              <w:t>25.9 %</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3"/>
                <w:szCs w:val="13"/>
                <w:color w:val="auto"/>
              </w:rPr>
              <w:t>Shares used in computing basic earnings per common share (000’s)</w:t>
            </w:r>
          </w:p>
        </w:tc>
        <w:tc>
          <w:tcPr>
            <w:tcW w:w="8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132,199</w:t>
            </w:r>
          </w:p>
        </w:tc>
        <w:tc>
          <w:tcPr>
            <w:tcW w:w="106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134,055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20"/>
                <w:szCs w:val="20"/>
                <w:color w:val="auto"/>
              </w:rPr>
            </w:pPr>
            <w:r>
              <w:rPr>
                <w:rFonts w:ascii="Arial" w:cs="Arial" w:eastAsia="Arial" w:hAnsi="Arial"/>
                <w:sz w:val="13"/>
                <w:szCs w:val="13"/>
                <w:color w:val="auto"/>
              </w:rPr>
              <w:t>Shares used in computing diluted earnings per common share (000’s)</w:t>
            </w:r>
          </w:p>
        </w:tc>
        <w:tc>
          <w:tcPr>
            <w:tcW w:w="800" w:type="dxa"/>
            <w:vAlign w:val="bottom"/>
            <w:tcBorders>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00497F"/>
              </w:rPr>
              <w:t>133,012</w:t>
            </w:r>
          </w:p>
        </w:tc>
        <w:tc>
          <w:tcPr>
            <w:tcW w:w="10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134,727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4800" w:type="dxa"/>
            <w:vAlign w:val="bottom"/>
          </w:tcPr>
          <w:p>
            <w:pPr>
              <w:spacing w:after="0"/>
              <w:rPr>
                <w:sz w:val="24"/>
                <w:szCs w:val="2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3"/>
                <w:szCs w:val="13"/>
                <w:color w:val="auto"/>
              </w:rPr>
              <w:t>S-4</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67" w:right="29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Humana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millions, except share amounts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40" w:type="dxa"/>
            <w:vAlign w:val="bottom"/>
          </w:tcPr>
          <w:p>
            <w:pPr>
              <w:spacing w:after="0"/>
              <w:rPr>
                <w:sz w:val="11"/>
                <w:szCs w:val="11"/>
                <w:color w:val="auto"/>
              </w:rPr>
            </w:pPr>
          </w:p>
        </w:tc>
        <w:tc>
          <w:tcPr>
            <w:tcW w:w="160" w:type="dxa"/>
            <w:vAlign w:val="bottom"/>
            <w:tcBorders>
              <w:top w:val="single" w:sz="8" w:color="auto"/>
              <w:lef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jc w:val="right"/>
              <w:ind w:right="232"/>
              <w:spacing w:after="0"/>
              <w:rPr>
                <w:sz w:val="20"/>
                <w:szCs w:val="20"/>
                <w:color w:val="auto"/>
              </w:rPr>
            </w:pPr>
            <w:r>
              <w:rPr>
                <w:rFonts w:ascii="Arial" w:cs="Arial" w:eastAsia="Arial" w:hAnsi="Arial"/>
                <w:sz w:val="10"/>
                <w:szCs w:val="10"/>
                <w:b w:val="1"/>
                <w:bCs w:val="1"/>
                <w:color w:val="00497F"/>
              </w:rPr>
              <w:t>December 31,</w:t>
            </w:r>
          </w:p>
        </w:tc>
        <w:tc>
          <w:tcPr>
            <w:tcW w:w="120" w:type="dxa"/>
            <w:vAlign w:val="bottom"/>
          </w:tcPr>
          <w:p>
            <w:pPr>
              <w:spacing w:after="0"/>
              <w:rPr>
                <w:sz w:val="11"/>
                <w:szCs w:val="11"/>
                <w:color w:val="auto"/>
              </w:rPr>
            </w:pPr>
          </w:p>
        </w:tc>
        <w:tc>
          <w:tcPr>
            <w:tcW w:w="940" w:type="dxa"/>
            <w:vAlign w:val="bottom"/>
          </w:tcPr>
          <w:p>
            <w:pPr>
              <w:jc w:val="right"/>
              <w:ind w:right="212"/>
              <w:spacing w:after="0"/>
              <w:rPr>
                <w:sz w:val="20"/>
                <w:szCs w:val="20"/>
                <w:color w:val="auto"/>
              </w:rPr>
            </w:pPr>
            <w:r>
              <w:rPr>
                <w:rFonts w:ascii="Arial" w:cs="Arial" w:eastAsia="Arial" w:hAnsi="Arial"/>
                <w:sz w:val="10"/>
                <w:szCs w:val="10"/>
                <w:color w:val="auto"/>
              </w:rPr>
              <w:t>December 31,</w:t>
            </w:r>
          </w:p>
        </w:tc>
        <w:tc>
          <w:tcPr>
            <w:tcW w:w="0" w:type="dxa"/>
            <w:vAlign w:val="bottom"/>
          </w:tcPr>
          <w:p>
            <w:pPr>
              <w:spacing w:after="0"/>
              <w:rPr>
                <w:sz w:val="1"/>
                <w:szCs w:val="1"/>
                <w:color w:val="auto"/>
              </w:rPr>
            </w:pPr>
          </w:p>
        </w:tc>
      </w:tr>
      <w:tr>
        <w:trPr>
          <w:trHeight w:val="128"/>
        </w:trPr>
        <w:tc>
          <w:tcPr>
            <w:tcW w:w="554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0"/>
                <w:szCs w:val="10"/>
                <w:b w:val="1"/>
                <w:bCs w:val="1"/>
                <w:color w:val="00497F"/>
              </w:rPr>
              <w:t>2020</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106"/>
        </w:trPr>
        <w:tc>
          <w:tcPr>
            <w:tcW w:w="554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Current assets: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Cash and cash equivalents</w:t>
            </w:r>
          </w:p>
        </w:tc>
        <w:tc>
          <w:tcPr>
            <w:tcW w:w="160" w:type="dxa"/>
            <w:vAlign w:val="bottom"/>
            <w:tcBorders>
              <w:lef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w:t>
            </w: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4,673</w:t>
            </w: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4,054</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Investment securities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12,554</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10,972</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Receivables, net</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1,138</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1,056</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Other current assets</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5,276</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3,806</w:t>
            </w: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line="109" w:lineRule="exact"/>
              <w:rPr>
                <w:sz w:val="20"/>
                <w:szCs w:val="20"/>
                <w:color w:val="auto"/>
              </w:rPr>
            </w:pPr>
            <w:r>
              <w:rPr>
                <w:rFonts w:ascii="Arial" w:cs="Arial" w:eastAsia="Arial" w:hAnsi="Arial"/>
                <w:sz w:val="10"/>
                <w:szCs w:val="10"/>
                <w:color w:val="auto"/>
              </w:rPr>
              <w:t>Total current assets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23,641</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19,888</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Property and equipment, net</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2,371</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1,955</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Long-term investment securities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1,212</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406</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Goodwill</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4,447</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3,928</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Equity method investments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1,170</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1,063</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Other long-term assets</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2,128</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1,834</w:t>
            </w:r>
          </w:p>
        </w:tc>
        <w:tc>
          <w:tcPr>
            <w:tcW w:w="0" w:type="dxa"/>
            <w:vAlign w:val="bottom"/>
          </w:tcPr>
          <w:p>
            <w:pPr>
              <w:spacing w:after="0"/>
              <w:rPr>
                <w:sz w:val="1"/>
                <w:szCs w:val="1"/>
                <w:color w:val="auto"/>
              </w:rPr>
            </w:pPr>
          </w:p>
        </w:tc>
      </w:tr>
      <w:tr>
        <w:trPr>
          <w:trHeight w:val="115"/>
        </w:trPr>
        <w:tc>
          <w:tcPr>
            <w:tcW w:w="5540" w:type="dxa"/>
            <w:vAlign w:val="bottom"/>
          </w:tcPr>
          <w:p>
            <w:pPr>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left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w:t>
            </w: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34,969</w:t>
            </w:r>
          </w:p>
        </w:tc>
        <w:tc>
          <w:tcPr>
            <w:tcW w:w="120" w:type="dxa"/>
            <w:vAlign w:val="bottom"/>
            <w:tcBorders>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29,074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540" w:type="dxa"/>
            <w:vAlign w:val="bottom"/>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Current liabilities: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Benefits payable</w:t>
            </w:r>
          </w:p>
        </w:tc>
        <w:tc>
          <w:tcPr>
            <w:tcW w:w="160" w:type="dxa"/>
            <w:vAlign w:val="bottom"/>
            <w:tcBorders>
              <w:lef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w:t>
            </w: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8,143</w:t>
            </w: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6,004</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Trade accounts payable and accrued expenses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4,013</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3,754</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Book overdraft</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320</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Unearned revenues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318</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Short-term debt</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600</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699</w:t>
            </w: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line="109" w:lineRule="exact"/>
              <w:rPr>
                <w:sz w:val="20"/>
                <w:szCs w:val="20"/>
                <w:color w:val="auto"/>
              </w:rPr>
            </w:pPr>
            <w:r>
              <w:rPr>
                <w:rFonts w:ascii="Arial" w:cs="Arial" w:eastAsia="Arial" w:hAnsi="Arial"/>
                <w:sz w:val="10"/>
                <w:szCs w:val="10"/>
                <w:color w:val="auto"/>
              </w:rPr>
              <w:t>Total current liabilities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13,394</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10,929</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Long-term debt</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6,060</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4,967</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Other long-term liabilities</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1,787</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1,141</w:t>
            </w: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line="113" w:lineRule="exact"/>
              <w:rPr>
                <w:sz w:val="20"/>
                <w:szCs w:val="20"/>
                <w:color w:val="auto"/>
              </w:rPr>
            </w:pPr>
            <w:r>
              <w:rPr>
                <w:rFonts w:ascii="Arial" w:cs="Arial" w:eastAsia="Arial" w:hAnsi="Arial"/>
                <w:sz w:val="10"/>
                <w:szCs w:val="10"/>
                <w:b w:val="1"/>
                <w:bCs w:val="1"/>
                <w:color w:val="auto"/>
              </w:rPr>
              <w:t>Total liabilities</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21,241</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17,037</w:t>
            </w:r>
          </w:p>
        </w:tc>
        <w:tc>
          <w:tcPr>
            <w:tcW w:w="0" w:type="dxa"/>
            <w:vAlign w:val="bottom"/>
          </w:tcPr>
          <w:p>
            <w:pPr>
              <w:spacing w:after="0"/>
              <w:rPr>
                <w:sz w:val="1"/>
                <w:szCs w:val="1"/>
                <w:color w:val="auto"/>
              </w:rPr>
            </w:pPr>
          </w:p>
        </w:tc>
      </w:tr>
      <w:tr>
        <w:trPr>
          <w:trHeight w:val="106"/>
        </w:trPr>
        <w:tc>
          <w:tcPr>
            <w:tcW w:w="5540" w:type="dxa"/>
            <w:vAlign w:val="bottom"/>
          </w:tcPr>
          <w:p>
            <w:pPr>
              <w:spacing w:after="0" w:line="106" w:lineRule="exact"/>
              <w:rPr>
                <w:sz w:val="20"/>
                <w:szCs w:val="20"/>
                <w:color w:val="auto"/>
              </w:rPr>
            </w:pPr>
            <w:r>
              <w:rPr>
                <w:rFonts w:ascii="Arial" w:cs="Arial" w:eastAsia="Arial" w:hAnsi="Arial"/>
                <w:sz w:val="10"/>
                <w:szCs w:val="10"/>
                <w:color w:val="auto"/>
              </w:rPr>
              <w:t>Commitments and contingencies</w:t>
            </w:r>
          </w:p>
        </w:tc>
        <w:tc>
          <w:tcPr>
            <w:tcW w:w="160" w:type="dxa"/>
            <w:vAlign w:val="bottom"/>
            <w:tcBorders>
              <w:lef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Stockholders’ equity:</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Preferred stock, $1 par; 10,000,000 shares authorized, none issued</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Common stock, $0.16 2/3 par; 300,000,000 shares authorized; 198,648,742 issued at December 31, 2020</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33</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Capital in excess of par value</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2,705</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2,820</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Retained earnings</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20,517</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17,483</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Accumulated other comprehensive income</w:t>
            </w:r>
          </w:p>
        </w:tc>
        <w:tc>
          <w:tcPr>
            <w:tcW w:w="1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391</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Treasury stock, at cost, 69,787,614 shares at December 31, 2020</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(9,918)</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(8,455)</w:t>
            </w: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line="113" w:lineRule="exact"/>
              <w:rPr>
                <w:sz w:val="20"/>
                <w:szCs w:val="20"/>
                <w:color w:val="auto"/>
              </w:rPr>
            </w:pPr>
            <w:r>
              <w:rPr>
                <w:rFonts w:ascii="Arial" w:cs="Arial" w:eastAsia="Arial" w:hAnsi="Arial"/>
                <w:sz w:val="10"/>
                <w:szCs w:val="10"/>
                <w:b w:val="1"/>
                <w:bCs w:val="1"/>
                <w:color w:val="auto"/>
              </w:rPr>
              <w:t>Total stockholders’ equity</w:t>
            </w:r>
          </w:p>
        </w:tc>
        <w:tc>
          <w:tcPr>
            <w:tcW w:w="1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13,728</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12,037</w:t>
            </w:r>
          </w:p>
        </w:tc>
        <w:tc>
          <w:tcPr>
            <w:tcW w:w="0" w:type="dxa"/>
            <w:vAlign w:val="bottom"/>
          </w:tcPr>
          <w:p>
            <w:pPr>
              <w:spacing w:after="0"/>
              <w:rPr>
                <w:sz w:val="1"/>
                <w:szCs w:val="1"/>
                <w:color w:val="auto"/>
              </w:rPr>
            </w:pPr>
          </w:p>
        </w:tc>
      </w:tr>
      <w:tr>
        <w:trPr>
          <w:trHeight w:val="115"/>
        </w:trPr>
        <w:tc>
          <w:tcPr>
            <w:tcW w:w="5540" w:type="dxa"/>
            <w:vAlign w:val="bottom"/>
          </w:tcPr>
          <w:p>
            <w:pPr>
              <w:spacing w:after="0"/>
              <w:rPr>
                <w:sz w:val="20"/>
                <w:szCs w:val="20"/>
                <w:color w:val="auto"/>
              </w:rPr>
            </w:pPr>
            <w:r>
              <w:rPr>
                <w:rFonts w:ascii="Arial" w:cs="Arial" w:eastAsia="Arial" w:hAnsi="Arial"/>
                <w:sz w:val="10"/>
                <w:szCs w:val="10"/>
                <w:b w:val="1"/>
                <w:bCs w:val="1"/>
                <w:color w:val="auto"/>
              </w:rPr>
              <w:t>Total liabilities and stockholders’ equity</w:t>
            </w:r>
          </w:p>
        </w:tc>
        <w:tc>
          <w:tcPr>
            <w:tcW w:w="160" w:type="dxa"/>
            <w:vAlign w:val="bottom"/>
            <w:tcBorders>
              <w:left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w:t>
            </w:r>
          </w:p>
        </w:tc>
        <w:tc>
          <w:tcPr>
            <w:tcW w:w="9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34,969</w:t>
            </w:r>
          </w:p>
        </w:tc>
        <w:tc>
          <w:tcPr>
            <w:tcW w:w="120" w:type="dxa"/>
            <w:vAlign w:val="bottom"/>
            <w:tcBorders>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29,074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0"/>
                <w:szCs w:val="10"/>
                <w:color w:val="auto"/>
              </w:rPr>
              <w:t>Debt-to-total capitalization ratio</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540" w:type="dxa"/>
            <w:vAlign w:val="bottom"/>
            <w:vMerge w:val="continue"/>
          </w:tcPr>
          <w:p>
            <w:pPr>
              <w:spacing w:after="0"/>
              <w:rPr>
                <w:sz w:val="8"/>
                <w:szCs w:val="8"/>
                <w:color w:val="auto"/>
              </w:rPr>
            </w:pPr>
          </w:p>
        </w:tc>
        <w:tc>
          <w:tcPr>
            <w:tcW w:w="160" w:type="dxa"/>
            <w:vAlign w:val="bottom"/>
            <w:tcBorders>
              <w:left w:val="single" w:sz="8" w:color="auto"/>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jc w:val="right"/>
              <w:ind w:right="12"/>
              <w:spacing w:after="0" w:line="102" w:lineRule="exact"/>
              <w:rPr>
                <w:sz w:val="20"/>
                <w:szCs w:val="20"/>
                <w:color w:val="auto"/>
              </w:rPr>
            </w:pPr>
            <w:r>
              <w:rPr>
                <w:rFonts w:ascii="Arial" w:cs="Arial" w:eastAsia="Arial" w:hAnsi="Arial"/>
                <w:sz w:val="10"/>
                <w:szCs w:val="10"/>
                <w:b w:val="1"/>
                <w:bCs w:val="1"/>
                <w:color w:val="00497F"/>
              </w:rPr>
              <w:t>32.7 %</w:t>
            </w:r>
          </w:p>
        </w:tc>
        <w:tc>
          <w:tcPr>
            <w:tcW w:w="120" w:type="dxa"/>
            <w:vAlign w:val="bottom"/>
          </w:tcPr>
          <w:p>
            <w:pPr>
              <w:spacing w:after="0"/>
              <w:rPr>
                <w:sz w:val="8"/>
                <w:szCs w:val="8"/>
                <w:color w:val="auto"/>
              </w:rPr>
            </w:pPr>
          </w:p>
        </w:tc>
        <w:tc>
          <w:tcPr>
            <w:tcW w:w="940" w:type="dxa"/>
            <w:vAlign w:val="bottom"/>
          </w:tcPr>
          <w:p>
            <w:pPr>
              <w:jc w:val="right"/>
              <w:spacing w:after="0" w:line="102" w:lineRule="exact"/>
              <w:rPr>
                <w:sz w:val="20"/>
                <w:szCs w:val="20"/>
                <w:color w:val="auto"/>
              </w:rPr>
            </w:pPr>
            <w:r>
              <w:rPr>
                <w:rFonts w:ascii="Arial" w:cs="Arial" w:eastAsia="Arial" w:hAnsi="Arial"/>
                <w:sz w:val="10"/>
                <w:szCs w:val="10"/>
                <w:color w:val="auto"/>
              </w:rPr>
              <w:t>32.0 %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620"/>
        <w:spacing w:after="0"/>
        <w:rPr>
          <w:sz w:val="20"/>
          <w:szCs w:val="20"/>
          <w:color w:val="auto"/>
        </w:rPr>
      </w:pPr>
      <w:r>
        <w:rPr>
          <w:rFonts w:ascii="Arial" w:cs="Arial" w:eastAsia="Arial" w:hAnsi="Arial"/>
          <w:sz w:val="10"/>
          <w:szCs w:val="10"/>
          <w:color w:val="auto"/>
        </w:rPr>
        <w:t>Year-to-Date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1343025"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3025" cy="91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Dollar</w:t>
            </w: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rPr>
              <w:t>Percent</w:t>
            </w:r>
          </w:p>
        </w:tc>
      </w:tr>
      <w:tr>
        <w:trPr>
          <w:trHeight w:val="874"/>
        </w:trPr>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3,753</w:t>
            </w:r>
          </w:p>
        </w:tc>
        <w:tc>
          <w:tcPr>
            <w:tcW w:w="920" w:type="dxa"/>
            <w:vAlign w:val="bottom"/>
          </w:tcPr>
          <w:p>
            <w:pPr>
              <w:jc w:val="right"/>
              <w:spacing w:after="0"/>
              <w:rPr>
                <w:sz w:val="20"/>
                <w:szCs w:val="20"/>
                <w:color w:val="auto"/>
              </w:rPr>
            </w:pPr>
            <w:r>
              <w:rPr>
                <w:rFonts w:ascii="Arial" w:cs="Arial" w:eastAsia="Arial" w:hAnsi="Arial"/>
                <w:sz w:val="10"/>
                <w:szCs w:val="10"/>
                <w:color w:val="auto"/>
              </w:rPr>
              <w:t>18.9 %</w:t>
            </w:r>
          </w:p>
        </w:tc>
      </w:tr>
      <w:tr>
        <w:trPr>
          <w:trHeight w:val="783"/>
        </w:trPr>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5,895</w:t>
            </w:r>
          </w:p>
        </w:tc>
        <w:tc>
          <w:tcPr>
            <w:tcW w:w="920" w:type="dxa"/>
            <w:vAlign w:val="bottom"/>
          </w:tcPr>
          <w:p>
            <w:pPr>
              <w:jc w:val="right"/>
              <w:spacing w:after="0"/>
              <w:rPr>
                <w:sz w:val="20"/>
                <w:szCs w:val="20"/>
                <w:color w:val="auto"/>
              </w:rPr>
            </w:pPr>
            <w:r>
              <w:rPr>
                <w:rFonts w:ascii="Arial" w:cs="Arial" w:eastAsia="Arial" w:hAnsi="Arial"/>
                <w:sz w:val="10"/>
                <w:szCs w:val="10"/>
                <w:color w:val="auto"/>
              </w:rPr>
              <w:t>20.3 %</w:t>
            </w:r>
          </w:p>
        </w:tc>
      </w:tr>
      <w:tr>
        <w:trPr>
          <w:trHeight w:val="1017"/>
        </w:trPr>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2,465</w:t>
            </w:r>
          </w:p>
        </w:tc>
        <w:tc>
          <w:tcPr>
            <w:tcW w:w="920" w:type="dxa"/>
            <w:vAlign w:val="bottom"/>
          </w:tcPr>
          <w:p>
            <w:pPr>
              <w:jc w:val="right"/>
              <w:spacing w:after="0"/>
              <w:rPr>
                <w:sz w:val="20"/>
                <w:szCs w:val="20"/>
                <w:color w:val="auto"/>
              </w:rPr>
            </w:pPr>
            <w:r>
              <w:rPr>
                <w:rFonts w:ascii="Arial" w:cs="Arial" w:eastAsia="Arial" w:hAnsi="Arial"/>
                <w:sz w:val="10"/>
                <w:szCs w:val="10"/>
                <w:color w:val="auto"/>
              </w:rPr>
              <w:t>22.6 %</w:t>
            </w:r>
          </w:p>
        </w:tc>
      </w:tr>
      <w:tr>
        <w:trPr>
          <w:trHeight w:val="387"/>
        </w:trPr>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4,204</w:t>
            </w:r>
          </w:p>
        </w:tc>
        <w:tc>
          <w:tcPr>
            <w:tcW w:w="920" w:type="dxa"/>
            <w:vAlign w:val="bottom"/>
          </w:tcPr>
          <w:p>
            <w:pPr>
              <w:jc w:val="right"/>
              <w:spacing w:after="0"/>
              <w:rPr>
                <w:sz w:val="20"/>
                <w:szCs w:val="20"/>
                <w:color w:val="auto"/>
              </w:rPr>
            </w:pPr>
            <w:r>
              <w:rPr>
                <w:rFonts w:ascii="Arial" w:cs="Arial" w:eastAsia="Arial" w:hAnsi="Arial"/>
                <w:sz w:val="10"/>
                <w:szCs w:val="10"/>
                <w:color w:val="auto"/>
              </w:rPr>
              <w:t>24.7 %</w:t>
            </w:r>
          </w:p>
        </w:tc>
      </w:tr>
      <w:tr>
        <w:trPr>
          <w:trHeight w:val="1143"/>
        </w:trPr>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1,691</w:t>
            </w:r>
          </w:p>
        </w:tc>
        <w:tc>
          <w:tcPr>
            <w:tcW w:w="920" w:type="dxa"/>
            <w:vAlign w:val="bottom"/>
          </w:tcPr>
          <w:p>
            <w:pPr>
              <w:jc w:val="right"/>
              <w:spacing w:after="0"/>
              <w:rPr>
                <w:sz w:val="20"/>
                <w:szCs w:val="20"/>
                <w:color w:val="auto"/>
              </w:rPr>
            </w:pPr>
            <w:r>
              <w:rPr>
                <w:rFonts w:ascii="Arial" w:cs="Arial" w:eastAsia="Arial" w:hAnsi="Arial"/>
                <w:sz w:val="10"/>
                <w:szCs w:val="10"/>
                <w:color w:val="auto"/>
              </w:rPr>
              <w:t>14.0 %</w:t>
            </w:r>
          </w:p>
        </w:tc>
      </w:tr>
      <w:tr>
        <w:trPr>
          <w:trHeight w:val="153"/>
        </w:trPr>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5,895</w:t>
            </w:r>
          </w:p>
        </w:tc>
        <w:tc>
          <w:tcPr>
            <w:tcW w:w="920" w:type="dxa"/>
            <w:vAlign w:val="bottom"/>
          </w:tcPr>
          <w:p>
            <w:pPr>
              <w:jc w:val="right"/>
              <w:spacing w:after="0"/>
              <w:rPr>
                <w:sz w:val="20"/>
                <w:szCs w:val="20"/>
                <w:color w:val="auto"/>
              </w:rPr>
            </w:pPr>
            <w:r>
              <w:rPr>
                <w:rFonts w:ascii="Arial" w:cs="Arial" w:eastAsia="Arial" w:hAnsi="Arial"/>
                <w:sz w:val="10"/>
                <w:szCs w:val="10"/>
                <w:color w:val="auto"/>
              </w:rPr>
              <w:t>20.3 %</w:t>
            </w:r>
          </w:p>
        </w:tc>
      </w:tr>
    </w:tbl>
    <w:p>
      <w:pPr>
        <w:spacing w:after="0" w:line="350" w:lineRule="exact"/>
        <w:rPr>
          <w:sz w:val="20"/>
          <w:szCs w:val="20"/>
          <w:color w:val="auto"/>
        </w:rPr>
      </w:pPr>
    </w:p>
    <w:p>
      <w:pPr>
        <w:sectPr>
          <w:pgSz w:w="11900" w:h="16838" w:orient="portrait"/>
          <w:cols w:equalWidth="0" w:num="2">
            <w:col w:w="7740" w:space="60"/>
            <w:col w:w="2359"/>
          </w:cols>
          <w:pgMar w:left="300" w:top="769" w:right="1440" w:bottom="1440" w:gutter="0" w:footer="0" w:header="0"/>
        </w:sect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S-5</w:t>
      </w:r>
    </w:p>
    <w:p>
      <w:pPr>
        <w:sectPr>
          <w:pgSz w:w="11900" w:h="16838" w:orient="portrait"/>
          <w:cols w:equalWidth="0" w:num="1">
            <w:col w:w="10159"/>
          </w:cols>
          <w:pgMar w:left="300" w:top="769"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3"/>
          <w:szCs w:val="13"/>
          <w:color w:val="auto"/>
        </w:rPr>
        <w:t>Humana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440" w:type="dxa"/>
            <w:vAlign w:val="bottom"/>
            <w:tcBorders>
              <w:right w:val="single" w:sz="8" w:color="auto"/>
            </w:tcBorders>
          </w:tcPr>
          <w:p>
            <w:pPr>
              <w:spacing w:after="0"/>
              <w:rPr>
                <w:sz w:val="10"/>
                <w:szCs w:val="10"/>
                <w:color w:val="auto"/>
              </w:rPr>
            </w:pPr>
          </w:p>
        </w:tc>
        <w:tc>
          <w:tcPr>
            <w:tcW w:w="2480" w:type="dxa"/>
            <w:vAlign w:val="bottom"/>
            <w:tcBorders>
              <w:top w:val="single" w:sz="8" w:color="auto"/>
              <w:bottom w:val="single" w:sz="8" w:color="auto"/>
              <w:right w:val="single" w:sz="8" w:color="auto"/>
            </w:tcBorders>
            <w:gridSpan w:val="4"/>
          </w:tcPr>
          <w:p>
            <w:pPr>
              <w:jc w:val="right"/>
              <w:ind w:right="252"/>
              <w:spacing w:after="0"/>
              <w:rPr>
                <w:sz w:val="20"/>
                <w:szCs w:val="20"/>
                <w:color w:val="auto"/>
              </w:rPr>
            </w:pPr>
            <w:r>
              <w:rPr>
                <w:rFonts w:ascii="Arial" w:cs="Arial" w:eastAsia="Arial" w:hAnsi="Arial"/>
                <w:sz w:val="10"/>
                <w:szCs w:val="10"/>
                <w:b w:val="1"/>
                <w:bCs w:val="1"/>
                <w:color w:val="auto"/>
              </w:rPr>
              <w:t>For the three months ended December 31,</w:t>
            </w:r>
          </w:p>
        </w:tc>
        <w:tc>
          <w:tcPr>
            <w:tcW w:w="200" w:type="dxa"/>
            <w:vAlign w:val="bottom"/>
          </w:tcPr>
          <w:p>
            <w:pPr>
              <w:spacing w:after="0"/>
              <w:rPr>
                <w:sz w:val="10"/>
                <w:szCs w:val="10"/>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0"/>
                <w:szCs w:val="10"/>
                <w:color w:val="auto"/>
              </w:rPr>
              <w:t>Dollar</w:t>
            </w:r>
          </w:p>
        </w:tc>
        <w:tc>
          <w:tcPr>
            <w:tcW w:w="880" w:type="dxa"/>
            <w:vAlign w:val="bottom"/>
            <w:vMerge w:val="restart"/>
          </w:tcPr>
          <w:p>
            <w:pPr>
              <w:jc w:val="right"/>
              <w:ind w:right="212"/>
              <w:spacing w:after="0"/>
              <w:rPr>
                <w:sz w:val="20"/>
                <w:szCs w:val="20"/>
                <w:color w:val="auto"/>
              </w:rPr>
            </w:pPr>
            <w:r>
              <w:rPr>
                <w:rFonts w:ascii="Arial" w:cs="Arial" w:eastAsia="Arial" w:hAnsi="Arial"/>
                <w:sz w:val="10"/>
                <w:szCs w:val="10"/>
                <w:color w:val="auto"/>
              </w:rPr>
              <w:t>Percentage</w:t>
            </w: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2020</w:t>
            </w:r>
          </w:p>
        </w:tc>
        <w:tc>
          <w:tcPr>
            <w:tcW w:w="4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2019</w:t>
            </w:r>
          </w:p>
        </w:tc>
        <w:tc>
          <w:tcPr>
            <w:tcW w:w="4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Change</w:t>
            </w: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Change</w:t>
            </w:r>
          </w:p>
        </w:tc>
        <w:tc>
          <w:tcPr>
            <w:tcW w:w="0" w:type="dxa"/>
            <w:vAlign w:val="bottom"/>
          </w:tcPr>
          <w:p>
            <w:pPr>
              <w:spacing w:after="0"/>
              <w:rPr>
                <w:sz w:val="1"/>
                <w:szCs w:val="1"/>
                <w:color w:val="auto"/>
              </w:rPr>
            </w:pPr>
          </w:p>
        </w:tc>
      </w:tr>
      <w:tr>
        <w:trPr>
          <w:trHeight w:val="106"/>
        </w:trPr>
        <w:tc>
          <w:tcPr>
            <w:tcW w:w="5440" w:type="dxa"/>
            <w:vAlign w:val="bottom"/>
            <w:tcBorders>
              <w:right w:val="single" w:sz="8" w:color="auto"/>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Net (loss) income</w:t>
            </w:r>
          </w:p>
        </w:tc>
        <w:tc>
          <w:tcPr>
            <w:tcW w:w="800" w:type="dxa"/>
            <w:vAlign w:val="bottom"/>
          </w:tcPr>
          <w:p>
            <w:pPr>
              <w:jc w:val="right"/>
              <w:ind w:right="692"/>
              <w:spacing w:after="0"/>
              <w:rPr>
                <w:sz w:val="20"/>
                <w:szCs w:val="20"/>
                <w:color w:val="auto"/>
              </w:rPr>
            </w:pPr>
            <w:r>
              <w:rPr>
                <w:rFonts w:ascii="Arial" w:cs="Arial" w:eastAsia="Arial" w:hAnsi="Arial"/>
                <w:sz w:val="10"/>
                <w:szCs w:val="10"/>
                <w:b w:val="1"/>
                <w:bCs w:val="1"/>
                <w:color w:val="00497F"/>
                <w:w w:val="71"/>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(274)</w:t>
            </w: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512</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40"/>
              <w:spacing w:after="0"/>
              <w:rPr>
                <w:sz w:val="20"/>
                <w:szCs w:val="20"/>
                <w:color w:val="auto"/>
              </w:rPr>
            </w:pPr>
            <w:r>
              <w:rPr>
                <w:rFonts w:ascii="Arial" w:cs="Arial" w:eastAsia="Arial" w:hAnsi="Arial"/>
                <w:sz w:val="10"/>
                <w:szCs w:val="10"/>
                <w:color w:val="auto"/>
              </w:rPr>
              <w:t>Adjustments to reconcile net income to net cash provided by operating activities: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Depreciation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138</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123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Amortization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22</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17</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Gains on investment securities,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(142)</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(39)</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Equity in net (earnings) losses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(6)</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Stock-based compensation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52</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44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Provision for deferred income taxes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198</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183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Changes in operating assets and liabilities, net of effect of businesses acquired and dispositions:</w:t>
            </w:r>
          </w:p>
        </w:tc>
        <w:tc>
          <w:tcPr>
            <w:tcW w:w="8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Receivables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(211)</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Other assets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966</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(216)</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Benefits payable</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(65)</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(216)</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Other liabilities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(658)</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303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Unearned revenues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31</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Other, net</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24</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37</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provided by operating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283</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512</w:t>
            </w:r>
          </w:p>
        </w:tc>
        <w:tc>
          <w:tcPr>
            <w:tcW w:w="1260" w:type="dxa"/>
            <w:vAlign w:val="bottom"/>
            <w:gridSpan w:val="2"/>
          </w:tcPr>
          <w:p>
            <w:pPr>
              <w:jc w:val="right"/>
              <w:ind w:right="92"/>
              <w:spacing w:after="0"/>
              <w:rPr>
                <w:sz w:val="20"/>
                <w:szCs w:val="20"/>
                <w:color w:val="auto"/>
              </w:rPr>
            </w:pPr>
            <w:r>
              <w:rPr>
                <w:rFonts w:ascii="Arial" w:cs="Arial" w:eastAsia="Arial" w:hAnsi="Arial"/>
                <w:sz w:val="10"/>
                <w:szCs w:val="10"/>
                <w:color w:val="auto"/>
              </w:rPr>
              <w:t>($229)</w:t>
            </w:r>
          </w:p>
        </w:tc>
        <w:tc>
          <w:tcPr>
            <w:tcW w:w="880" w:type="dxa"/>
            <w:vAlign w:val="bottom"/>
          </w:tcPr>
          <w:p>
            <w:pPr>
              <w:jc w:val="right"/>
              <w:spacing w:after="0"/>
              <w:rPr>
                <w:sz w:val="20"/>
                <w:szCs w:val="20"/>
                <w:color w:val="auto"/>
              </w:rPr>
            </w:pPr>
            <w:r>
              <w:rPr>
                <w:rFonts w:ascii="Arial" w:cs="Arial" w:eastAsia="Arial" w:hAnsi="Arial"/>
                <w:sz w:val="10"/>
                <w:szCs w:val="10"/>
                <w:color w:val="auto"/>
              </w:rPr>
              <w:t>-44.7 %</w:t>
            </w:r>
          </w:p>
        </w:tc>
        <w:tc>
          <w:tcPr>
            <w:tcW w:w="0" w:type="dxa"/>
            <w:vAlign w:val="bottom"/>
          </w:tcPr>
          <w:p>
            <w:pPr>
              <w:spacing w:after="0"/>
              <w:rPr>
                <w:sz w:val="1"/>
                <w:szCs w:val="1"/>
                <w:color w:val="auto"/>
              </w:rPr>
            </w:pPr>
          </w:p>
        </w:tc>
      </w:tr>
      <w:tr>
        <w:trPr>
          <w:trHeight w:val="106"/>
        </w:trPr>
        <w:tc>
          <w:tcPr>
            <w:tcW w:w="5440" w:type="dxa"/>
            <w:vAlign w:val="bottom"/>
            <w:tcBorders>
              <w:right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Cash flows from investing activities</w:t>
            </w:r>
          </w:p>
        </w:tc>
        <w:tc>
          <w:tcPr>
            <w:tcW w:w="8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Purchases of property and equipment,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(296)</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(230)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Purchases of investment securities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(1,895)</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(2,231)</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Maturities of investment securities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1,486</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452</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sales of investment securities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650</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1,208</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used in investing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(55)</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(801)</w:t>
            </w:r>
          </w:p>
        </w:tc>
        <w:tc>
          <w:tcPr>
            <w:tcW w:w="1260" w:type="dxa"/>
            <w:vAlign w:val="bottom"/>
            <w:gridSpan w:val="2"/>
          </w:tcPr>
          <w:p>
            <w:pPr>
              <w:jc w:val="right"/>
              <w:ind w:right="112"/>
              <w:spacing w:after="0"/>
              <w:rPr>
                <w:sz w:val="20"/>
                <w:szCs w:val="20"/>
                <w:color w:val="auto"/>
              </w:rPr>
            </w:pPr>
            <w:r>
              <w:rPr>
                <w:rFonts w:ascii="Arial" w:cs="Arial" w:eastAsia="Arial" w:hAnsi="Arial"/>
                <w:sz w:val="10"/>
                <w:szCs w:val="10"/>
                <w:color w:val="auto"/>
              </w:rPr>
              <w:t>$746</w:t>
            </w:r>
          </w:p>
        </w:tc>
        <w:tc>
          <w:tcPr>
            <w:tcW w:w="880" w:type="dxa"/>
            <w:vAlign w:val="bottom"/>
          </w:tcPr>
          <w:p>
            <w:pPr>
              <w:jc w:val="right"/>
              <w:spacing w:after="0"/>
              <w:rPr>
                <w:sz w:val="20"/>
                <w:szCs w:val="20"/>
                <w:color w:val="auto"/>
              </w:rPr>
            </w:pPr>
            <w:r>
              <w:rPr>
                <w:rFonts w:ascii="Arial" w:cs="Arial" w:eastAsia="Arial" w:hAnsi="Arial"/>
                <w:sz w:val="10"/>
                <w:szCs w:val="10"/>
                <w:color w:val="auto"/>
              </w:rPr>
              <w:t>93.1 %</w:t>
            </w:r>
          </w:p>
        </w:tc>
        <w:tc>
          <w:tcPr>
            <w:tcW w:w="0" w:type="dxa"/>
            <w:vAlign w:val="bottom"/>
          </w:tcPr>
          <w:p>
            <w:pPr>
              <w:spacing w:after="0"/>
              <w:rPr>
                <w:sz w:val="1"/>
                <w:szCs w:val="1"/>
                <w:color w:val="auto"/>
              </w:rPr>
            </w:pPr>
          </w:p>
        </w:tc>
      </w:tr>
      <w:tr>
        <w:trPr>
          <w:trHeight w:val="106"/>
        </w:trPr>
        <w:tc>
          <w:tcPr>
            <w:tcW w:w="5440" w:type="dxa"/>
            <w:vAlign w:val="bottom"/>
            <w:tcBorders>
              <w:right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Cash flows from financing activities</w:t>
            </w:r>
          </w:p>
        </w:tc>
        <w:tc>
          <w:tcPr>
            <w:tcW w:w="8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Withdrawals from contract deposits,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(665)</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(634)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(repayments) from issuance of commercial paper,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274</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Repayment of senior notes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(400)</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(400)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Repayment of term loan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(1,000)</w:t>
            </w:r>
          </w:p>
        </w:tc>
        <w:tc>
          <w:tcPr>
            <w:tcW w:w="800" w:type="dxa"/>
            <w:vAlign w:val="bottom"/>
          </w:tcPr>
          <w:p>
            <w:pPr>
              <w:spacing w:after="0"/>
              <w:rPr>
                <w:sz w:val="10"/>
                <w:szCs w:val="10"/>
                <w:color w:val="auto"/>
              </w:rPr>
            </w:pPr>
          </w:p>
        </w:tc>
        <w:tc>
          <w:tcPr>
            <w:tcW w:w="44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Change in book overdraft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106</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(48)</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Common stock repurchases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(1,790)</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Dividends paid</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(84)</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(75)</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stock option exercises and other</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19</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35</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used in financing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(3,540)</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(1,184)</w:t>
            </w:r>
          </w:p>
        </w:tc>
        <w:tc>
          <w:tcPr>
            <w:tcW w:w="1260" w:type="dxa"/>
            <w:vAlign w:val="bottom"/>
            <w:gridSpan w:val="2"/>
          </w:tcPr>
          <w:p>
            <w:pPr>
              <w:jc w:val="right"/>
              <w:ind w:right="92"/>
              <w:spacing w:after="0"/>
              <w:rPr>
                <w:sz w:val="20"/>
                <w:szCs w:val="20"/>
                <w:color w:val="auto"/>
              </w:rPr>
            </w:pPr>
            <w:r>
              <w:rPr>
                <w:rFonts w:ascii="Arial" w:cs="Arial" w:eastAsia="Arial" w:hAnsi="Arial"/>
                <w:sz w:val="10"/>
                <w:szCs w:val="10"/>
                <w:color w:val="auto"/>
              </w:rPr>
              <w:t>($2,356)</w:t>
            </w:r>
          </w:p>
        </w:tc>
        <w:tc>
          <w:tcPr>
            <w:tcW w:w="880" w:type="dxa"/>
            <w:vAlign w:val="bottom"/>
          </w:tcPr>
          <w:p>
            <w:pPr>
              <w:jc w:val="right"/>
              <w:spacing w:after="0"/>
              <w:rPr>
                <w:sz w:val="20"/>
                <w:szCs w:val="20"/>
                <w:color w:val="auto"/>
              </w:rPr>
            </w:pPr>
            <w:r>
              <w:rPr>
                <w:rFonts w:ascii="Arial" w:cs="Arial" w:eastAsia="Arial" w:hAnsi="Arial"/>
                <w:sz w:val="10"/>
                <w:szCs w:val="10"/>
                <w:color w:val="auto"/>
              </w:rPr>
              <w:t>-199.0 %</w:t>
            </w: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Decrease in cash and cash equivalents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(3,312)</w:t>
            </w:r>
          </w:p>
        </w:tc>
        <w:tc>
          <w:tcPr>
            <w:tcW w:w="8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(1,473)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Cash and cash equivalents at beginning of period</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7,985</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5,527</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00497F"/>
                <w:w w:val="71"/>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4,673</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4,054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S-6</w:t>
      </w:r>
    </w:p>
    <w:p>
      <w:pPr>
        <w:sectPr>
          <w:pgSz w:w="11900" w:h="16838" w:orient="portrait"/>
          <w:cols w:equalWidth="0" w:num="1">
            <w:col w:w="10159"/>
          </w:cols>
          <w:pgMar w:left="300" w:top="283" w:right="1440"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Humana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440" w:type="dxa"/>
            <w:vAlign w:val="bottom"/>
            <w:tcBorders>
              <w:right w:val="single" w:sz="8" w:color="auto"/>
            </w:tcBorders>
          </w:tcPr>
          <w:p>
            <w:pPr>
              <w:spacing w:after="0"/>
              <w:rPr>
                <w:sz w:val="10"/>
                <w:szCs w:val="10"/>
                <w:color w:val="auto"/>
              </w:rPr>
            </w:pPr>
          </w:p>
        </w:tc>
        <w:tc>
          <w:tcPr>
            <w:tcW w:w="204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0"/>
                <w:szCs w:val="10"/>
                <w:b w:val="1"/>
                <w:bCs w:val="1"/>
                <w:color w:val="auto"/>
              </w:rPr>
              <w:t>For the year ended December 31,</w:t>
            </w:r>
          </w:p>
        </w:tc>
        <w:tc>
          <w:tcPr>
            <w:tcW w:w="420" w:type="dxa"/>
            <w:vAlign w:val="bottom"/>
            <w:tcBorders>
              <w:top w:val="single" w:sz="8" w:color="auto"/>
              <w:bottom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0"/>
                <w:szCs w:val="10"/>
                <w:color w:val="auto"/>
              </w:rPr>
              <w:t>Dollar</w:t>
            </w:r>
          </w:p>
        </w:tc>
        <w:tc>
          <w:tcPr>
            <w:tcW w:w="860" w:type="dxa"/>
            <w:vAlign w:val="bottom"/>
            <w:vMerge w:val="restart"/>
          </w:tcPr>
          <w:p>
            <w:pPr>
              <w:jc w:val="right"/>
              <w:ind w:right="292"/>
              <w:spacing w:after="0"/>
              <w:rPr>
                <w:sz w:val="20"/>
                <w:szCs w:val="20"/>
                <w:color w:val="auto"/>
              </w:rPr>
            </w:pPr>
            <w:r>
              <w:rPr>
                <w:rFonts w:ascii="Arial" w:cs="Arial" w:eastAsia="Arial" w:hAnsi="Arial"/>
                <w:sz w:val="10"/>
                <w:szCs w:val="10"/>
                <w:color w:val="auto"/>
              </w:rPr>
              <w:t>Percent</w:t>
            </w: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00497F"/>
              </w:rPr>
              <w:t>2020</w:t>
            </w:r>
          </w:p>
        </w:tc>
        <w:tc>
          <w:tcPr>
            <w:tcW w:w="4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2019</w:t>
            </w:r>
          </w:p>
        </w:tc>
        <w:tc>
          <w:tcPr>
            <w:tcW w:w="4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Change</w:t>
            </w: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Change</w:t>
            </w:r>
          </w:p>
        </w:tc>
        <w:tc>
          <w:tcPr>
            <w:tcW w:w="0" w:type="dxa"/>
            <w:vAlign w:val="bottom"/>
          </w:tcPr>
          <w:p>
            <w:pPr>
              <w:spacing w:after="0"/>
              <w:rPr>
                <w:sz w:val="1"/>
                <w:szCs w:val="1"/>
                <w:color w:val="auto"/>
              </w:rPr>
            </w:pPr>
          </w:p>
        </w:tc>
      </w:tr>
      <w:tr>
        <w:trPr>
          <w:trHeight w:val="106"/>
        </w:trPr>
        <w:tc>
          <w:tcPr>
            <w:tcW w:w="5440" w:type="dxa"/>
            <w:vAlign w:val="bottom"/>
            <w:tcBorders>
              <w:right w:val="single" w:sz="8" w:color="auto"/>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Net income</w:t>
            </w:r>
          </w:p>
        </w:tc>
        <w:tc>
          <w:tcPr>
            <w:tcW w:w="800" w:type="dxa"/>
            <w:vAlign w:val="bottom"/>
          </w:tcPr>
          <w:p>
            <w:pPr>
              <w:jc w:val="right"/>
              <w:ind w:right="688"/>
              <w:spacing w:after="0"/>
              <w:rPr>
                <w:sz w:val="20"/>
                <w:szCs w:val="20"/>
                <w:color w:val="auto"/>
              </w:rPr>
            </w:pPr>
            <w:r>
              <w:rPr>
                <w:rFonts w:ascii="Arial" w:cs="Arial" w:eastAsia="Arial" w:hAnsi="Arial"/>
                <w:sz w:val="10"/>
                <w:szCs w:val="10"/>
                <w:b w:val="1"/>
                <w:bCs w:val="1"/>
                <w:color w:val="00497F"/>
                <w:w w:val="71"/>
              </w:rPr>
              <w:t>$</w:t>
            </w: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3,367</w:t>
            </w:r>
          </w:p>
        </w:tc>
        <w:tc>
          <w:tcPr>
            <w:tcW w:w="800" w:type="dxa"/>
            <w:vAlign w:val="bottom"/>
          </w:tcPr>
          <w:p>
            <w:pPr>
              <w:jc w:val="right"/>
              <w:ind w:right="728"/>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2,707</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Adjustments to reconcile net income to net cash provided by operating activities: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Depreciation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528</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505</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Amortization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88</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70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Gains on investment securities,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(838)</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(62)</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Equity in net earnings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(74)</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(14)</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Stock-based compensation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181</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163</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60"/>
              <w:spacing w:after="0"/>
              <w:rPr>
                <w:sz w:val="20"/>
                <w:szCs w:val="20"/>
                <w:color w:val="auto"/>
              </w:rPr>
            </w:pPr>
            <w:r>
              <w:rPr>
                <w:rFonts w:ascii="Arial" w:cs="Arial" w:eastAsia="Arial" w:hAnsi="Arial"/>
                <w:sz w:val="10"/>
                <w:szCs w:val="10"/>
                <w:color w:val="auto"/>
              </w:rPr>
              <w:t>Provision for deferred income taxes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195</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162</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Changes in operating assets and liabilities, net of effect of businesses acquired and dispositions:</w:t>
            </w:r>
          </w:p>
        </w:tc>
        <w:tc>
          <w:tcPr>
            <w:tcW w:w="8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Receivables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(85)</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(32)</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Other assets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(581)</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118</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Benefits payable</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2,139</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1,142</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Other liabilities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599</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471</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Unearned revenues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71</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(36)</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Other, net</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49</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provided by operating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5,639</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5,284</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$355</w:t>
            </w:r>
          </w:p>
        </w:tc>
        <w:tc>
          <w:tcPr>
            <w:tcW w:w="860" w:type="dxa"/>
            <w:vAlign w:val="bottom"/>
          </w:tcPr>
          <w:p>
            <w:pPr>
              <w:jc w:val="right"/>
              <w:spacing w:after="0"/>
              <w:rPr>
                <w:sz w:val="20"/>
                <w:szCs w:val="20"/>
                <w:color w:val="auto"/>
              </w:rPr>
            </w:pPr>
            <w:r>
              <w:rPr>
                <w:rFonts w:ascii="Arial" w:cs="Arial" w:eastAsia="Arial" w:hAnsi="Arial"/>
                <w:sz w:val="10"/>
                <w:szCs w:val="10"/>
                <w:color w:val="auto"/>
              </w:rPr>
              <w:t>6.7 %</w:t>
            </w:r>
          </w:p>
        </w:tc>
        <w:tc>
          <w:tcPr>
            <w:tcW w:w="0" w:type="dxa"/>
            <w:vAlign w:val="bottom"/>
          </w:tcPr>
          <w:p>
            <w:pPr>
              <w:spacing w:after="0"/>
              <w:rPr>
                <w:sz w:val="1"/>
                <w:szCs w:val="1"/>
                <w:color w:val="auto"/>
              </w:rPr>
            </w:pPr>
          </w:p>
        </w:tc>
      </w:tr>
      <w:tr>
        <w:trPr>
          <w:trHeight w:val="106"/>
        </w:trPr>
        <w:tc>
          <w:tcPr>
            <w:tcW w:w="5440" w:type="dxa"/>
            <w:vAlign w:val="bottom"/>
            <w:tcBorders>
              <w:right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Cash flows from investing activities</w:t>
            </w:r>
          </w:p>
        </w:tc>
        <w:tc>
          <w:tcPr>
            <w:tcW w:w="8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Acquisitions, net of cash acquired</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(709)</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Purchases of property and equipment,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(964)</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(736)</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Purchases of investment securities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(9,125)</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(6,361)</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Maturities of investment securities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4,986</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1,733</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sales of investment securities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2,747</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4,086</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used in investing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(3,065)</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(1,278)</w:t>
            </w:r>
          </w:p>
        </w:tc>
        <w:tc>
          <w:tcPr>
            <w:tcW w:w="1280" w:type="dxa"/>
            <w:vAlign w:val="bottom"/>
            <w:gridSpan w:val="2"/>
          </w:tcPr>
          <w:p>
            <w:pPr>
              <w:jc w:val="right"/>
              <w:ind w:right="112"/>
              <w:spacing w:after="0"/>
              <w:rPr>
                <w:sz w:val="20"/>
                <w:szCs w:val="20"/>
                <w:color w:val="auto"/>
              </w:rPr>
            </w:pPr>
            <w:r>
              <w:rPr>
                <w:rFonts w:ascii="Arial" w:cs="Arial" w:eastAsia="Arial" w:hAnsi="Arial"/>
                <w:sz w:val="10"/>
                <w:szCs w:val="10"/>
                <w:color w:val="auto"/>
              </w:rPr>
              <w:t>($1,787)</w:t>
            </w:r>
          </w:p>
        </w:tc>
        <w:tc>
          <w:tcPr>
            <w:tcW w:w="860" w:type="dxa"/>
            <w:vAlign w:val="bottom"/>
          </w:tcPr>
          <w:p>
            <w:pPr>
              <w:jc w:val="right"/>
              <w:spacing w:after="0"/>
              <w:rPr>
                <w:sz w:val="20"/>
                <w:szCs w:val="20"/>
                <w:color w:val="auto"/>
              </w:rPr>
            </w:pPr>
            <w:r>
              <w:rPr>
                <w:rFonts w:ascii="Arial" w:cs="Arial" w:eastAsia="Arial" w:hAnsi="Arial"/>
                <w:sz w:val="10"/>
                <w:szCs w:val="10"/>
                <w:color w:val="auto"/>
              </w:rPr>
              <w:t>-139.8 %</w:t>
            </w:r>
          </w:p>
        </w:tc>
        <w:tc>
          <w:tcPr>
            <w:tcW w:w="0" w:type="dxa"/>
            <w:vAlign w:val="bottom"/>
          </w:tcPr>
          <w:p>
            <w:pPr>
              <w:spacing w:after="0"/>
              <w:rPr>
                <w:sz w:val="1"/>
                <w:szCs w:val="1"/>
                <w:color w:val="auto"/>
              </w:rPr>
            </w:pPr>
          </w:p>
        </w:tc>
      </w:tr>
      <w:tr>
        <w:trPr>
          <w:trHeight w:val="106"/>
        </w:trPr>
        <w:tc>
          <w:tcPr>
            <w:tcW w:w="5440" w:type="dxa"/>
            <w:vAlign w:val="bottom"/>
            <w:tcBorders>
              <w:right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Cash flows from financing activities</w:t>
            </w:r>
          </w:p>
        </w:tc>
        <w:tc>
          <w:tcPr>
            <w:tcW w:w="80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Withdrawals from contract deposits,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(939)</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(623)</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(repayment) from the issuance of commercial paper,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295</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(360)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issuance of senior notes,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1,088</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987</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Repayment of senior notes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(400)</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(400)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issuance of term loan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1,000</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Repayment of term loan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(1,000)</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(650)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Change in book overdraft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95</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54</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Common stock repurchases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(1,820)</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(1,070)</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Dividends paid</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(323)</w:t>
            </w:r>
          </w:p>
        </w:tc>
        <w:tc>
          <w:tcPr>
            <w:tcW w:w="8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(291)</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stock option exercises and other</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49</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used in financing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(1,955)</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(2,295)</w:t>
            </w:r>
          </w:p>
        </w:tc>
        <w:tc>
          <w:tcPr>
            <w:tcW w:w="1280" w:type="dxa"/>
            <w:vAlign w:val="bottom"/>
            <w:gridSpan w:val="2"/>
          </w:tcPr>
          <w:p>
            <w:pPr>
              <w:jc w:val="right"/>
              <w:ind w:right="152"/>
              <w:spacing w:after="0"/>
              <w:rPr>
                <w:sz w:val="20"/>
                <w:szCs w:val="20"/>
                <w:color w:val="auto"/>
              </w:rPr>
            </w:pPr>
            <w:r>
              <w:rPr>
                <w:rFonts w:ascii="Arial" w:cs="Arial" w:eastAsia="Arial" w:hAnsi="Arial"/>
                <w:sz w:val="10"/>
                <w:szCs w:val="10"/>
                <w:color w:val="auto"/>
              </w:rPr>
              <w:t>$340</w:t>
            </w:r>
          </w:p>
        </w:tc>
        <w:tc>
          <w:tcPr>
            <w:tcW w:w="860" w:type="dxa"/>
            <w:vAlign w:val="bottom"/>
          </w:tcPr>
          <w:p>
            <w:pPr>
              <w:jc w:val="right"/>
              <w:spacing w:after="0"/>
              <w:rPr>
                <w:sz w:val="20"/>
                <w:szCs w:val="20"/>
                <w:color w:val="auto"/>
              </w:rPr>
            </w:pPr>
            <w:r>
              <w:rPr>
                <w:rFonts w:ascii="Arial" w:cs="Arial" w:eastAsia="Arial" w:hAnsi="Arial"/>
                <w:sz w:val="10"/>
                <w:szCs w:val="10"/>
                <w:color w:val="auto"/>
              </w:rPr>
              <w:t>-14.8 %</w:t>
            </w: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Increase in cash and cash equivalents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619</w:t>
            </w:r>
          </w:p>
        </w:tc>
        <w:tc>
          <w:tcPr>
            <w:tcW w:w="800" w:type="dxa"/>
            <w:vAlign w:val="bottom"/>
          </w:tcPr>
          <w:p>
            <w:pPr>
              <w:spacing w:after="0"/>
              <w:rPr>
                <w:sz w:val="10"/>
                <w:szCs w:val="10"/>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1,711</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Cash and cash equivalents at beginning of period</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4,054</w:t>
            </w: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2,343</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80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b w:val="1"/>
                <w:bCs w:val="1"/>
                <w:color w:val="00497F"/>
                <w:w w:val="71"/>
              </w:rPr>
              <w:t>$</w:t>
            </w: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4,673</w:t>
            </w:r>
          </w:p>
        </w:tc>
        <w:tc>
          <w:tcPr>
            <w:tcW w:w="800" w:type="dxa"/>
            <w:vAlign w:val="bottom"/>
            <w:tcBorders>
              <w:bottom w:val="single" w:sz="8" w:color="auto"/>
            </w:tcBorders>
          </w:tcPr>
          <w:p>
            <w:pPr>
              <w:jc w:val="right"/>
              <w:ind w:right="728"/>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4,054</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Pr>
          <w:p>
            <w:pPr>
              <w:spacing w:after="0"/>
              <w:rPr>
                <w:sz w:val="23"/>
                <w:szCs w:val="23"/>
                <w:color w:val="auto"/>
              </w:rPr>
            </w:pPr>
          </w:p>
        </w:tc>
        <w:tc>
          <w:tcPr>
            <w:tcW w:w="800" w:type="dxa"/>
            <w:vAlign w:val="bottom"/>
          </w:tcPr>
          <w:p>
            <w:pPr>
              <w:jc w:val="right"/>
              <w:ind w:right="448"/>
              <w:spacing w:after="0"/>
              <w:rPr>
                <w:sz w:val="20"/>
                <w:szCs w:val="20"/>
                <w:color w:val="auto"/>
              </w:rPr>
            </w:pPr>
            <w:r>
              <w:rPr>
                <w:rFonts w:ascii="Arial" w:cs="Arial" w:eastAsia="Arial" w:hAnsi="Arial"/>
                <w:sz w:val="13"/>
                <w:szCs w:val="13"/>
                <w:color w:val="auto"/>
              </w:rPr>
              <w:t>S-7</w:t>
            </w: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83" w:right="1440"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three months ended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Retail</w:t>
            </w: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Group and</w:t>
            </w: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Eliminations/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Specialty</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Corporate</w:t>
            </w:r>
          </w:p>
        </w:tc>
        <w:tc>
          <w:tcPr>
            <w:tcW w:w="160" w:type="dxa"/>
            <w:vAlign w:val="bottom"/>
          </w:tcPr>
          <w:p>
            <w:pPr>
              <w:spacing w:after="0"/>
              <w:rPr>
                <w:sz w:val="12"/>
                <w:szCs w:val="12"/>
                <w:color w:val="auto"/>
              </w:rPr>
            </w:pPr>
          </w:p>
        </w:tc>
        <w:tc>
          <w:tcPr>
            <w:tcW w:w="940" w:type="dxa"/>
            <w:vAlign w:val="bottom"/>
          </w:tcPr>
          <w:p>
            <w:pPr>
              <w:jc w:val="right"/>
              <w:ind w:right="19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Individual Medicare Advantage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12,949</w:t>
            </w:r>
          </w:p>
        </w:tc>
        <w:tc>
          <w:tcPr>
            <w:tcW w:w="6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12,949</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Group Medicare Advantage</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1,907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1,907</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Medicare stand-alone PDP</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634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634</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Medicare</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15,490</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15,490</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09" w:lineRule="exact"/>
              <w:rPr>
                <w:sz w:val="20"/>
                <w:szCs w:val="20"/>
                <w:color w:val="auto"/>
              </w:rPr>
            </w:pPr>
            <w:r>
              <w:rPr>
                <w:rFonts w:ascii="Arial" w:cs="Arial" w:eastAsia="Arial" w:hAnsi="Arial"/>
                <w:sz w:val="10"/>
                <w:szCs w:val="10"/>
                <w:color w:val="auto"/>
              </w:rPr>
              <w:t>Fully-insured</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179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1,155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1,334</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Specialty</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421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421</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Medicaid and other (C)</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1,119</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1,119</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premiums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16,788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1,576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18,364</w:t>
            </w:r>
          </w:p>
        </w:tc>
        <w:tc>
          <w:tcPr>
            <w:tcW w:w="0" w:type="dxa"/>
            <w:vAlign w:val="bottom"/>
          </w:tcPr>
          <w:p>
            <w:pPr>
              <w:spacing w:after="0"/>
              <w:rPr>
                <w:sz w:val="1"/>
                <w:szCs w:val="1"/>
                <w:color w:val="auto"/>
              </w:rPr>
            </w:pPr>
          </w:p>
        </w:tc>
      </w:tr>
      <w:tr>
        <w:trPr>
          <w:trHeight w:val="106"/>
        </w:trPr>
        <w:tc>
          <w:tcPr>
            <w:tcW w:w="3400" w:type="dxa"/>
            <w:vAlign w:val="bottom"/>
          </w:tcPr>
          <w:p>
            <w:pPr>
              <w:ind w:left="80"/>
              <w:spacing w:after="0" w:line="106" w:lineRule="exact"/>
              <w:rPr>
                <w:sz w:val="20"/>
                <w:szCs w:val="20"/>
                <w:color w:val="auto"/>
              </w:rPr>
            </w:pPr>
            <w:r>
              <w:rPr>
                <w:rFonts w:ascii="Arial" w:cs="Arial" w:eastAsia="Arial" w:hAnsi="Arial"/>
                <w:sz w:val="10"/>
                <w:szCs w:val="10"/>
                <w:b w:val="1"/>
                <w:bCs w:val="1"/>
                <w:color w:val="auto"/>
              </w:rPr>
              <w:t>Services revenue:</w:t>
            </w: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Provider</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119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ASO and other (D)</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204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209</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Pharmacy</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services revenue</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275</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484</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revenues—external customers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16,793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1,780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275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18,848</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Intersegment revenues</w:t>
            </w: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Services</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4,977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(4,984)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Products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2,028</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(2,028)</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intersegment revenues</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7,005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(7,012)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9" w:lineRule="exact"/>
              <w:rPr>
                <w:sz w:val="20"/>
                <w:szCs w:val="20"/>
                <w:color w:val="auto"/>
              </w:rPr>
            </w:pPr>
            <w:r>
              <w:rPr>
                <w:rFonts w:ascii="Arial" w:cs="Arial" w:eastAsia="Arial" w:hAnsi="Arial"/>
                <w:sz w:val="10"/>
                <w:szCs w:val="10"/>
                <w:color w:val="auto"/>
              </w:rPr>
              <w:t>Investment income</w:t>
            </w:r>
          </w:p>
        </w:tc>
        <w:tc>
          <w:tcPr>
            <w:tcW w:w="2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41</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11</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158</w:t>
            </w: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revenues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16,834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1,791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7,291</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(6,854)</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19,062</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Operating expenses:</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14,598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1,643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16,213</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2,355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502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7,121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(6,910)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3,068</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127</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13" w:lineRule="exact"/>
              <w:rPr>
                <w:sz w:val="20"/>
                <w:szCs w:val="20"/>
                <w:color w:val="auto"/>
              </w:rPr>
            </w:pPr>
            <w:r>
              <w:rPr>
                <w:rFonts w:ascii="Arial" w:cs="Arial" w:eastAsia="Arial" w:hAnsi="Arial"/>
                <w:sz w:val="10"/>
                <w:szCs w:val="10"/>
                <w:b w:val="1"/>
                <w:bCs w:val="1"/>
                <w:color w:val="auto"/>
              </w:rPr>
              <w:t>Total operating expenses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17,044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2,166</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7,169</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(6,971)</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19,408</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(Loss) income from operations</w:t>
            </w:r>
          </w:p>
        </w:tc>
        <w:tc>
          <w:tcPr>
            <w:tcW w:w="220" w:type="dxa"/>
            <w:vAlign w:val="bottom"/>
          </w:tcPr>
          <w:p>
            <w:pPr>
              <w:spacing w:after="0"/>
              <w:rPr>
                <w:sz w:val="10"/>
                <w:szCs w:val="10"/>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(210)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(375)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122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117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(346)</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Interest expense</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Other expense, net (A)</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(Loss) income before income taxes and equity in net earnings</w:t>
            </w:r>
          </w:p>
        </w:tc>
        <w:tc>
          <w:tcPr>
            <w:tcW w:w="2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(210)</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(375)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122</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(458)</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9" w:lineRule="exact"/>
              <w:rPr>
                <w:sz w:val="20"/>
                <w:szCs w:val="20"/>
                <w:color w:val="auto"/>
              </w:rPr>
            </w:pPr>
            <w:r>
              <w:rPr>
                <w:rFonts w:ascii="Arial" w:cs="Arial" w:eastAsia="Arial" w:hAnsi="Arial"/>
                <w:sz w:val="10"/>
                <w:szCs w:val="10"/>
                <w:color w:val="auto"/>
              </w:rPr>
              <w:t>Equity in net earnings (B)</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Segment (loss) earnings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(210)</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(375)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128</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(452)</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103" w:lineRule="exact"/>
              <w:rPr>
                <w:sz w:val="20"/>
                <w:szCs w:val="20"/>
                <w:color w:val="auto"/>
              </w:rPr>
            </w:pPr>
            <w:r>
              <w:rPr>
                <w:rFonts w:ascii="Arial" w:cs="Arial" w:eastAsia="Arial" w:hAnsi="Arial"/>
                <w:sz w:val="10"/>
                <w:szCs w:val="10"/>
                <w:color w:val="auto"/>
              </w:rPr>
              <w:t>87.0 %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104.3 %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right"/>
              <w:spacing w:after="0" w:line="103" w:lineRule="exact"/>
              <w:rPr>
                <w:sz w:val="20"/>
                <w:szCs w:val="20"/>
                <w:color w:val="auto"/>
              </w:rPr>
            </w:pPr>
            <w:r>
              <w:rPr>
                <w:rFonts w:ascii="Arial" w:cs="Arial" w:eastAsia="Arial" w:hAnsi="Arial"/>
                <w:sz w:val="10"/>
                <w:szCs w:val="10"/>
                <w:color w:val="auto"/>
              </w:rPr>
              <w:t>88.3 %</w:t>
            </w:r>
          </w:p>
        </w:tc>
        <w:tc>
          <w:tcPr>
            <w:tcW w:w="0" w:type="dxa"/>
            <w:vAlign w:val="bottom"/>
          </w:tcPr>
          <w:p>
            <w:pPr>
              <w:spacing w:after="0"/>
              <w:rPr>
                <w:sz w:val="1"/>
                <w:szCs w:val="1"/>
                <w:color w:val="auto"/>
              </w:rPr>
            </w:pPr>
          </w:p>
        </w:tc>
      </w:tr>
      <w:tr>
        <w:trPr>
          <w:trHeight w:val="133"/>
        </w:trPr>
        <w:tc>
          <w:tcPr>
            <w:tcW w:w="34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14.0 %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28.1 %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97.8 %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16.3 %</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S-8</w:t>
      </w:r>
    </w:p>
    <w:p>
      <w:pPr>
        <w:sectPr>
          <w:pgSz w:w="11900" w:h="16838" w:orient="portrait"/>
          <w:cols w:equalWidth="0" w:num="1">
            <w:col w:w="10159"/>
          </w:cols>
          <w:pgMar w:left="300" w:top="767" w:right="1440"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three months ended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Group and</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Eliminations/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4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Specialty</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Corporate</w:t>
            </w:r>
          </w:p>
        </w:tc>
        <w:tc>
          <w:tcPr>
            <w:tcW w:w="160" w:type="dxa"/>
            <w:vAlign w:val="bottom"/>
          </w:tcPr>
          <w:p>
            <w:pPr>
              <w:spacing w:after="0"/>
              <w:rPr>
                <w:sz w:val="12"/>
                <w:szCs w:val="12"/>
                <w:color w:val="auto"/>
              </w:rPr>
            </w:pPr>
          </w:p>
        </w:tc>
        <w:tc>
          <w:tcPr>
            <w:tcW w:w="940" w:type="dxa"/>
            <w:vAlign w:val="bottom"/>
          </w:tcPr>
          <w:p>
            <w:pPr>
              <w:jc w:val="right"/>
              <w:ind w:right="19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10,874</w:t>
            </w:r>
          </w:p>
        </w:tc>
        <w:tc>
          <w:tcPr>
            <w:tcW w:w="6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10,874</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1,608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1,608</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757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757</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Medicare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13,239</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13,239</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9" w:lineRule="exact"/>
              <w:rPr>
                <w:sz w:val="20"/>
                <w:szCs w:val="20"/>
                <w:color w:val="auto"/>
              </w:rPr>
            </w:pPr>
            <w:r>
              <w:rPr>
                <w:rFonts w:ascii="Arial" w:cs="Arial" w:eastAsia="Arial" w:hAnsi="Arial"/>
                <w:sz w:val="10"/>
                <w:szCs w:val="10"/>
                <w:color w:val="auto"/>
              </w:rPr>
              <w:t>Fully-insured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154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1,250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1,404</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411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411</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Medicaid and other (C)</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755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755</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premiums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14,148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1,661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15,809</w:t>
            </w:r>
          </w:p>
        </w:tc>
        <w:tc>
          <w:tcPr>
            <w:tcW w:w="0" w:type="dxa"/>
            <w:vAlign w:val="bottom"/>
          </w:tcPr>
          <w:p>
            <w:pPr>
              <w:spacing w:after="0"/>
              <w:rPr>
                <w:sz w:val="1"/>
                <w:szCs w:val="1"/>
                <w:color w:val="auto"/>
              </w:rPr>
            </w:pPr>
          </w:p>
        </w:tc>
      </w:tr>
      <w:tr>
        <w:trPr>
          <w:trHeight w:val="106"/>
        </w:trPr>
        <w:tc>
          <w:tcPr>
            <w:tcW w:w="3400" w:type="dxa"/>
            <w:vAlign w:val="bottom"/>
          </w:tcPr>
          <w:p>
            <w:pPr>
              <w:ind w:left="80"/>
              <w:spacing w:after="0" w:line="106" w:lineRule="exact"/>
              <w:rPr>
                <w:sz w:val="20"/>
                <w:szCs w:val="20"/>
                <w:color w:val="auto"/>
              </w:rPr>
            </w:pPr>
            <w:r>
              <w:rPr>
                <w:rFonts w:ascii="Arial" w:cs="Arial" w:eastAsia="Arial" w:hAnsi="Arial"/>
                <w:sz w:val="10"/>
                <w:szCs w:val="10"/>
                <w:b w:val="1"/>
                <w:bCs w:val="1"/>
                <w:color w:val="auto"/>
              </w:rPr>
              <w:t>Services revenue:</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79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ASO and other (D)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203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206</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51</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services revenue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203</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130</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336</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revenues—external customers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14,151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1,864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130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16,145</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Intersegment revenues</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Services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4,799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(4,804)</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Products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1,766</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(1,766)</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intersegment revenues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6,565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(6,570)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9" w:lineRule="exact"/>
              <w:rPr>
                <w:sz w:val="20"/>
                <w:szCs w:val="20"/>
                <w:color w:val="auto"/>
              </w:rPr>
            </w:pPr>
            <w:r>
              <w:rPr>
                <w:rFonts w:ascii="Arial" w:cs="Arial" w:eastAsia="Arial" w:hAnsi="Arial"/>
                <w:sz w:val="10"/>
                <w:szCs w:val="10"/>
                <w:color w:val="auto"/>
              </w:rPr>
              <w:t>Investment income</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56</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6</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87</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revenues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14,207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1,875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6,696</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(6,483)</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16,295</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Operating expenses: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12,206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1,581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13,689</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1,642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419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6,481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(6,413)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2,129</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84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35</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13" w:lineRule="exact"/>
              <w:rPr>
                <w:sz w:val="20"/>
                <w:szCs w:val="20"/>
                <w:color w:val="auto"/>
              </w:rPr>
            </w:pPr>
            <w:r>
              <w:rPr>
                <w:rFonts w:ascii="Arial" w:cs="Arial" w:eastAsia="Arial" w:hAnsi="Arial"/>
                <w:sz w:val="10"/>
                <w:szCs w:val="10"/>
                <w:b w:val="1"/>
                <w:bCs w:val="1"/>
                <w:color w:val="auto"/>
              </w:rPr>
              <w:t>Total operating expenses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13,932</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2,021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6,516</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(6,536)</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15,933</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Income (loss) from operations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275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(146)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180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362</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Interest expense</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Other income, net (A)</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(289)</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Income (loss) before income taxes and equity in net earnings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rPr>
              <w:t>275</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rPr>
              <w:t>(146)</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180</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284</w:t>
            </w: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593</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Equity in net losses (B)</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Segment earnings (loss)</w:t>
            </w: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275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(146)</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178</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284</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591</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Benefit ratio</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jc w:val="right"/>
              <w:spacing w:after="0" w:line="103" w:lineRule="exact"/>
              <w:rPr>
                <w:sz w:val="20"/>
                <w:szCs w:val="20"/>
                <w:color w:val="auto"/>
              </w:rPr>
            </w:pPr>
            <w:r>
              <w:rPr>
                <w:rFonts w:ascii="Arial" w:cs="Arial" w:eastAsia="Arial" w:hAnsi="Arial"/>
                <w:sz w:val="10"/>
                <w:szCs w:val="10"/>
                <w:color w:val="auto"/>
              </w:rPr>
              <w:t>86.3 %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95.2 %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right"/>
              <w:spacing w:after="0" w:line="103" w:lineRule="exact"/>
              <w:rPr>
                <w:sz w:val="20"/>
                <w:szCs w:val="20"/>
                <w:color w:val="auto"/>
              </w:rPr>
            </w:pPr>
            <w:r>
              <w:rPr>
                <w:rFonts w:ascii="Arial" w:cs="Arial" w:eastAsia="Arial" w:hAnsi="Arial"/>
                <w:sz w:val="10"/>
                <w:szCs w:val="10"/>
                <w:color w:val="auto"/>
              </w:rPr>
              <w:t>86.6 %</w:t>
            </w:r>
          </w:p>
        </w:tc>
        <w:tc>
          <w:tcPr>
            <w:tcW w:w="0" w:type="dxa"/>
            <w:vAlign w:val="bottom"/>
          </w:tcPr>
          <w:p>
            <w:pPr>
              <w:spacing w:after="0"/>
              <w:rPr>
                <w:sz w:val="1"/>
                <w:szCs w:val="1"/>
                <w:color w:val="auto"/>
              </w:rPr>
            </w:pPr>
          </w:p>
        </w:tc>
      </w:tr>
      <w:tr>
        <w:trPr>
          <w:trHeight w:val="133"/>
        </w:trPr>
        <w:tc>
          <w:tcPr>
            <w:tcW w:w="34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11.6 %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22.4 %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96.8 %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13.2 %</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S-9</w:t>
      </w:r>
    </w:p>
    <w:p>
      <w:pPr>
        <w:sectPr>
          <w:pgSz w:w="11900" w:h="16838" w:orient="portrait"/>
          <w:cols w:equalWidth="0" w:num="1">
            <w:col w:w="10159"/>
          </w:cols>
          <w:pgMar w:left="300" w:top="767" w:right="1440"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year ended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Group and</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Eliminations/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4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Specialty</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Corporate</w:t>
            </w:r>
          </w:p>
        </w:tc>
        <w:tc>
          <w:tcPr>
            <w:tcW w:w="160" w:type="dxa"/>
            <w:vAlign w:val="bottom"/>
          </w:tcPr>
          <w:p>
            <w:pPr>
              <w:spacing w:after="0"/>
              <w:rPr>
                <w:sz w:val="12"/>
                <w:szCs w:val="12"/>
                <w:color w:val="auto"/>
              </w:rPr>
            </w:pPr>
          </w:p>
        </w:tc>
        <w:tc>
          <w:tcPr>
            <w:tcW w:w="940" w:type="dxa"/>
            <w:vAlign w:val="bottom"/>
          </w:tcPr>
          <w:p>
            <w:pPr>
              <w:jc w:val="right"/>
              <w:ind w:right="19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51,697</w:t>
            </w:r>
          </w:p>
        </w:tc>
        <w:tc>
          <w:tcPr>
            <w:tcW w:w="6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51,697</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7,774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7,774</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2,742</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2,742</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Medicare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62,213</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62,213</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9" w:lineRule="exact"/>
              <w:rPr>
                <w:sz w:val="20"/>
                <w:szCs w:val="20"/>
                <w:color w:val="auto"/>
              </w:rPr>
            </w:pPr>
            <w:r>
              <w:rPr>
                <w:rFonts w:ascii="Arial" w:cs="Arial" w:eastAsia="Arial" w:hAnsi="Arial"/>
                <w:sz w:val="10"/>
                <w:szCs w:val="10"/>
                <w:color w:val="auto"/>
              </w:rPr>
              <w:t>Fully-insured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688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4,761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602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6,051</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1,699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1,699</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Medicaid and other (C)</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4,223</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4,223</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premiums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67,124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6,460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602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74,186</w:t>
            </w:r>
          </w:p>
        </w:tc>
        <w:tc>
          <w:tcPr>
            <w:tcW w:w="0" w:type="dxa"/>
            <w:vAlign w:val="bottom"/>
          </w:tcPr>
          <w:p>
            <w:pPr>
              <w:spacing w:after="0"/>
              <w:rPr>
                <w:sz w:val="1"/>
                <w:szCs w:val="1"/>
                <w:color w:val="auto"/>
              </w:rPr>
            </w:pPr>
          </w:p>
        </w:tc>
      </w:tr>
      <w:tr>
        <w:trPr>
          <w:trHeight w:val="106"/>
        </w:trPr>
        <w:tc>
          <w:tcPr>
            <w:tcW w:w="3400" w:type="dxa"/>
            <w:vAlign w:val="bottom"/>
          </w:tcPr>
          <w:p>
            <w:pPr>
              <w:ind w:left="80"/>
              <w:spacing w:after="0" w:line="106" w:lineRule="exact"/>
              <w:rPr>
                <w:sz w:val="20"/>
                <w:szCs w:val="20"/>
                <w:color w:val="auto"/>
              </w:rPr>
            </w:pPr>
            <w:r>
              <w:rPr>
                <w:rFonts w:ascii="Arial" w:cs="Arial" w:eastAsia="Arial" w:hAnsi="Arial"/>
                <w:sz w:val="10"/>
                <w:szCs w:val="10"/>
                <w:b w:val="1"/>
                <w:bCs w:val="1"/>
                <w:color w:val="auto"/>
              </w:rPr>
              <w:t>Services revenue:</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435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435</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ASO and other (D)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780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799</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581</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581</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services revenue</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780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1,016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1,815</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revenues—external customers</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67,143</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7,240</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1,016</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602</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76,001</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Intersegment revenues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Services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19,491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(19,520)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Products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7,928</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(7,928)</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intersegment revenues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27,419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(27,448)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9" w:lineRule="exact"/>
              <w:rPr>
                <w:sz w:val="20"/>
                <w:szCs w:val="20"/>
                <w:color w:val="auto"/>
              </w:rPr>
            </w:pPr>
            <w:r>
              <w:rPr>
                <w:rFonts w:ascii="Arial" w:cs="Arial" w:eastAsia="Arial" w:hAnsi="Arial"/>
                <w:sz w:val="10"/>
                <w:szCs w:val="10"/>
                <w:color w:val="auto"/>
              </w:rPr>
              <w:t>Investment income</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155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13</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970</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1,154</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revenues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67,298</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7,285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28,448</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(25,876)</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77,155</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Operating expenses: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56,537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5,529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(438)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61,628</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7,402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1,818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27,395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(26,563)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10,052</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342</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81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183</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489</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13" w:lineRule="exact"/>
              <w:rPr>
                <w:sz w:val="20"/>
                <w:szCs w:val="20"/>
                <w:color w:val="auto"/>
              </w:rPr>
            </w:pPr>
            <w:r>
              <w:rPr>
                <w:rFonts w:ascii="Arial" w:cs="Arial" w:eastAsia="Arial" w:hAnsi="Arial"/>
                <w:sz w:val="10"/>
                <w:szCs w:val="10"/>
                <w:b w:val="1"/>
                <w:bCs w:val="1"/>
                <w:color w:val="auto"/>
              </w:rPr>
              <w:t>Total operating expenses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64,281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7,428</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27,578</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(27,118)</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72,169</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Income (loss) from operations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3,017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(143)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870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1,242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4,986</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Interest expense</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283</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Other expense, net (A)</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103</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Income (loss) before income taxes and equity in net earnings</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3,017</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(143)</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870</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856</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4,600</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9" w:lineRule="exact"/>
              <w:rPr>
                <w:sz w:val="20"/>
                <w:szCs w:val="20"/>
                <w:color w:val="auto"/>
              </w:rPr>
            </w:pPr>
            <w:r>
              <w:rPr>
                <w:rFonts w:ascii="Arial" w:cs="Arial" w:eastAsia="Arial" w:hAnsi="Arial"/>
                <w:sz w:val="10"/>
                <w:szCs w:val="10"/>
                <w:color w:val="auto"/>
              </w:rPr>
              <w:t>Equity in net earnings (B)</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74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Segment earnings (loss)</w:t>
            </w: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3,017</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(143)</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944</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856</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4,674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Benefit ratio</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jc w:val="right"/>
              <w:spacing w:after="0" w:line="103" w:lineRule="exact"/>
              <w:rPr>
                <w:sz w:val="20"/>
                <w:szCs w:val="20"/>
                <w:color w:val="auto"/>
              </w:rPr>
            </w:pPr>
            <w:r>
              <w:rPr>
                <w:rFonts w:ascii="Arial" w:cs="Arial" w:eastAsia="Arial" w:hAnsi="Arial"/>
                <w:sz w:val="10"/>
                <w:szCs w:val="10"/>
                <w:color w:val="auto"/>
              </w:rPr>
              <w:t>84.2 %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85.6 %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right"/>
              <w:spacing w:after="0" w:line="103" w:lineRule="exact"/>
              <w:rPr>
                <w:sz w:val="20"/>
                <w:szCs w:val="20"/>
                <w:color w:val="auto"/>
              </w:rPr>
            </w:pPr>
            <w:r>
              <w:rPr>
                <w:rFonts w:ascii="Arial" w:cs="Arial" w:eastAsia="Arial" w:hAnsi="Arial"/>
                <w:sz w:val="10"/>
                <w:szCs w:val="10"/>
                <w:color w:val="auto"/>
              </w:rPr>
              <w:t>83.1 %</w:t>
            </w:r>
          </w:p>
        </w:tc>
        <w:tc>
          <w:tcPr>
            <w:tcW w:w="0" w:type="dxa"/>
            <w:vAlign w:val="bottom"/>
          </w:tcPr>
          <w:p>
            <w:pPr>
              <w:spacing w:after="0"/>
              <w:rPr>
                <w:sz w:val="1"/>
                <w:szCs w:val="1"/>
                <w:color w:val="auto"/>
              </w:rPr>
            </w:pPr>
          </w:p>
        </w:tc>
      </w:tr>
      <w:tr>
        <w:trPr>
          <w:trHeight w:val="133"/>
        </w:trPr>
        <w:tc>
          <w:tcPr>
            <w:tcW w:w="34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11.0 %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25.0 %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96.3 %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13.2 %</w:t>
            </w: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Humana Inc.</w:t>
      </w:r>
    </w:p>
    <w:p>
      <w:pPr>
        <w:spacing w:after="0" w:line="28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S-10</w:t>
      </w:r>
    </w:p>
    <w:p>
      <w:pPr>
        <w:sectPr>
          <w:pgSz w:w="11900" w:h="16838" w:orient="portrait"/>
          <w:cols w:equalWidth="0" w:num="1">
            <w:col w:w="10159"/>
          </w:cols>
          <w:pgMar w:left="300" w:top="929" w:right="1440"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Consolidating Statements of Income—For the year ended December 31, 2019</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Group and</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Eliminations/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4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Specialty</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Corporate</w:t>
            </w:r>
          </w:p>
        </w:tc>
        <w:tc>
          <w:tcPr>
            <w:tcW w:w="160" w:type="dxa"/>
            <w:vAlign w:val="bottom"/>
          </w:tcPr>
          <w:p>
            <w:pPr>
              <w:spacing w:after="0"/>
              <w:rPr>
                <w:sz w:val="12"/>
                <w:szCs w:val="12"/>
                <w:color w:val="auto"/>
              </w:rPr>
            </w:pPr>
          </w:p>
        </w:tc>
        <w:tc>
          <w:tcPr>
            <w:tcW w:w="940" w:type="dxa"/>
            <w:vAlign w:val="bottom"/>
          </w:tcPr>
          <w:p>
            <w:pPr>
              <w:jc w:val="right"/>
              <w:ind w:right="19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43,128</w:t>
            </w:r>
          </w:p>
        </w:tc>
        <w:tc>
          <w:tcPr>
            <w:tcW w:w="6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43,128</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6,475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6,475</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3,165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3,165</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Medicare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52,768</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52,768</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9" w:lineRule="exact"/>
              <w:rPr>
                <w:sz w:val="20"/>
                <w:szCs w:val="20"/>
                <w:color w:val="auto"/>
              </w:rPr>
            </w:pPr>
            <w:r>
              <w:rPr>
                <w:rFonts w:ascii="Arial" w:cs="Arial" w:eastAsia="Arial" w:hAnsi="Arial"/>
                <w:sz w:val="10"/>
                <w:szCs w:val="10"/>
                <w:color w:val="auto"/>
              </w:rPr>
              <w:t>Fully-insured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588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5,123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5,711</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1,571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Medicaid and other (C)</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2,898</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2,898</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premiums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56,254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6,694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62,948</w:t>
            </w:r>
          </w:p>
        </w:tc>
        <w:tc>
          <w:tcPr>
            <w:tcW w:w="0" w:type="dxa"/>
            <w:vAlign w:val="bottom"/>
          </w:tcPr>
          <w:p>
            <w:pPr>
              <w:spacing w:after="0"/>
              <w:rPr>
                <w:sz w:val="1"/>
                <w:szCs w:val="1"/>
                <w:color w:val="auto"/>
              </w:rPr>
            </w:pPr>
          </w:p>
        </w:tc>
      </w:tr>
      <w:tr>
        <w:trPr>
          <w:trHeight w:val="106"/>
        </w:trPr>
        <w:tc>
          <w:tcPr>
            <w:tcW w:w="3400" w:type="dxa"/>
            <w:vAlign w:val="bottom"/>
          </w:tcPr>
          <w:p>
            <w:pPr>
              <w:ind w:left="80"/>
              <w:spacing w:after="0" w:line="106" w:lineRule="exact"/>
              <w:rPr>
                <w:sz w:val="20"/>
                <w:szCs w:val="20"/>
                <w:color w:val="auto"/>
              </w:rPr>
            </w:pPr>
            <w:r>
              <w:rPr>
                <w:rFonts w:ascii="Arial" w:cs="Arial" w:eastAsia="Arial" w:hAnsi="Arial"/>
                <w:sz w:val="10"/>
                <w:szCs w:val="10"/>
                <w:b w:val="1"/>
                <w:bCs w:val="1"/>
                <w:color w:val="auto"/>
              </w:rPr>
              <w:t>Services revenue:</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446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446</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ASO and other (D)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790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807</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186</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186</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13" w:lineRule="exact"/>
              <w:rPr>
                <w:sz w:val="20"/>
                <w:szCs w:val="20"/>
                <w:color w:val="auto"/>
              </w:rPr>
            </w:pPr>
            <w:r>
              <w:rPr>
                <w:rFonts w:ascii="Arial" w:cs="Arial" w:eastAsia="Arial" w:hAnsi="Arial"/>
                <w:sz w:val="10"/>
                <w:szCs w:val="10"/>
                <w:b w:val="1"/>
                <w:bCs w:val="1"/>
                <w:color w:val="auto"/>
              </w:rPr>
              <w:t>Total services revenue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790</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632</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1,439</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revenues—external customers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56,271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7,484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632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64,387</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Intersegment revenues</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Services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18,255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(18,273)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Products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6,894</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(6,894)</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Total intersegment revenues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25,149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(25,167)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9" w:lineRule="exact"/>
              <w:rPr>
                <w:sz w:val="20"/>
                <w:szCs w:val="20"/>
                <w:color w:val="auto"/>
              </w:rPr>
            </w:pPr>
            <w:r>
              <w:rPr>
                <w:rFonts w:ascii="Arial" w:cs="Arial" w:eastAsia="Arial" w:hAnsi="Arial"/>
                <w:sz w:val="10"/>
                <w:szCs w:val="10"/>
                <w:color w:val="auto"/>
              </w:rPr>
              <w:t>Investment income</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195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23</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281</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501</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13" w:lineRule="exact"/>
              <w:rPr>
                <w:sz w:val="20"/>
                <w:szCs w:val="20"/>
                <w:color w:val="auto"/>
              </w:rPr>
            </w:pPr>
            <w:r>
              <w:rPr>
                <w:rFonts w:ascii="Arial" w:cs="Arial" w:eastAsia="Arial" w:hAnsi="Arial"/>
                <w:sz w:val="10"/>
                <w:szCs w:val="10"/>
                <w:b w:val="1"/>
                <w:bCs w:val="1"/>
                <w:color w:val="auto"/>
              </w:rPr>
              <w:t>Total revenues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56,466</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7,525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25,783</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(24,886)</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64,888</w:t>
            </w:r>
          </w:p>
        </w:tc>
        <w:tc>
          <w:tcPr>
            <w:tcW w:w="0" w:type="dxa"/>
            <w:vAlign w:val="bottom"/>
          </w:tcPr>
          <w:p>
            <w:pPr>
              <w:spacing w:after="0"/>
              <w:rPr>
                <w:sz w:val="1"/>
                <w:szCs w:val="1"/>
                <w:color w:val="auto"/>
              </w:rPr>
            </w:pPr>
          </w:p>
        </w:tc>
      </w:tr>
      <w:tr>
        <w:trPr>
          <w:trHeight w:val="106"/>
        </w:trPr>
        <w:tc>
          <w:tcPr>
            <w:tcW w:w="3400" w:type="dxa"/>
            <w:vAlign w:val="bottom"/>
          </w:tcPr>
          <w:p>
            <w:pPr>
              <w:spacing w:after="0" w:line="106" w:lineRule="exact"/>
              <w:rPr>
                <w:sz w:val="20"/>
                <w:szCs w:val="20"/>
                <w:color w:val="auto"/>
              </w:rPr>
            </w:pPr>
            <w:r>
              <w:rPr>
                <w:rFonts w:ascii="Arial" w:cs="Arial" w:eastAsia="Arial" w:hAnsi="Arial"/>
                <w:sz w:val="10"/>
                <w:szCs w:val="10"/>
                <w:b w:val="1"/>
                <w:bCs w:val="1"/>
                <w:color w:val="auto"/>
              </w:rPr>
              <w:t>Operating expenses: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48,602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5,758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53,857</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5,306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1,651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24,852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(24,428)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7,381</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323</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88</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458</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13" w:lineRule="exact"/>
              <w:rPr>
                <w:sz w:val="20"/>
                <w:szCs w:val="20"/>
                <w:color w:val="auto"/>
              </w:rPr>
            </w:pPr>
            <w:r>
              <w:rPr>
                <w:rFonts w:ascii="Arial" w:cs="Arial" w:eastAsia="Arial" w:hAnsi="Arial"/>
                <w:sz w:val="10"/>
                <w:szCs w:val="10"/>
                <w:b w:val="1"/>
                <w:bCs w:val="1"/>
                <w:color w:val="auto"/>
              </w:rPr>
              <w:t>Total operating expenses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54,231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7,497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25,008</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(25,040)</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61,696</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Income from operations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2,235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775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154</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3,192</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Interest expense</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242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242</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Other income, net (A)</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52"/>
              <w:spacing w:after="0"/>
              <w:rPr>
                <w:sz w:val="20"/>
                <w:szCs w:val="20"/>
                <w:color w:val="auto"/>
              </w:rPr>
            </w:pPr>
            <w:r>
              <w:rPr>
                <w:rFonts w:ascii="Arial" w:cs="Arial" w:eastAsia="Arial" w:hAnsi="Arial"/>
                <w:sz w:val="10"/>
                <w:szCs w:val="10"/>
                <w:color w:val="auto"/>
              </w:rPr>
              <w:t>(506)</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Income before income taxes and equity in net earnings</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2,235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28</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775</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418</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3,456</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9" w:lineRule="exact"/>
              <w:rPr>
                <w:sz w:val="20"/>
                <w:szCs w:val="20"/>
                <w:color w:val="auto"/>
              </w:rPr>
            </w:pPr>
            <w:r>
              <w:rPr>
                <w:rFonts w:ascii="Arial" w:cs="Arial" w:eastAsia="Arial" w:hAnsi="Arial"/>
                <w:sz w:val="10"/>
                <w:szCs w:val="10"/>
                <w:color w:val="auto"/>
              </w:rPr>
              <w:t>Equity in net earnings (B)</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5"/>
        </w:trPr>
        <w:tc>
          <w:tcPr>
            <w:tcW w:w="3400" w:type="dxa"/>
            <w:vAlign w:val="bottom"/>
          </w:tcPr>
          <w:p>
            <w:pPr>
              <w:spacing w:after="0" w:line="113" w:lineRule="exact"/>
              <w:rPr>
                <w:sz w:val="20"/>
                <w:szCs w:val="20"/>
                <w:color w:val="auto"/>
              </w:rPr>
            </w:pPr>
            <w:r>
              <w:rPr>
                <w:rFonts w:ascii="Arial" w:cs="Arial" w:eastAsia="Arial" w:hAnsi="Arial"/>
                <w:sz w:val="10"/>
                <w:szCs w:val="10"/>
                <w:b w:val="1"/>
                <w:bCs w:val="1"/>
                <w:color w:val="auto"/>
              </w:rPr>
              <w:t>Segment earnings</w:t>
            </w: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2,235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28</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789</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418</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3,470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Benefit ratio</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jc w:val="right"/>
              <w:spacing w:after="0" w:line="103" w:lineRule="exact"/>
              <w:rPr>
                <w:sz w:val="20"/>
                <w:szCs w:val="20"/>
                <w:color w:val="auto"/>
              </w:rPr>
            </w:pPr>
            <w:r>
              <w:rPr>
                <w:rFonts w:ascii="Arial" w:cs="Arial" w:eastAsia="Arial" w:hAnsi="Arial"/>
                <w:sz w:val="10"/>
                <w:szCs w:val="10"/>
                <w:color w:val="auto"/>
              </w:rPr>
              <w:t>86.4 %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86.0 %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right"/>
              <w:spacing w:after="0" w:line="103" w:lineRule="exact"/>
              <w:rPr>
                <w:sz w:val="20"/>
                <w:szCs w:val="20"/>
                <w:color w:val="auto"/>
              </w:rPr>
            </w:pPr>
            <w:r>
              <w:rPr>
                <w:rFonts w:ascii="Arial" w:cs="Arial" w:eastAsia="Arial" w:hAnsi="Arial"/>
                <w:sz w:val="10"/>
                <w:szCs w:val="10"/>
                <w:color w:val="auto"/>
              </w:rPr>
              <w:t>85.6 %</w:t>
            </w:r>
          </w:p>
        </w:tc>
        <w:tc>
          <w:tcPr>
            <w:tcW w:w="0" w:type="dxa"/>
            <w:vAlign w:val="bottom"/>
          </w:tcPr>
          <w:p>
            <w:pPr>
              <w:spacing w:after="0"/>
              <w:rPr>
                <w:sz w:val="1"/>
                <w:szCs w:val="1"/>
                <w:color w:val="auto"/>
              </w:rPr>
            </w:pPr>
          </w:p>
        </w:tc>
      </w:tr>
      <w:tr>
        <w:trPr>
          <w:trHeight w:val="133"/>
        </w:trPr>
        <w:tc>
          <w:tcPr>
            <w:tcW w:w="34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9.4 %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22.0 %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96.4 %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S-11</w:t>
      </w:r>
    </w:p>
    <w:p>
      <w:pPr>
        <w:sectPr>
          <w:pgSz w:w="11900" w:h="16838" w:orient="portrait"/>
          <w:cols w:equalWidth="0" w:num="1">
            <w:col w:w="10159"/>
          </w:cols>
          <w:pgMar w:left="300" w:top="767"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Humana Inc.</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Ending Membership Detail</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0"/>
                <w:szCs w:val="10"/>
                <w:color w:val="auto"/>
              </w:rPr>
            </w:pPr>
          </w:p>
        </w:tc>
        <w:tc>
          <w:tcPr>
            <w:tcW w:w="1060" w:type="dxa"/>
            <w:vAlign w:val="bottom"/>
            <w:tcBorders>
              <w:top w:val="single" w:sz="8" w:color="auto"/>
              <w:left w:val="single" w:sz="8" w:color="auto"/>
            </w:tcBorders>
          </w:tcPr>
          <w:p>
            <w:pPr>
              <w:spacing w:after="0"/>
              <w:rPr>
                <w:sz w:val="10"/>
                <w:szCs w:val="10"/>
                <w:color w:val="auto"/>
              </w:rPr>
            </w:pPr>
          </w:p>
        </w:tc>
        <w:tc>
          <w:tcPr>
            <w:tcW w:w="60" w:type="dxa"/>
            <w:vAlign w:val="bottom"/>
            <w:tcBorders>
              <w:top w:val="single" w:sz="8" w:color="auto"/>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40" w:type="dxa"/>
            <w:vAlign w:val="bottom"/>
            <w:tcBorders>
              <w:top w:val="single" w:sz="8" w:color="auto"/>
              <w:bottom w:val="single" w:sz="8" w:color="auto"/>
              <w:right w:val="single" w:sz="8" w:color="auto"/>
            </w:tcBorders>
            <w:gridSpan w:val="2"/>
          </w:tcPr>
          <w:p>
            <w:pPr>
              <w:jc w:val="right"/>
              <w:ind w:right="452"/>
              <w:spacing w:after="0"/>
              <w:rPr>
                <w:sz w:val="20"/>
                <w:szCs w:val="20"/>
                <w:color w:val="auto"/>
              </w:rPr>
            </w:pPr>
            <w:r>
              <w:rPr>
                <w:rFonts w:ascii="Arial" w:cs="Arial" w:eastAsia="Arial" w:hAnsi="Arial"/>
                <w:sz w:val="10"/>
                <w:szCs w:val="10"/>
                <w:b w:val="1"/>
                <w:bCs w:val="1"/>
                <w:color w:val="auto"/>
              </w:rPr>
              <w:t>Year-over-Year Change</w:t>
            </w:r>
          </w:p>
        </w:tc>
        <w:tc>
          <w:tcPr>
            <w:tcW w:w="0" w:type="dxa"/>
            <w:vAlign w:val="bottom"/>
          </w:tcPr>
          <w:p>
            <w:pPr>
              <w:spacing w:after="0"/>
              <w:rPr>
                <w:sz w:val="1"/>
                <w:szCs w:val="1"/>
                <w:color w:val="auto"/>
              </w:rPr>
            </w:pPr>
          </w:p>
        </w:tc>
      </w:tr>
      <w:tr>
        <w:trPr>
          <w:trHeight w:val="115"/>
        </w:trPr>
        <w:tc>
          <w:tcPr>
            <w:tcW w:w="2680" w:type="dxa"/>
            <w:vAlign w:val="bottom"/>
            <w:vMerge w:val="restart"/>
          </w:tcPr>
          <w:p>
            <w:pPr>
              <w:spacing w:after="0"/>
              <w:rPr>
                <w:sz w:val="20"/>
                <w:szCs w:val="20"/>
                <w:color w:val="auto"/>
              </w:rPr>
            </w:pPr>
            <w:r>
              <w:rPr>
                <w:rFonts w:ascii="Arial" w:cs="Arial" w:eastAsia="Arial" w:hAnsi="Arial"/>
                <w:sz w:val="10"/>
                <w:szCs w:val="10"/>
                <w:b w:val="1"/>
                <w:bCs w:val="1"/>
                <w:color w:val="auto"/>
              </w:rPr>
              <w:t>Medical Membership:</w:t>
            </w:r>
          </w:p>
        </w:tc>
        <w:tc>
          <w:tcPr>
            <w:tcW w:w="1120" w:type="dxa"/>
            <w:vAlign w:val="bottom"/>
            <w:tcBorders>
              <w:left w:val="single" w:sz="8" w:color="auto"/>
              <w:right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00497F"/>
              </w:rPr>
              <w:t>December 31, 2020</w:t>
            </w:r>
          </w:p>
        </w:tc>
        <w:tc>
          <w:tcPr>
            <w:tcW w:w="11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00497F"/>
                <w:w w:val="95"/>
              </w:rPr>
              <w:t>Average 4Q20</w:t>
            </w:r>
          </w:p>
        </w:tc>
        <w:tc>
          <w:tcPr>
            <w:tcW w:w="1140" w:type="dxa"/>
            <w:vAlign w:val="bottom"/>
            <w:gridSpan w:val="2"/>
          </w:tcPr>
          <w:p>
            <w:pPr>
              <w:ind w:left="120"/>
              <w:spacing w:after="0"/>
              <w:rPr>
                <w:sz w:val="20"/>
                <w:szCs w:val="20"/>
                <w:color w:val="auto"/>
              </w:rPr>
            </w:pPr>
            <w:r>
              <w:rPr>
                <w:rFonts w:ascii="Arial" w:cs="Arial" w:eastAsia="Arial" w:hAnsi="Arial"/>
                <w:sz w:val="10"/>
                <w:szCs w:val="10"/>
                <w:color w:val="auto"/>
              </w:rPr>
              <w:t>December 31, 2019</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Amount</w:t>
            </w:r>
          </w:p>
        </w:tc>
        <w:tc>
          <w:tcPr>
            <w:tcW w:w="920" w:type="dxa"/>
            <w:vAlign w:val="bottom"/>
          </w:tcPr>
          <w:p>
            <w:pPr>
              <w:jc w:val="right"/>
              <w:ind w:right="252"/>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06"/>
        </w:trPr>
        <w:tc>
          <w:tcPr>
            <w:tcW w:w="2680" w:type="dxa"/>
            <w:vAlign w:val="bottom"/>
            <w:vMerge w:val="continue"/>
          </w:tcPr>
          <w:p>
            <w:pPr>
              <w:spacing w:after="0"/>
              <w:rPr>
                <w:sz w:val="9"/>
                <w:szCs w:val="9"/>
                <w:color w:val="auto"/>
              </w:rPr>
            </w:pPr>
          </w:p>
        </w:tc>
        <w:tc>
          <w:tcPr>
            <w:tcW w:w="1060" w:type="dxa"/>
            <w:vAlign w:val="bottom"/>
            <w:tcBorders>
              <w:top w:val="single" w:sz="8" w:color="auto"/>
              <w:left w:val="single" w:sz="8" w:color="auto"/>
            </w:tcBorders>
          </w:tcPr>
          <w:p>
            <w:pPr>
              <w:spacing w:after="0"/>
              <w:rPr>
                <w:sz w:val="9"/>
                <w:szCs w:val="9"/>
                <w:color w:val="auto"/>
              </w:rPr>
            </w:pPr>
          </w:p>
        </w:tc>
        <w:tc>
          <w:tcPr>
            <w:tcW w:w="6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rPr>
                <w:sz w:val="20"/>
                <w:szCs w:val="20"/>
                <w:color w:val="auto"/>
              </w:rPr>
            </w:pPr>
            <w:r>
              <w:rPr>
                <w:rFonts w:ascii="Arial" w:cs="Arial" w:eastAsia="Arial" w:hAnsi="Arial"/>
                <w:sz w:val="10"/>
                <w:szCs w:val="10"/>
                <w:b w:val="1"/>
                <w:bCs w:val="1"/>
                <w:color w:val="auto"/>
              </w:rPr>
              <w:t>Retail</w:t>
            </w:r>
          </w:p>
        </w:tc>
        <w:tc>
          <w:tcPr>
            <w:tcW w:w="1060" w:type="dxa"/>
            <w:vAlign w:val="bottom"/>
            <w:tcBorders>
              <w:left w:val="single" w:sz="8" w:color="auto"/>
            </w:tcBorders>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Individual Medicare Advantage</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3,962.7</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3,958.8</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3,587.2</w:t>
            </w:r>
          </w:p>
        </w:tc>
        <w:tc>
          <w:tcPr>
            <w:tcW w:w="80" w:type="dxa"/>
            <w:vAlign w:val="bottom"/>
          </w:tcPr>
          <w:p>
            <w:pPr>
              <w:spacing w:after="0"/>
              <w:rPr>
                <w:sz w:val="10"/>
                <w:szCs w:val="10"/>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375.5</w:t>
            </w:r>
          </w:p>
        </w:tc>
        <w:tc>
          <w:tcPr>
            <w:tcW w:w="920" w:type="dxa"/>
            <w:vAlign w:val="bottom"/>
          </w:tcPr>
          <w:p>
            <w:pPr>
              <w:jc w:val="right"/>
              <w:spacing w:after="0"/>
              <w:rPr>
                <w:sz w:val="20"/>
                <w:szCs w:val="20"/>
                <w:color w:val="auto"/>
              </w:rPr>
            </w:pPr>
            <w:r>
              <w:rPr>
                <w:rFonts w:ascii="Arial" w:cs="Arial" w:eastAsia="Arial" w:hAnsi="Arial"/>
                <w:sz w:val="10"/>
                <w:szCs w:val="10"/>
                <w:color w:val="auto"/>
              </w:rPr>
              <w:t>10.5 %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Group Medicare Advantage</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613.2</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613.1</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525.3</w:t>
            </w:r>
          </w:p>
        </w:tc>
        <w:tc>
          <w:tcPr>
            <w:tcW w:w="80" w:type="dxa"/>
            <w:vAlign w:val="bottom"/>
          </w:tcPr>
          <w:p>
            <w:pPr>
              <w:spacing w:after="0"/>
              <w:rPr>
                <w:sz w:val="10"/>
                <w:szCs w:val="10"/>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87.9</w:t>
            </w:r>
          </w:p>
        </w:tc>
        <w:tc>
          <w:tcPr>
            <w:tcW w:w="920" w:type="dxa"/>
            <w:vAlign w:val="bottom"/>
          </w:tcPr>
          <w:p>
            <w:pPr>
              <w:jc w:val="right"/>
              <w:spacing w:after="0"/>
              <w:rPr>
                <w:sz w:val="20"/>
                <w:szCs w:val="20"/>
                <w:color w:val="auto"/>
              </w:rPr>
            </w:pPr>
            <w:r>
              <w:rPr>
                <w:rFonts w:ascii="Arial" w:cs="Arial" w:eastAsia="Arial" w:hAnsi="Arial"/>
                <w:sz w:val="10"/>
                <w:szCs w:val="10"/>
                <w:color w:val="auto"/>
              </w:rPr>
              <w:t>16.7 %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Medicare stand-alone PDP</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3,866.7</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3,876.7</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4,365.2</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(498.5)</w:t>
            </w:r>
          </w:p>
        </w:tc>
        <w:tc>
          <w:tcPr>
            <w:tcW w:w="920" w:type="dxa"/>
            <w:vAlign w:val="bottom"/>
          </w:tcPr>
          <w:p>
            <w:pPr>
              <w:jc w:val="right"/>
              <w:spacing w:after="0"/>
              <w:rPr>
                <w:sz w:val="20"/>
                <w:szCs w:val="20"/>
                <w:color w:val="auto"/>
              </w:rPr>
            </w:pPr>
            <w:r>
              <w:rPr>
                <w:rFonts w:ascii="Arial" w:cs="Arial" w:eastAsia="Arial" w:hAnsi="Arial"/>
                <w:sz w:val="10"/>
                <w:szCs w:val="10"/>
                <w:color w:val="auto"/>
              </w:rPr>
              <w:t>-11.4 %</w:t>
            </w:r>
          </w:p>
        </w:tc>
        <w:tc>
          <w:tcPr>
            <w:tcW w:w="0" w:type="dxa"/>
            <w:vAlign w:val="bottom"/>
          </w:tcPr>
          <w:p>
            <w:pPr>
              <w:spacing w:after="0"/>
              <w:rPr>
                <w:sz w:val="1"/>
                <w:szCs w:val="1"/>
                <w:color w:val="auto"/>
              </w:rPr>
            </w:pPr>
          </w:p>
        </w:tc>
      </w:tr>
      <w:tr>
        <w:trPr>
          <w:trHeight w:val="115"/>
        </w:trPr>
        <w:tc>
          <w:tcPr>
            <w:tcW w:w="2680" w:type="dxa"/>
            <w:vAlign w:val="bottom"/>
          </w:tcPr>
          <w:p>
            <w:pPr>
              <w:ind w:left="440"/>
              <w:spacing w:after="0" w:line="109" w:lineRule="exact"/>
              <w:rPr>
                <w:sz w:val="20"/>
                <w:szCs w:val="20"/>
                <w:color w:val="auto"/>
              </w:rPr>
            </w:pPr>
            <w:r>
              <w:rPr>
                <w:rFonts w:ascii="Arial" w:cs="Arial" w:eastAsia="Arial" w:hAnsi="Arial"/>
                <w:sz w:val="10"/>
                <w:szCs w:val="10"/>
                <w:color w:val="auto"/>
              </w:rPr>
              <w:t>Total Medicare</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8,442.6</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8,448.6</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8,477.7</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(35.1)</w:t>
            </w:r>
          </w:p>
        </w:tc>
        <w:tc>
          <w:tcPr>
            <w:tcW w:w="920" w:type="dxa"/>
            <w:vAlign w:val="bottom"/>
          </w:tcPr>
          <w:p>
            <w:pPr>
              <w:jc w:val="right"/>
              <w:spacing w:after="0"/>
              <w:rPr>
                <w:sz w:val="20"/>
                <w:szCs w:val="20"/>
                <w:color w:val="auto"/>
              </w:rPr>
            </w:pPr>
            <w:r>
              <w:rPr>
                <w:rFonts w:ascii="Arial" w:cs="Arial" w:eastAsia="Arial" w:hAnsi="Arial"/>
                <w:sz w:val="10"/>
                <w:szCs w:val="10"/>
                <w:color w:val="auto"/>
              </w:rPr>
              <w:t>-0.4 %</w:t>
            </w:r>
          </w:p>
        </w:tc>
        <w:tc>
          <w:tcPr>
            <w:tcW w:w="0" w:type="dxa"/>
            <w:vAlign w:val="bottom"/>
          </w:tcPr>
          <w:p>
            <w:pPr>
              <w:spacing w:after="0"/>
              <w:rPr>
                <w:sz w:val="1"/>
                <w:szCs w:val="1"/>
                <w:color w:val="auto"/>
              </w:rPr>
            </w:pPr>
          </w:p>
        </w:tc>
      </w:tr>
      <w:tr>
        <w:trPr>
          <w:trHeight w:val="115"/>
        </w:trPr>
        <w:tc>
          <w:tcPr>
            <w:tcW w:w="2680" w:type="dxa"/>
            <w:vAlign w:val="bottom"/>
          </w:tcPr>
          <w:p>
            <w:pPr>
              <w:ind w:left="140"/>
              <w:spacing w:after="0" w:line="109" w:lineRule="exact"/>
              <w:rPr>
                <w:sz w:val="20"/>
                <w:szCs w:val="20"/>
                <w:color w:val="auto"/>
              </w:rPr>
            </w:pPr>
            <w:r>
              <w:rPr>
                <w:rFonts w:ascii="Arial" w:cs="Arial" w:eastAsia="Arial" w:hAnsi="Arial"/>
                <w:sz w:val="10"/>
                <w:szCs w:val="10"/>
                <w:color w:val="auto"/>
              </w:rPr>
              <w:t>State-based contracts (E)</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772.4</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758.1</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469.0</w:t>
            </w:r>
          </w:p>
        </w:tc>
        <w:tc>
          <w:tcPr>
            <w:tcW w:w="80" w:type="dxa"/>
            <w:vAlign w:val="bottom"/>
          </w:tcPr>
          <w:p>
            <w:pPr>
              <w:spacing w:after="0"/>
              <w:rPr>
                <w:sz w:val="10"/>
                <w:szCs w:val="10"/>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303.4</w:t>
            </w:r>
          </w:p>
        </w:tc>
        <w:tc>
          <w:tcPr>
            <w:tcW w:w="920" w:type="dxa"/>
            <w:vAlign w:val="bottom"/>
          </w:tcPr>
          <w:p>
            <w:pPr>
              <w:jc w:val="right"/>
              <w:spacing w:after="0"/>
              <w:rPr>
                <w:sz w:val="20"/>
                <w:szCs w:val="20"/>
                <w:color w:val="auto"/>
              </w:rPr>
            </w:pPr>
            <w:r>
              <w:rPr>
                <w:rFonts w:ascii="Arial" w:cs="Arial" w:eastAsia="Arial" w:hAnsi="Arial"/>
                <w:sz w:val="10"/>
                <w:szCs w:val="10"/>
                <w:color w:val="auto"/>
              </w:rPr>
              <w:t>64.7 %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Medicare Supplement</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335.6</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334.2</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298.4</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37.2</w:t>
            </w:r>
          </w:p>
        </w:tc>
        <w:tc>
          <w:tcPr>
            <w:tcW w:w="920" w:type="dxa"/>
            <w:vAlign w:val="bottom"/>
          </w:tcPr>
          <w:p>
            <w:pPr>
              <w:jc w:val="right"/>
              <w:spacing w:after="0"/>
              <w:rPr>
                <w:sz w:val="20"/>
                <w:szCs w:val="20"/>
                <w:color w:val="auto"/>
              </w:rPr>
            </w:pPr>
            <w:r>
              <w:rPr>
                <w:rFonts w:ascii="Arial" w:cs="Arial" w:eastAsia="Arial" w:hAnsi="Arial"/>
                <w:sz w:val="10"/>
                <w:szCs w:val="10"/>
                <w:color w:val="auto"/>
              </w:rPr>
              <w:t>12.5 %</w:t>
            </w:r>
          </w:p>
        </w:tc>
        <w:tc>
          <w:tcPr>
            <w:tcW w:w="0" w:type="dxa"/>
            <w:vAlign w:val="bottom"/>
          </w:tcPr>
          <w:p>
            <w:pPr>
              <w:spacing w:after="0"/>
              <w:rPr>
                <w:sz w:val="1"/>
                <w:szCs w:val="1"/>
                <w:color w:val="auto"/>
              </w:rPr>
            </w:pPr>
          </w:p>
        </w:tc>
      </w:tr>
      <w:tr>
        <w:trPr>
          <w:trHeight w:val="115"/>
        </w:trPr>
        <w:tc>
          <w:tcPr>
            <w:tcW w:w="2680" w:type="dxa"/>
            <w:vAlign w:val="bottom"/>
          </w:tcPr>
          <w:p>
            <w:pPr>
              <w:ind w:left="360"/>
              <w:spacing w:after="0" w:line="113" w:lineRule="exact"/>
              <w:rPr>
                <w:sz w:val="20"/>
                <w:szCs w:val="20"/>
                <w:color w:val="auto"/>
              </w:rPr>
            </w:pPr>
            <w:r>
              <w:rPr>
                <w:rFonts w:ascii="Arial" w:cs="Arial" w:eastAsia="Arial" w:hAnsi="Arial"/>
                <w:sz w:val="10"/>
                <w:szCs w:val="10"/>
                <w:b w:val="1"/>
                <w:bCs w:val="1"/>
                <w:color w:val="auto"/>
              </w:rPr>
              <w:t>Total Retail</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9,550.6</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9,540.9</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9,245.1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305.5</w:t>
            </w:r>
          </w:p>
        </w:tc>
        <w:tc>
          <w:tcPr>
            <w:tcW w:w="920" w:type="dxa"/>
            <w:vAlign w:val="bottom"/>
          </w:tcPr>
          <w:p>
            <w:pPr>
              <w:jc w:val="right"/>
              <w:spacing w:after="0"/>
              <w:rPr>
                <w:sz w:val="20"/>
                <w:szCs w:val="20"/>
                <w:color w:val="auto"/>
              </w:rPr>
            </w:pPr>
            <w:r>
              <w:rPr>
                <w:rFonts w:ascii="Arial" w:cs="Arial" w:eastAsia="Arial" w:hAnsi="Arial"/>
                <w:sz w:val="10"/>
                <w:szCs w:val="10"/>
                <w:color w:val="auto"/>
              </w:rPr>
              <w:t>3.3 %</w:t>
            </w:r>
          </w:p>
        </w:tc>
        <w:tc>
          <w:tcPr>
            <w:tcW w:w="0" w:type="dxa"/>
            <w:vAlign w:val="bottom"/>
          </w:tcPr>
          <w:p>
            <w:pPr>
              <w:spacing w:after="0"/>
              <w:rPr>
                <w:sz w:val="1"/>
                <w:szCs w:val="1"/>
                <w:color w:val="auto"/>
              </w:rPr>
            </w:pPr>
          </w:p>
        </w:tc>
      </w:tr>
      <w:tr>
        <w:trPr>
          <w:trHeight w:val="106"/>
        </w:trPr>
        <w:tc>
          <w:tcPr>
            <w:tcW w:w="2680" w:type="dxa"/>
            <w:vAlign w:val="bottom"/>
          </w:tcPr>
          <w:p>
            <w:pPr>
              <w:spacing w:after="0" w:line="106" w:lineRule="exact"/>
              <w:rPr>
                <w:sz w:val="20"/>
                <w:szCs w:val="20"/>
                <w:color w:val="auto"/>
              </w:rPr>
            </w:pPr>
            <w:r>
              <w:rPr>
                <w:rFonts w:ascii="Arial" w:cs="Arial" w:eastAsia="Arial" w:hAnsi="Arial"/>
                <w:sz w:val="10"/>
                <w:szCs w:val="10"/>
                <w:b w:val="1"/>
                <w:bCs w:val="1"/>
                <w:color w:val="auto"/>
              </w:rPr>
              <w:t>Group and Specialty</w:t>
            </w:r>
          </w:p>
        </w:tc>
        <w:tc>
          <w:tcPr>
            <w:tcW w:w="1060" w:type="dxa"/>
            <w:vAlign w:val="bottom"/>
            <w:tcBorders>
              <w:left w:val="single" w:sz="8" w:color="auto"/>
            </w:tcBorders>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Fully-insured commercial medical</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777.4</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787.0</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908.6</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(131.2)</w:t>
            </w:r>
          </w:p>
        </w:tc>
        <w:tc>
          <w:tcPr>
            <w:tcW w:w="920" w:type="dxa"/>
            <w:vAlign w:val="bottom"/>
          </w:tcPr>
          <w:p>
            <w:pPr>
              <w:jc w:val="right"/>
              <w:spacing w:after="0"/>
              <w:rPr>
                <w:sz w:val="20"/>
                <w:szCs w:val="20"/>
                <w:color w:val="auto"/>
              </w:rPr>
            </w:pPr>
            <w:r>
              <w:rPr>
                <w:rFonts w:ascii="Arial" w:cs="Arial" w:eastAsia="Arial" w:hAnsi="Arial"/>
                <w:sz w:val="10"/>
                <w:szCs w:val="10"/>
                <w:color w:val="auto"/>
              </w:rPr>
              <w:t>-14.4 %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ASO commercial</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504.9</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502.6</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529.2</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(24.3)</w:t>
            </w:r>
          </w:p>
        </w:tc>
        <w:tc>
          <w:tcPr>
            <w:tcW w:w="920" w:type="dxa"/>
            <w:vAlign w:val="bottom"/>
          </w:tcPr>
          <w:p>
            <w:pPr>
              <w:jc w:val="right"/>
              <w:spacing w:after="0"/>
              <w:rPr>
                <w:sz w:val="20"/>
                <w:szCs w:val="20"/>
                <w:color w:val="auto"/>
              </w:rPr>
            </w:pPr>
            <w:r>
              <w:rPr>
                <w:rFonts w:ascii="Arial" w:cs="Arial" w:eastAsia="Arial" w:hAnsi="Arial"/>
                <w:sz w:val="10"/>
                <w:szCs w:val="10"/>
                <w:color w:val="auto"/>
              </w:rPr>
              <w:t>-4.6 %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Military services</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5,998.7</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6,022.5</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5,984.3</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14.4</w:t>
            </w:r>
          </w:p>
        </w:tc>
        <w:tc>
          <w:tcPr>
            <w:tcW w:w="920" w:type="dxa"/>
            <w:vAlign w:val="bottom"/>
          </w:tcPr>
          <w:p>
            <w:pPr>
              <w:jc w:val="right"/>
              <w:spacing w:after="0"/>
              <w:rPr>
                <w:sz w:val="20"/>
                <w:szCs w:val="20"/>
                <w:color w:val="auto"/>
              </w:rPr>
            </w:pPr>
            <w:r>
              <w:rPr>
                <w:rFonts w:ascii="Arial" w:cs="Arial" w:eastAsia="Arial" w:hAnsi="Arial"/>
                <w:sz w:val="10"/>
                <w:szCs w:val="10"/>
                <w:color w:val="auto"/>
              </w:rPr>
              <w:t>0.2 %</w:t>
            </w:r>
          </w:p>
        </w:tc>
        <w:tc>
          <w:tcPr>
            <w:tcW w:w="0" w:type="dxa"/>
            <w:vAlign w:val="bottom"/>
          </w:tcPr>
          <w:p>
            <w:pPr>
              <w:spacing w:after="0"/>
              <w:rPr>
                <w:sz w:val="1"/>
                <w:szCs w:val="1"/>
                <w:color w:val="auto"/>
              </w:rPr>
            </w:pPr>
          </w:p>
        </w:tc>
      </w:tr>
      <w:tr>
        <w:trPr>
          <w:trHeight w:val="115"/>
        </w:trPr>
        <w:tc>
          <w:tcPr>
            <w:tcW w:w="2680" w:type="dxa"/>
            <w:vAlign w:val="bottom"/>
          </w:tcPr>
          <w:p>
            <w:pPr>
              <w:ind w:left="360"/>
              <w:spacing w:after="0" w:line="113" w:lineRule="exact"/>
              <w:rPr>
                <w:sz w:val="20"/>
                <w:szCs w:val="20"/>
                <w:color w:val="auto"/>
              </w:rPr>
            </w:pPr>
            <w:r>
              <w:rPr>
                <w:rFonts w:ascii="Arial" w:cs="Arial" w:eastAsia="Arial" w:hAnsi="Arial"/>
                <w:sz w:val="10"/>
                <w:szCs w:val="10"/>
                <w:b w:val="1"/>
                <w:bCs w:val="1"/>
                <w:color w:val="auto"/>
              </w:rPr>
              <w:t>Total Group and Specialty</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7,281.0</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7,312.1</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7,422.1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(141.1)</w:t>
            </w:r>
          </w:p>
        </w:tc>
        <w:tc>
          <w:tcPr>
            <w:tcW w:w="920" w:type="dxa"/>
            <w:vAlign w:val="bottom"/>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Medical Membership</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16,831.6</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16,853.0</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16,667.2</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164.4</w:t>
            </w:r>
          </w:p>
        </w:tc>
        <w:tc>
          <w:tcPr>
            <w:tcW w:w="920" w:type="dxa"/>
            <w:vAlign w:val="bottom"/>
          </w:tcPr>
          <w:p>
            <w:pPr>
              <w:jc w:val="right"/>
              <w:spacing w:after="0"/>
              <w:rPr>
                <w:sz w:val="20"/>
                <w:szCs w:val="20"/>
                <w:color w:val="auto"/>
              </w:rPr>
            </w:pPr>
            <w:r>
              <w:rPr>
                <w:rFonts w:ascii="Arial" w:cs="Arial" w:eastAsia="Arial" w:hAnsi="Arial"/>
                <w:sz w:val="10"/>
                <w:szCs w:val="10"/>
                <w:color w:val="auto"/>
              </w:rPr>
              <w:t>1.0 %</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0"/>
                <w:szCs w:val="10"/>
                <w:b w:val="1"/>
                <w:bCs w:val="1"/>
                <w:color w:val="auto"/>
                <w:w w:val="99"/>
              </w:rPr>
              <w:t>Specialty Membership (included in Group and Specialty</w:t>
            </w: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vMerge w:val="continue"/>
          </w:tcPr>
          <w:p>
            <w:pPr>
              <w:spacing w:after="0"/>
              <w:rPr>
                <w:sz w:val="11"/>
                <w:szCs w:val="11"/>
                <w:color w:val="auto"/>
              </w:rPr>
            </w:pPr>
          </w:p>
        </w:tc>
        <w:tc>
          <w:tcPr>
            <w:tcW w:w="1060" w:type="dxa"/>
            <w:vAlign w:val="bottom"/>
            <w:tcBorders>
              <w:lef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20"/>
                <w:szCs w:val="20"/>
                <w:color w:val="auto"/>
              </w:rPr>
            </w:pPr>
            <w:r>
              <w:rPr>
                <w:rFonts w:ascii="Arial" w:cs="Arial" w:eastAsia="Arial" w:hAnsi="Arial"/>
                <w:sz w:val="10"/>
                <w:szCs w:val="10"/>
                <w:b w:val="1"/>
                <w:bCs w:val="1"/>
                <w:color w:val="auto"/>
              </w:rPr>
              <w:t>segment):</w:t>
            </w:r>
          </w:p>
        </w:tc>
        <w:tc>
          <w:tcPr>
            <w:tcW w:w="1060" w:type="dxa"/>
            <w:vAlign w:val="bottom"/>
            <w:tcBorders>
              <w:left w:val="single" w:sz="8" w:color="auto"/>
            </w:tcBorders>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Dental—fully-insured (F)</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2,617.6</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2,620.9</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2,646.4</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(28.8)</w:t>
            </w:r>
          </w:p>
        </w:tc>
        <w:tc>
          <w:tcPr>
            <w:tcW w:w="920" w:type="dxa"/>
            <w:vAlign w:val="bottom"/>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Dental—ASO</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284.9</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283.6</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278.9</w:t>
            </w:r>
          </w:p>
        </w:tc>
        <w:tc>
          <w:tcPr>
            <w:tcW w:w="80" w:type="dxa"/>
            <w:vAlign w:val="bottom"/>
          </w:tcPr>
          <w:p>
            <w:pPr>
              <w:spacing w:after="0"/>
              <w:rPr>
                <w:sz w:val="10"/>
                <w:szCs w:val="10"/>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920" w:type="dxa"/>
            <w:vAlign w:val="bottom"/>
          </w:tcPr>
          <w:p>
            <w:pPr>
              <w:jc w:val="right"/>
              <w:spacing w:after="0"/>
              <w:rPr>
                <w:sz w:val="20"/>
                <w:szCs w:val="20"/>
                <w:color w:val="auto"/>
              </w:rPr>
            </w:pPr>
            <w:r>
              <w:rPr>
                <w:rFonts w:ascii="Arial" w:cs="Arial" w:eastAsia="Arial" w:hAnsi="Arial"/>
                <w:sz w:val="10"/>
                <w:szCs w:val="10"/>
                <w:color w:val="auto"/>
              </w:rPr>
              <w:t>2.2 %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Vision</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2,005.5</w:t>
            </w:r>
          </w:p>
        </w:tc>
        <w:tc>
          <w:tcPr>
            <w:tcW w:w="1120" w:type="dxa"/>
            <w:vAlign w:val="bottom"/>
          </w:tcPr>
          <w:p>
            <w:pPr>
              <w:jc w:val="right"/>
              <w:ind w:right="72"/>
              <w:spacing w:after="0"/>
              <w:rPr>
                <w:sz w:val="20"/>
                <w:szCs w:val="20"/>
                <w:color w:val="auto"/>
              </w:rPr>
            </w:pPr>
            <w:r>
              <w:rPr>
                <w:rFonts w:ascii="Arial" w:cs="Arial" w:eastAsia="Arial" w:hAnsi="Arial"/>
                <w:sz w:val="10"/>
                <w:szCs w:val="10"/>
                <w:b w:val="1"/>
                <w:bCs w:val="1"/>
                <w:color w:val="00497F"/>
              </w:rPr>
              <w:t>2,003.1</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2,082.5</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(77.0)</w:t>
            </w:r>
          </w:p>
        </w:tc>
        <w:tc>
          <w:tcPr>
            <w:tcW w:w="920" w:type="dxa"/>
            <w:vAlign w:val="bottom"/>
          </w:tcPr>
          <w:p>
            <w:pPr>
              <w:jc w:val="right"/>
              <w:spacing w:after="0"/>
              <w:rPr>
                <w:sz w:val="20"/>
                <w:szCs w:val="20"/>
                <w:color w:val="auto"/>
              </w:rPr>
            </w:pPr>
            <w:r>
              <w:rPr>
                <w:rFonts w:ascii="Arial" w:cs="Arial" w:eastAsia="Arial" w:hAnsi="Arial"/>
                <w:sz w:val="10"/>
                <w:szCs w:val="10"/>
                <w:color w:val="auto"/>
              </w:rPr>
              <w:t>-3.7 %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Other supplemental benefits (G)</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402.3</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402.2</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418.1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(15.8)</w:t>
            </w:r>
          </w:p>
        </w:tc>
        <w:tc>
          <w:tcPr>
            <w:tcW w:w="920" w:type="dxa"/>
            <w:vAlign w:val="bottom"/>
          </w:tcPr>
          <w:p>
            <w:pPr>
              <w:jc w:val="right"/>
              <w:spacing w:after="0"/>
              <w:rPr>
                <w:sz w:val="20"/>
                <w:szCs w:val="20"/>
                <w:color w:val="auto"/>
              </w:rPr>
            </w:pPr>
            <w:r>
              <w:rPr>
                <w:rFonts w:ascii="Arial" w:cs="Arial" w:eastAsia="Arial" w:hAnsi="Arial"/>
                <w:sz w:val="10"/>
                <w:szCs w:val="10"/>
                <w:color w:val="auto"/>
              </w:rPr>
              <w:t>-3.8 %</w:t>
            </w: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Specialty Membership</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5,310.3</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5,309.8</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5,425.9</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(115.6)</w:t>
            </w:r>
          </w:p>
        </w:tc>
        <w:tc>
          <w:tcPr>
            <w:tcW w:w="920" w:type="dxa"/>
            <w:vAlign w:val="bottom"/>
          </w:tcPr>
          <w:p>
            <w:pPr>
              <w:jc w:val="right"/>
              <w:spacing w:after="0"/>
              <w:rPr>
                <w:sz w:val="20"/>
                <w:szCs w:val="20"/>
                <w:color w:val="auto"/>
              </w:rPr>
            </w:pPr>
            <w:r>
              <w:rPr>
                <w:rFonts w:ascii="Arial" w:cs="Arial" w:eastAsia="Arial" w:hAnsi="Arial"/>
                <w:sz w:val="10"/>
                <w:szCs w:val="10"/>
                <w:color w:val="auto"/>
              </w:rPr>
              <w:t>-2.1 %</w:t>
            </w:r>
          </w:p>
        </w:tc>
        <w:tc>
          <w:tcPr>
            <w:tcW w:w="0" w:type="dxa"/>
            <w:vAlign w:val="bottom"/>
          </w:tcPr>
          <w:p>
            <w:pPr>
              <w:spacing w:after="0"/>
              <w:rPr>
                <w:sz w:val="1"/>
                <w:szCs w:val="1"/>
                <w:color w:val="auto"/>
              </w:rPr>
            </w:pPr>
          </w:p>
        </w:tc>
      </w:tr>
      <w:tr>
        <w:trPr>
          <w:trHeight w:val="70"/>
        </w:trPr>
        <w:tc>
          <w:tcPr>
            <w:tcW w:w="26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6"/>
              </w:rPr>
              <w:t>Member Mix</w:t>
            </w: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auto"/>
                <w:w w:val="98"/>
              </w:rPr>
              <w:t>Member Mix</w:t>
            </w: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680" w:type="dxa"/>
            <w:vAlign w:val="bottom"/>
          </w:tcPr>
          <w:p>
            <w:pPr>
              <w:spacing w:after="0"/>
              <w:rPr>
                <w:sz w:val="6"/>
                <w:szCs w:val="6"/>
                <w:color w:val="auto"/>
              </w:rPr>
            </w:pPr>
          </w:p>
        </w:tc>
        <w:tc>
          <w:tcPr>
            <w:tcW w:w="1060" w:type="dxa"/>
            <w:vAlign w:val="bottom"/>
            <w:tcBorders>
              <w:left w:val="single" w:sz="8" w:color="auto"/>
              <w:right w:val="single" w:sz="8" w:color="auto"/>
            </w:tcBorders>
            <w:vMerge w:val="restart"/>
          </w:tcPr>
          <w:p>
            <w:pPr>
              <w:jc w:val="right"/>
              <w:ind w:right="52"/>
              <w:spacing w:after="0"/>
              <w:rPr>
                <w:sz w:val="20"/>
                <w:szCs w:val="20"/>
                <w:color w:val="auto"/>
              </w:rPr>
            </w:pPr>
            <w:r>
              <w:rPr>
                <w:rFonts w:ascii="Arial" w:cs="Arial" w:eastAsia="Arial" w:hAnsi="Arial"/>
                <w:sz w:val="10"/>
                <w:szCs w:val="10"/>
                <w:b w:val="1"/>
                <w:bCs w:val="1"/>
                <w:color w:val="00497F"/>
              </w:rPr>
              <w:t>December 31, 2020</w:t>
            </w:r>
          </w:p>
        </w:tc>
        <w:tc>
          <w:tcPr>
            <w:tcW w:w="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0"/>
                <w:szCs w:val="10"/>
                <w:color w:val="auto"/>
              </w:rPr>
              <w:t>December 31, 2019</w:t>
            </w:r>
          </w:p>
        </w:tc>
        <w:tc>
          <w:tcPr>
            <w:tcW w:w="11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680" w:type="dxa"/>
            <w:vAlign w:val="bottom"/>
            <w:vMerge w:val="restart"/>
          </w:tcPr>
          <w:p>
            <w:pPr>
              <w:spacing w:after="0"/>
              <w:rPr>
                <w:sz w:val="20"/>
                <w:szCs w:val="20"/>
                <w:color w:val="auto"/>
              </w:rPr>
            </w:pPr>
            <w:r>
              <w:rPr>
                <w:rFonts w:ascii="Arial" w:cs="Arial" w:eastAsia="Arial" w:hAnsi="Arial"/>
                <w:sz w:val="10"/>
                <w:szCs w:val="10"/>
                <w:color w:val="auto"/>
              </w:rPr>
              <w:t>Individual Medicare Advantage Membership</w:t>
            </w:r>
          </w:p>
        </w:tc>
        <w:tc>
          <w:tcPr>
            <w:tcW w:w="1060" w:type="dxa"/>
            <w:vAlign w:val="bottom"/>
            <w:tcBorders>
              <w:left w:val="single" w:sz="8" w:color="auto"/>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December 31, 2020</w:t>
            </w:r>
          </w:p>
        </w:tc>
        <w:tc>
          <w:tcPr>
            <w:tcW w:w="1140" w:type="dxa"/>
            <w:vAlign w:val="bottom"/>
            <w:gridSpan w:val="2"/>
            <w:vMerge w:val="continue"/>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97"/>
              </w:rPr>
              <w:t>December 31, 2019</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680" w:type="dxa"/>
            <w:vAlign w:val="bottom"/>
            <w:vMerge w:val="continue"/>
          </w:tcPr>
          <w:p>
            <w:pPr>
              <w:spacing w:after="0"/>
              <w:rPr>
                <w:sz w:val="9"/>
                <w:szCs w:val="9"/>
                <w:color w:val="auto"/>
              </w:rPr>
            </w:pPr>
          </w:p>
        </w:tc>
        <w:tc>
          <w:tcPr>
            <w:tcW w:w="1060" w:type="dxa"/>
            <w:vAlign w:val="bottom"/>
            <w:tcBorders>
              <w:top w:val="single" w:sz="8" w:color="auto"/>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HMO</w:t>
            </w:r>
          </w:p>
        </w:tc>
        <w:tc>
          <w:tcPr>
            <w:tcW w:w="106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2,352.5</w:t>
            </w:r>
          </w:p>
        </w:tc>
        <w:tc>
          <w:tcPr>
            <w:tcW w:w="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59 %</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2,129.9</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59 %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PPO</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1,610.2</w:t>
            </w:r>
          </w:p>
        </w:tc>
        <w:tc>
          <w:tcPr>
            <w:tcW w:w="6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41 %</w:t>
            </w:r>
          </w:p>
        </w:tc>
        <w:tc>
          <w:tcPr>
            <w:tcW w:w="6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1,457.3</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Individual Medicare Advantage</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3,962.7</w:t>
            </w:r>
          </w:p>
        </w:tc>
        <w:tc>
          <w:tcPr>
            <w:tcW w:w="6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6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3,587.2</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line="106" w:lineRule="exact"/>
              <w:rPr>
                <w:sz w:val="20"/>
                <w:szCs w:val="20"/>
                <w:color w:val="auto"/>
              </w:rPr>
            </w:pPr>
            <w:r>
              <w:rPr>
                <w:rFonts w:ascii="Arial" w:cs="Arial" w:eastAsia="Arial" w:hAnsi="Arial"/>
                <w:sz w:val="10"/>
                <w:szCs w:val="10"/>
                <w:color w:val="auto"/>
              </w:rPr>
              <w:t>Individual Medicare Advantage Membership</w:t>
            </w:r>
          </w:p>
        </w:tc>
        <w:tc>
          <w:tcPr>
            <w:tcW w:w="1060" w:type="dxa"/>
            <w:vAlign w:val="bottom"/>
            <w:tcBorders>
              <w:left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Shared Risk (H)</w:t>
            </w:r>
          </w:p>
        </w:tc>
        <w:tc>
          <w:tcPr>
            <w:tcW w:w="106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1,231.9</w:t>
            </w:r>
          </w:p>
        </w:tc>
        <w:tc>
          <w:tcPr>
            <w:tcW w:w="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31 %</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1,116.1</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31 %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Path to Risk (I)</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1,418.2</w:t>
            </w:r>
          </w:p>
        </w:tc>
        <w:tc>
          <w:tcPr>
            <w:tcW w:w="6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36 %</w:t>
            </w:r>
          </w:p>
        </w:tc>
        <w:tc>
          <w:tcPr>
            <w:tcW w:w="6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1,290.9</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ind w:left="360"/>
              <w:spacing w:after="0" w:line="109" w:lineRule="exact"/>
              <w:rPr>
                <w:sz w:val="20"/>
                <w:szCs w:val="20"/>
                <w:color w:val="auto"/>
              </w:rPr>
            </w:pPr>
            <w:r>
              <w:rPr>
                <w:rFonts w:ascii="Arial" w:cs="Arial" w:eastAsia="Arial" w:hAnsi="Arial"/>
                <w:sz w:val="10"/>
                <w:szCs w:val="10"/>
                <w:color w:val="auto"/>
              </w:rPr>
              <w:t>Total Value-based</w:t>
            </w:r>
          </w:p>
        </w:tc>
        <w:tc>
          <w:tcPr>
            <w:tcW w:w="106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2,650.1</w:t>
            </w:r>
          </w:p>
        </w:tc>
        <w:tc>
          <w:tcPr>
            <w:tcW w:w="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67 %</w:t>
            </w:r>
          </w:p>
        </w:tc>
        <w:tc>
          <w:tcPr>
            <w:tcW w:w="6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2,407.0</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67 %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Other</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1,312.6</w:t>
            </w:r>
          </w:p>
        </w:tc>
        <w:tc>
          <w:tcPr>
            <w:tcW w:w="6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33 %</w:t>
            </w:r>
          </w:p>
        </w:tc>
        <w:tc>
          <w:tcPr>
            <w:tcW w:w="6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1,180.2</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Individual Medicare Advantage</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3,962.7</w:t>
            </w:r>
          </w:p>
        </w:tc>
        <w:tc>
          <w:tcPr>
            <w:tcW w:w="6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6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3,587.2</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9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80" w:type="dxa"/>
            <w:vAlign w:val="bottom"/>
            <w:tcBorders>
              <w:top w:val="single" w:sz="8" w:color="auto"/>
              <w:bottom w:val="single" w:sz="8" w:color="auto"/>
              <w:right w:val="single" w:sz="8" w:color="auto"/>
            </w:tcBorders>
            <w:gridSpan w:val="2"/>
          </w:tcPr>
          <w:p>
            <w:pPr>
              <w:jc w:val="right"/>
              <w:ind w:right="272"/>
              <w:spacing w:after="0"/>
              <w:rPr>
                <w:sz w:val="20"/>
                <w:szCs w:val="20"/>
                <w:color w:val="auto"/>
              </w:rPr>
            </w:pPr>
            <w:r>
              <w:rPr>
                <w:rFonts w:ascii="Arial" w:cs="Arial" w:eastAsia="Arial" w:hAnsi="Arial"/>
                <w:sz w:val="10"/>
                <w:szCs w:val="10"/>
                <w:b w:val="1"/>
                <w:bCs w:val="1"/>
                <w:color w:val="auto"/>
              </w:rPr>
              <w:t>Sequential Change</w:t>
            </w:r>
          </w:p>
        </w:tc>
      </w:tr>
      <w:tr>
        <w:trPr>
          <w:trHeight w:val="115"/>
        </w:trPr>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September 30, 2020</w:t>
            </w:r>
          </w:p>
        </w:tc>
        <w:tc>
          <w:tcPr>
            <w:tcW w:w="680" w:type="dxa"/>
            <w:vAlign w:val="bottom"/>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192"/>
              <w:spacing w:after="0"/>
              <w:rPr>
                <w:sz w:val="20"/>
                <w:szCs w:val="20"/>
                <w:color w:val="auto"/>
              </w:rPr>
            </w:pPr>
            <w:r>
              <w:rPr>
                <w:rFonts w:ascii="Arial" w:cs="Arial" w:eastAsia="Arial" w:hAnsi="Arial"/>
                <w:sz w:val="10"/>
                <w:szCs w:val="10"/>
                <w:b w:val="1"/>
                <w:bCs w:val="1"/>
                <w:color w:val="auto"/>
              </w:rPr>
              <w:t>Percent</w:t>
            </w:r>
          </w:p>
        </w:tc>
      </w:tr>
      <w:tr>
        <w:trPr>
          <w:trHeight w:val="358"/>
        </w:trPr>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3,935.1</w:t>
            </w:r>
          </w:p>
        </w:tc>
        <w:tc>
          <w:tcPr>
            <w:tcW w:w="8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27.6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0.7 %</w:t>
            </w:r>
          </w:p>
        </w:tc>
      </w:tr>
      <w:tr>
        <w:trPr>
          <w:trHeight w:val="126"/>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612.0</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w:t>
            </w:r>
          </w:p>
        </w:tc>
        <w:tc>
          <w:tcPr>
            <w:tcW w:w="800" w:type="dxa"/>
            <w:vAlign w:val="bottom"/>
          </w:tcPr>
          <w:p>
            <w:pPr>
              <w:jc w:val="right"/>
              <w:spacing w:after="0"/>
              <w:rPr>
                <w:sz w:val="20"/>
                <w:szCs w:val="20"/>
                <w:color w:val="auto"/>
              </w:rPr>
            </w:pPr>
            <w:r>
              <w:rPr>
                <w:rFonts w:ascii="Arial" w:cs="Arial" w:eastAsia="Arial" w:hAnsi="Arial"/>
                <w:sz w:val="10"/>
                <w:szCs w:val="10"/>
                <w:color w:val="auto"/>
              </w:rPr>
              <w:t>0.2 %</w:t>
            </w:r>
          </w:p>
        </w:tc>
      </w:tr>
      <w:tr>
        <w:trPr>
          <w:trHeight w:val="126"/>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3,892.2</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(25.5)</w:t>
            </w:r>
          </w:p>
        </w:tc>
        <w:tc>
          <w:tcPr>
            <w:tcW w:w="800" w:type="dxa"/>
            <w:vAlign w:val="bottom"/>
          </w:tcPr>
          <w:p>
            <w:pPr>
              <w:jc w:val="right"/>
              <w:spacing w:after="0"/>
              <w:rPr>
                <w:sz w:val="20"/>
                <w:szCs w:val="20"/>
                <w:color w:val="auto"/>
              </w:rPr>
            </w:pPr>
            <w:r>
              <w:rPr>
                <w:rFonts w:ascii="Arial" w:cs="Arial" w:eastAsia="Arial" w:hAnsi="Arial"/>
                <w:sz w:val="10"/>
                <w:szCs w:val="10"/>
                <w:color w:val="auto"/>
              </w:rPr>
              <w:t>-0.7 %</w:t>
            </w:r>
          </w:p>
        </w:tc>
      </w:tr>
      <w:tr>
        <w:trPr>
          <w:trHeight w:val="115"/>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8,439.3</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800" w:type="dxa"/>
            <w:vAlign w:val="bottom"/>
          </w:tcPr>
          <w:p>
            <w:pPr>
              <w:jc w:val="right"/>
              <w:spacing w:after="0"/>
              <w:rPr>
                <w:sz w:val="20"/>
                <w:szCs w:val="20"/>
                <w:color w:val="auto"/>
              </w:rPr>
            </w:pPr>
            <w:r>
              <w:rPr>
                <w:rFonts w:ascii="Arial" w:cs="Arial" w:eastAsia="Arial" w:hAnsi="Arial"/>
                <w:sz w:val="10"/>
                <w:szCs w:val="10"/>
                <w:color w:val="auto"/>
              </w:rPr>
              <w:t>— %</w:t>
            </w:r>
          </w:p>
        </w:tc>
      </w:tr>
      <w:tr>
        <w:trPr>
          <w:trHeight w:val="115"/>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730.1</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42.3</w:t>
            </w:r>
          </w:p>
        </w:tc>
        <w:tc>
          <w:tcPr>
            <w:tcW w:w="800" w:type="dxa"/>
            <w:vAlign w:val="bottom"/>
          </w:tcPr>
          <w:p>
            <w:pPr>
              <w:jc w:val="right"/>
              <w:spacing w:after="0"/>
              <w:rPr>
                <w:sz w:val="20"/>
                <w:szCs w:val="20"/>
                <w:color w:val="auto"/>
              </w:rPr>
            </w:pPr>
            <w:r>
              <w:rPr>
                <w:rFonts w:ascii="Arial" w:cs="Arial" w:eastAsia="Arial" w:hAnsi="Arial"/>
                <w:sz w:val="10"/>
                <w:szCs w:val="10"/>
                <w:color w:val="auto"/>
              </w:rPr>
              <w:t>5.8 %</w:t>
            </w:r>
          </w:p>
        </w:tc>
      </w:tr>
      <w:tr>
        <w:trPr>
          <w:trHeight w:val="126"/>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331.3</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800" w:type="dxa"/>
            <w:vAlign w:val="bottom"/>
          </w:tcPr>
          <w:p>
            <w:pPr>
              <w:jc w:val="right"/>
              <w:spacing w:after="0"/>
              <w:rPr>
                <w:sz w:val="20"/>
                <w:szCs w:val="20"/>
                <w:color w:val="auto"/>
              </w:rPr>
            </w:pPr>
            <w:r>
              <w:rPr>
                <w:rFonts w:ascii="Arial" w:cs="Arial" w:eastAsia="Arial" w:hAnsi="Arial"/>
                <w:sz w:val="10"/>
                <w:szCs w:val="10"/>
                <w:color w:val="auto"/>
              </w:rPr>
              <w:t>1.3 %</w:t>
            </w:r>
          </w:p>
        </w:tc>
      </w:tr>
      <w:tr>
        <w:trPr>
          <w:trHeight w:val="115"/>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9,500.7</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49.9</w:t>
            </w:r>
          </w:p>
        </w:tc>
        <w:tc>
          <w:tcPr>
            <w:tcW w:w="800" w:type="dxa"/>
            <w:vAlign w:val="bottom"/>
          </w:tcPr>
          <w:p>
            <w:pPr>
              <w:jc w:val="right"/>
              <w:spacing w:after="0"/>
              <w:rPr>
                <w:sz w:val="20"/>
                <w:szCs w:val="20"/>
                <w:color w:val="auto"/>
              </w:rPr>
            </w:pPr>
            <w:r>
              <w:rPr>
                <w:rFonts w:ascii="Arial" w:cs="Arial" w:eastAsia="Arial" w:hAnsi="Arial"/>
                <w:sz w:val="10"/>
                <w:szCs w:val="10"/>
                <w:color w:val="auto"/>
              </w:rPr>
              <w:t>0.5 %</w:t>
            </w:r>
          </w:p>
        </w:tc>
      </w:tr>
      <w:tr>
        <w:trPr>
          <w:trHeight w:val="232"/>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799.5</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(22.1)</w:t>
            </w:r>
          </w:p>
        </w:tc>
        <w:tc>
          <w:tcPr>
            <w:tcW w:w="800" w:type="dxa"/>
            <w:vAlign w:val="bottom"/>
          </w:tcPr>
          <w:p>
            <w:pPr>
              <w:jc w:val="right"/>
              <w:spacing w:after="0"/>
              <w:rPr>
                <w:sz w:val="20"/>
                <w:szCs w:val="20"/>
                <w:color w:val="auto"/>
              </w:rPr>
            </w:pPr>
            <w:r>
              <w:rPr>
                <w:rFonts w:ascii="Arial" w:cs="Arial" w:eastAsia="Arial" w:hAnsi="Arial"/>
                <w:sz w:val="10"/>
                <w:szCs w:val="10"/>
                <w:color w:val="auto"/>
              </w:rPr>
              <w:t>-2.8 %</w:t>
            </w:r>
          </w:p>
        </w:tc>
      </w:tr>
      <w:tr>
        <w:trPr>
          <w:trHeight w:val="126"/>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502.1</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2.8</w:t>
            </w:r>
          </w:p>
        </w:tc>
        <w:tc>
          <w:tcPr>
            <w:tcW w:w="800" w:type="dxa"/>
            <w:vAlign w:val="bottom"/>
          </w:tcPr>
          <w:p>
            <w:pPr>
              <w:jc w:val="right"/>
              <w:spacing w:after="0"/>
              <w:rPr>
                <w:sz w:val="20"/>
                <w:szCs w:val="20"/>
                <w:color w:val="auto"/>
              </w:rPr>
            </w:pPr>
            <w:r>
              <w:rPr>
                <w:rFonts w:ascii="Arial" w:cs="Arial" w:eastAsia="Arial" w:hAnsi="Arial"/>
                <w:sz w:val="10"/>
                <w:szCs w:val="10"/>
                <w:color w:val="auto"/>
              </w:rPr>
              <w:t>0.6 %</w:t>
            </w:r>
          </w:p>
        </w:tc>
      </w:tr>
      <w:tr>
        <w:trPr>
          <w:trHeight w:val="126"/>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6,016.4</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r>
      <w:tr>
        <w:trPr>
          <w:trHeight w:val="115"/>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7,318.0</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(37.0)</w:t>
            </w:r>
          </w:p>
        </w:tc>
        <w:tc>
          <w:tcPr>
            <w:tcW w:w="800" w:type="dxa"/>
            <w:vAlign w:val="bottom"/>
          </w:tcPr>
          <w:p>
            <w:pPr>
              <w:jc w:val="right"/>
              <w:spacing w:after="0"/>
              <w:rPr>
                <w:sz w:val="20"/>
                <w:szCs w:val="20"/>
                <w:color w:val="auto"/>
              </w:rPr>
            </w:pPr>
            <w:r>
              <w:rPr>
                <w:rFonts w:ascii="Arial" w:cs="Arial" w:eastAsia="Arial" w:hAnsi="Arial"/>
                <w:sz w:val="10"/>
                <w:szCs w:val="10"/>
                <w:color w:val="auto"/>
              </w:rPr>
              <w:t>-0.5 %</w:t>
            </w:r>
          </w:p>
        </w:tc>
      </w:tr>
      <w:tr>
        <w:trPr>
          <w:trHeight w:val="115"/>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16,818.7</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w:t>
            </w:r>
          </w:p>
        </w:tc>
        <w:tc>
          <w:tcPr>
            <w:tcW w:w="800" w:type="dxa"/>
            <w:vAlign w:val="bottom"/>
          </w:tcPr>
          <w:p>
            <w:pPr>
              <w:jc w:val="right"/>
              <w:spacing w:after="0"/>
              <w:rPr>
                <w:sz w:val="20"/>
                <w:szCs w:val="20"/>
                <w:color w:val="auto"/>
              </w:rPr>
            </w:pPr>
            <w:r>
              <w:rPr>
                <w:rFonts w:ascii="Arial" w:cs="Arial" w:eastAsia="Arial" w:hAnsi="Arial"/>
                <w:sz w:val="10"/>
                <w:szCs w:val="10"/>
                <w:color w:val="auto"/>
              </w:rPr>
              <w:t>0.1 %</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2,627.4</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(9.8)</w:t>
            </w:r>
          </w:p>
        </w:tc>
        <w:tc>
          <w:tcPr>
            <w:tcW w:w="800" w:type="dxa"/>
            <w:vAlign w:val="bottom"/>
          </w:tcPr>
          <w:p>
            <w:pPr>
              <w:jc w:val="right"/>
              <w:spacing w:after="0"/>
              <w:rPr>
                <w:sz w:val="20"/>
                <w:szCs w:val="20"/>
                <w:color w:val="auto"/>
              </w:rPr>
            </w:pPr>
            <w:r>
              <w:rPr>
                <w:rFonts w:ascii="Arial" w:cs="Arial" w:eastAsia="Arial" w:hAnsi="Arial"/>
                <w:sz w:val="10"/>
                <w:szCs w:val="10"/>
                <w:color w:val="auto"/>
              </w:rPr>
              <w:t>-0.4 %</w:t>
            </w:r>
          </w:p>
        </w:tc>
      </w:tr>
      <w:tr>
        <w:trPr>
          <w:trHeight w:val="126"/>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282.4</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2.5</w:t>
            </w:r>
          </w:p>
        </w:tc>
        <w:tc>
          <w:tcPr>
            <w:tcW w:w="800" w:type="dxa"/>
            <w:vAlign w:val="bottom"/>
          </w:tcPr>
          <w:p>
            <w:pPr>
              <w:jc w:val="right"/>
              <w:spacing w:after="0"/>
              <w:rPr>
                <w:sz w:val="20"/>
                <w:szCs w:val="20"/>
                <w:color w:val="auto"/>
              </w:rPr>
            </w:pPr>
            <w:r>
              <w:rPr>
                <w:rFonts w:ascii="Arial" w:cs="Arial" w:eastAsia="Arial" w:hAnsi="Arial"/>
                <w:sz w:val="10"/>
                <w:szCs w:val="10"/>
                <w:color w:val="auto"/>
              </w:rPr>
              <w:t>0.9 %</w:t>
            </w:r>
          </w:p>
        </w:tc>
      </w:tr>
      <w:tr>
        <w:trPr>
          <w:trHeight w:val="126"/>
        </w:trPr>
        <w:tc>
          <w:tcPr>
            <w:tcW w:w="980" w:type="dxa"/>
            <w:vAlign w:val="bottom"/>
          </w:tcPr>
          <w:p>
            <w:pPr>
              <w:jc w:val="right"/>
              <w:ind w:right="12"/>
              <w:spacing w:after="0"/>
              <w:rPr>
                <w:sz w:val="20"/>
                <w:szCs w:val="20"/>
                <w:color w:val="auto"/>
              </w:rPr>
            </w:pPr>
            <w:r>
              <w:rPr>
                <w:rFonts w:ascii="Arial" w:cs="Arial" w:eastAsia="Arial" w:hAnsi="Arial"/>
                <w:sz w:val="10"/>
                <w:szCs w:val="10"/>
                <w:color w:val="auto"/>
              </w:rPr>
              <w:t>2,013.8</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(8.3)</w:t>
            </w:r>
          </w:p>
        </w:tc>
        <w:tc>
          <w:tcPr>
            <w:tcW w:w="800" w:type="dxa"/>
            <w:vAlign w:val="bottom"/>
          </w:tcPr>
          <w:p>
            <w:pPr>
              <w:jc w:val="right"/>
              <w:spacing w:after="0"/>
              <w:rPr>
                <w:sz w:val="20"/>
                <w:szCs w:val="20"/>
                <w:color w:val="auto"/>
              </w:rPr>
            </w:pPr>
            <w:r>
              <w:rPr>
                <w:rFonts w:ascii="Arial" w:cs="Arial" w:eastAsia="Arial" w:hAnsi="Arial"/>
                <w:sz w:val="10"/>
                <w:szCs w:val="10"/>
                <w:color w:val="auto"/>
              </w:rPr>
              <w:t>-0.4 %</w:t>
            </w:r>
          </w:p>
        </w:tc>
      </w:tr>
      <w:tr>
        <w:trPr>
          <w:trHeight w:val="126"/>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402.0</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w:t>
            </w:r>
          </w:p>
        </w:tc>
        <w:tc>
          <w:tcPr>
            <w:tcW w:w="800" w:type="dxa"/>
            <w:vAlign w:val="bottom"/>
          </w:tcPr>
          <w:p>
            <w:pPr>
              <w:jc w:val="right"/>
              <w:spacing w:after="0"/>
              <w:rPr>
                <w:sz w:val="20"/>
                <w:szCs w:val="20"/>
                <w:color w:val="auto"/>
              </w:rPr>
            </w:pPr>
            <w:r>
              <w:rPr>
                <w:rFonts w:ascii="Arial" w:cs="Arial" w:eastAsia="Arial" w:hAnsi="Arial"/>
                <w:sz w:val="10"/>
                <w:szCs w:val="10"/>
                <w:color w:val="auto"/>
              </w:rPr>
              <w:t>0.1 %</w:t>
            </w:r>
          </w:p>
        </w:tc>
      </w:tr>
      <w:tr>
        <w:trPr>
          <w:trHeight w:val="115"/>
        </w:trPr>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5,325.6</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801" w:lineRule="exact"/>
        <w:rPr>
          <w:sz w:val="20"/>
          <w:szCs w:val="20"/>
          <w:color w:val="auto"/>
        </w:rPr>
      </w:pPr>
    </w:p>
    <w:p>
      <w:pPr>
        <w:sectPr>
          <w:pgSz w:w="11900" w:h="16838" w:orient="portrait"/>
          <w:cols w:equalWidth="0" w:num="2">
            <w:col w:w="8160" w:space="40"/>
            <w:col w:w="2520"/>
          </w:cols>
          <w:pgMar w:left="300" w:top="288" w:right="879" w:bottom="1440" w:gutter="0" w:footer="0" w:header="0"/>
        </w:sectPr>
      </w:pPr>
    </w:p>
    <w:p>
      <w:pPr>
        <w:spacing w:after="0" w:line="7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S-12</w:t>
      </w:r>
    </w:p>
    <w:p>
      <w:pPr>
        <w:sectPr>
          <w:pgSz w:w="11900" w:h="16838" w:orient="portrait"/>
          <w:cols w:equalWidth="0" w:num="1">
            <w:col w:w="10720"/>
          </w:cols>
          <w:pgMar w:left="300" w:top="288" w:right="8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Premiums and Services Revenue Detail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 except per member per month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20" w:type="dxa"/>
            <w:vAlign w:val="bottom"/>
            <w:tcBorders>
              <w:right w:val="single" w:sz="8" w:color="auto"/>
            </w:tcBorders>
          </w:tcPr>
          <w:p>
            <w:pPr>
              <w:spacing w:after="0"/>
              <w:rPr>
                <w:sz w:val="22"/>
                <w:szCs w:val="22"/>
                <w:color w:val="auto"/>
              </w:rPr>
            </w:pPr>
          </w:p>
        </w:tc>
        <w:tc>
          <w:tcPr>
            <w:tcW w:w="2620" w:type="dxa"/>
            <w:vAlign w:val="bottom"/>
            <w:tcBorders>
              <w:top w:val="single" w:sz="8" w:color="auto"/>
              <w:bottom w:val="single" w:sz="8" w:color="auto"/>
              <w:right w:val="single" w:sz="8" w:color="auto"/>
            </w:tcBorders>
            <w:gridSpan w:val="4"/>
          </w:tcPr>
          <w:p>
            <w:pPr>
              <w:jc w:val="right"/>
              <w:ind w:right="306"/>
              <w:spacing w:after="0"/>
              <w:rPr>
                <w:sz w:val="20"/>
                <w:szCs w:val="20"/>
                <w:color w:val="auto"/>
              </w:rPr>
            </w:pPr>
            <w:r>
              <w:rPr>
                <w:rFonts w:ascii="Arial" w:cs="Arial" w:eastAsia="Arial" w:hAnsi="Arial"/>
                <w:sz w:val="10"/>
                <w:szCs w:val="10"/>
                <w:b w:val="1"/>
                <w:bCs w:val="1"/>
                <w:color w:val="auto"/>
              </w:rPr>
              <w:t>For the three months ended December 31,</w:t>
            </w:r>
          </w:p>
        </w:tc>
        <w:tc>
          <w:tcPr>
            <w:tcW w:w="60" w:type="dxa"/>
            <w:vAlign w:val="bottom"/>
          </w:tcPr>
          <w:p>
            <w:pPr>
              <w:spacing w:after="0"/>
              <w:rPr>
                <w:sz w:val="22"/>
                <w:szCs w:val="22"/>
                <w:color w:val="auto"/>
              </w:rPr>
            </w:pPr>
          </w:p>
        </w:tc>
        <w:tc>
          <w:tcPr>
            <w:tcW w:w="900" w:type="dxa"/>
            <w:vAlign w:val="bottom"/>
            <w:vMerge w:val="restart"/>
          </w:tcPr>
          <w:p>
            <w:pPr>
              <w:jc w:val="center"/>
              <w:ind w:left="352"/>
              <w:spacing w:after="0"/>
              <w:rPr>
                <w:sz w:val="20"/>
                <w:szCs w:val="20"/>
                <w:color w:val="auto"/>
              </w:rPr>
            </w:pPr>
            <w:r>
              <w:rPr>
                <w:rFonts w:ascii="Arial" w:cs="Arial" w:eastAsia="Arial" w:hAnsi="Arial"/>
                <w:sz w:val="10"/>
                <w:szCs w:val="10"/>
                <w:color w:val="auto"/>
                <w:w w:val="99"/>
              </w:rPr>
              <w:t>Dollar</w:t>
            </w:r>
          </w:p>
        </w:tc>
        <w:tc>
          <w:tcPr>
            <w:tcW w:w="400" w:type="dxa"/>
            <w:vAlign w:val="bottom"/>
          </w:tcPr>
          <w:p>
            <w:pPr>
              <w:spacing w:after="0"/>
              <w:rPr>
                <w:sz w:val="22"/>
                <w:szCs w:val="22"/>
                <w:color w:val="auto"/>
              </w:rPr>
            </w:pPr>
          </w:p>
        </w:tc>
        <w:tc>
          <w:tcPr>
            <w:tcW w:w="1400" w:type="dxa"/>
            <w:vAlign w:val="bottom"/>
            <w:vMerge w:val="restart"/>
          </w:tcPr>
          <w:p>
            <w:pPr>
              <w:jc w:val="right"/>
              <w:ind w:right="407"/>
              <w:spacing w:after="0"/>
              <w:rPr>
                <w:sz w:val="20"/>
                <w:szCs w:val="20"/>
                <w:color w:val="auto"/>
              </w:rPr>
            </w:pPr>
            <w:r>
              <w:rPr>
                <w:rFonts w:ascii="Arial" w:cs="Arial" w:eastAsia="Arial" w:hAnsi="Arial"/>
                <w:sz w:val="10"/>
                <w:szCs w:val="10"/>
                <w:color w:val="auto"/>
              </w:rPr>
              <w:t>Percentage</w:t>
            </w: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Premiums and Services Revenue</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366092"/>
              </w:rPr>
              <w:t>2020</w:t>
            </w:r>
          </w:p>
        </w:tc>
        <w:tc>
          <w:tcPr>
            <w:tcW w:w="48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2019</w:t>
            </w: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color w:val="auto"/>
                <w:w w:val="96"/>
              </w:rPr>
              <w:t>Change</w:t>
            </w:r>
          </w:p>
        </w:tc>
        <w:tc>
          <w:tcPr>
            <w:tcW w:w="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color w:val="auto"/>
              </w:rPr>
              <w:t>Change</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vMerge w:val="continue"/>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Retail</w:t>
            </w:r>
          </w:p>
        </w:tc>
        <w:tc>
          <w:tcPr>
            <w:tcW w:w="82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Individual Medicare Advantage</w:t>
            </w:r>
          </w:p>
        </w:tc>
        <w:tc>
          <w:tcPr>
            <w:tcW w:w="820" w:type="dxa"/>
            <w:vAlign w:val="bottom"/>
          </w:tcPr>
          <w:p>
            <w:pPr>
              <w:jc w:val="right"/>
              <w:ind w:right="712"/>
              <w:spacing w:after="0"/>
              <w:rPr>
                <w:sz w:val="20"/>
                <w:szCs w:val="20"/>
                <w:color w:val="auto"/>
              </w:rPr>
            </w:pPr>
            <w:r>
              <w:rPr>
                <w:rFonts w:ascii="Arial" w:cs="Arial" w:eastAsia="Arial" w:hAnsi="Arial"/>
                <w:sz w:val="10"/>
                <w:szCs w:val="10"/>
                <w:b w:val="1"/>
                <w:bCs w:val="1"/>
                <w:color w:val="366092"/>
                <w:w w:val="71"/>
              </w:rPr>
              <w:t>$</w:t>
            </w: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12,949</w:t>
            </w:r>
          </w:p>
        </w:tc>
        <w:tc>
          <w:tcPr>
            <w:tcW w:w="840" w:type="dxa"/>
            <w:vAlign w:val="bottom"/>
          </w:tcPr>
          <w:p>
            <w:pPr>
              <w:jc w:val="right"/>
              <w:ind w:right="709"/>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10,874</w:t>
            </w:r>
          </w:p>
        </w:tc>
        <w:tc>
          <w:tcPr>
            <w:tcW w:w="60" w:type="dxa"/>
            <w:vAlign w:val="bottom"/>
          </w:tcPr>
          <w:p>
            <w:pPr>
              <w:spacing w:after="0"/>
              <w:rPr>
                <w:sz w:val="12"/>
                <w:szCs w:val="12"/>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2,075</w:t>
            </w:r>
          </w:p>
        </w:tc>
        <w:tc>
          <w:tcPr>
            <w:tcW w:w="1400" w:type="dxa"/>
            <w:vAlign w:val="bottom"/>
          </w:tcPr>
          <w:p>
            <w:pPr>
              <w:jc w:val="right"/>
              <w:spacing w:after="0"/>
              <w:rPr>
                <w:sz w:val="20"/>
                <w:szCs w:val="20"/>
                <w:color w:val="auto"/>
              </w:rPr>
            </w:pPr>
            <w:r>
              <w:rPr>
                <w:rFonts w:ascii="Arial" w:cs="Arial" w:eastAsia="Arial" w:hAnsi="Arial"/>
                <w:sz w:val="11"/>
                <w:szCs w:val="11"/>
                <w:color w:val="auto"/>
              </w:rPr>
              <w:t>19.1 %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Group Medicare Advantage</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1,907</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1,608</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299</w:t>
            </w:r>
          </w:p>
        </w:tc>
        <w:tc>
          <w:tcPr>
            <w:tcW w:w="1400" w:type="dxa"/>
            <w:vAlign w:val="bottom"/>
          </w:tcPr>
          <w:p>
            <w:pPr>
              <w:jc w:val="right"/>
              <w:spacing w:after="0"/>
              <w:rPr>
                <w:sz w:val="20"/>
                <w:szCs w:val="20"/>
                <w:color w:val="auto"/>
              </w:rPr>
            </w:pPr>
            <w:r>
              <w:rPr>
                <w:rFonts w:ascii="Arial" w:cs="Arial" w:eastAsia="Arial" w:hAnsi="Arial"/>
                <w:sz w:val="11"/>
                <w:szCs w:val="11"/>
                <w:color w:val="auto"/>
              </w:rPr>
              <w:t>18.6 %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stand-alone PDP</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634</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757</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(123)</w:t>
            </w:r>
          </w:p>
        </w:tc>
        <w:tc>
          <w:tcPr>
            <w:tcW w:w="1400" w:type="dxa"/>
            <w:vAlign w:val="bottom"/>
          </w:tcPr>
          <w:p>
            <w:pPr>
              <w:jc w:val="right"/>
              <w:spacing w:after="0"/>
              <w:rPr>
                <w:sz w:val="20"/>
                <w:szCs w:val="20"/>
                <w:color w:val="auto"/>
              </w:rPr>
            </w:pPr>
            <w:r>
              <w:rPr>
                <w:rFonts w:ascii="Arial" w:cs="Arial" w:eastAsia="Arial" w:hAnsi="Arial"/>
                <w:sz w:val="11"/>
                <w:szCs w:val="11"/>
                <w:color w:val="auto"/>
              </w:rPr>
              <w:t>-16.2 %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State-based contracts (E)</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1,119</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755</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364</w:t>
            </w:r>
          </w:p>
        </w:tc>
        <w:tc>
          <w:tcPr>
            <w:tcW w:w="1400" w:type="dxa"/>
            <w:vAlign w:val="bottom"/>
          </w:tcPr>
          <w:p>
            <w:pPr>
              <w:jc w:val="right"/>
              <w:spacing w:after="0"/>
              <w:rPr>
                <w:sz w:val="20"/>
                <w:szCs w:val="20"/>
                <w:color w:val="auto"/>
              </w:rPr>
            </w:pPr>
            <w:r>
              <w:rPr>
                <w:rFonts w:ascii="Arial" w:cs="Arial" w:eastAsia="Arial" w:hAnsi="Arial"/>
                <w:sz w:val="11"/>
                <w:szCs w:val="11"/>
                <w:color w:val="auto"/>
              </w:rPr>
              <w:t>48.2 %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Supplement</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179</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154</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w:t>
            </w:r>
          </w:p>
        </w:tc>
        <w:tc>
          <w:tcPr>
            <w:tcW w:w="1400" w:type="dxa"/>
            <w:vAlign w:val="bottom"/>
          </w:tcPr>
          <w:p>
            <w:pPr>
              <w:jc w:val="right"/>
              <w:spacing w:after="0"/>
              <w:rPr>
                <w:sz w:val="20"/>
                <w:szCs w:val="20"/>
                <w:color w:val="auto"/>
              </w:rPr>
            </w:pPr>
            <w:r>
              <w:rPr>
                <w:rFonts w:ascii="Arial" w:cs="Arial" w:eastAsia="Arial" w:hAnsi="Arial"/>
                <w:sz w:val="11"/>
                <w:szCs w:val="11"/>
                <w:color w:val="auto"/>
              </w:rPr>
              <w:t>16.2 %</w:t>
            </w: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Other services</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5</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400" w:type="dxa"/>
            <w:vAlign w:val="bottom"/>
          </w:tcPr>
          <w:p>
            <w:pPr>
              <w:jc w:val="right"/>
              <w:spacing w:after="0"/>
              <w:rPr>
                <w:sz w:val="20"/>
                <w:szCs w:val="20"/>
                <w:color w:val="auto"/>
              </w:rPr>
            </w:pPr>
            <w:r>
              <w:rPr>
                <w:rFonts w:ascii="Arial" w:cs="Arial" w:eastAsia="Arial" w:hAnsi="Arial"/>
                <w:sz w:val="11"/>
                <w:szCs w:val="11"/>
                <w:color w:val="auto"/>
              </w:rPr>
              <w:t>66.7 %</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Retail</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16,793</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14,151</w:t>
            </w:r>
          </w:p>
        </w:tc>
        <w:tc>
          <w:tcPr>
            <w:tcW w:w="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2,642</w:t>
            </w:r>
          </w:p>
        </w:tc>
        <w:tc>
          <w:tcPr>
            <w:tcW w:w="1400" w:type="dxa"/>
            <w:vAlign w:val="bottom"/>
          </w:tcPr>
          <w:p>
            <w:pPr>
              <w:jc w:val="right"/>
              <w:spacing w:after="0"/>
              <w:rPr>
                <w:sz w:val="20"/>
                <w:szCs w:val="20"/>
                <w:color w:val="auto"/>
              </w:rPr>
            </w:pPr>
            <w:r>
              <w:rPr>
                <w:rFonts w:ascii="Arial" w:cs="Arial" w:eastAsia="Arial" w:hAnsi="Arial"/>
                <w:sz w:val="11"/>
                <w:szCs w:val="11"/>
                <w:color w:val="auto"/>
              </w:rPr>
              <w:t>18.7 %</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1"/>
                <w:szCs w:val="11"/>
                <w:b w:val="1"/>
                <w:bCs w:val="1"/>
                <w:color w:val="auto"/>
              </w:rPr>
              <w:t>Group and Specialty</w:t>
            </w:r>
          </w:p>
        </w:tc>
        <w:tc>
          <w:tcPr>
            <w:tcW w:w="82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Fully-insured commercial medical</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1,155</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1,250</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(95)</w:t>
            </w:r>
          </w:p>
        </w:tc>
        <w:tc>
          <w:tcPr>
            <w:tcW w:w="1400" w:type="dxa"/>
            <w:vAlign w:val="bottom"/>
          </w:tcPr>
          <w:p>
            <w:pPr>
              <w:jc w:val="right"/>
              <w:spacing w:after="0"/>
              <w:rPr>
                <w:sz w:val="20"/>
                <w:szCs w:val="20"/>
                <w:color w:val="auto"/>
              </w:rPr>
            </w:pPr>
            <w:r>
              <w:rPr>
                <w:rFonts w:ascii="Arial" w:cs="Arial" w:eastAsia="Arial" w:hAnsi="Arial"/>
                <w:sz w:val="11"/>
                <w:szCs w:val="11"/>
                <w:color w:val="auto"/>
              </w:rPr>
              <w:t>-7.6 %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Specialty (J)</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421</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411</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w:t>
            </w:r>
          </w:p>
        </w:tc>
        <w:tc>
          <w:tcPr>
            <w:tcW w:w="1400" w:type="dxa"/>
            <w:vAlign w:val="bottom"/>
          </w:tcPr>
          <w:p>
            <w:pPr>
              <w:jc w:val="right"/>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Commercial ASO &amp; other services (D)</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74</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w:t>
            </w:r>
          </w:p>
        </w:tc>
        <w:tc>
          <w:tcPr>
            <w:tcW w:w="1400" w:type="dxa"/>
            <w:vAlign w:val="bottom"/>
          </w:tcPr>
          <w:p>
            <w:pPr>
              <w:jc w:val="right"/>
              <w:spacing w:after="0"/>
              <w:rPr>
                <w:sz w:val="20"/>
                <w:szCs w:val="20"/>
                <w:color w:val="auto"/>
              </w:rPr>
            </w:pPr>
            <w:r>
              <w:rPr>
                <w:rFonts w:ascii="Arial" w:cs="Arial" w:eastAsia="Arial" w:hAnsi="Arial"/>
                <w:sz w:val="11"/>
                <w:szCs w:val="11"/>
                <w:color w:val="auto"/>
              </w:rPr>
              <w:t>-15.9 %</w:t>
            </w: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Military services (K)</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137</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w:t>
            </w: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400" w:type="dxa"/>
            <w:vAlign w:val="bottom"/>
          </w:tcPr>
          <w:p>
            <w:pPr>
              <w:jc w:val="right"/>
              <w:spacing w:after="0"/>
              <w:rPr>
                <w:sz w:val="20"/>
                <w:szCs w:val="20"/>
                <w:color w:val="auto"/>
              </w:rPr>
            </w:pPr>
            <w:r>
              <w:rPr>
                <w:rFonts w:ascii="Arial" w:cs="Arial" w:eastAsia="Arial" w:hAnsi="Arial"/>
                <w:sz w:val="11"/>
                <w:szCs w:val="11"/>
                <w:color w:val="auto"/>
              </w:rPr>
              <w:t>14.2 %</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Group and Specialty</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1,787</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1,869</w:t>
            </w:r>
          </w:p>
        </w:tc>
        <w:tc>
          <w:tcPr>
            <w:tcW w:w="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1400" w:type="dxa"/>
            <w:vAlign w:val="bottom"/>
          </w:tcPr>
          <w:p>
            <w:pPr>
              <w:jc w:val="right"/>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1"/>
                <w:szCs w:val="11"/>
                <w:b w:val="1"/>
                <w:bCs w:val="1"/>
                <w:color w:val="auto"/>
              </w:rPr>
              <w:t>Healthcare Services</w:t>
            </w:r>
          </w:p>
        </w:tc>
        <w:tc>
          <w:tcPr>
            <w:tcW w:w="82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Pharmacy solutions</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6,468</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5,905</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563</w:t>
            </w:r>
          </w:p>
        </w:tc>
        <w:tc>
          <w:tcPr>
            <w:tcW w:w="1400" w:type="dxa"/>
            <w:vAlign w:val="bottom"/>
          </w:tcPr>
          <w:p>
            <w:pPr>
              <w:jc w:val="right"/>
              <w:spacing w:after="0"/>
              <w:rPr>
                <w:sz w:val="20"/>
                <w:szCs w:val="20"/>
                <w:color w:val="auto"/>
              </w:rPr>
            </w:pPr>
            <w:r>
              <w:rPr>
                <w:rFonts w:ascii="Arial" w:cs="Arial" w:eastAsia="Arial" w:hAnsi="Arial"/>
                <w:sz w:val="11"/>
                <w:szCs w:val="11"/>
                <w:color w:val="auto"/>
              </w:rPr>
              <w:t>9.5 %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Provider services</w:t>
            </w:r>
          </w:p>
        </w:tc>
        <w:tc>
          <w:tcPr>
            <w:tcW w:w="820" w:type="dxa"/>
            <w:vAlign w:val="bottom"/>
          </w:tcPr>
          <w:p>
            <w:pPr>
              <w:spacing w:after="0"/>
              <w:rPr>
                <w:sz w:val="12"/>
                <w:szCs w:val="12"/>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634</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594</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w:t>
            </w:r>
          </w:p>
        </w:tc>
        <w:tc>
          <w:tcPr>
            <w:tcW w:w="1400" w:type="dxa"/>
            <w:vAlign w:val="bottom"/>
          </w:tcPr>
          <w:p>
            <w:pPr>
              <w:jc w:val="right"/>
              <w:spacing w:after="0"/>
              <w:rPr>
                <w:sz w:val="20"/>
                <w:szCs w:val="20"/>
                <w:color w:val="auto"/>
              </w:rPr>
            </w:pPr>
            <w:r>
              <w:rPr>
                <w:rFonts w:ascii="Arial" w:cs="Arial" w:eastAsia="Arial" w:hAnsi="Arial"/>
                <w:sz w:val="11"/>
                <w:szCs w:val="11"/>
                <w:color w:val="auto"/>
              </w:rPr>
              <w:t>6.7 %</w:t>
            </w: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Clinical programs</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178</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196</w:t>
            </w: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400" w:type="dxa"/>
            <w:vAlign w:val="bottom"/>
          </w:tcPr>
          <w:p>
            <w:pPr>
              <w:jc w:val="right"/>
              <w:spacing w:after="0"/>
              <w:rPr>
                <w:sz w:val="20"/>
                <w:szCs w:val="20"/>
                <w:color w:val="auto"/>
              </w:rPr>
            </w:pPr>
            <w:r>
              <w:rPr>
                <w:rFonts w:ascii="Arial" w:cs="Arial" w:eastAsia="Arial" w:hAnsi="Arial"/>
                <w:sz w:val="11"/>
                <w:szCs w:val="11"/>
                <w:color w:val="auto"/>
              </w:rPr>
              <w:t>-9.2 %</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Healthcare Services</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7,280</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6,695</w:t>
            </w:r>
          </w:p>
        </w:tc>
        <w:tc>
          <w:tcPr>
            <w:tcW w:w="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w:t>
            </w:r>
          </w:p>
        </w:tc>
        <w:tc>
          <w:tcPr>
            <w:tcW w:w="1400" w:type="dxa"/>
            <w:vAlign w:val="bottom"/>
          </w:tcPr>
          <w:p>
            <w:pPr>
              <w:jc w:val="right"/>
              <w:spacing w:after="0"/>
              <w:rPr>
                <w:sz w:val="20"/>
                <w:szCs w:val="20"/>
                <w:color w:val="auto"/>
              </w:rPr>
            </w:pPr>
            <w:r>
              <w:rPr>
                <w:rFonts w:ascii="Arial" w:cs="Arial" w:eastAsia="Arial" w:hAnsi="Arial"/>
                <w:sz w:val="11"/>
                <w:szCs w:val="11"/>
                <w:color w:val="auto"/>
              </w:rPr>
              <w:t>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Per Member per Month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16744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4495" cy="1714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1"/>
          <w:szCs w:val="11"/>
          <w:b w:val="1"/>
          <w:bCs w:val="1"/>
          <w:color w:val="auto"/>
        </w:rPr>
        <w:t>For the three months ended December 31,</w:t>
      </w:r>
    </w:p>
    <w:p>
      <w:pPr>
        <w:spacing w:after="0" w:line="142" w:lineRule="exact"/>
        <w:rPr>
          <w:sz w:val="20"/>
          <w:szCs w:val="20"/>
          <w:color w:val="auto"/>
        </w:rPr>
      </w:pPr>
    </w:p>
    <w:p>
      <w:pPr>
        <w:ind w:left="540"/>
        <w:spacing w:after="0"/>
        <w:tabs>
          <w:tab w:leader="none" w:pos="1840" w:val="left"/>
        </w:tabs>
        <w:rPr>
          <w:sz w:val="20"/>
          <w:szCs w:val="20"/>
          <w:color w:val="auto"/>
        </w:rPr>
      </w:pPr>
      <w:r>
        <w:rPr>
          <w:rFonts w:ascii="Arial" w:cs="Arial" w:eastAsia="Arial" w:hAnsi="Arial"/>
          <w:sz w:val="10"/>
          <w:szCs w:val="10"/>
          <w:b w:val="1"/>
          <w:bCs w:val="1"/>
          <w:color w:val="366092"/>
        </w:rPr>
        <w:t>2020</w:t>
      </w:r>
      <w:r>
        <w:rPr>
          <w:sz w:val="20"/>
          <w:szCs w:val="20"/>
          <w:color w:val="auto"/>
        </w:rPr>
        <w:tab/>
      </w:r>
      <w:r>
        <w:rPr>
          <w:rFonts w:ascii="Arial" w:cs="Arial" w:eastAsia="Arial" w:hAnsi="Arial"/>
          <w:sz w:val="10"/>
          <w:szCs w:val="10"/>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16687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8780" cy="571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0" w:type="dxa"/>
            <w:vAlign w:val="bottom"/>
          </w:tcPr>
          <w:p>
            <w:pPr>
              <w:jc w:val="right"/>
              <w:ind w:right="411"/>
              <w:spacing w:after="0"/>
              <w:rPr>
                <w:sz w:val="20"/>
                <w:szCs w:val="20"/>
                <w:color w:val="auto"/>
              </w:rPr>
            </w:pPr>
            <w:r>
              <w:rPr>
                <w:rFonts w:ascii="Arial" w:cs="Arial" w:eastAsia="Arial" w:hAnsi="Arial"/>
                <w:sz w:val="10"/>
                <w:szCs w:val="10"/>
                <w:b w:val="1"/>
                <w:bCs w:val="1"/>
                <w:color w:val="366092"/>
                <w:w w:val="71"/>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366092"/>
              </w:rPr>
              <w:t>1,090</w:t>
            </w:r>
          </w:p>
        </w:tc>
        <w:tc>
          <w:tcPr>
            <w:tcW w:w="560" w:type="dxa"/>
            <w:vAlign w:val="bottom"/>
          </w:tcPr>
          <w:p>
            <w:pPr>
              <w:jc w:val="right"/>
              <w:ind w:right="40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1,013</w:t>
            </w:r>
          </w:p>
        </w:tc>
      </w:tr>
      <w:tr>
        <w:trPr>
          <w:trHeight w:val="144"/>
        </w:trPr>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366092"/>
              </w:rPr>
              <w:t>1,037</w:t>
            </w:r>
          </w:p>
        </w:tc>
        <w:tc>
          <w:tcPr>
            <w:tcW w:w="5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1,021</w:t>
            </w:r>
          </w:p>
        </w:tc>
      </w:tr>
      <w:tr>
        <w:trPr>
          <w:trHeight w:val="144"/>
        </w:trPr>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366092"/>
              </w:rPr>
              <w:t>55</w:t>
            </w:r>
          </w:p>
        </w:tc>
        <w:tc>
          <w:tcPr>
            <w:tcW w:w="5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144"/>
        </w:trPr>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366092"/>
              </w:rPr>
              <w:t>492</w:t>
            </w:r>
          </w:p>
        </w:tc>
        <w:tc>
          <w:tcPr>
            <w:tcW w:w="5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537</w:t>
            </w:r>
          </w:p>
        </w:tc>
      </w:tr>
      <w:tr>
        <w:trPr>
          <w:trHeight w:val="152"/>
        </w:trPr>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366092"/>
              </w:rPr>
              <w:t>179</w:t>
            </w:r>
          </w:p>
        </w:tc>
        <w:tc>
          <w:tcPr>
            <w:tcW w:w="5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175</w:t>
            </w:r>
          </w:p>
        </w:tc>
      </w:tr>
    </w:tbl>
    <w:p>
      <w:pPr>
        <w:spacing w:after="0" w:line="200" w:lineRule="exact"/>
        <w:rPr>
          <w:sz w:val="20"/>
          <w:szCs w:val="20"/>
          <w:color w:val="auto"/>
        </w:rPr>
      </w:pPr>
    </w:p>
    <w:p>
      <w:pPr>
        <w:spacing w:after="0" w:line="233" w:lineRule="exact"/>
        <w:rPr>
          <w:sz w:val="20"/>
          <w:szCs w:val="20"/>
          <w:color w:val="auto"/>
        </w:rPr>
      </w:pPr>
    </w:p>
    <w:p>
      <w:pPr>
        <w:ind w:left="2380" w:hanging="1306"/>
        <w:spacing w:after="0"/>
        <w:tabs>
          <w:tab w:leader="none" w:pos="2380" w:val="left"/>
        </w:tabs>
        <w:numPr>
          <w:ilvl w:val="0"/>
          <w:numId w:val="59"/>
        </w:numPr>
        <w:rPr>
          <w:rFonts w:ascii="Arial" w:cs="Arial" w:eastAsia="Arial" w:hAnsi="Arial"/>
          <w:sz w:val="10"/>
          <w:szCs w:val="10"/>
          <w:b w:val="1"/>
          <w:bCs w:val="1"/>
          <w:color w:val="366092"/>
        </w:rPr>
      </w:pPr>
      <w:r>
        <w:rPr>
          <w:rFonts w:ascii="Arial" w:cs="Arial" w:eastAsia="Arial" w:hAnsi="Arial"/>
          <w:sz w:val="10"/>
          <w:szCs w:val="10"/>
          <w:color w:val="auto"/>
        </w:rPr>
        <w:t>454</w:t>
      </w:r>
    </w:p>
    <w:p>
      <w:pPr>
        <w:spacing w:after="0" w:line="37" w:lineRule="exact"/>
        <w:rPr>
          <w:sz w:val="20"/>
          <w:szCs w:val="20"/>
          <w:color w:val="auto"/>
        </w:rPr>
      </w:pPr>
    </w:p>
    <w:p>
      <w:pPr>
        <w:ind w:left="2440" w:hanging="1306"/>
        <w:spacing w:after="0"/>
        <w:tabs>
          <w:tab w:leader="none" w:pos="2440" w:val="left"/>
        </w:tabs>
        <w:numPr>
          <w:ilvl w:val="0"/>
          <w:numId w:val="60"/>
        </w:numPr>
        <w:rPr>
          <w:rFonts w:ascii="Arial" w:cs="Arial" w:eastAsia="Arial" w:hAnsi="Arial"/>
          <w:sz w:val="10"/>
          <w:szCs w:val="10"/>
          <w:b w:val="1"/>
          <w:bCs w:val="1"/>
          <w:color w:val="366092"/>
        </w:rPr>
      </w:pPr>
      <w:r>
        <w:rPr>
          <w:rFonts w:ascii="Arial" w:cs="Arial" w:eastAsia="Arial" w:hAnsi="Arial"/>
          <w:sz w:val="10"/>
          <w:szCs w:val="10"/>
          <w:color w:val="auto"/>
        </w:rPr>
        <w:t>27</w:t>
      </w:r>
    </w:p>
    <w:p>
      <w:pPr>
        <w:spacing w:after="0" w:line="1404" w:lineRule="exact"/>
        <w:rPr>
          <w:sz w:val="20"/>
          <w:szCs w:val="20"/>
          <w:color w:val="auto"/>
        </w:rPr>
      </w:pPr>
    </w:p>
    <w:p>
      <w:pPr>
        <w:sectPr>
          <w:pgSz w:w="11900" w:h="16838" w:orient="portrait"/>
          <w:cols w:equalWidth="0" w:num="2">
            <w:col w:w="8600" w:space="80"/>
            <w:col w:w="2560"/>
          </w:cols>
          <w:pgMar w:left="300" w:top="63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S-13</w:t>
      </w:r>
    </w:p>
    <w:p>
      <w:pPr>
        <w:sectPr>
          <w:pgSz w:w="11900" w:h="16838" w:orient="portrait"/>
          <w:cols w:equalWidth="0" w:num="1">
            <w:col w:w="11240"/>
          </w:cols>
          <w:pgMar w:left="300" w:top="632"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Premiums and Services Revenue Detail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 except per member per month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20" w:type="dxa"/>
            <w:vAlign w:val="bottom"/>
            <w:tcBorders>
              <w:right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3"/>
          </w:tcPr>
          <w:p>
            <w:pPr>
              <w:jc w:val="right"/>
              <w:ind w:right="29"/>
              <w:spacing w:after="0"/>
              <w:rPr>
                <w:sz w:val="20"/>
                <w:szCs w:val="20"/>
                <w:color w:val="auto"/>
              </w:rPr>
            </w:pPr>
            <w:r>
              <w:rPr>
                <w:rFonts w:ascii="Arial" w:cs="Arial" w:eastAsia="Arial" w:hAnsi="Arial"/>
                <w:sz w:val="10"/>
                <w:szCs w:val="10"/>
                <w:b w:val="1"/>
                <w:bCs w:val="1"/>
                <w:color w:val="auto"/>
              </w:rPr>
              <w:t>For the year ended December 31,</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restart"/>
          </w:tcPr>
          <w:p>
            <w:pPr>
              <w:jc w:val="right"/>
              <w:ind w:right="467"/>
              <w:spacing w:after="0"/>
              <w:rPr>
                <w:sz w:val="20"/>
                <w:szCs w:val="20"/>
                <w:color w:val="auto"/>
              </w:rPr>
            </w:pPr>
            <w:r>
              <w:rPr>
                <w:rFonts w:ascii="Arial" w:cs="Arial" w:eastAsia="Arial" w:hAnsi="Arial"/>
                <w:sz w:val="10"/>
                <w:szCs w:val="10"/>
                <w:color w:val="auto"/>
              </w:rPr>
              <w:t>Dollar</w:t>
            </w:r>
          </w:p>
        </w:tc>
        <w:tc>
          <w:tcPr>
            <w:tcW w:w="1400" w:type="dxa"/>
            <w:vAlign w:val="bottom"/>
            <w:vMerge w:val="restart"/>
          </w:tcPr>
          <w:p>
            <w:pPr>
              <w:jc w:val="right"/>
              <w:ind w:right="407"/>
              <w:spacing w:after="0"/>
              <w:rPr>
                <w:sz w:val="20"/>
                <w:szCs w:val="20"/>
                <w:color w:val="auto"/>
              </w:rPr>
            </w:pPr>
            <w:r>
              <w:rPr>
                <w:rFonts w:ascii="Arial" w:cs="Arial" w:eastAsia="Arial" w:hAnsi="Arial"/>
                <w:sz w:val="10"/>
                <w:szCs w:val="10"/>
                <w:color w:val="auto"/>
              </w:rPr>
              <w:t>Percentage</w:t>
            </w: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Premiums and Services Revenue</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366092"/>
              </w:rPr>
              <w:t>2020</w:t>
            </w:r>
          </w:p>
        </w:tc>
        <w:tc>
          <w:tcPr>
            <w:tcW w:w="46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2019</w:t>
            </w: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color w:val="auto"/>
              </w:rPr>
              <w:t>Change</w:t>
            </w:r>
          </w:p>
        </w:tc>
        <w:tc>
          <w:tcPr>
            <w:tcW w:w="140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color w:val="auto"/>
              </w:rPr>
              <w:t>Change</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Retail</w:t>
            </w:r>
          </w:p>
        </w:tc>
        <w:tc>
          <w:tcPr>
            <w:tcW w:w="8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Individual Medicare Advantage</w:t>
            </w:r>
          </w:p>
        </w:tc>
        <w:tc>
          <w:tcPr>
            <w:tcW w:w="840" w:type="dxa"/>
            <w:vAlign w:val="bottom"/>
          </w:tcPr>
          <w:p>
            <w:pPr>
              <w:jc w:val="right"/>
              <w:ind w:right="732"/>
              <w:spacing w:after="0"/>
              <w:rPr>
                <w:sz w:val="20"/>
                <w:szCs w:val="20"/>
                <w:color w:val="auto"/>
              </w:rPr>
            </w:pPr>
            <w:r>
              <w:rPr>
                <w:rFonts w:ascii="Arial" w:cs="Arial" w:eastAsia="Arial" w:hAnsi="Arial"/>
                <w:sz w:val="10"/>
                <w:szCs w:val="10"/>
                <w:b w:val="1"/>
                <w:bCs w:val="1"/>
                <w:color w:val="366092"/>
                <w:w w:val="71"/>
              </w:rPr>
              <w:t>$</w:t>
            </w: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51,697</w:t>
            </w:r>
          </w:p>
        </w:tc>
        <w:tc>
          <w:tcPr>
            <w:tcW w:w="840" w:type="dxa"/>
            <w:vAlign w:val="bottom"/>
          </w:tcPr>
          <w:p>
            <w:pPr>
              <w:jc w:val="right"/>
              <w:ind w:right="709"/>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43,128</w:t>
            </w:r>
          </w:p>
        </w:tc>
        <w:tc>
          <w:tcPr>
            <w:tcW w:w="6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8,569</w:t>
            </w:r>
          </w:p>
        </w:tc>
        <w:tc>
          <w:tcPr>
            <w:tcW w:w="1400" w:type="dxa"/>
            <w:vAlign w:val="bottom"/>
          </w:tcPr>
          <w:p>
            <w:pPr>
              <w:jc w:val="right"/>
              <w:spacing w:after="0"/>
              <w:rPr>
                <w:sz w:val="20"/>
                <w:szCs w:val="20"/>
                <w:color w:val="auto"/>
              </w:rPr>
            </w:pPr>
            <w:r>
              <w:rPr>
                <w:rFonts w:ascii="Arial" w:cs="Arial" w:eastAsia="Arial" w:hAnsi="Arial"/>
                <w:sz w:val="11"/>
                <w:szCs w:val="11"/>
                <w:color w:val="auto"/>
              </w:rPr>
              <w:t>19.9 %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Group Medicare Advantage</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7,774</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6,475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1,299</w:t>
            </w:r>
          </w:p>
        </w:tc>
        <w:tc>
          <w:tcPr>
            <w:tcW w:w="1400" w:type="dxa"/>
            <w:vAlign w:val="bottom"/>
          </w:tcPr>
          <w:p>
            <w:pPr>
              <w:jc w:val="right"/>
              <w:spacing w:after="0"/>
              <w:rPr>
                <w:sz w:val="20"/>
                <w:szCs w:val="20"/>
                <w:color w:val="auto"/>
              </w:rPr>
            </w:pPr>
            <w:r>
              <w:rPr>
                <w:rFonts w:ascii="Arial" w:cs="Arial" w:eastAsia="Arial" w:hAnsi="Arial"/>
                <w:sz w:val="11"/>
                <w:szCs w:val="11"/>
                <w:color w:val="auto"/>
              </w:rPr>
              <w:t>20.1 %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stand-alone PDP</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2,742</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3,165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(423)</w:t>
            </w:r>
          </w:p>
        </w:tc>
        <w:tc>
          <w:tcPr>
            <w:tcW w:w="1400" w:type="dxa"/>
            <w:vAlign w:val="bottom"/>
          </w:tcPr>
          <w:p>
            <w:pPr>
              <w:jc w:val="right"/>
              <w:spacing w:after="0"/>
              <w:rPr>
                <w:sz w:val="20"/>
                <w:szCs w:val="20"/>
                <w:color w:val="auto"/>
              </w:rPr>
            </w:pPr>
            <w:r>
              <w:rPr>
                <w:rFonts w:ascii="Arial" w:cs="Arial" w:eastAsia="Arial" w:hAnsi="Arial"/>
                <w:sz w:val="11"/>
                <w:szCs w:val="11"/>
                <w:color w:val="auto"/>
              </w:rPr>
              <w:t>-13.4 %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State-based contracts (E)</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4,223</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2,898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1,325</w:t>
            </w:r>
          </w:p>
        </w:tc>
        <w:tc>
          <w:tcPr>
            <w:tcW w:w="1400" w:type="dxa"/>
            <w:vAlign w:val="bottom"/>
          </w:tcPr>
          <w:p>
            <w:pPr>
              <w:jc w:val="right"/>
              <w:spacing w:after="0"/>
              <w:rPr>
                <w:sz w:val="20"/>
                <w:szCs w:val="20"/>
                <w:color w:val="auto"/>
              </w:rPr>
            </w:pPr>
            <w:r>
              <w:rPr>
                <w:rFonts w:ascii="Arial" w:cs="Arial" w:eastAsia="Arial" w:hAnsi="Arial"/>
                <w:sz w:val="11"/>
                <w:szCs w:val="11"/>
                <w:color w:val="auto"/>
              </w:rPr>
              <w:t>45.7 %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Supplement</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688</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588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w:t>
            </w:r>
          </w:p>
        </w:tc>
        <w:tc>
          <w:tcPr>
            <w:tcW w:w="1400" w:type="dxa"/>
            <w:vAlign w:val="bottom"/>
          </w:tcPr>
          <w:p>
            <w:pPr>
              <w:jc w:val="right"/>
              <w:spacing w:after="0"/>
              <w:rPr>
                <w:sz w:val="20"/>
                <w:szCs w:val="20"/>
                <w:color w:val="auto"/>
              </w:rPr>
            </w:pPr>
            <w:r>
              <w:rPr>
                <w:rFonts w:ascii="Arial" w:cs="Arial" w:eastAsia="Arial" w:hAnsi="Arial"/>
                <w:sz w:val="11"/>
                <w:szCs w:val="11"/>
                <w:color w:val="auto"/>
              </w:rPr>
              <w:t>17.0 %</w:t>
            </w: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Other services</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19</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400" w:type="dxa"/>
            <w:vAlign w:val="bottom"/>
          </w:tcPr>
          <w:p>
            <w:pPr>
              <w:jc w:val="right"/>
              <w:spacing w:after="0"/>
              <w:rPr>
                <w:sz w:val="20"/>
                <w:szCs w:val="20"/>
                <w:color w:val="auto"/>
              </w:rPr>
            </w:pPr>
            <w:r>
              <w:rPr>
                <w:rFonts w:ascii="Arial" w:cs="Arial" w:eastAsia="Arial" w:hAnsi="Arial"/>
                <w:sz w:val="11"/>
                <w:szCs w:val="11"/>
                <w:color w:val="auto"/>
              </w:rPr>
              <w:t>11.8 %</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Retail</w:t>
            </w: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67,143</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56,271</w:t>
            </w: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10,872</w:t>
            </w:r>
          </w:p>
        </w:tc>
        <w:tc>
          <w:tcPr>
            <w:tcW w:w="1400" w:type="dxa"/>
            <w:vAlign w:val="bottom"/>
          </w:tcPr>
          <w:p>
            <w:pPr>
              <w:jc w:val="right"/>
              <w:spacing w:after="0"/>
              <w:rPr>
                <w:sz w:val="20"/>
                <w:szCs w:val="20"/>
                <w:color w:val="auto"/>
              </w:rPr>
            </w:pPr>
            <w:r>
              <w:rPr>
                <w:rFonts w:ascii="Arial" w:cs="Arial" w:eastAsia="Arial" w:hAnsi="Arial"/>
                <w:sz w:val="11"/>
                <w:szCs w:val="11"/>
                <w:color w:val="auto"/>
              </w:rPr>
              <w:t>19.3 %</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1"/>
                <w:szCs w:val="11"/>
                <w:b w:val="1"/>
                <w:bCs w:val="1"/>
                <w:color w:val="auto"/>
              </w:rPr>
              <w:t>Group and Specialty</w:t>
            </w:r>
          </w:p>
        </w:tc>
        <w:tc>
          <w:tcPr>
            <w:tcW w:w="8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Fully-insured commercial medical</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4,761</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5,123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(362)</w:t>
            </w:r>
          </w:p>
        </w:tc>
        <w:tc>
          <w:tcPr>
            <w:tcW w:w="1400" w:type="dxa"/>
            <w:vAlign w:val="bottom"/>
          </w:tcPr>
          <w:p>
            <w:pPr>
              <w:jc w:val="right"/>
              <w:spacing w:after="0"/>
              <w:rPr>
                <w:sz w:val="20"/>
                <w:szCs w:val="20"/>
                <w:color w:val="auto"/>
              </w:rPr>
            </w:pPr>
            <w:r>
              <w:rPr>
                <w:rFonts w:ascii="Arial" w:cs="Arial" w:eastAsia="Arial" w:hAnsi="Arial"/>
                <w:sz w:val="11"/>
                <w:szCs w:val="11"/>
                <w:color w:val="auto"/>
              </w:rPr>
              <w:t>-7.1 %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Specialty (J)</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1,699</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1,571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128</w:t>
            </w:r>
          </w:p>
        </w:tc>
        <w:tc>
          <w:tcPr>
            <w:tcW w:w="1400" w:type="dxa"/>
            <w:vAlign w:val="bottom"/>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Commercial ASO &amp; other services (D)</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309</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326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w:t>
            </w:r>
          </w:p>
        </w:tc>
        <w:tc>
          <w:tcPr>
            <w:tcW w:w="1400" w:type="dxa"/>
            <w:vAlign w:val="bottom"/>
          </w:tcPr>
          <w:p>
            <w:pPr>
              <w:jc w:val="right"/>
              <w:spacing w:after="0"/>
              <w:rPr>
                <w:sz w:val="20"/>
                <w:szCs w:val="20"/>
                <w:color w:val="auto"/>
              </w:rPr>
            </w:pPr>
            <w:r>
              <w:rPr>
                <w:rFonts w:ascii="Arial" w:cs="Arial" w:eastAsia="Arial" w:hAnsi="Arial"/>
                <w:sz w:val="11"/>
                <w:szCs w:val="11"/>
                <w:color w:val="auto"/>
              </w:rPr>
              <w:t>-5.2 %</w:t>
            </w: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Military services (K)</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500</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482</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400" w:type="dxa"/>
            <w:vAlign w:val="bottom"/>
          </w:tcPr>
          <w:p>
            <w:pPr>
              <w:jc w:val="right"/>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Group and Specialty</w:t>
            </w: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7,269</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7,502</w:t>
            </w: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w:t>
            </w:r>
          </w:p>
        </w:tc>
        <w:tc>
          <w:tcPr>
            <w:tcW w:w="1400" w:type="dxa"/>
            <w:vAlign w:val="bottom"/>
          </w:tcPr>
          <w:p>
            <w:pPr>
              <w:jc w:val="right"/>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tcPr>
          <w:p>
            <w:pPr>
              <w:ind w:left="80"/>
              <w:spacing w:after="0" w:line="121" w:lineRule="exact"/>
              <w:rPr>
                <w:sz w:val="20"/>
                <w:szCs w:val="20"/>
                <w:color w:val="auto"/>
              </w:rPr>
            </w:pPr>
            <w:r>
              <w:rPr>
                <w:rFonts w:ascii="Arial" w:cs="Arial" w:eastAsia="Arial" w:hAnsi="Arial"/>
                <w:sz w:val="11"/>
                <w:szCs w:val="11"/>
                <w:b w:val="1"/>
                <w:bCs w:val="1"/>
                <w:color w:val="auto"/>
              </w:rPr>
              <w:t>Healthcare Services</w:t>
            </w:r>
          </w:p>
        </w:tc>
        <w:tc>
          <w:tcPr>
            <w:tcW w:w="8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Pharmacy solutions</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25,168</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22,375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2,793</w:t>
            </w:r>
          </w:p>
        </w:tc>
        <w:tc>
          <w:tcPr>
            <w:tcW w:w="1400" w:type="dxa"/>
            <w:vAlign w:val="bottom"/>
          </w:tcPr>
          <w:p>
            <w:pPr>
              <w:jc w:val="right"/>
              <w:spacing w:after="0"/>
              <w:rPr>
                <w:sz w:val="20"/>
                <w:szCs w:val="20"/>
                <w:color w:val="auto"/>
              </w:rPr>
            </w:pPr>
            <w:r>
              <w:rPr>
                <w:rFonts w:ascii="Arial" w:cs="Arial" w:eastAsia="Arial" w:hAnsi="Arial"/>
                <w:sz w:val="11"/>
                <w:szCs w:val="11"/>
                <w:color w:val="auto"/>
              </w:rPr>
              <w:t>12.5 %</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Provider services</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2,594</w:t>
            </w:r>
          </w:p>
        </w:tc>
        <w:tc>
          <w:tcPr>
            <w:tcW w:w="84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2,650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(56)</w:t>
            </w:r>
          </w:p>
        </w:tc>
        <w:tc>
          <w:tcPr>
            <w:tcW w:w="1400" w:type="dxa"/>
            <w:vAlign w:val="bottom"/>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Clinical programs</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673</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756</w:t>
            </w: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w:t>
            </w:r>
          </w:p>
        </w:tc>
        <w:tc>
          <w:tcPr>
            <w:tcW w:w="1400" w:type="dxa"/>
            <w:vAlign w:val="bottom"/>
          </w:tcPr>
          <w:p>
            <w:pPr>
              <w:jc w:val="right"/>
              <w:spacing w:after="0"/>
              <w:rPr>
                <w:sz w:val="20"/>
                <w:szCs w:val="20"/>
                <w:color w:val="auto"/>
              </w:rPr>
            </w:pPr>
            <w:r>
              <w:rPr>
                <w:rFonts w:ascii="Arial" w:cs="Arial" w:eastAsia="Arial" w:hAnsi="Arial"/>
                <w:sz w:val="11"/>
                <w:szCs w:val="11"/>
                <w:color w:val="auto"/>
              </w:rPr>
              <w:t>-11.0 %</w:t>
            </w:r>
          </w:p>
        </w:tc>
        <w:tc>
          <w:tcPr>
            <w:tcW w:w="0" w:type="dxa"/>
            <w:vAlign w:val="bottom"/>
          </w:tcPr>
          <w:p>
            <w:pPr>
              <w:spacing w:after="0"/>
              <w:rPr>
                <w:sz w:val="1"/>
                <w:szCs w:val="1"/>
                <w:color w:val="auto"/>
              </w:rPr>
            </w:pPr>
          </w:p>
        </w:tc>
      </w:tr>
      <w:tr>
        <w:trPr>
          <w:trHeight w:val="133"/>
        </w:trPr>
        <w:tc>
          <w:tcPr>
            <w:tcW w:w="322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Healthcare Services</w:t>
            </w: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28,435</w:t>
            </w:r>
          </w:p>
        </w:tc>
        <w:tc>
          <w:tcPr>
            <w:tcW w:w="8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25,781</w:t>
            </w: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2,654</w:t>
            </w:r>
          </w:p>
        </w:tc>
        <w:tc>
          <w:tcPr>
            <w:tcW w:w="1400" w:type="dxa"/>
            <w:vAlign w:val="bottom"/>
          </w:tcPr>
          <w:p>
            <w:pPr>
              <w:jc w:val="right"/>
              <w:spacing w:after="0"/>
              <w:rPr>
                <w:sz w:val="20"/>
                <w:szCs w:val="20"/>
                <w:color w:val="auto"/>
              </w:rPr>
            </w:pPr>
            <w:r>
              <w:rPr>
                <w:rFonts w:ascii="Arial" w:cs="Arial" w:eastAsia="Arial" w:hAnsi="Arial"/>
                <w:sz w:val="11"/>
                <w:szCs w:val="11"/>
                <w:color w:val="auto"/>
              </w:rPr>
              <w:t>10.3 %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Per Member per Month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1668780" cy="148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8780" cy="148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b w:val="1"/>
          <w:bCs w:val="1"/>
          <w:color w:val="auto"/>
        </w:rPr>
        <w:t>For the year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366092"/>
              </w:rPr>
              <w:t>2020</w:t>
            </w: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color w:val="auto"/>
              </w:rPr>
              <w:t>2019</w:t>
            </w:r>
          </w:p>
        </w:tc>
      </w:tr>
      <w:tr>
        <w:trPr>
          <w:trHeight w:val="408"/>
        </w:trPr>
        <w:tc>
          <w:tcPr>
            <w:tcW w:w="300" w:type="dxa"/>
            <w:vAlign w:val="bottom"/>
          </w:tcPr>
          <w:p>
            <w:pPr>
              <w:jc w:val="right"/>
              <w:ind w:right="191"/>
              <w:spacing w:after="0"/>
              <w:rPr>
                <w:sz w:val="20"/>
                <w:szCs w:val="20"/>
                <w:color w:val="auto"/>
              </w:rPr>
            </w:pPr>
            <w:r>
              <w:rPr>
                <w:rFonts w:ascii="Arial" w:cs="Arial" w:eastAsia="Arial" w:hAnsi="Arial"/>
                <w:sz w:val="10"/>
                <w:szCs w:val="10"/>
                <w:b w:val="1"/>
                <w:bCs w:val="1"/>
                <w:color w:val="366092"/>
                <w:w w:val="71"/>
              </w:rPr>
              <w:t>$</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366092"/>
              </w:rPr>
              <w:t>1,107</w:t>
            </w: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1,027</w:t>
            </w:r>
          </w:p>
        </w:tc>
      </w:tr>
      <w:tr>
        <w:trPr>
          <w:trHeight w:val="144"/>
        </w:trPr>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366092"/>
              </w:rPr>
              <w:t>1,064</w:t>
            </w:r>
          </w:p>
        </w:tc>
        <w:tc>
          <w:tcPr>
            <w:tcW w:w="340" w:type="dxa"/>
            <w:vAlign w:val="bottom"/>
          </w:tcPr>
          <w:p>
            <w:pPr>
              <w:spacing w:after="0"/>
              <w:rPr>
                <w:sz w:val="12"/>
                <w:szCs w:val="12"/>
                <w:color w:val="auto"/>
              </w:rPr>
            </w:pP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1,036</w:t>
            </w:r>
          </w:p>
        </w:tc>
      </w:tr>
      <w:tr>
        <w:trPr>
          <w:trHeight w:val="144"/>
        </w:trPr>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366092"/>
              </w:rPr>
              <w:t>59</w:t>
            </w:r>
          </w:p>
        </w:tc>
        <w:tc>
          <w:tcPr>
            <w:tcW w:w="340" w:type="dxa"/>
            <w:vAlign w:val="bottom"/>
          </w:tcPr>
          <w:p>
            <w:pPr>
              <w:spacing w:after="0"/>
              <w:rPr>
                <w:sz w:val="12"/>
                <w:szCs w:val="12"/>
                <w:color w:val="auto"/>
              </w:rPr>
            </w:pP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60</w:t>
            </w:r>
          </w:p>
        </w:tc>
      </w:tr>
      <w:tr>
        <w:trPr>
          <w:trHeight w:val="144"/>
        </w:trPr>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366092"/>
              </w:rPr>
              <w:t>510</w:t>
            </w:r>
          </w:p>
        </w:tc>
        <w:tc>
          <w:tcPr>
            <w:tcW w:w="340" w:type="dxa"/>
            <w:vAlign w:val="bottom"/>
          </w:tcPr>
          <w:p>
            <w:pPr>
              <w:spacing w:after="0"/>
              <w:rPr>
                <w:sz w:val="12"/>
                <w:szCs w:val="12"/>
                <w:color w:val="auto"/>
              </w:rPr>
            </w:pP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525</w:t>
            </w:r>
          </w:p>
        </w:tc>
      </w:tr>
      <w:tr>
        <w:trPr>
          <w:trHeight w:val="152"/>
        </w:trPr>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366092"/>
              </w:rPr>
              <w:t>177</w:t>
            </w:r>
          </w:p>
        </w:tc>
        <w:tc>
          <w:tcPr>
            <w:tcW w:w="340" w:type="dxa"/>
            <w:vAlign w:val="bottom"/>
          </w:tcPr>
          <w:p>
            <w:pPr>
              <w:spacing w:after="0"/>
              <w:rPr>
                <w:sz w:val="13"/>
                <w:szCs w:val="13"/>
                <w:color w:val="auto"/>
              </w:rPr>
            </w:pPr>
          </w:p>
        </w:tc>
        <w:tc>
          <w:tcPr>
            <w:tcW w:w="1000" w:type="dxa"/>
            <w:vAlign w:val="bottom"/>
          </w:tcPr>
          <w:p>
            <w:pPr>
              <w:jc w:val="right"/>
              <w:ind w:right="7"/>
              <w:spacing w:after="0"/>
              <w:rPr>
                <w:sz w:val="20"/>
                <w:szCs w:val="20"/>
                <w:color w:val="auto"/>
              </w:rPr>
            </w:pPr>
            <w:r>
              <w:rPr>
                <w:rFonts w:ascii="Arial" w:cs="Arial" w:eastAsia="Arial" w:hAnsi="Arial"/>
                <w:sz w:val="11"/>
                <w:szCs w:val="11"/>
                <w:color w:val="auto"/>
              </w:rPr>
              <w:t>176</w:t>
            </w:r>
          </w:p>
        </w:tc>
      </w:tr>
    </w:tbl>
    <w:p>
      <w:pPr>
        <w:spacing w:after="0" w:line="200" w:lineRule="exact"/>
        <w:rPr>
          <w:sz w:val="20"/>
          <w:szCs w:val="20"/>
          <w:color w:val="auto"/>
        </w:rPr>
      </w:pPr>
    </w:p>
    <w:p>
      <w:pPr>
        <w:spacing w:after="0" w:line="233" w:lineRule="exact"/>
        <w:rPr>
          <w:sz w:val="20"/>
          <w:szCs w:val="20"/>
          <w:color w:val="auto"/>
        </w:rPr>
      </w:pPr>
    </w:p>
    <w:p>
      <w:pPr>
        <w:ind w:left="2380" w:hanging="1306"/>
        <w:spacing w:after="0"/>
        <w:tabs>
          <w:tab w:leader="none" w:pos="2380" w:val="left"/>
        </w:tabs>
        <w:numPr>
          <w:ilvl w:val="0"/>
          <w:numId w:val="61"/>
        </w:numPr>
        <w:rPr>
          <w:rFonts w:ascii="Arial" w:cs="Arial" w:eastAsia="Arial" w:hAnsi="Arial"/>
          <w:sz w:val="11"/>
          <w:szCs w:val="11"/>
          <w:b w:val="1"/>
          <w:bCs w:val="1"/>
          <w:color w:val="366092"/>
        </w:rPr>
      </w:pPr>
      <w:r>
        <w:rPr>
          <w:rFonts w:ascii="Arial" w:cs="Arial" w:eastAsia="Arial" w:hAnsi="Arial"/>
          <w:sz w:val="11"/>
          <w:szCs w:val="11"/>
          <w:color w:val="auto"/>
        </w:rPr>
        <w:t>454</w:t>
      </w:r>
    </w:p>
    <w:p>
      <w:pPr>
        <w:spacing w:after="0" w:line="25" w:lineRule="exact"/>
        <w:rPr>
          <w:sz w:val="20"/>
          <w:szCs w:val="20"/>
          <w:color w:val="auto"/>
        </w:rPr>
      </w:pPr>
    </w:p>
    <w:p>
      <w:pPr>
        <w:ind w:left="2440" w:hanging="1306"/>
        <w:spacing w:after="0"/>
        <w:tabs>
          <w:tab w:leader="none" w:pos="2440" w:val="left"/>
        </w:tabs>
        <w:numPr>
          <w:ilvl w:val="0"/>
          <w:numId w:val="62"/>
        </w:numPr>
        <w:rPr>
          <w:rFonts w:ascii="Arial" w:cs="Arial" w:eastAsia="Arial" w:hAnsi="Arial"/>
          <w:sz w:val="11"/>
          <w:szCs w:val="11"/>
          <w:b w:val="1"/>
          <w:bCs w:val="1"/>
          <w:color w:val="366092"/>
        </w:rPr>
      </w:pPr>
      <w:r>
        <w:rPr>
          <w:rFonts w:ascii="Arial" w:cs="Arial" w:eastAsia="Arial" w:hAnsi="Arial"/>
          <w:sz w:val="11"/>
          <w:szCs w:val="11"/>
          <w:color w:val="auto"/>
        </w:rPr>
        <w:t>25</w:t>
      </w:r>
    </w:p>
    <w:p>
      <w:pPr>
        <w:spacing w:after="0" w:line="1392" w:lineRule="exact"/>
        <w:rPr>
          <w:sz w:val="20"/>
          <w:szCs w:val="20"/>
          <w:color w:val="auto"/>
        </w:rPr>
      </w:pPr>
    </w:p>
    <w:p>
      <w:pPr>
        <w:sectPr>
          <w:pgSz w:w="11900" w:h="16838" w:orient="portrait"/>
          <w:cols w:equalWidth="0" w:num="2">
            <w:col w:w="8600" w:space="80"/>
            <w:col w:w="2620"/>
          </w:cols>
          <w:pgMar w:left="300" w:top="632" w:right="299" w:bottom="1440" w:gutter="0" w:footer="0" w:header="0"/>
        </w:sect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S-14</w:t>
      </w:r>
    </w:p>
    <w:p>
      <w:pPr>
        <w:sectPr>
          <w:pgSz w:w="11900" w:h="16838" w:orient="portrait"/>
          <w:cols w:equalWidth="0" w:num="1">
            <w:col w:w="11300"/>
          </w:cols>
          <w:pgMar w:left="300" w:top="632" w:right="2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Healthcare Services Segment Metrics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Primary Care Providers: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366092"/>
                <w:w w:val="96"/>
              </w:rPr>
              <w:t>December 31, 2020</w:t>
            </w:r>
          </w:p>
        </w:tc>
        <w:tc>
          <w:tcPr>
            <w:tcW w:w="122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December 31, 2019</w:t>
            </w:r>
          </w:p>
        </w:tc>
        <w:tc>
          <w:tcPr>
            <w:tcW w:w="1580" w:type="dxa"/>
            <w:vAlign w:val="bottom"/>
            <w:gridSpan w:val="2"/>
          </w:tcPr>
          <w:p>
            <w:pPr>
              <w:ind w:left="340"/>
              <w:spacing w:after="0"/>
              <w:rPr>
                <w:sz w:val="20"/>
                <w:szCs w:val="20"/>
                <w:color w:val="auto"/>
              </w:rPr>
            </w:pPr>
            <w:r>
              <w:rPr>
                <w:rFonts w:ascii="Arial" w:cs="Arial" w:eastAsia="Arial" w:hAnsi="Arial"/>
                <w:sz w:val="11"/>
                <w:szCs w:val="11"/>
                <w:color w:val="auto"/>
              </w:rPr>
              <w:t>Difference</w:t>
            </w:r>
          </w:p>
        </w:tc>
        <w:tc>
          <w:tcPr>
            <w:tcW w:w="5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Arial" w:cs="Arial" w:eastAsia="Arial" w:hAnsi="Arial"/>
                <w:sz w:val="11"/>
                <w:szCs w:val="11"/>
                <w:color w:val="auto"/>
              </w:rPr>
              <w:t>September 30, 2020</w:t>
            </w: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Difference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60" w:type="dxa"/>
            <w:vAlign w:val="bottom"/>
            <w:tcBorders>
              <w:right w:val="single" w:sz="8" w:color="auto"/>
            </w:tcBorders>
            <w:vMerge w:val="continue"/>
          </w:tcPr>
          <w:p>
            <w:pPr>
              <w:spacing w:after="0"/>
              <w:rPr>
                <w:sz w:val="11"/>
                <w:szCs w:val="11"/>
                <w:color w:val="auto"/>
              </w:rPr>
            </w:pPr>
          </w:p>
        </w:tc>
        <w:tc>
          <w:tcPr>
            <w:tcW w:w="116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Shared Risk (H)</w:t>
            </w:r>
          </w:p>
        </w:tc>
        <w:tc>
          <w:tcPr>
            <w:tcW w:w="11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Proprietary</w:t>
            </w:r>
          </w:p>
        </w:tc>
        <w:tc>
          <w:tcPr>
            <w:tcW w:w="11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900</w:t>
            </w:r>
          </w:p>
        </w:tc>
        <w:tc>
          <w:tcPr>
            <w:tcW w:w="1140" w:type="dxa"/>
            <w:vAlign w:val="bottom"/>
          </w:tcPr>
          <w:p>
            <w:pPr>
              <w:jc w:val="right"/>
              <w:spacing w:after="0"/>
              <w:rPr>
                <w:sz w:val="20"/>
                <w:szCs w:val="20"/>
                <w:color w:val="auto"/>
              </w:rPr>
            </w:pPr>
            <w:r>
              <w:rPr>
                <w:rFonts w:ascii="Arial" w:cs="Arial" w:eastAsia="Arial" w:hAnsi="Arial"/>
                <w:sz w:val="11"/>
                <w:szCs w:val="11"/>
                <w:color w:val="auto"/>
              </w:rPr>
              <w:t>1,200</w:t>
            </w: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(300)</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-25.0 %</w:t>
            </w:r>
          </w:p>
        </w:tc>
        <w:tc>
          <w:tcPr>
            <w:tcW w:w="118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(100)</w:t>
            </w:r>
          </w:p>
        </w:tc>
        <w:tc>
          <w:tcPr>
            <w:tcW w:w="900" w:type="dxa"/>
            <w:vAlign w:val="bottom"/>
          </w:tcPr>
          <w:p>
            <w:pPr>
              <w:jc w:val="right"/>
              <w:spacing w:after="0"/>
              <w:rPr>
                <w:sz w:val="20"/>
                <w:szCs w:val="20"/>
                <w:color w:val="auto"/>
              </w:rPr>
            </w:pPr>
            <w:r>
              <w:rPr>
                <w:rFonts w:ascii="Arial" w:cs="Arial" w:eastAsia="Arial" w:hAnsi="Arial"/>
                <w:sz w:val="11"/>
                <w:szCs w:val="11"/>
                <w:color w:val="auto"/>
              </w:rPr>
              <w:t>-10.0 %</w:t>
            </w:r>
          </w:p>
        </w:tc>
        <w:tc>
          <w:tcPr>
            <w:tcW w:w="0" w:type="dxa"/>
            <w:vAlign w:val="bottom"/>
          </w:tcPr>
          <w:p>
            <w:pPr>
              <w:spacing w:after="0"/>
              <w:rPr>
                <w:sz w:val="1"/>
                <w:szCs w:val="1"/>
                <w:color w:val="auto"/>
              </w:rPr>
            </w:pPr>
          </w:p>
        </w:tc>
      </w:tr>
      <w:tr>
        <w:trPr>
          <w:trHeight w:val="144"/>
        </w:trPr>
        <w:tc>
          <w:tcPr>
            <w:tcW w:w="34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Contracted</w:t>
            </w:r>
          </w:p>
        </w:tc>
        <w:tc>
          <w:tcPr>
            <w:tcW w:w="11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23,000</w:t>
            </w:r>
          </w:p>
        </w:tc>
        <w:tc>
          <w:tcPr>
            <w:tcW w:w="1140" w:type="dxa"/>
            <w:vAlign w:val="bottom"/>
          </w:tcPr>
          <w:p>
            <w:pPr>
              <w:jc w:val="right"/>
              <w:spacing w:after="0"/>
              <w:rPr>
                <w:sz w:val="20"/>
                <w:szCs w:val="20"/>
                <w:color w:val="auto"/>
              </w:rPr>
            </w:pPr>
            <w:r>
              <w:rPr>
                <w:rFonts w:ascii="Arial" w:cs="Arial" w:eastAsia="Arial" w:hAnsi="Arial"/>
                <w:sz w:val="11"/>
                <w:szCs w:val="11"/>
                <w:color w:val="auto"/>
              </w:rPr>
              <w:t>18,700</w:t>
            </w:r>
          </w:p>
        </w:tc>
        <w:tc>
          <w:tcPr>
            <w:tcW w:w="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4,300</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23.0 %</w:t>
            </w:r>
          </w:p>
        </w:tc>
        <w:tc>
          <w:tcPr>
            <w:tcW w:w="1180" w:type="dxa"/>
            <w:vAlign w:val="bottom"/>
          </w:tcPr>
          <w:p>
            <w:pPr>
              <w:jc w:val="right"/>
              <w:spacing w:after="0"/>
              <w:rPr>
                <w:sz w:val="20"/>
                <w:szCs w:val="20"/>
                <w:color w:val="auto"/>
              </w:rPr>
            </w:pPr>
            <w:r>
              <w:rPr>
                <w:rFonts w:ascii="Arial" w:cs="Arial" w:eastAsia="Arial" w:hAnsi="Arial"/>
                <w:sz w:val="11"/>
                <w:szCs w:val="11"/>
                <w:color w:val="auto"/>
              </w:rPr>
              <w:t>22,100</w:t>
            </w:r>
          </w:p>
        </w:tc>
        <w:tc>
          <w:tcPr>
            <w:tcW w:w="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900</w:t>
            </w:r>
          </w:p>
        </w:tc>
        <w:tc>
          <w:tcPr>
            <w:tcW w:w="900" w:type="dxa"/>
            <w:vAlign w:val="bottom"/>
          </w:tcPr>
          <w:p>
            <w:pPr>
              <w:jc w:val="right"/>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48"/>
        </w:trPr>
        <w:tc>
          <w:tcPr>
            <w:tcW w:w="34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Path to Risk (I)</w:t>
            </w:r>
          </w:p>
        </w:tc>
        <w:tc>
          <w:tcPr>
            <w:tcW w:w="11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43,900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42,000</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1,900</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4.5 %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43,900</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3"/>
        </w:trPr>
        <w:tc>
          <w:tcPr>
            <w:tcW w:w="3460" w:type="dxa"/>
            <w:vAlign w:val="bottom"/>
            <w:tcBorders>
              <w:right w:val="single" w:sz="8" w:color="auto"/>
            </w:tcBorders>
          </w:tcPr>
          <w:p>
            <w:pPr>
              <w:ind w:left="440"/>
              <w:spacing w:after="0"/>
              <w:rPr>
                <w:sz w:val="20"/>
                <w:szCs w:val="20"/>
                <w:color w:val="auto"/>
              </w:rPr>
            </w:pPr>
            <w:r>
              <w:rPr>
                <w:rFonts w:ascii="Arial" w:cs="Arial" w:eastAsia="Arial" w:hAnsi="Arial"/>
                <w:sz w:val="11"/>
                <w:szCs w:val="11"/>
                <w:b w:val="1"/>
                <w:bCs w:val="1"/>
                <w:color w:val="auto"/>
              </w:rPr>
              <w:t>Total Value-based</w:t>
            </w:r>
          </w:p>
        </w:tc>
        <w:tc>
          <w:tcPr>
            <w:tcW w:w="11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67,800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61,900</w:t>
            </w:r>
          </w:p>
        </w:tc>
        <w:tc>
          <w:tcPr>
            <w:tcW w:w="80" w:type="dxa"/>
            <w:vAlign w:val="bottom"/>
          </w:tcPr>
          <w:p>
            <w:pPr>
              <w:spacing w:after="0"/>
              <w:rPr>
                <w:sz w:val="11"/>
                <w:szCs w:val="11"/>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5,900</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9.5 %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67,000</w:t>
            </w:r>
          </w:p>
        </w:tc>
        <w:tc>
          <w:tcPr>
            <w:tcW w:w="80" w:type="dxa"/>
            <w:vAlign w:val="bottom"/>
          </w:tcPr>
          <w:p>
            <w:pPr>
              <w:spacing w:after="0"/>
              <w:rPr>
                <w:sz w:val="11"/>
                <w:szCs w:val="11"/>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800</w:t>
            </w:r>
          </w:p>
        </w:tc>
        <w:tc>
          <w:tcPr>
            <w:tcW w:w="90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29"/>
        </w:trPr>
        <w:tc>
          <w:tcPr>
            <w:tcW w:w="346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b w:val="1"/>
                <w:bCs w:val="1"/>
                <w:color w:val="auto"/>
              </w:rPr>
              <w:t>Care Management Statistics:</w:t>
            </w:r>
          </w:p>
        </w:tc>
        <w:tc>
          <w:tcPr>
            <w:tcW w:w="11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Members enrolled in a Humana care management program (M)</w:t>
            </w:r>
          </w:p>
        </w:tc>
        <w:tc>
          <w:tcPr>
            <w:tcW w:w="11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910,600</w:t>
            </w:r>
          </w:p>
        </w:tc>
        <w:tc>
          <w:tcPr>
            <w:tcW w:w="1140" w:type="dxa"/>
            <w:vAlign w:val="bottom"/>
          </w:tcPr>
          <w:p>
            <w:pPr>
              <w:jc w:val="right"/>
              <w:spacing w:after="0"/>
              <w:rPr>
                <w:sz w:val="20"/>
                <w:szCs w:val="20"/>
                <w:color w:val="auto"/>
              </w:rPr>
            </w:pPr>
            <w:r>
              <w:rPr>
                <w:rFonts w:ascii="Arial" w:cs="Arial" w:eastAsia="Arial" w:hAnsi="Arial"/>
                <w:sz w:val="11"/>
                <w:szCs w:val="11"/>
                <w:color w:val="auto"/>
              </w:rPr>
              <w:t>868,800</w:t>
            </w:r>
          </w:p>
        </w:tc>
        <w:tc>
          <w:tcPr>
            <w:tcW w:w="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41,800</w:t>
            </w:r>
          </w:p>
        </w:tc>
        <w:tc>
          <w:tcPr>
            <w:tcW w:w="4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4.8 %</w:t>
            </w:r>
          </w:p>
        </w:tc>
        <w:tc>
          <w:tcPr>
            <w:tcW w:w="1180" w:type="dxa"/>
            <w:vAlign w:val="bottom"/>
          </w:tcPr>
          <w:p>
            <w:pPr>
              <w:jc w:val="right"/>
              <w:spacing w:after="0"/>
              <w:rPr>
                <w:sz w:val="20"/>
                <w:szCs w:val="20"/>
                <w:color w:val="auto"/>
              </w:rPr>
            </w:pPr>
            <w:r>
              <w:rPr>
                <w:rFonts w:ascii="Arial" w:cs="Arial" w:eastAsia="Arial" w:hAnsi="Arial"/>
                <w:sz w:val="11"/>
                <w:szCs w:val="11"/>
                <w:color w:val="auto"/>
              </w:rPr>
              <w:t>917,200</w:t>
            </w: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(6,600)</w:t>
            </w:r>
          </w:p>
        </w:tc>
        <w:tc>
          <w:tcPr>
            <w:tcW w:w="900" w:type="dxa"/>
            <w:vAlign w:val="bottom"/>
          </w:tcPr>
          <w:p>
            <w:pPr>
              <w:jc w:val="right"/>
              <w:spacing w:after="0"/>
              <w:rPr>
                <w:sz w:val="20"/>
                <w:szCs w:val="20"/>
                <w:color w:val="auto"/>
              </w:rPr>
            </w:pPr>
            <w:r>
              <w:rPr>
                <w:rFonts w:ascii="Arial" w:cs="Arial" w:eastAsia="Arial" w:hAnsi="Arial"/>
                <w:sz w:val="11"/>
                <w:szCs w:val="11"/>
                <w:color w:val="auto"/>
              </w:rPr>
              <w:t>-0.7 %</w:t>
            </w:r>
          </w:p>
        </w:tc>
        <w:tc>
          <w:tcPr>
            <w:tcW w:w="0" w:type="dxa"/>
            <w:vAlign w:val="bottom"/>
          </w:tcPr>
          <w:p>
            <w:pPr>
              <w:spacing w:after="0"/>
              <w:rPr>
                <w:sz w:val="1"/>
                <w:szCs w:val="1"/>
                <w:color w:val="auto"/>
              </w:rPr>
            </w:pPr>
          </w:p>
        </w:tc>
      </w:tr>
      <w:tr>
        <w:trPr>
          <w:trHeight w:val="112"/>
        </w:trPr>
        <w:tc>
          <w:tcPr>
            <w:tcW w:w="3460" w:type="dxa"/>
            <w:vAlign w:val="bottom"/>
            <w:tcBorders>
              <w:right w:val="single" w:sz="8" w:color="auto"/>
            </w:tcBorders>
          </w:tcPr>
          <w:p>
            <w:pPr>
              <w:ind w:left="220"/>
              <w:spacing w:after="0" w:line="112" w:lineRule="exact"/>
              <w:rPr>
                <w:sz w:val="20"/>
                <w:szCs w:val="20"/>
                <w:color w:val="auto"/>
              </w:rPr>
            </w:pPr>
            <w:r>
              <w:rPr>
                <w:rFonts w:ascii="Arial" w:cs="Arial" w:eastAsia="Arial" w:hAnsi="Arial"/>
                <w:sz w:val="11"/>
                <w:szCs w:val="11"/>
                <w:color w:val="auto"/>
              </w:rPr>
              <w:t>Number of high-risk discharges enrolled in a post-discharge care</w:t>
            </w:r>
          </w:p>
        </w:tc>
        <w:tc>
          <w:tcPr>
            <w:tcW w:w="11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00497F"/>
              </w:rPr>
              <w:t>73,600</w:t>
            </w:r>
          </w:p>
        </w:tc>
        <w:tc>
          <w:tcPr>
            <w:tcW w:w="1140" w:type="dxa"/>
            <w:vAlign w:val="bottom"/>
            <w:vMerge w:val="restart"/>
          </w:tcPr>
          <w:p>
            <w:pPr>
              <w:jc w:val="right"/>
              <w:spacing w:after="0"/>
              <w:rPr>
                <w:sz w:val="20"/>
                <w:szCs w:val="20"/>
                <w:color w:val="auto"/>
              </w:rPr>
            </w:pPr>
            <w:r>
              <w:rPr>
                <w:rFonts w:ascii="Arial" w:cs="Arial" w:eastAsia="Arial" w:hAnsi="Arial"/>
                <w:sz w:val="11"/>
                <w:szCs w:val="11"/>
                <w:color w:val="auto"/>
              </w:rPr>
              <w:t>61,500</w:t>
            </w:r>
          </w:p>
        </w:tc>
        <w:tc>
          <w:tcPr>
            <w:tcW w:w="80" w:type="dxa"/>
            <w:vAlign w:val="bottom"/>
          </w:tcPr>
          <w:p>
            <w:pPr>
              <w:spacing w:after="0"/>
              <w:rPr>
                <w:sz w:val="9"/>
                <w:szCs w:val="9"/>
                <w:color w:val="auto"/>
              </w:rPr>
            </w:pPr>
          </w:p>
        </w:tc>
        <w:tc>
          <w:tcPr>
            <w:tcW w:w="1180" w:type="dxa"/>
            <w:vAlign w:val="bottom"/>
            <w:vMerge w:val="restart"/>
          </w:tcPr>
          <w:p>
            <w:pPr>
              <w:jc w:val="right"/>
              <w:ind w:right="6"/>
              <w:spacing w:after="0"/>
              <w:rPr>
                <w:sz w:val="20"/>
                <w:szCs w:val="20"/>
                <w:color w:val="auto"/>
              </w:rPr>
            </w:pPr>
            <w:r>
              <w:rPr>
                <w:rFonts w:ascii="Arial" w:cs="Arial" w:eastAsia="Arial" w:hAnsi="Arial"/>
                <w:sz w:val="11"/>
                <w:szCs w:val="11"/>
                <w:color w:val="auto"/>
              </w:rPr>
              <w:t>12,100</w:t>
            </w:r>
          </w:p>
        </w:tc>
        <w:tc>
          <w:tcPr>
            <w:tcW w:w="4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19.7 %</w:t>
            </w: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68,900</w:t>
            </w:r>
          </w:p>
        </w:tc>
        <w:tc>
          <w:tcPr>
            <w:tcW w:w="80" w:type="dxa"/>
            <w:vAlign w:val="bottom"/>
          </w:tcPr>
          <w:p>
            <w:pPr>
              <w:spacing w:after="0"/>
              <w:rPr>
                <w:sz w:val="9"/>
                <w:szCs w:val="9"/>
                <w:color w:val="auto"/>
              </w:rPr>
            </w:pPr>
          </w:p>
        </w:tc>
        <w:tc>
          <w:tcPr>
            <w:tcW w:w="1180" w:type="dxa"/>
            <w:vAlign w:val="bottom"/>
            <w:vMerge w:val="restart"/>
          </w:tcPr>
          <w:p>
            <w:pPr>
              <w:jc w:val="right"/>
              <w:ind w:right="6"/>
              <w:spacing w:after="0"/>
              <w:rPr>
                <w:sz w:val="20"/>
                <w:szCs w:val="20"/>
                <w:color w:val="auto"/>
              </w:rPr>
            </w:pPr>
            <w:r>
              <w:rPr>
                <w:rFonts w:ascii="Arial" w:cs="Arial" w:eastAsia="Arial" w:hAnsi="Arial"/>
                <w:sz w:val="11"/>
                <w:szCs w:val="11"/>
                <w:color w:val="auto"/>
              </w:rPr>
              <w:t>4,700</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6.8 %</w:t>
            </w:r>
          </w:p>
        </w:tc>
        <w:tc>
          <w:tcPr>
            <w:tcW w:w="0" w:type="dxa"/>
            <w:vAlign w:val="bottom"/>
          </w:tcPr>
          <w:p>
            <w:pPr>
              <w:spacing w:after="0"/>
              <w:rPr>
                <w:sz w:val="1"/>
                <w:szCs w:val="1"/>
                <w:color w:val="auto"/>
              </w:rPr>
            </w:pPr>
          </w:p>
        </w:tc>
      </w:tr>
      <w:tr>
        <w:trPr>
          <w:trHeight w:val="149"/>
        </w:trPr>
        <w:tc>
          <w:tcPr>
            <w:tcW w:w="34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management program (N)</w:t>
            </w:r>
          </w:p>
        </w:tc>
        <w:tc>
          <w:tcPr>
            <w:tcW w:w="116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3460" w:type="dxa"/>
            <w:vAlign w:val="bottom"/>
          </w:tcPr>
          <w:p>
            <w:pPr>
              <w:spacing w:after="0"/>
              <w:rPr>
                <w:sz w:val="20"/>
                <w:szCs w:val="20"/>
                <w:color w:val="auto"/>
              </w:rPr>
            </w:pPr>
            <w:r>
              <w:rPr>
                <w:rFonts w:ascii="Arial" w:cs="Arial" w:eastAsia="Arial" w:hAnsi="Arial"/>
                <w:sz w:val="12"/>
                <w:szCs w:val="12"/>
                <w:b w:val="1"/>
                <w:bCs w:val="1"/>
                <w:color w:val="auto"/>
              </w:rPr>
              <w:t>Primary Care Centers (O)</w:t>
            </w:r>
          </w:p>
        </w:tc>
        <w:tc>
          <w:tcPr>
            <w:tcW w:w="1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366092"/>
              </w:rPr>
              <w:t>As of December 31, 2020</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6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1"/>
                <w:szCs w:val="11"/>
                <w:b w:val="1"/>
                <w:bCs w:val="1"/>
                <w:color w:val="366092"/>
                <w:w w:val="97"/>
              </w:rPr>
              <w:t>Centers</w:t>
            </w:r>
          </w:p>
        </w:tc>
        <w:tc>
          <w:tcPr>
            <w:tcW w:w="1220" w:type="dxa"/>
            <w:vAlign w:val="bottom"/>
            <w:gridSpan w:val="2"/>
          </w:tcPr>
          <w:p>
            <w:pPr>
              <w:ind w:left="340"/>
              <w:spacing w:after="0" w:line="97" w:lineRule="exact"/>
              <w:rPr>
                <w:sz w:val="20"/>
                <w:szCs w:val="20"/>
                <w:color w:val="auto"/>
              </w:rPr>
            </w:pPr>
            <w:r>
              <w:rPr>
                <w:rFonts w:ascii="Arial" w:cs="Arial" w:eastAsia="Arial" w:hAnsi="Arial"/>
                <w:sz w:val="11"/>
                <w:szCs w:val="11"/>
                <w:b w:val="1"/>
                <w:bCs w:val="1"/>
                <w:color w:val="366092"/>
              </w:rPr>
              <w:t>Primary</w:t>
            </w:r>
          </w:p>
        </w:tc>
        <w:tc>
          <w:tcPr>
            <w:tcW w:w="1580" w:type="dxa"/>
            <w:vAlign w:val="bottom"/>
            <w:gridSpan w:val="2"/>
            <w:vMerge w:val="restart"/>
          </w:tcPr>
          <w:p>
            <w:pPr>
              <w:jc w:val="center"/>
              <w:ind w:left="466"/>
              <w:spacing w:after="0"/>
              <w:rPr>
                <w:sz w:val="20"/>
                <w:szCs w:val="20"/>
                <w:color w:val="auto"/>
              </w:rPr>
            </w:pPr>
            <w:r>
              <w:rPr>
                <w:rFonts w:ascii="Arial" w:cs="Arial" w:eastAsia="Arial" w:hAnsi="Arial"/>
                <w:sz w:val="11"/>
                <w:szCs w:val="11"/>
                <w:b w:val="1"/>
                <w:bCs w:val="1"/>
                <w:color w:val="366092"/>
                <w:w w:val="99"/>
              </w:rPr>
              <w:t>Patients Served</w:t>
            </w:r>
          </w:p>
        </w:tc>
        <w:tc>
          <w:tcPr>
            <w:tcW w:w="5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60" w:type="dxa"/>
            <w:vAlign w:val="bottom"/>
            <w:vMerge w:val="restart"/>
          </w:tcPr>
          <w:p>
            <w:pPr>
              <w:ind w:left="220"/>
              <w:spacing w:after="0"/>
              <w:rPr>
                <w:sz w:val="20"/>
                <w:szCs w:val="20"/>
                <w:color w:val="auto"/>
              </w:rPr>
            </w:pPr>
            <w:r>
              <w:rPr>
                <w:rFonts w:ascii="Arial" w:cs="Arial" w:eastAsia="Arial" w:hAnsi="Arial"/>
                <w:sz w:val="11"/>
                <w:szCs w:val="11"/>
                <w:color w:val="auto"/>
              </w:rPr>
              <w:t>Humana's Care Delivery Subsidiaries</w:t>
            </w:r>
          </w:p>
        </w:tc>
        <w:tc>
          <w:tcPr>
            <w:tcW w:w="11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366092"/>
                <w:w w:val="98"/>
              </w:rPr>
              <w:t>Care Physicians</w:t>
            </w:r>
          </w:p>
        </w:tc>
        <w:tc>
          <w:tcPr>
            <w:tcW w:w="158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60" w:type="dxa"/>
            <w:vAlign w:val="bottom"/>
            <w:vMerge w:val="continue"/>
          </w:tcPr>
          <w:p>
            <w:pPr>
              <w:spacing w:after="0"/>
              <w:rPr>
                <w:sz w:val="11"/>
                <w:szCs w:val="11"/>
                <w:color w:val="auto"/>
              </w:rPr>
            </w:pPr>
          </w:p>
        </w:tc>
        <w:tc>
          <w:tcPr>
            <w:tcW w:w="1160" w:type="dxa"/>
            <w:vAlign w:val="bottom"/>
          </w:tcPr>
          <w:p>
            <w:pPr>
              <w:jc w:val="center"/>
              <w:ind w:right="6"/>
              <w:spacing w:after="0"/>
              <w:rPr>
                <w:sz w:val="20"/>
                <w:szCs w:val="20"/>
                <w:color w:val="auto"/>
              </w:rPr>
            </w:pPr>
            <w:r>
              <w:rPr>
                <w:rFonts w:ascii="Arial" w:cs="Arial" w:eastAsia="Arial" w:hAnsi="Arial"/>
                <w:sz w:val="11"/>
                <w:szCs w:val="11"/>
                <w:b w:val="1"/>
                <w:bCs w:val="1"/>
                <w:color w:val="366092"/>
                <w:w w:val="97"/>
              </w:rPr>
              <w:t>156</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366092"/>
                <w:w w:val="97"/>
              </w:rPr>
              <w:t>662</w:t>
            </w:r>
          </w:p>
        </w:tc>
        <w:tc>
          <w:tcPr>
            <w:tcW w:w="80" w:type="dxa"/>
            <w:vAlign w:val="bottom"/>
          </w:tcPr>
          <w:p>
            <w:pPr>
              <w:spacing w:after="0"/>
              <w:rPr>
                <w:sz w:val="11"/>
                <w:szCs w:val="1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366092"/>
              </w:rPr>
              <w:t>255,400</w:t>
            </w: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Pr>
          <w:p>
            <w:pPr>
              <w:ind w:left="220"/>
              <w:spacing w:after="0"/>
              <w:rPr>
                <w:sz w:val="20"/>
                <w:szCs w:val="20"/>
                <w:color w:val="auto"/>
              </w:rPr>
            </w:pPr>
            <w:r>
              <w:rPr>
                <w:rFonts w:ascii="Arial" w:cs="Arial" w:eastAsia="Arial" w:hAnsi="Arial"/>
                <w:sz w:val="11"/>
                <w:szCs w:val="11"/>
                <w:color w:val="auto"/>
              </w:rPr>
              <w:t>Joint Venture and Alliance Provider Partners</w:t>
            </w:r>
          </w:p>
        </w:tc>
        <w:tc>
          <w:tcPr>
            <w:tcW w:w="1160" w:type="dxa"/>
            <w:vAlign w:val="bottom"/>
          </w:tcPr>
          <w:p>
            <w:pPr>
              <w:jc w:val="center"/>
              <w:ind w:right="6"/>
              <w:spacing w:after="0"/>
              <w:rPr>
                <w:sz w:val="20"/>
                <w:szCs w:val="20"/>
                <w:color w:val="auto"/>
              </w:rPr>
            </w:pPr>
            <w:r>
              <w:rPr>
                <w:rFonts w:ascii="Arial" w:cs="Arial" w:eastAsia="Arial" w:hAnsi="Arial"/>
                <w:sz w:val="11"/>
                <w:szCs w:val="11"/>
                <w:b w:val="1"/>
                <w:bCs w:val="1"/>
                <w:color w:val="366092"/>
                <w:w w:val="97"/>
              </w:rPr>
              <w:t>152</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366092"/>
                <w:w w:val="97"/>
              </w:rPr>
              <w:t>274</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S-15</w:t>
      </w:r>
    </w:p>
    <w:p>
      <w:pPr>
        <w:sectPr>
          <w:pgSz w:w="11900" w:h="16838" w:orient="portrait"/>
          <w:cols w:equalWidth="0" w:num="1">
            <w:col w:w="11260"/>
          </w:cols>
          <w:pgMar w:left="300" w:top="76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Healthcare Services Segment Metrics (Continued)</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Script volume in thousands</w:t>
      </w:r>
    </w:p>
    <w:p>
      <w:pPr>
        <w:sectPr>
          <w:pgSz w:w="11900" w:h="16838" w:orient="portrait"/>
          <w:cols w:equalWidth="0" w:num="1">
            <w:col w:w="11300"/>
          </w:cols>
          <w:pgMar w:left="300" w:top="767" w:right="29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Pharmacy:</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Generic Dispense Rate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Retail</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Group and Specialty</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Mail-Order Penetration</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Retail</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Group and Specialty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Script volume (P)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13"/>
        </w:trPr>
        <w:tc>
          <w:tcPr>
            <w:tcW w:w="1900" w:type="dxa"/>
            <w:vAlign w:val="bottom"/>
            <w:tcBorders>
              <w:top w:val="single" w:sz="8" w:color="auto"/>
              <w:left w:val="single" w:sz="8" w:color="auto"/>
              <w:right w:val="single" w:sz="8" w:color="auto"/>
            </w:tcBorders>
          </w:tcPr>
          <w:p>
            <w:pPr>
              <w:jc w:val="right"/>
              <w:ind w:right="186"/>
              <w:spacing w:after="0" w:line="113" w:lineRule="exact"/>
              <w:rPr>
                <w:sz w:val="20"/>
                <w:szCs w:val="20"/>
                <w:color w:val="auto"/>
              </w:rPr>
            </w:pPr>
            <w:r>
              <w:rPr>
                <w:rFonts w:ascii="Arial" w:cs="Arial" w:eastAsia="Arial" w:hAnsi="Arial"/>
                <w:sz w:val="11"/>
                <w:szCs w:val="11"/>
                <w:b w:val="1"/>
                <w:bCs w:val="1"/>
                <w:color w:val="366092"/>
              </w:rPr>
              <w:t>For the three months ended</w:t>
            </w:r>
          </w:p>
        </w:tc>
        <w:tc>
          <w:tcPr>
            <w:tcW w:w="196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366092"/>
                <w:w w:val="98"/>
              </w:rPr>
              <w:t>For the three months ended</w:t>
            </w:r>
          </w:p>
        </w:tc>
        <w:tc>
          <w:tcPr>
            <w:tcW w:w="940" w:type="dxa"/>
            <w:vAlign w:val="bottom"/>
          </w:tcPr>
          <w:p>
            <w:pPr>
              <w:jc w:val="center"/>
              <w:spacing w:after="0" w:line="113" w:lineRule="exact"/>
              <w:rPr>
                <w:sz w:val="20"/>
                <w:szCs w:val="20"/>
                <w:color w:val="auto"/>
              </w:rPr>
            </w:pPr>
            <w:r>
              <w:rPr>
                <w:rFonts w:ascii="Arial" w:cs="Arial" w:eastAsia="Arial" w:hAnsi="Arial"/>
                <w:sz w:val="11"/>
                <w:szCs w:val="11"/>
                <w:color w:val="auto"/>
                <w:w w:val="95"/>
              </w:rPr>
              <w:t>Year-over-Year</w:t>
            </w:r>
          </w:p>
        </w:tc>
        <w:tc>
          <w:tcPr>
            <w:tcW w:w="980" w:type="dxa"/>
            <w:vAlign w:val="bottom"/>
          </w:tcPr>
          <w:p>
            <w:pPr>
              <w:spacing w:after="0"/>
              <w:rPr>
                <w:sz w:val="9"/>
                <w:szCs w:val="9"/>
                <w:color w:val="auto"/>
              </w:rPr>
            </w:pPr>
          </w:p>
        </w:tc>
        <w:tc>
          <w:tcPr>
            <w:tcW w:w="1960" w:type="dxa"/>
            <w:vAlign w:val="bottom"/>
            <w:gridSpan w:val="2"/>
          </w:tcPr>
          <w:p>
            <w:pPr>
              <w:jc w:val="center"/>
              <w:ind w:right="60"/>
              <w:spacing w:after="0" w:line="113" w:lineRule="exact"/>
              <w:rPr>
                <w:sz w:val="20"/>
                <w:szCs w:val="20"/>
                <w:color w:val="auto"/>
              </w:rPr>
            </w:pPr>
            <w:r>
              <w:rPr>
                <w:rFonts w:ascii="Arial" w:cs="Arial" w:eastAsia="Arial" w:hAnsi="Arial"/>
                <w:sz w:val="11"/>
                <w:szCs w:val="11"/>
                <w:color w:val="auto"/>
                <w:w w:val="98"/>
              </w:rPr>
              <w:t>For the three months ended</w:t>
            </w:r>
          </w:p>
        </w:tc>
        <w:tc>
          <w:tcPr>
            <w:tcW w:w="960" w:type="dxa"/>
            <w:vAlign w:val="bottom"/>
          </w:tcPr>
          <w:p>
            <w:pPr>
              <w:jc w:val="center"/>
              <w:spacing w:after="0" w:line="113" w:lineRule="exact"/>
              <w:rPr>
                <w:sz w:val="20"/>
                <w:szCs w:val="20"/>
                <w:color w:val="auto"/>
              </w:rPr>
            </w:pPr>
            <w:r>
              <w:rPr>
                <w:rFonts w:ascii="Arial" w:cs="Arial" w:eastAsia="Arial" w:hAnsi="Arial"/>
                <w:sz w:val="11"/>
                <w:szCs w:val="11"/>
                <w:color w:val="auto"/>
                <w:w w:val="99"/>
              </w:rPr>
              <w:t>Sequential</w:t>
            </w:r>
          </w:p>
        </w:tc>
        <w:tc>
          <w:tcPr>
            <w:tcW w:w="980" w:type="dxa"/>
            <w:vAlign w:val="bottom"/>
          </w:tcPr>
          <w:p>
            <w:pPr>
              <w:spacing w:after="0"/>
              <w:rPr>
                <w:sz w:val="9"/>
                <w:szCs w:val="9"/>
                <w:color w:val="auto"/>
              </w:rPr>
            </w:pPr>
          </w:p>
        </w:tc>
      </w:tr>
      <w:tr>
        <w:trPr>
          <w:trHeight w:val="144"/>
        </w:trPr>
        <w:tc>
          <w:tcPr>
            <w:tcW w:w="1900" w:type="dxa"/>
            <w:vAlign w:val="bottom"/>
            <w:tcBorders>
              <w:left w:val="single" w:sz="8" w:color="auto"/>
              <w:right w:val="single" w:sz="8" w:color="auto"/>
            </w:tcBorders>
          </w:tcPr>
          <w:p>
            <w:pPr>
              <w:jc w:val="right"/>
              <w:ind w:right="406"/>
              <w:spacing w:after="0"/>
              <w:rPr>
                <w:sz w:val="20"/>
                <w:szCs w:val="20"/>
                <w:color w:val="auto"/>
              </w:rPr>
            </w:pPr>
            <w:r>
              <w:rPr>
                <w:rFonts w:ascii="Arial" w:cs="Arial" w:eastAsia="Arial" w:hAnsi="Arial"/>
                <w:sz w:val="11"/>
                <w:szCs w:val="11"/>
                <w:b w:val="1"/>
                <w:bCs w:val="1"/>
                <w:color w:val="366092"/>
              </w:rPr>
              <w:t>December 31, 2020</w:t>
            </w:r>
          </w:p>
        </w:tc>
        <w:tc>
          <w:tcPr>
            <w:tcW w:w="1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366092"/>
                <w:w w:val="98"/>
              </w:rPr>
              <w:t>December 31, 2019</w:t>
            </w:r>
          </w:p>
        </w:tc>
        <w:tc>
          <w:tcPr>
            <w:tcW w:w="940" w:type="dxa"/>
            <w:vAlign w:val="bottom"/>
          </w:tcPr>
          <w:p>
            <w:pPr>
              <w:jc w:val="center"/>
              <w:spacing w:after="0"/>
              <w:rPr>
                <w:sz w:val="20"/>
                <w:szCs w:val="20"/>
                <w:color w:val="auto"/>
              </w:rPr>
            </w:pPr>
            <w:r>
              <w:rPr>
                <w:rFonts w:ascii="Arial" w:cs="Arial" w:eastAsia="Arial" w:hAnsi="Arial"/>
                <w:sz w:val="11"/>
                <w:szCs w:val="11"/>
                <w:color w:val="auto"/>
                <w:w w:val="99"/>
              </w:rPr>
              <w:t>Difference</w:t>
            </w:r>
          </w:p>
        </w:tc>
        <w:tc>
          <w:tcPr>
            <w:tcW w:w="980" w:type="dxa"/>
            <w:vAlign w:val="bottom"/>
          </w:tcPr>
          <w:p>
            <w:pPr>
              <w:spacing w:after="0"/>
              <w:rPr>
                <w:sz w:val="12"/>
                <w:szCs w:val="12"/>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1"/>
                <w:szCs w:val="11"/>
                <w:color w:val="auto"/>
                <w:w w:val="98"/>
              </w:rPr>
              <w:t>September 30, 2020</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Difference</w:t>
            </w:r>
          </w:p>
        </w:tc>
        <w:tc>
          <w:tcPr>
            <w:tcW w:w="980" w:type="dxa"/>
            <w:vAlign w:val="bottom"/>
          </w:tcPr>
          <w:p>
            <w:pPr>
              <w:spacing w:after="0"/>
              <w:rPr>
                <w:sz w:val="12"/>
                <w:szCs w:val="12"/>
                <w:color w:val="auto"/>
              </w:rPr>
            </w:pPr>
          </w:p>
        </w:tc>
      </w:tr>
      <w:tr>
        <w:trPr>
          <w:trHeight w:val="417"/>
        </w:trPr>
        <w:tc>
          <w:tcPr>
            <w:tcW w:w="190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91.8 %</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91.8 %</w:t>
            </w:r>
          </w:p>
        </w:tc>
        <w:tc>
          <w:tcPr>
            <w:tcW w:w="8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980" w:type="dxa"/>
            <w:vAlign w:val="bottom"/>
          </w:tcPr>
          <w:p>
            <w:pPr>
              <w:spacing w:after="0"/>
              <w:rPr>
                <w:sz w:val="24"/>
                <w:szCs w:val="24"/>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91.5 %</w:t>
            </w:r>
          </w:p>
        </w:tc>
        <w:tc>
          <w:tcPr>
            <w:tcW w:w="8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0.3 %</w:t>
            </w:r>
          </w:p>
        </w:tc>
        <w:tc>
          <w:tcPr>
            <w:tcW w:w="980" w:type="dxa"/>
            <w:vAlign w:val="bottom"/>
          </w:tcPr>
          <w:p>
            <w:pPr>
              <w:spacing w:after="0"/>
              <w:rPr>
                <w:sz w:val="24"/>
                <w:szCs w:val="24"/>
                <w:color w:val="auto"/>
              </w:rPr>
            </w:pPr>
          </w:p>
        </w:tc>
      </w:tr>
      <w:tr>
        <w:trPr>
          <w:trHeight w:val="152"/>
        </w:trPr>
        <w:tc>
          <w:tcPr>
            <w:tcW w:w="19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88.1 %</w:t>
            </w:r>
          </w:p>
        </w:tc>
        <w:tc>
          <w:tcPr>
            <w:tcW w:w="1880" w:type="dxa"/>
            <w:vAlign w:val="bottom"/>
          </w:tcPr>
          <w:p>
            <w:pPr>
              <w:jc w:val="right"/>
              <w:spacing w:after="0"/>
              <w:rPr>
                <w:sz w:val="20"/>
                <w:szCs w:val="20"/>
                <w:color w:val="auto"/>
              </w:rPr>
            </w:pPr>
            <w:r>
              <w:rPr>
                <w:rFonts w:ascii="Arial" w:cs="Arial" w:eastAsia="Arial" w:hAnsi="Arial"/>
                <w:sz w:val="11"/>
                <w:szCs w:val="11"/>
                <w:color w:val="auto"/>
              </w:rPr>
              <w:t>87.1 %</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1.0 %</w:t>
            </w:r>
          </w:p>
        </w:tc>
        <w:tc>
          <w:tcPr>
            <w:tcW w:w="98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88.0 %</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0.1 %</w:t>
            </w:r>
          </w:p>
        </w:tc>
        <w:tc>
          <w:tcPr>
            <w:tcW w:w="980" w:type="dxa"/>
            <w:vAlign w:val="bottom"/>
          </w:tcPr>
          <w:p>
            <w:pPr>
              <w:spacing w:after="0"/>
              <w:rPr>
                <w:sz w:val="13"/>
                <w:szCs w:val="13"/>
                <w:color w:val="auto"/>
              </w:rPr>
            </w:pPr>
          </w:p>
        </w:tc>
      </w:tr>
      <w:tr>
        <w:trPr>
          <w:trHeight w:val="280"/>
        </w:trPr>
        <w:tc>
          <w:tcPr>
            <w:tcW w:w="19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30.6 %</w:t>
            </w:r>
          </w:p>
        </w:tc>
        <w:tc>
          <w:tcPr>
            <w:tcW w:w="1880" w:type="dxa"/>
            <w:vAlign w:val="bottom"/>
          </w:tcPr>
          <w:p>
            <w:pPr>
              <w:jc w:val="right"/>
              <w:spacing w:after="0"/>
              <w:rPr>
                <w:sz w:val="20"/>
                <w:szCs w:val="20"/>
                <w:color w:val="auto"/>
              </w:rPr>
            </w:pPr>
            <w:r>
              <w:rPr>
                <w:rFonts w:ascii="Arial" w:cs="Arial" w:eastAsia="Arial" w:hAnsi="Arial"/>
                <w:sz w:val="11"/>
                <w:szCs w:val="11"/>
                <w:color w:val="auto"/>
              </w:rPr>
              <w:t>29.2 %</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1.4 %</w:t>
            </w:r>
          </w:p>
        </w:tc>
        <w:tc>
          <w:tcPr>
            <w:tcW w:w="9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29.9 %</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0.7 %</w:t>
            </w:r>
          </w:p>
        </w:tc>
        <w:tc>
          <w:tcPr>
            <w:tcW w:w="980" w:type="dxa"/>
            <w:vAlign w:val="bottom"/>
          </w:tcPr>
          <w:p>
            <w:pPr>
              <w:spacing w:after="0"/>
              <w:rPr>
                <w:sz w:val="24"/>
                <w:szCs w:val="24"/>
                <w:color w:val="auto"/>
              </w:rPr>
            </w:pPr>
          </w:p>
        </w:tc>
      </w:tr>
      <w:tr>
        <w:trPr>
          <w:trHeight w:val="152"/>
        </w:trPr>
        <w:tc>
          <w:tcPr>
            <w:tcW w:w="19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6.4 %</w:t>
            </w:r>
          </w:p>
        </w:tc>
        <w:tc>
          <w:tcPr>
            <w:tcW w:w="1880" w:type="dxa"/>
            <w:vAlign w:val="bottom"/>
          </w:tcPr>
          <w:p>
            <w:pPr>
              <w:jc w:val="right"/>
              <w:spacing w:after="0"/>
              <w:rPr>
                <w:sz w:val="20"/>
                <w:szCs w:val="20"/>
                <w:color w:val="auto"/>
              </w:rPr>
            </w:pPr>
            <w:r>
              <w:rPr>
                <w:rFonts w:ascii="Arial" w:cs="Arial" w:eastAsia="Arial" w:hAnsi="Arial"/>
                <w:sz w:val="11"/>
                <w:szCs w:val="11"/>
                <w:color w:val="auto"/>
              </w:rPr>
              <w:t>6.2 %</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0.2 %</w:t>
            </w:r>
          </w:p>
        </w:tc>
        <w:tc>
          <w:tcPr>
            <w:tcW w:w="98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6.3 %</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0.1 %</w:t>
            </w:r>
          </w:p>
        </w:tc>
        <w:tc>
          <w:tcPr>
            <w:tcW w:w="980" w:type="dxa"/>
            <w:vAlign w:val="bottom"/>
          </w:tcPr>
          <w:p>
            <w:pPr>
              <w:spacing w:after="0"/>
              <w:rPr>
                <w:sz w:val="13"/>
                <w:szCs w:val="13"/>
                <w:color w:val="auto"/>
              </w:rPr>
            </w:pPr>
          </w:p>
        </w:tc>
      </w:tr>
      <w:tr>
        <w:trPr>
          <w:trHeight w:val="275"/>
        </w:trPr>
        <w:tc>
          <w:tcPr>
            <w:tcW w:w="1900" w:type="dxa"/>
            <w:vAlign w:val="bottom"/>
            <w:tcBorders>
              <w:left w:val="single" w:sz="8" w:color="auto"/>
              <w:right w:val="single" w:sz="8" w:color="auto"/>
            </w:tcBorders>
          </w:tcPr>
          <w:p>
            <w:pPr>
              <w:spacing w:after="0"/>
              <w:rPr>
                <w:sz w:val="23"/>
                <w:szCs w:val="23"/>
                <w:color w:val="auto"/>
              </w:rPr>
            </w:pP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5"/>
              </w:rPr>
              <w:t>Percentage</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9"/>
              </w:rPr>
              <w:t>Percentage</w:t>
            </w:r>
          </w:p>
        </w:tc>
      </w:tr>
      <w:tr>
        <w:trPr>
          <w:trHeight w:val="144"/>
        </w:trPr>
        <w:tc>
          <w:tcPr>
            <w:tcW w:w="1900" w:type="dxa"/>
            <w:vAlign w:val="bottom"/>
            <w:tcBorders>
              <w:left w:val="single" w:sz="8" w:color="auto"/>
              <w:right w:val="single" w:sz="8" w:color="auto"/>
            </w:tcBorders>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r>
      <w:tr>
        <w:trPr>
          <w:trHeight w:val="133"/>
        </w:trPr>
        <w:tc>
          <w:tcPr>
            <w:tcW w:w="1900" w:type="dxa"/>
            <w:vAlign w:val="bottom"/>
            <w:tcBorders>
              <w:left w:val="single" w:sz="8" w:color="auto"/>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00497F"/>
              </w:rPr>
              <w:t>121,800</w:t>
            </w:r>
          </w:p>
        </w:tc>
        <w:tc>
          <w:tcPr>
            <w:tcW w:w="1880" w:type="dxa"/>
            <w:vAlign w:val="bottom"/>
          </w:tcPr>
          <w:p>
            <w:pPr>
              <w:jc w:val="right"/>
              <w:ind w:right="86"/>
              <w:spacing w:after="0"/>
              <w:rPr>
                <w:sz w:val="20"/>
                <w:szCs w:val="20"/>
                <w:color w:val="auto"/>
              </w:rPr>
            </w:pPr>
            <w:r>
              <w:rPr>
                <w:rFonts w:ascii="Arial" w:cs="Arial" w:eastAsia="Arial" w:hAnsi="Arial"/>
                <w:sz w:val="11"/>
                <w:szCs w:val="11"/>
                <w:color w:val="auto"/>
              </w:rPr>
              <w:t>117,700</w:t>
            </w:r>
          </w:p>
        </w:tc>
        <w:tc>
          <w:tcPr>
            <w:tcW w:w="80" w:type="dxa"/>
            <w:vAlign w:val="bottom"/>
          </w:tcPr>
          <w:p>
            <w:pPr>
              <w:spacing w:after="0"/>
              <w:rPr>
                <w:sz w:val="11"/>
                <w:szCs w:val="11"/>
                <w:color w:val="auto"/>
              </w:rPr>
            </w:pP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4,100</w:t>
            </w:r>
          </w:p>
        </w:tc>
        <w:tc>
          <w:tcPr>
            <w:tcW w:w="980" w:type="dxa"/>
            <w:vAlign w:val="bottom"/>
          </w:tcPr>
          <w:p>
            <w:pPr>
              <w:jc w:val="right"/>
              <w:spacing w:after="0"/>
              <w:rPr>
                <w:sz w:val="20"/>
                <w:szCs w:val="20"/>
                <w:color w:val="auto"/>
              </w:rPr>
            </w:pPr>
            <w:r>
              <w:rPr>
                <w:rFonts w:ascii="Arial" w:cs="Arial" w:eastAsia="Arial" w:hAnsi="Arial"/>
                <w:sz w:val="11"/>
                <w:szCs w:val="11"/>
                <w:color w:val="auto"/>
              </w:rPr>
              <w:t>3.5 %</w:t>
            </w:r>
          </w:p>
        </w:tc>
        <w:tc>
          <w:tcPr>
            <w:tcW w:w="1880" w:type="dxa"/>
            <w:vAlign w:val="bottom"/>
          </w:tcPr>
          <w:p>
            <w:pPr>
              <w:jc w:val="right"/>
              <w:ind w:right="66"/>
              <w:spacing w:after="0"/>
              <w:rPr>
                <w:sz w:val="20"/>
                <w:szCs w:val="20"/>
                <w:color w:val="auto"/>
              </w:rPr>
            </w:pPr>
            <w:r>
              <w:rPr>
                <w:rFonts w:ascii="Arial" w:cs="Arial" w:eastAsia="Arial" w:hAnsi="Arial"/>
                <w:sz w:val="11"/>
                <w:szCs w:val="11"/>
                <w:color w:val="auto"/>
              </w:rPr>
              <w:t>119,400</w:t>
            </w:r>
          </w:p>
        </w:tc>
        <w:tc>
          <w:tcPr>
            <w:tcW w:w="80" w:type="dxa"/>
            <w:vAlign w:val="bottom"/>
          </w:tcPr>
          <w:p>
            <w:pPr>
              <w:spacing w:after="0"/>
              <w:rPr>
                <w:sz w:val="11"/>
                <w:szCs w:val="11"/>
                <w:color w:val="auto"/>
              </w:rPr>
            </w:pP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2,400</w:t>
            </w:r>
          </w:p>
        </w:tc>
        <w:tc>
          <w:tcPr>
            <w:tcW w:w="980" w:type="dxa"/>
            <w:vAlign w:val="bottom"/>
          </w:tcPr>
          <w:p>
            <w:pPr>
              <w:jc w:val="right"/>
              <w:spacing w:after="0"/>
              <w:rPr>
                <w:sz w:val="20"/>
                <w:szCs w:val="20"/>
                <w:color w:val="auto"/>
              </w:rPr>
            </w:pPr>
            <w:r>
              <w:rPr>
                <w:rFonts w:ascii="Arial" w:cs="Arial" w:eastAsia="Arial" w:hAnsi="Arial"/>
                <w:sz w:val="11"/>
                <w:szCs w:val="11"/>
                <w:color w:val="auto"/>
              </w:rPr>
              <w:t>2.0 %</w:t>
            </w:r>
          </w:p>
        </w:tc>
      </w:tr>
    </w:tbl>
    <w:p>
      <w:pPr>
        <w:spacing w:after="0" w:line="200" w:lineRule="exact"/>
        <w:rPr>
          <w:sz w:val="20"/>
          <w:szCs w:val="20"/>
          <w:color w:val="auto"/>
        </w:rPr>
      </w:pPr>
    </w:p>
    <w:p>
      <w:pPr>
        <w:sectPr>
          <w:pgSz w:w="11900" w:h="16838" w:orient="portrait"/>
          <w:cols w:equalWidth="0" w:num="2">
            <w:col w:w="1280" w:space="340"/>
            <w:col w:w="9680"/>
          </w:cols>
          <w:pgMar w:left="300" w:top="76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S-16</w:t>
      </w:r>
    </w:p>
    <w:p>
      <w:pPr>
        <w:sectPr>
          <w:pgSz w:w="11900" w:h="16838" w:orient="portrait"/>
          <w:cols w:equalWidth="0" w:num="1">
            <w:col w:w="11300"/>
          </w:cols>
          <w:pgMar w:left="300" w:top="767" w:right="2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Healthcare Services Segment Metrics (Continued)</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Script volume in thousands</w:t>
      </w:r>
    </w:p>
    <w:p>
      <w:pPr>
        <w:sectPr>
          <w:pgSz w:w="11900" w:h="16838" w:orient="portrait"/>
          <w:cols w:equalWidth="0" w:num="1">
            <w:col w:w="10159"/>
          </w:cols>
          <w:pgMar w:left="300" w:top="1091" w:right="1440"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Pharmacy:</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Generic Dispense Rate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Retail</w:t>
      </w:r>
    </w:p>
    <w:p>
      <w:pPr>
        <w:spacing w:after="0" w:line="12" w:lineRule="exact"/>
        <w:rPr>
          <w:sz w:val="20"/>
          <w:szCs w:val="20"/>
          <w:color w:val="auto"/>
        </w:rPr>
      </w:pPr>
    </w:p>
    <w:p>
      <w:pPr>
        <w:jc w:val="right"/>
        <w:ind w:right="900"/>
        <w:spacing w:after="0"/>
        <w:rPr>
          <w:sz w:val="20"/>
          <w:szCs w:val="20"/>
          <w:color w:val="auto"/>
        </w:rPr>
      </w:pPr>
      <w:r>
        <w:rPr>
          <w:rFonts w:ascii="Arial" w:cs="Arial" w:eastAsia="Arial" w:hAnsi="Arial"/>
          <w:sz w:val="11"/>
          <w:szCs w:val="11"/>
          <w:color w:val="auto"/>
        </w:rPr>
        <w:t>Group and Specialty</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Mail-Order Penetration</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Retail</w:t>
      </w:r>
    </w:p>
    <w:p>
      <w:pPr>
        <w:spacing w:after="0" w:line="12" w:lineRule="exact"/>
        <w:rPr>
          <w:sz w:val="20"/>
          <w:szCs w:val="20"/>
          <w:color w:val="auto"/>
        </w:rPr>
      </w:pPr>
    </w:p>
    <w:p>
      <w:pPr>
        <w:jc w:val="right"/>
        <w:ind w:right="900"/>
        <w:spacing w:after="0"/>
        <w:rPr>
          <w:sz w:val="20"/>
          <w:szCs w:val="20"/>
          <w:color w:val="auto"/>
        </w:rPr>
      </w:pPr>
      <w:r>
        <w:rPr>
          <w:rFonts w:ascii="Arial" w:cs="Arial" w:eastAsia="Arial" w:hAnsi="Arial"/>
          <w:sz w:val="11"/>
          <w:szCs w:val="11"/>
          <w:color w:val="auto"/>
        </w:rPr>
        <w:t>Group and Specialty</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Script volume (P)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13"/>
        </w:trPr>
        <w:tc>
          <w:tcPr>
            <w:tcW w:w="1800" w:type="dxa"/>
            <w:vAlign w:val="bottom"/>
            <w:tcBorders>
              <w:top w:val="single" w:sz="8" w:color="auto"/>
              <w:left w:val="single" w:sz="8" w:color="auto"/>
              <w:right w:val="single" w:sz="8" w:color="auto"/>
            </w:tcBorders>
          </w:tcPr>
          <w:p>
            <w:pPr>
              <w:jc w:val="right"/>
              <w:ind w:right="366"/>
              <w:spacing w:after="0" w:line="113" w:lineRule="exact"/>
              <w:rPr>
                <w:sz w:val="20"/>
                <w:szCs w:val="20"/>
                <w:color w:val="auto"/>
              </w:rPr>
            </w:pPr>
            <w:r>
              <w:rPr>
                <w:rFonts w:ascii="Arial" w:cs="Arial" w:eastAsia="Arial" w:hAnsi="Arial"/>
                <w:sz w:val="11"/>
                <w:szCs w:val="11"/>
                <w:b w:val="1"/>
                <w:bCs w:val="1"/>
                <w:color w:val="366092"/>
              </w:rPr>
              <w:t>For the year ended</w:t>
            </w:r>
          </w:p>
        </w:tc>
        <w:tc>
          <w:tcPr>
            <w:tcW w:w="1860" w:type="dxa"/>
            <w:vAlign w:val="bottom"/>
            <w:gridSpan w:val="2"/>
          </w:tcPr>
          <w:p>
            <w:pPr>
              <w:jc w:val="center"/>
              <w:ind w:right="80"/>
              <w:spacing w:after="0" w:line="113" w:lineRule="exact"/>
              <w:rPr>
                <w:sz w:val="20"/>
                <w:szCs w:val="20"/>
                <w:color w:val="auto"/>
              </w:rPr>
            </w:pPr>
            <w:r>
              <w:rPr>
                <w:rFonts w:ascii="Arial" w:cs="Arial" w:eastAsia="Arial" w:hAnsi="Arial"/>
                <w:sz w:val="11"/>
                <w:szCs w:val="11"/>
                <w:color w:val="auto"/>
                <w:w w:val="96"/>
              </w:rPr>
              <w:t>For the year ended</w:t>
            </w:r>
          </w:p>
        </w:tc>
        <w:tc>
          <w:tcPr>
            <w:tcW w:w="1120" w:type="dxa"/>
            <w:vAlign w:val="bottom"/>
          </w:tcPr>
          <w:p>
            <w:pPr>
              <w:jc w:val="center"/>
              <w:spacing w:after="0" w:line="113" w:lineRule="exact"/>
              <w:rPr>
                <w:sz w:val="20"/>
                <w:szCs w:val="20"/>
                <w:color w:val="auto"/>
              </w:rPr>
            </w:pPr>
            <w:r>
              <w:rPr>
                <w:rFonts w:ascii="Arial" w:cs="Arial" w:eastAsia="Arial" w:hAnsi="Arial"/>
                <w:sz w:val="11"/>
                <w:szCs w:val="11"/>
                <w:color w:val="auto"/>
                <w:w w:val="95"/>
              </w:rPr>
              <w:t>Year-over-Year</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0" w:type="dxa"/>
            <w:vAlign w:val="bottom"/>
            <w:tcBorders>
              <w:left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366092"/>
              </w:rPr>
              <w:t>December 31, 2020</w:t>
            </w:r>
          </w:p>
        </w:tc>
        <w:tc>
          <w:tcPr>
            <w:tcW w:w="186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December 31, 2019</w:t>
            </w:r>
          </w:p>
        </w:tc>
        <w:tc>
          <w:tcPr>
            <w:tcW w:w="1120" w:type="dxa"/>
            <w:vAlign w:val="bottom"/>
          </w:tcPr>
          <w:p>
            <w:pPr>
              <w:jc w:val="center"/>
              <w:spacing w:after="0"/>
              <w:rPr>
                <w:sz w:val="20"/>
                <w:szCs w:val="20"/>
                <w:color w:val="auto"/>
              </w:rPr>
            </w:pPr>
            <w:r>
              <w:rPr>
                <w:rFonts w:ascii="Arial" w:cs="Arial" w:eastAsia="Arial" w:hAnsi="Arial"/>
                <w:sz w:val="11"/>
                <w:szCs w:val="11"/>
                <w:color w:val="auto"/>
                <w:w w:val="95"/>
              </w:rPr>
              <w:t>Difference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7"/>
        </w:trPr>
        <w:tc>
          <w:tcPr>
            <w:tcW w:w="180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91.7 %</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91.7 %</w:t>
            </w:r>
          </w:p>
        </w:tc>
        <w:tc>
          <w:tcPr>
            <w:tcW w:w="8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87.9 %</w:t>
            </w:r>
          </w:p>
        </w:tc>
        <w:tc>
          <w:tcPr>
            <w:tcW w:w="1780" w:type="dxa"/>
            <w:vAlign w:val="bottom"/>
          </w:tcPr>
          <w:p>
            <w:pPr>
              <w:jc w:val="right"/>
              <w:spacing w:after="0"/>
              <w:rPr>
                <w:sz w:val="20"/>
                <w:szCs w:val="20"/>
                <w:color w:val="auto"/>
              </w:rPr>
            </w:pPr>
            <w:r>
              <w:rPr>
                <w:rFonts w:ascii="Arial" w:cs="Arial" w:eastAsia="Arial" w:hAnsi="Arial"/>
                <w:sz w:val="11"/>
                <w:szCs w:val="11"/>
                <w:color w:val="auto"/>
              </w:rPr>
              <w:t>87.4 %</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0.5 %</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8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30.1 %</w:t>
            </w:r>
          </w:p>
        </w:tc>
        <w:tc>
          <w:tcPr>
            <w:tcW w:w="1780" w:type="dxa"/>
            <w:vAlign w:val="bottom"/>
          </w:tcPr>
          <w:p>
            <w:pPr>
              <w:jc w:val="right"/>
              <w:spacing w:after="0"/>
              <w:rPr>
                <w:sz w:val="20"/>
                <w:szCs w:val="20"/>
                <w:color w:val="auto"/>
              </w:rPr>
            </w:pPr>
            <w:r>
              <w:rPr>
                <w:rFonts w:ascii="Arial" w:cs="Arial" w:eastAsia="Arial" w:hAnsi="Arial"/>
                <w:sz w:val="11"/>
                <w:szCs w:val="11"/>
                <w:color w:val="auto"/>
              </w:rPr>
              <w:t>28.8 %</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6.2 %</w:t>
            </w:r>
          </w:p>
        </w:tc>
        <w:tc>
          <w:tcPr>
            <w:tcW w:w="1780" w:type="dxa"/>
            <w:vAlign w:val="bottom"/>
          </w:tcPr>
          <w:p>
            <w:pPr>
              <w:jc w:val="right"/>
              <w:spacing w:after="0"/>
              <w:rPr>
                <w:sz w:val="20"/>
                <w:szCs w:val="20"/>
                <w:color w:val="auto"/>
              </w:rPr>
            </w:pPr>
            <w:r>
              <w:rPr>
                <w:rFonts w:ascii="Arial" w:cs="Arial" w:eastAsia="Arial" w:hAnsi="Arial"/>
                <w:sz w:val="11"/>
                <w:szCs w:val="11"/>
                <w:color w:val="auto"/>
              </w:rPr>
              <w:t>6.3 %</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-0.1 %</w:t>
            </w:r>
          </w:p>
        </w:tc>
        <w:tc>
          <w:tcPr>
            <w:tcW w:w="920" w:type="dxa"/>
            <w:vAlign w:val="bottom"/>
            <w:vMerge w:val="restart"/>
          </w:tcPr>
          <w:p>
            <w:pPr>
              <w:jc w:val="center"/>
              <w:spacing w:after="0"/>
              <w:rPr>
                <w:sz w:val="20"/>
                <w:szCs w:val="20"/>
                <w:color w:val="auto"/>
              </w:rPr>
            </w:pPr>
            <w:r>
              <w:rPr>
                <w:rFonts w:ascii="Arial" w:cs="Arial" w:eastAsia="Arial" w:hAnsi="Arial"/>
                <w:sz w:val="11"/>
                <w:szCs w:val="11"/>
                <w:color w:val="auto"/>
                <w:w w:val="99"/>
              </w:rPr>
              <w:t>Percentage</w:t>
            </w:r>
          </w:p>
        </w:tc>
        <w:tc>
          <w:tcPr>
            <w:tcW w:w="0" w:type="dxa"/>
            <w:vAlign w:val="bottom"/>
          </w:tcPr>
          <w:p>
            <w:pPr>
              <w:spacing w:after="0"/>
              <w:rPr>
                <w:sz w:val="1"/>
                <w:szCs w:val="1"/>
                <w:color w:val="auto"/>
              </w:rPr>
            </w:pPr>
          </w:p>
        </w:tc>
      </w:tr>
      <w:tr>
        <w:trPr>
          <w:trHeight w:val="104"/>
        </w:trPr>
        <w:tc>
          <w:tcPr>
            <w:tcW w:w="1800" w:type="dxa"/>
            <w:vAlign w:val="bottom"/>
            <w:tcBorders>
              <w:left w:val="single" w:sz="8" w:color="auto"/>
              <w:right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0" w:type="dxa"/>
            <w:vAlign w:val="bottom"/>
            <w:tcBorders>
              <w:left w:val="single" w:sz="8" w:color="auto"/>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c>
          <w:tcPr>
            <w:tcW w:w="0" w:type="dxa"/>
            <w:vAlign w:val="bottom"/>
          </w:tcPr>
          <w:p>
            <w:pPr>
              <w:spacing w:after="0"/>
              <w:rPr>
                <w:sz w:val="1"/>
                <w:szCs w:val="1"/>
                <w:color w:val="auto"/>
              </w:rPr>
            </w:pPr>
          </w:p>
        </w:tc>
      </w:tr>
      <w:tr>
        <w:trPr>
          <w:trHeight w:val="133"/>
        </w:trPr>
        <w:tc>
          <w:tcPr>
            <w:tcW w:w="1800" w:type="dxa"/>
            <w:vAlign w:val="bottom"/>
            <w:tcBorders>
              <w:left w:val="single" w:sz="8" w:color="auto"/>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00497F"/>
              </w:rPr>
              <w:t>477,600</w:t>
            </w:r>
          </w:p>
        </w:tc>
        <w:tc>
          <w:tcPr>
            <w:tcW w:w="1780" w:type="dxa"/>
            <w:vAlign w:val="bottom"/>
          </w:tcPr>
          <w:p>
            <w:pPr>
              <w:jc w:val="right"/>
              <w:ind w:right="86"/>
              <w:spacing w:after="0"/>
              <w:rPr>
                <w:sz w:val="20"/>
                <w:szCs w:val="20"/>
                <w:color w:val="auto"/>
              </w:rPr>
            </w:pPr>
            <w:r>
              <w:rPr>
                <w:rFonts w:ascii="Arial" w:cs="Arial" w:eastAsia="Arial" w:hAnsi="Arial"/>
                <w:sz w:val="11"/>
                <w:szCs w:val="11"/>
                <w:color w:val="auto"/>
              </w:rPr>
              <w:t>456,300</w:t>
            </w:r>
          </w:p>
        </w:tc>
        <w:tc>
          <w:tcPr>
            <w:tcW w:w="80" w:type="dxa"/>
            <w:vAlign w:val="bottom"/>
          </w:tcPr>
          <w:p>
            <w:pPr>
              <w:spacing w:after="0"/>
              <w:rPr>
                <w:sz w:val="11"/>
                <w:szCs w:val="11"/>
                <w:color w:val="auto"/>
              </w:rPr>
            </w:pPr>
          </w:p>
        </w:tc>
        <w:tc>
          <w:tcPr>
            <w:tcW w:w="1120" w:type="dxa"/>
            <w:vAlign w:val="bottom"/>
          </w:tcPr>
          <w:p>
            <w:pPr>
              <w:jc w:val="right"/>
              <w:ind w:right="87"/>
              <w:spacing w:after="0"/>
              <w:rPr>
                <w:sz w:val="20"/>
                <w:szCs w:val="20"/>
                <w:color w:val="auto"/>
              </w:rPr>
            </w:pPr>
            <w:r>
              <w:rPr>
                <w:rFonts w:ascii="Arial" w:cs="Arial" w:eastAsia="Arial" w:hAnsi="Arial"/>
                <w:sz w:val="11"/>
                <w:szCs w:val="11"/>
                <w:color w:val="auto"/>
              </w:rPr>
              <w:t>21,300</w:t>
            </w:r>
          </w:p>
        </w:tc>
        <w:tc>
          <w:tcPr>
            <w:tcW w:w="920" w:type="dxa"/>
            <w:vAlign w:val="bottom"/>
          </w:tcPr>
          <w:p>
            <w:pPr>
              <w:jc w:val="right"/>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80" w:space="720"/>
            <w:col w:w="7259"/>
          </w:cols>
          <w:pgMar w:left="300" w:top="1091" w:right="1440" w:bottom="1440" w:gutter="0" w:footer="0" w:header="0"/>
          <w:type w:val="continuous"/>
        </w:sectPr>
      </w:pPr>
    </w:p>
    <w:p>
      <w:pPr>
        <w:spacing w:after="0" w:line="13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S-17</w:t>
      </w:r>
    </w:p>
    <w:p>
      <w:pPr>
        <w:sectPr>
          <w:pgSz w:w="11900" w:h="16838" w:orient="portrait"/>
          <w:cols w:equalWidth="0" w:num="1">
            <w:col w:w="10159"/>
          </w:cols>
          <w:pgMar w:left="300" w:top="1091"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Detail of Benefits Payable Balance and Year-to-Date Changes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360" w:type="dxa"/>
            <w:vAlign w:val="bottom"/>
            <w:tcBorders>
              <w:right w:val="single" w:sz="8" w:color="auto"/>
            </w:tcBorders>
          </w:tcPr>
          <w:p>
            <w:pPr>
              <w:spacing w:after="0"/>
              <w:rPr>
                <w:sz w:val="9"/>
                <w:szCs w:val="9"/>
                <w:color w:val="auto"/>
              </w:rPr>
            </w:pPr>
          </w:p>
        </w:tc>
        <w:tc>
          <w:tcPr>
            <w:tcW w:w="1560" w:type="dxa"/>
            <w:vAlign w:val="bottom"/>
            <w:tcBorders>
              <w:top w:val="single" w:sz="8" w:color="auto"/>
            </w:tcBorders>
          </w:tcPr>
          <w:p>
            <w:pPr>
              <w:ind w:left="520"/>
              <w:spacing w:after="0" w:line="113" w:lineRule="exact"/>
              <w:rPr>
                <w:sz w:val="20"/>
                <w:szCs w:val="20"/>
                <w:color w:val="auto"/>
              </w:rPr>
            </w:pPr>
            <w:r>
              <w:rPr>
                <w:rFonts w:ascii="Arial" w:cs="Arial" w:eastAsia="Arial" w:hAnsi="Arial"/>
                <w:sz w:val="11"/>
                <w:szCs w:val="11"/>
                <w:b w:val="1"/>
                <w:bCs w:val="1"/>
                <w:color w:val="auto"/>
              </w:rPr>
              <w:t>For the year ended</w:t>
            </w:r>
          </w:p>
        </w:tc>
        <w:tc>
          <w:tcPr>
            <w:tcW w:w="500" w:type="dxa"/>
            <w:vAlign w:val="bottom"/>
            <w:tcBorders>
              <w:top w:val="single" w:sz="8" w:color="auto"/>
              <w:right w:val="single" w:sz="8" w:color="auto"/>
            </w:tcBorders>
          </w:tcPr>
          <w:p>
            <w:pPr>
              <w:spacing w:after="0"/>
              <w:rPr>
                <w:sz w:val="9"/>
                <w:szCs w:val="9"/>
                <w:color w:val="auto"/>
              </w:rPr>
            </w:pPr>
          </w:p>
        </w:tc>
        <w:tc>
          <w:tcPr>
            <w:tcW w:w="1820" w:type="dxa"/>
            <w:vAlign w:val="bottom"/>
            <w:tcBorders>
              <w:top w:val="single" w:sz="8" w:color="auto"/>
              <w:right w:val="single" w:sz="8" w:color="auto"/>
            </w:tcBorders>
          </w:tcPr>
          <w:p>
            <w:pPr>
              <w:jc w:val="right"/>
              <w:ind w:right="226"/>
              <w:spacing w:after="0" w:line="113" w:lineRule="exact"/>
              <w:rPr>
                <w:sz w:val="20"/>
                <w:szCs w:val="20"/>
                <w:color w:val="auto"/>
              </w:rPr>
            </w:pPr>
            <w:r>
              <w:rPr>
                <w:rFonts w:ascii="Arial" w:cs="Arial" w:eastAsia="Arial" w:hAnsi="Arial"/>
                <w:sz w:val="11"/>
                <w:szCs w:val="11"/>
                <w:color w:val="auto"/>
              </w:rPr>
              <w:t>For the nine months ended</w:t>
            </w:r>
          </w:p>
        </w:tc>
        <w:tc>
          <w:tcPr>
            <w:tcW w:w="1760" w:type="dxa"/>
            <w:vAlign w:val="bottom"/>
            <w:tcBorders>
              <w:top w:val="single" w:sz="8" w:color="auto"/>
              <w:right w:val="single" w:sz="8" w:color="auto"/>
            </w:tcBorders>
          </w:tcPr>
          <w:p>
            <w:pPr>
              <w:jc w:val="right"/>
              <w:ind w:right="386"/>
              <w:spacing w:after="0" w:line="113" w:lineRule="exact"/>
              <w:rPr>
                <w:sz w:val="20"/>
                <w:szCs w:val="20"/>
                <w:color w:val="auto"/>
              </w:rPr>
            </w:pPr>
            <w:r>
              <w:rPr>
                <w:rFonts w:ascii="Arial" w:cs="Arial" w:eastAsia="Arial" w:hAnsi="Arial"/>
                <w:sz w:val="11"/>
                <w:szCs w:val="11"/>
                <w:color w:val="auto"/>
              </w:rPr>
              <w:t>For the year ended</w:t>
            </w: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Year-to-date changes in benefits payable, excluding military services</w:t>
            </w: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December 31, 2020</w:t>
            </w:r>
          </w:p>
        </w:tc>
        <w:tc>
          <w:tcPr>
            <w:tcW w:w="50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jc w:val="right"/>
              <w:ind w:right="386"/>
              <w:spacing w:after="0"/>
              <w:rPr>
                <w:sz w:val="20"/>
                <w:szCs w:val="20"/>
                <w:color w:val="auto"/>
              </w:rPr>
            </w:pPr>
            <w:r>
              <w:rPr>
                <w:rFonts w:ascii="Arial" w:cs="Arial" w:eastAsia="Arial" w:hAnsi="Arial"/>
                <w:sz w:val="11"/>
                <w:szCs w:val="11"/>
                <w:color w:val="auto"/>
              </w:rPr>
              <w:t>September 30, 2020</w:t>
            </w:r>
          </w:p>
        </w:tc>
        <w:tc>
          <w:tcPr>
            <w:tcW w:w="176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December 31, 2019</w:t>
            </w:r>
          </w:p>
        </w:tc>
        <w:tc>
          <w:tcPr>
            <w:tcW w:w="0" w:type="dxa"/>
            <w:vAlign w:val="bottom"/>
          </w:tcPr>
          <w:p>
            <w:pPr>
              <w:spacing w:after="0"/>
              <w:rPr>
                <w:sz w:val="1"/>
                <w:szCs w:val="1"/>
                <w:color w:val="auto"/>
              </w:rPr>
            </w:pPr>
          </w:p>
        </w:tc>
      </w:tr>
      <w:tr>
        <w:trPr>
          <w:trHeight w:val="129"/>
        </w:trPr>
        <w:tc>
          <w:tcPr>
            <w:tcW w:w="4360" w:type="dxa"/>
            <w:vAlign w:val="bottom"/>
            <w:tcBorders>
              <w:right w:val="single" w:sz="8" w:color="auto"/>
            </w:tcBorders>
            <w:vMerge w:val="continue"/>
          </w:tcPr>
          <w:p>
            <w:pPr>
              <w:spacing w:after="0"/>
              <w:rPr>
                <w:sz w:val="11"/>
                <w:szCs w:val="11"/>
                <w:color w:val="auto"/>
              </w:rPr>
            </w:pPr>
          </w:p>
        </w:tc>
        <w:tc>
          <w:tcPr>
            <w:tcW w:w="15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Balances at January 1</w:t>
            </w:r>
          </w:p>
        </w:tc>
        <w:tc>
          <w:tcPr>
            <w:tcW w:w="1560" w:type="dxa"/>
            <w:vAlign w:val="bottom"/>
          </w:tcPr>
          <w:p>
            <w:pPr>
              <w:spacing w:after="0"/>
              <w:rPr>
                <w:sz w:val="12"/>
                <w:szCs w:val="12"/>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$6,004</w:t>
            </w: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$6,004</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$4,862</w:t>
            </w:r>
          </w:p>
        </w:tc>
        <w:tc>
          <w:tcPr>
            <w:tcW w:w="0" w:type="dxa"/>
            <w:vAlign w:val="bottom"/>
          </w:tcPr>
          <w:p>
            <w:pPr>
              <w:spacing w:after="0"/>
              <w:rPr>
                <w:sz w:val="1"/>
                <w:szCs w:val="1"/>
                <w:color w:val="auto"/>
              </w:rPr>
            </w:pPr>
          </w:p>
        </w:tc>
      </w:tr>
      <w:tr>
        <w:trPr>
          <w:trHeight w:val="146"/>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Less: Reinsurance recoverables (Q)</w:t>
            </w:r>
          </w:p>
        </w:tc>
        <w:tc>
          <w:tcPr>
            <w:tcW w:w="15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31"/>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Beginning balance, net of reinsurance recoverable</w:t>
            </w:r>
          </w:p>
        </w:tc>
        <w:tc>
          <w:tcPr>
            <w:tcW w:w="156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5,936</w:t>
            </w: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5,936</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4,767</w:t>
            </w: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Incurred related to:</w:t>
            </w:r>
          </w:p>
        </w:tc>
        <w:tc>
          <w:tcPr>
            <w:tcW w:w="15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Current year</w:t>
            </w:r>
          </w:p>
        </w:tc>
        <w:tc>
          <w:tcPr>
            <w:tcW w:w="1560" w:type="dxa"/>
            <w:vAlign w:val="bottom"/>
          </w:tcPr>
          <w:p>
            <w:pPr>
              <w:spacing w:after="0"/>
              <w:rPr>
                <w:sz w:val="12"/>
                <w:szCs w:val="12"/>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61,941</w:t>
            </w: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45,693</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54,193</w:t>
            </w:r>
          </w:p>
        </w:tc>
        <w:tc>
          <w:tcPr>
            <w:tcW w:w="0" w:type="dxa"/>
            <w:vAlign w:val="bottom"/>
          </w:tcPr>
          <w:p>
            <w:pPr>
              <w:spacing w:after="0"/>
              <w:rPr>
                <w:sz w:val="1"/>
                <w:szCs w:val="1"/>
                <w:color w:val="auto"/>
              </w:rPr>
            </w:pPr>
          </w:p>
        </w:tc>
      </w:tr>
      <w:tr>
        <w:trPr>
          <w:trHeight w:val="146"/>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Prior years (R)</w:t>
            </w:r>
          </w:p>
        </w:tc>
        <w:tc>
          <w:tcPr>
            <w:tcW w:w="15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(313)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(336)</w:t>
            </w:r>
          </w:p>
        </w:tc>
        <w:tc>
          <w:tcPr>
            <w:tcW w:w="0" w:type="dxa"/>
            <w:vAlign w:val="bottom"/>
          </w:tcPr>
          <w:p>
            <w:pPr>
              <w:spacing w:after="0"/>
              <w:rPr>
                <w:sz w:val="1"/>
                <w:szCs w:val="1"/>
                <w:color w:val="auto"/>
              </w:rPr>
            </w:pPr>
          </w:p>
        </w:tc>
      </w:tr>
      <w:tr>
        <w:trPr>
          <w:trHeight w:val="135"/>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Total incurred</w:t>
            </w:r>
          </w:p>
        </w:tc>
        <w:tc>
          <w:tcPr>
            <w:tcW w:w="15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61,628</w:t>
            </w:r>
          </w:p>
        </w:tc>
        <w:tc>
          <w:tcPr>
            <w:tcW w:w="18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45,415</w:t>
            </w:r>
          </w:p>
        </w:tc>
        <w:tc>
          <w:tcPr>
            <w:tcW w:w="17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53,857</w:t>
            </w:r>
          </w:p>
        </w:tc>
        <w:tc>
          <w:tcPr>
            <w:tcW w:w="0" w:type="dxa"/>
            <w:vAlign w:val="bottom"/>
          </w:tcPr>
          <w:p>
            <w:pPr>
              <w:spacing w:after="0"/>
              <w:rPr>
                <w:sz w:val="1"/>
                <w:szCs w:val="1"/>
                <w:color w:val="auto"/>
              </w:rPr>
            </w:pPr>
          </w:p>
        </w:tc>
      </w:tr>
      <w:tr>
        <w:trPr>
          <w:trHeight w:val="120"/>
        </w:trPr>
        <w:tc>
          <w:tcPr>
            <w:tcW w:w="4360" w:type="dxa"/>
            <w:vAlign w:val="bottom"/>
            <w:tcBorders>
              <w:right w:val="single" w:sz="8" w:color="auto"/>
            </w:tcBorders>
          </w:tcPr>
          <w:p>
            <w:pPr>
              <w:ind w:left="220"/>
              <w:spacing w:after="0" w:line="121" w:lineRule="exact"/>
              <w:rPr>
                <w:sz w:val="20"/>
                <w:szCs w:val="20"/>
                <w:color w:val="auto"/>
              </w:rPr>
            </w:pPr>
            <w:r>
              <w:rPr>
                <w:rFonts w:ascii="Arial" w:cs="Arial" w:eastAsia="Arial" w:hAnsi="Arial"/>
                <w:sz w:val="11"/>
                <w:szCs w:val="11"/>
                <w:color w:val="auto"/>
              </w:rPr>
              <w:t>Paid related to:</w:t>
            </w:r>
          </w:p>
        </w:tc>
        <w:tc>
          <w:tcPr>
            <w:tcW w:w="15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Current year</w:t>
            </w:r>
          </w:p>
        </w:tc>
        <w:tc>
          <w:tcPr>
            <w:tcW w:w="1560" w:type="dxa"/>
            <w:vAlign w:val="bottom"/>
          </w:tcPr>
          <w:p>
            <w:pPr>
              <w:spacing w:after="0"/>
              <w:rPr>
                <w:sz w:val="12"/>
                <w:szCs w:val="12"/>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(54,003)</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(37,810)</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(48,421)</w:t>
            </w:r>
          </w:p>
        </w:tc>
        <w:tc>
          <w:tcPr>
            <w:tcW w:w="0" w:type="dxa"/>
            <w:vAlign w:val="bottom"/>
          </w:tcPr>
          <w:p>
            <w:pPr>
              <w:spacing w:after="0"/>
              <w:rPr>
                <w:sz w:val="1"/>
                <w:szCs w:val="1"/>
                <w:color w:val="auto"/>
              </w:rPr>
            </w:pPr>
          </w:p>
        </w:tc>
      </w:tr>
      <w:tr>
        <w:trPr>
          <w:trHeight w:val="146"/>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Prior years</w:t>
            </w:r>
          </w:p>
        </w:tc>
        <w:tc>
          <w:tcPr>
            <w:tcW w:w="156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(5,418)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(5,334)</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(4,267)</w:t>
            </w:r>
          </w:p>
        </w:tc>
        <w:tc>
          <w:tcPr>
            <w:tcW w:w="0" w:type="dxa"/>
            <w:vAlign w:val="bottom"/>
          </w:tcPr>
          <w:p>
            <w:pPr>
              <w:spacing w:after="0"/>
              <w:rPr>
                <w:sz w:val="1"/>
                <w:szCs w:val="1"/>
                <w:color w:val="auto"/>
              </w:rPr>
            </w:pPr>
          </w:p>
        </w:tc>
      </w:tr>
      <w:tr>
        <w:trPr>
          <w:trHeight w:val="135"/>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Total paid</w:t>
            </w:r>
          </w:p>
        </w:tc>
        <w:tc>
          <w:tcPr>
            <w:tcW w:w="15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(59,421)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(43,144)</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(52,688)</w:t>
            </w:r>
          </w:p>
        </w:tc>
        <w:tc>
          <w:tcPr>
            <w:tcW w:w="0" w:type="dxa"/>
            <w:vAlign w:val="bottom"/>
          </w:tcPr>
          <w:p>
            <w:pPr>
              <w:spacing w:after="0"/>
              <w:rPr>
                <w:sz w:val="1"/>
                <w:szCs w:val="1"/>
                <w:color w:val="auto"/>
              </w:rPr>
            </w:pPr>
          </w:p>
        </w:tc>
      </w:tr>
      <w:tr>
        <w:trPr>
          <w:trHeight w:val="133"/>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Reinsurance recoverables (Q)</w:t>
            </w:r>
          </w:p>
        </w:tc>
        <w:tc>
          <w:tcPr>
            <w:tcW w:w="15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7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33"/>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Ending balance</w:t>
            </w:r>
          </w:p>
        </w:tc>
        <w:tc>
          <w:tcPr>
            <w:tcW w:w="15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$8,143</w:t>
            </w:r>
          </w:p>
        </w:tc>
        <w:tc>
          <w:tcPr>
            <w:tcW w:w="18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$8,208</w:t>
            </w:r>
          </w:p>
        </w:tc>
        <w:tc>
          <w:tcPr>
            <w:tcW w:w="17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$6,004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S-18</w:t>
      </w:r>
    </w:p>
    <w:p>
      <w:pPr>
        <w:sectPr>
          <w:pgSz w:w="11900" w:h="16838" w:orient="portrait"/>
          <w:cols w:equalWidth="0" w:num="1">
            <w:col w:w="10159"/>
          </w:cols>
          <w:pgMar w:left="300" w:top="632" w:right="1440"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Humana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Benefits Payable Statistics (Continued) (S)</w:t>
      </w:r>
    </w:p>
    <w:p>
      <w:pPr>
        <w:sectPr>
          <w:pgSz w:w="11900" w:h="16838" w:orient="portrait"/>
          <w:cols w:equalWidth="0" w:num="1">
            <w:col w:w="10500"/>
          </w:cols>
          <w:pgMar w:left="300" w:top="632" w:right="109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Days in Claims Payable</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0" w:type="dxa"/>
            <w:vAlign w:val="bottom"/>
          </w:tcPr>
          <w:p>
            <w:pPr>
              <w:jc w:val="center"/>
              <w:ind w:right="164"/>
              <w:spacing w:after="0"/>
              <w:rPr>
                <w:sz w:val="20"/>
                <w:szCs w:val="20"/>
                <w:color w:val="auto"/>
              </w:rPr>
            </w:pPr>
            <w:r>
              <w:rPr>
                <w:rFonts w:ascii="Arial" w:cs="Arial" w:eastAsia="Arial" w:hAnsi="Arial"/>
                <w:sz w:val="12"/>
                <w:szCs w:val="12"/>
                <w:b w:val="1"/>
                <w:bCs w:val="1"/>
                <w:color w:val="auto"/>
                <w:w w:val="98"/>
              </w:rPr>
              <w:t>Days in</w:t>
            </w:r>
          </w:p>
        </w:tc>
        <w:tc>
          <w:tcPr>
            <w:tcW w:w="72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9"/>
              </w:rPr>
              <w:t>Change</w:t>
            </w:r>
          </w:p>
        </w:tc>
        <w:tc>
          <w:tcPr>
            <w:tcW w:w="1540" w:type="dxa"/>
            <w:vAlign w:val="bottom"/>
            <w:gridSpan w:val="2"/>
            <w:vMerge w:val="restart"/>
          </w:tcPr>
          <w:p>
            <w:pPr>
              <w:jc w:val="right"/>
              <w:ind w:right="266"/>
              <w:spacing w:after="0"/>
              <w:rPr>
                <w:sz w:val="20"/>
                <w:szCs w:val="20"/>
                <w:color w:val="auto"/>
              </w:rPr>
            </w:pPr>
            <w:r>
              <w:rPr>
                <w:rFonts w:ascii="Arial" w:cs="Arial" w:eastAsia="Arial" w:hAnsi="Arial"/>
                <w:sz w:val="12"/>
                <w:szCs w:val="12"/>
                <w:b w:val="1"/>
                <w:bCs w:val="1"/>
                <w:color w:val="auto"/>
              </w:rPr>
              <w:t>Percentage</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20" w:type="dxa"/>
            <w:vAlign w:val="bottom"/>
            <w:vMerge w:val="restart"/>
          </w:tcPr>
          <w:p>
            <w:pPr>
              <w:ind w:left="1060"/>
              <w:spacing w:after="0"/>
              <w:rPr>
                <w:sz w:val="20"/>
                <w:szCs w:val="20"/>
                <w:color w:val="auto"/>
              </w:rPr>
            </w:pPr>
            <w:r>
              <w:rPr>
                <w:rFonts w:ascii="Arial" w:cs="Arial" w:eastAsia="Arial" w:hAnsi="Arial"/>
                <w:sz w:val="12"/>
                <w:szCs w:val="12"/>
                <w:b w:val="1"/>
                <w:bCs w:val="1"/>
                <w:color w:val="auto"/>
              </w:rPr>
              <w:t>Quarter Ended</w:t>
            </w:r>
          </w:p>
        </w:tc>
        <w:tc>
          <w:tcPr>
            <w:tcW w:w="1200" w:type="dxa"/>
            <w:vAlign w:val="bottom"/>
          </w:tcPr>
          <w:p>
            <w:pPr>
              <w:jc w:val="center"/>
              <w:ind w:right="144"/>
              <w:spacing w:after="0" w:line="117" w:lineRule="exact"/>
              <w:rPr>
                <w:sz w:val="20"/>
                <w:szCs w:val="20"/>
                <w:color w:val="auto"/>
              </w:rPr>
            </w:pPr>
            <w:r>
              <w:rPr>
                <w:rFonts w:ascii="Arial" w:cs="Arial" w:eastAsia="Arial" w:hAnsi="Arial"/>
                <w:sz w:val="12"/>
                <w:szCs w:val="12"/>
                <w:b w:val="1"/>
                <w:bCs w:val="1"/>
                <w:color w:val="auto"/>
              </w:rPr>
              <w:t>Claims</w:t>
            </w:r>
          </w:p>
        </w:tc>
        <w:tc>
          <w:tcPr>
            <w:tcW w:w="720" w:type="dxa"/>
            <w:vAlign w:val="bottom"/>
            <w:gridSpan w:val="2"/>
          </w:tcPr>
          <w:p>
            <w:pPr>
              <w:jc w:val="center"/>
              <w:ind w:left="100"/>
              <w:spacing w:after="0" w:line="117" w:lineRule="exact"/>
              <w:rPr>
                <w:sz w:val="20"/>
                <w:szCs w:val="20"/>
                <w:color w:val="auto"/>
              </w:rPr>
            </w:pPr>
            <w:r>
              <w:rPr>
                <w:rFonts w:ascii="Arial" w:cs="Arial" w:eastAsia="Arial" w:hAnsi="Arial"/>
                <w:sz w:val="12"/>
                <w:szCs w:val="12"/>
                <w:b w:val="1"/>
                <w:bCs w:val="1"/>
                <w:color w:val="auto"/>
              </w:rPr>
              <w:t>Last 4</w:t>
            </w:r>
          </w:p>
        </w:tc>
        <w:tc>
          <w:tcPr>
            <w:tcW w:w="15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1200" w:type="dxa"/>
            <w:vAlign w:val="bottom"/>
          </w:tcPr>
          <w:p>
            <w:pPr>
              <w:jc w:val="center"/>
              <w:ind w:right="164"/>
              <w:spacing w:after="0"/>
              <w:rPr>
                <w:sz w:val="20"/>
                <w:szCs w:val="20"/>
                <w:color w:val="auto"/>
              </w:rPr>
            </w:pPr>
            <w:r>
              <w:rPr>
                <w:rFonts w:ascii="Arial" w:cs="Arial" w:eastAsia="Arial" w:hAnsi="Arial"/>
                <w:sz w:val="12"/>
                <w:szCs w:val="12"/>
                <w:b w:val="1"/>
                <w:bCs w:val="1"/>
                <w:color w:val="auto"/>
                <w:w w:val="99"/>
              </w:rPr>
              <w:t>Payable (DCP)</w:t>
            </w:r>
          </w:p>
        </w:tc>
        <w:tc>
          <w:tcPr>
            <w:tcW w:w="7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Quarters</w:t>
            </w:r>
          </w:p>
        </w:tc>
        <w:tc>
          <w:tcPr>
            <w:tcW w:w="1540" w:type="dxa"/>
            <w:vAlign w:val="bottom"/>
            <w:gridSpan w:val="2"/>
          </w:tcPr>
          <w:p>
            <w:pPr>
              <w:jc w:val="right"/>
              <w:ind w:right="366"/>
              <w:spacing w:after="0"/>
              <w:rPr>
                <w:sz w:val="20"/>
                <w:szCs w:val="20"/>
                <w:color w:val="auto"/>
              </w:rPr>
            </w:pPr>
            <w:r>
              <w:rPr>
                <w:rFonts w:ascii="Arial" w:cs="Arial" w:eastAsia="Arial" w:hAnsi="Arial"/>
                <w:sz w:val="12"/>
                <w:szCs w:val="12"/>
                <w:b w:val="1"/>
                <w:bCs w:val="1"/>
                <w:color w:val="auto"/>
              </w:rPr>
              <w:t>Change</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jc w:val="right"/>
              <w:ind w:right="24"/>
              <w:spacing w:after="0"/>
              <w:rPr>
                <w:sz w:val="20"/>
                <w:szCs w:val="20"/>
                <w:color w:val="auto"/>
              </w:rPr>
            </w:pPr>
            <w:r>
              <w:rPr>
                <w:rFonts w:ascii="Arial" w:cs="Arial" w:eastAsia="Arial" w:hAnsi="Arial"/>
                <w:sz w:val="11"/>
                <w:szCs w:val="11"/>
                <w:color w:val="auto"/>
              </w:rPr>
              <w:t>12/31/2019</w:t>
            </w:r>
          </w:p>
        </w:tc>
        <w:tc>
          <w:tcPr>
            <w:tcW w:w="1200" w:type="dxa"/>
            <w:vAlign w:val="bottom"/>
          </w:tcPr>
          <w:p>
            <w:pPr>
              <w:jc w:val="right"/>
              <w:ind w:right="124"/>
              <w:spacing w:after="0"/>
              <w:rPr>
                <w:sz w:val="20"/>
                <w:szCs w:val="20"/>
                <w:color w:val="auto"/>
              </w:rPr>
            </w:pPr>
            <w:r>
              <w:rPr>
                <w:rFonts w:ascii="Arial" w:cs="Arial" w:eastAsia="Arial" w:hAnsi="Arial"/>
                <w:sz w:val="11"/>
                <w:szCs w:val="11"/>
                <w:color w:val="auto"/>
              </w:rPr>
              <w:t>40.4</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545"/>
              <w:spacing w:after="0"/>
              <w:rPr>
                <w:sz w:val="20"/>
                <w:szCs w:val="20"/>
                <w:color w:val="auto"/>
              </w:rPr>
            </w:pPr>
            <w:r>
              <w:rPr>
                <w:rFonts w:ascii="Arial" w:cs="Arial" w:eastAsia="Arial" w:hAnsi="Arial"/>
                <w:sz w:val="11"/>
                <w:szCs w:val="11"/>
                <w:color w:val="auto"/>
              </w:rPr>
              <w:t>1.3</w:t>
            </w:r>
          </w:p>
        </w:tc>
        <w:tc>
          <w:tcPr>
            <w:tcW w:w="700" w:type="dxa"/>
            <w:vAlign w:val="bottom"/>
          </w:tcPr>
          <w:p>
            <w:pPr>
              <w:jc w:val="right"/>
              <w:spacing w:after="0"/>
              <w:rPr>
                <w:sz w:val="20"/>
                <w:szCs w:val="20"/>
                <w:color w:val="auto"/>
              </w:rPr>
            </w:pPr>
            <w:r>
              <w:rPr>
                <w:rFonts w:ascii="Arial" w:cs="Arial" w:eastAsia="Arial" w:hAnsi="Arial"/>
                <w:sz w:val="11"/>
                <w:szCs w:val="11"/>
                <w:color w:val="auto"/>
              </w:rPr>
              <w:t>3.3 %</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jc w:val="right"/>
              <w:ind w:right="24"/>
              <w:spacing w:after="0"/>
              <w:rPr>
                <w:sz w:val="20"/>
                <w:szCs w:val="20"/>
                <w:color w:val="auto"/>
              </w:rPr>
            </w:pPr>
            <w:r>
              <w:rPr>
                <w:rFonts w:ascii="Arial" w:cs="Arial" w:eastAsia="Arial" w:hAnsi="Arial"/>
                <w:sz w:val="11"/>
                <w:szCs w:val="11"/>
                <w:color w:val="auto"/>
              </w:rPr>
              <w:t>3/31/2020</w:t>
            </w:r>
          </w:p>
        </w:tc>
        <w:tc>
          <w:tcPr>
            <w:tcW w:w="1200" w:type="dxa"/>
            <w:vAlign w:val="bottom"/>
          </w:tcPr>
          <w:p>
            <w:pPr>
              <w:jc w:val="right"/>
              <w:ind w:right="124"/>
              <w:spacing w:after="0"/>
              <w:rPr>
                <w:sz w:val="20"/>
                <w:szCs w:val="20"/>
                <w:color w:val="auto"/>
              </w:rPr>
            </w:pPr>
            <w:r>
              <w:rPr>
                <w:rFonts w:ascii="Arial" w:cs="Arial" w:eastAsia="Arial" w:hAnsi="Arial"/>
                <w:sz w:val="11"/>
                <w:szCs w:val="11"/>
                <w:color w:val="auto"/>
              </w:rPr>
              <w:t>41.3</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545"/>
              <w:spacing w:after="0"/>
              <w:rPr>
                <w:sz w:val="20"/>
                <w:szCs w:val="20"/>
                <w:color w:val="auto"/>
              </w:rPr>
            </w:pPr>
            <w:r>
              <w:rPr>
                <w:rFonts w:ascii="Arial" w:cs="Arial" w:eastAsia="Arial" w:hAnsi="Arial"/>
                <w:sz w:val="11"/>
                <w:szCs w:val="11"/>
                <w:color w:val="auto"/>
              </w:rPr>
              <w:t>1.1</w:t>
            </w:r>
          </w:p>
        </w:tc>
        <w:tc>
          <w:tcPr>
            <w:tcW w:w="700" w:type="dxa"/>
            <w:vAlign w:val="bottom"/>
          </w:tcPr>
          <w:p>
            <w:pPr>
              <w:jc w:val="right"/>
              <w:spacing w:after="0"/>
              <w:rPr>
                <w:sz w:val="20"/>
                <w:szCs w:val="20"/>
                <w:color w:val="auto"/>
              </w:rPr>
            </w:pPr>
            <w:r>
              <w:rPr>
                <w:rFonts w:ascii="Arial" w:cs="Arial" w:eastAsia="Arial" w:hAnsi="Arial"/>
                <w:sz w:val="11"/>
                <w:szCs w:val="11"/>
                <w:color w:val="auto"/>
              </w:rPr>
              <w:t>2.7 %</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jc w:val="right"/>
              <w:ind w:right="24"/>
              <w:spacing w:after="0"/>
              <w:rPr>
                <w:sz w:val="20"/>
                <w:szCs w:val="20"/>
                <w:color w:val="auto"/>
              </w:rPr>
            </w:pPr>
            <w:r>
              <w:rPr>
                <w:rFonts w:ascii="Arial" w:cs="Arial" w:eastAsia="Arial" w:hAnsi="Arial"/>
                <w:sz w:val="11"/>
                <w:szCs w:val="11"/>
                <w:color w:val="auto"/>
              </w:rPr>
              <w:t>6/30/2020</w:t>
            </w:r>
          </w:p>
        </w:tc>
        <w:tc>
          <w:tcPr>
            <w:tcW w:w="1200" w:type="dxa"/>
            <w:vAlign w:val="bottom"/>
          </w:tcPr>
          <w:p>
            <w:pPr>
              <w:jc w:val="right"/>
              <w:ind w:right="124"/>
              <w:spacing w:after="0"/>
              <w:rPr>
                <w:sz w:val="20"/>
                <w:szCs w:val="20"/>
                <w:color w:val="auto"/>
              </w:rPr>
            </w:pPr>
            <w:r>
              <w:rPr>
                <w:rFonts w:ascii="Arial" w:cs="Arial" w:eastAsia="Arial" w:hAnsi="Arial"/>
                <w:sz w:val="11"/>
                <w:szCs w:val="11"/>
                <w:color w:val="auto"/>
              </w:rPr>
              <w:t>51.2</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545"/>
              <w:spacing w:after="0"/>
              <w:rPr>
                <w:sz w:val="20"/>
                <w:szCs w:val="20"/>
                <w:color w:val="auto"/>
              </w:rPr>
            </w:pPr>
            <w:r>
              <w:rPr>
                <w:rFonts w:ascii="Arial" w:cs="Arial" w:eastAsia="Arial" w:hAnsi="Arial"/>
                <w:sz w:val="11"/>
                <w:szCs w:val="11"/>
                <w:color w:val="auto"/>
              </w:rPr>
              <w:t>11.3</w:t>
            </w:r>
          </w:p>
        </w:tc>
        <w:tc>
          <w:tcPr>
            <w:tcW w:w="700" w:type="dxa"/>
            <w:vAlign w:val="bottom"/>
          </w:tcPr>
          <w:p>
            <w:pPr>
              <w:jc w:val="right"/>
              <w:spacing w:after="0"/>
              <w:rPr>
                <w:sz w:val="20"/>
                <w:szCs w:val="20"/>
                <w:color w:val="auto"/>
              </w:rPr>
            </w:pPr>
            <w:r>
              <w:rPr>
                <w:rFonts w:ascii="Arial" w:cs="Arial" w:eastAsia="Arial" w:hAnsi="Arial"/>
                <w:sz w:val="11"/>
                <w:szCs w:val="11"/>
                <w:color w:val="auto"/>
              </w:rPr>
              <w:t>28.3 %</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9/30/2020</w:t>
            </w:r>
          </w:p>
        </w:tc>
        <w:tc>
          <w:tcPr>
            <w:tcW w:w="12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48.4</w:t>
            </w: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45"/>
              <w:spacing w:after="0"/>
              <w:rPr>
                <w:sz w:val="20"/>
                <w:szCs w:val="20"/>
                <w:color w:val="auto"/>
              </w:rPr>
            </w:pPr>
            <w:r>
              <w:rPr>
                <w:rFonts w:ascii="Arial" w:cs="Arial" w:eastAsia="Arial" w:hAnsi="Arial"/>
                <w:sz w:val="11"/>
                <w:szCs w:val="11"/>
                <w:color w:val="auto"/>
              </w:rPr>
              <w:t>5.6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13.1 %</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2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00497F"/>
              </w:rPr>
              <w:t>12/31/2020</w:t>
            </w:r>
          </w:p>
        </w:tc>
        <w:tc>
          <w:tcPr>
            <w:tcW w:w="12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00497F"/>
              </w:rPr>
              <w:t>46.2</w:t>
            </w: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5"/>
              <w:spacing w:after="0"/>
              <w:rPr>
                <w:sz w:val="20"/>
                <w:szCs w:val="20"/>
                <w:color w:val="auto"/>
              </w:rPr>
            </w:pPr>
            <w:r>
              <w:rPr>
                <w:rFonts w:ascii="Arial" w:cs="Arial" w:eastAsia="Arial" w:hAnsi="Arial"/>
                <w:sz w:val="11"/>
                <w:szCs w:val="11"/>
                <w:b w:val="1"/>
                <w:bCs w:val="1"/>
                <w:color w:val="00497F"/>
              </w:rPr>
              <w:t>5.8</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14.4 %</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Change in Days in Claims Payable (T)</w:t>
            </w:r>
          </w:p>
        </w:tc>
        <w:tc>
          <w:tcPr>
            <w:tcW w:w="1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jc w:val="center"/>
              <w:ind w:right="125"/>
              <w:spacing w:after="0"/>
              <w:rPr>
                <w:sz w:val="20"/>
                <w:szCs w:val="20"/>
                <w:color w:val="auto"/>
              </w:rPr>
            </w:pPr>
            <w:r>
              <w:rPr>
                <w:rFonts w:ascii="Arial" w:cs="Arial" w:eastAsia="Arial" w:hAnsi="Arial"/>
                <w:sz w:val="11"/>
                <w:szCs w:val="11"/>
                <w:color w:val="auto"/>
                <w:w w:val="95"/>
              </w:rPr>
              <w:t>1Q</w:t>
            </w:r>
          </w:p>
        </w:tc>
        <w:tc>
          <w:tcPr>
            <w:tcW w:w="700" w:type="dxa"/>
            <w:vAlign w:val="bottom"/>
            <w:vMerge w:val="restart"/>
          </w:tcPr>
          <w:p>
            <w:pPr>
              <w:jc w:val="center"/>
              <w:ind w:right="106"/>
              <w:spacing w:after="0"/>
              <w:rPr>
                <w:sz w:val="20"/>
                <w:szCs w:val="20"/>
                <w:color w:val="auto"/>
              </w:rPr>
            </w:pPr>
            <w:r>
              <w:rPr>
                <w:rFonts w:ascii="Arial" w:cs="Arial" w:eastAsia="Arial" w:hAnsi="Arial"/>
                <w:sz w:val="11"/>
                <w:szCs w:val="11"/>
                <w:color w:val="auto"/>
                <w:w w:val="95"/>
              </w:rPr>
              <w:t>2Q</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3Q</w:t>
            </w: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30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tcBorders>
              <w:left w:val="single" w:sz="8" w:color="auto"/>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00497F"/>
                <w:w w:val="95"/>
              </w:rPr>
              <w:t>4Q</w:t>
            </w:r>
          </w:p>
        </w:tc>
        <w:tc>
          <w:tcPr>
            <w:tcW w:w="0" w:type="dxa"/>
            <w:vAlign w:val="bottom"/>
          </w:tcPr>
          <w:p>
            <w:pPr>
              <w:spacing w:after="0"/>
              <w:rPr>
                <w:sz w:val="1"/>
                <w:szCs w:val="1"/>
                <w:color w:val="auto"/>
              </w:rPr>
            </w:pPr>
          </w:p>
        </w:tc>
      </w:tr>
      <w:tr>
        <w:trPr>
          <w:trHeight w:val="144"/>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DCP—beginning of period</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5"/>
              <w:spacing w:after="0"/>
              <w:rPr>
                <w:sz w:val="20"/>
                <w:szCs w:val="20"/>
                <w:color w:val="auto"/>
              </w:rPr>
            </w:pPr>
            <w:r>
              <w:rPr>
                <w:rFonts w:ascii="Arial" w:cs="Arial" w:eastAsia="Arial" w:hAnsi="Arial"/>
                <w:sz w:val="11"/>
                <w:szCs w:val="11"/>
                <w:color w:val="auto"/>
              </w:rPr>
              <w:t>2020</w:t>
            </w: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rPr>
              <w:t>2020</w:t>
            </w:r>
          </w:p>
        </w:tc>
        <w:tc>
          <w:tcPr>
            <w:tcW w:w="7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2020</w:t>
            </w:r>
          </w:p>
        </w:tc>
        <w:tc>
          <w:tcPr>
            <w:tcW w:w="820" w:type="dxa"/>
            <w:vAlign w:val="bottom"/>
            <w:tcBorders>
              <w:left w:val="single" w:sz="8" w:color="auto"/>
              <w:bottom w:val="single" w:sz="8" w:color="auto"/>
              <w:right w:val="single" w:sz="8" w:color="auto"/>
            </w:tcBorders>
          </w:tcPr>
          <w:p>
            <w:pPr>
              <w:jc w:val="right"/>
              <w:ind w:right="226"/>
              <w:spacing w:after="0"/>
              <w:rPr>
                <w:sz w:val="20"/>
                <w:szCs w:val="20"/>
                <w:color w:val="auto"/>
              </w:rPr>
            </w:pPr>
            <w:r>
              <w:rPr>
                <w:rFonts w:ascii="Arial" w:cs="Arial" w:eastAsia="Arial" w:hAnsi="Arial"/>
                <w:sz w:val="11"/>
                <w:szCs w:val="11"/>
                <w:b w:val="1"/>
                <w:bCs w:val="1"/>
                <w:color w:val="00497F"/>
              </w:rPr>
              <w:t>2020</w:t>
            </w:r>
          </w:p>
        </w:tc>
        <w:tc>
          <w:tcPr>
            <w:tcW w:w="0" w:type="dxa"/>
            <w:vAlign w:val="bottom"/>
          </w:tcPr>
          <w:p>
            <w:pPr>
              <w:spacing w:after="0"/>
              <w:rPr>
                <w:sz w:val="1"/>
                <w:szCs w:val="1"/>
                <w:color w:val="auto"/>
              </w:rPr>
            </w:pPr>
          </w:p>
        </w:tc>
      </w:tr>
      <w:tr>
        <w:trPr>
          <w:trHeight w:val="129"/>
        </w:trPr>
        <w:tc>
          <w:tcPr>
            <w:tcW w:w="3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40.4</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41.3</w:t>
            </w:r>
          </w:p>
        </w:tc>
        <w:tc>
          <w:tcPr>
            <w:tcW w:w="740" w:type="dxa"/>
            <w:vAlign w:val="bottom"/>
          </w:tcPr>
          <w:p>
            <w:pPr>
              <w:jc w:val="right"/>
              <w:spacing w:after="0"/>
              <w:rPr>
                <w:sz w:val="20"/>
                <w:szCs w:val="20"/>
                <w:color w:val="auto"/>
              </w:rPr>
            </w:pPr>
            <w:r>
              <w:rPr>
                <w:rFonts w:ascii="Arial" w:cs="Arial" w:eastAsia="Arial" w:hAnsi="Arial"/>
                <w:sz w:val="11"/>
                <w:szCs w:val="11"/>
                <w:color w:val="auto"/>
              </w:rPr>
              <w:t>51.2</w:t>
            </w:r>
          </w:p>
        </w:tc>
        <w:tc>
          <w:tcPr>
            <w:tcW w:w="820" w:type="dxa"/>
            <w:vAlign w:val="bottom"/>
            <w:tcBorders>
              <w:left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48.4</w:t>
            </w:r>
          </w:p>
        </w:tc>
        <w:tc>
          <w:tcPr>
            <w:tcW w:w="0" w:type="dxa"/>
            <w:vAlign w:val="bottom"/>
          </w:tcPr>
          <w:p>
            <w:pPr>
              <w:spacing w:after="0"/>
              <w:rPr>
                <w:sz w:val="1"/>
                <w:szCs w:val="1"/>
                <w:color w:val="auto"/>
              </w:rPr>
            </w:pPr>
          </w:p>
        </w:tc>
      </w:tr>
      <w:tr>
        <w:trPr>
          <w:trHeight w:val="144"/>
        </w:trPr>
        <w:tc>
          <w:tcPr>
            <w:tcW w:w="3020" w:type="dxa"/>
            <w:vAlign w:val="bottom"/>
          </w:tcPr>
          <w:p>
            <w:pPr>
              <w:ind w:left="220"/>
              <w:spacing w:after="0"/>
              <w:rPr>
                <w:sz w:val="20"/>
                <w:szCs w:val="20"/>
                <w:color w:val="auto"/>
              </w:rPr>
            </w:pPr>
            <w:r>
              <w:rPr>
                <w:rFonts w:ascii="Arial" w:cs="Arial" w:eastAsia="Arial" w:hAnsi="Arial"/>
                <w:sz w:val="11"/>
                <w:szCs w:val="11"/>
                <w:color w:val="auto"/>
              </w:rPr>
              <w:t>Components of change in DCP:</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Borders>
              <w:left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Provider accruals (U)</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0.2</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7.0</w:t>
            </w:r>
          </w:p>
        </w:tc>
        <w:tc>
          <w:tcPr>
            <w:tcW w:w="740" w:type="dxa"/>
            <w:vAlign w:val="bottom"/>
          </w:tcPr>
          <w:p>
            <w:pPr>
              <w:jc w:val="right"/>
              <w:spacing w:after="0"/>
              <w:rPr>
                <w:sz w:val="20"/>
                <w:szCs w:val="20"/>
                <w:color w:val="auto"/>
              </w:rPr>
            </w:pPr>
            <w:r>
              <w:rPr>
                <w:rFonts w:ascii="Arial" w:cs="Arial" w:eastAsia="Arial" w:hAnsi="Arial"/>
                <w:sz w:val="11"/>
                <w:szCs w:val="11"/>
                <w:color w:val="auto"/>
              </w:rPr>
              <w:t>(2.8)</w:t>
            </w:r>
          </w:p>
        </w:tc>
        <w:tc>
          <w:tcPr>
            <w:tcW w:w="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(1.0)</w:t>
            </w:r>
          </w:p>
        </w:tc>
        <w:tc>
          <w:tcPr>
            <w:tcW w:w="0" w:type="dxa"/>
            <w:vAlign w:val="bottom"/>
          </w:tcPr>
          <w:p>
            <w:pPr>
              <w:spacing w:after="0"/>
              <w:rPr>
                <w:sz w:val="1"/>
                <w:szCs w:val="1"/>
                <w:color w:val="auto"/>
              </w:rPr>
            </w:pPr>
          </w:p>
        </w:tc>
      </w:tr>
      <w:tr>
        <w:trPr>
          <w:trHeight w:val="144"/>
        </w:trPr>
        <w:tc>
          <w:tcPr>
            <w:tcW w:w="3020" w:type="dxa"/>
            <w:vAlign w:val="bottom"/>
          </w:tcPr>
          <w:p>
            <w:pPr>
              <w:ind w:left="540"/>
              <w:spacing w:after="0"/>
              <w:rPr>
                <w:sz w:val="20"/>
                <w:szCs w:val="20"/>
                <w:color w:val="auto"/>
              </w:rPr>
            </w:pPr>
            <w:r>
              <w:rPr>
                <w:rFonts w:ascii="Arial" w:cs="Arial" w:eastAsia="Arial" w:hAnsi="Arial"/>
                <w:sz w:val="11"/>
                <w:szCs w:val="11"/>
                <w:color w:val="auto"/>
              </w:rPr>
              <w:t>Medical fee-for-service (V)</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0.6</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740" w:type="dxa"/>
            <w:vAlign w:val="bottom"/>
          </w:tcPr>
          <w:p>
            <w:pPr>
              <w:jc w:val="right"/>
              <w:spacing w:after="0"/>
              <w:rPr>
                <w:sz w:val="20"/>
                <w:szCs w:val="20"/>
                <w:color w:val="auto"/>
              </w:rPr>
            </w:pPr>
            <w:r>
              <w:rPr>
                <w:rFonts w:ascii="Arial" w:cs="Arial" w:eastAsia="Arial" w:hAnsi="Arial"/>
                <w:sz w:val="11"/>
                <w:szCs w:val="11"/>
                <w:color w:val="auto"/>
              </w:rPr>
              <w:t>(0.6)</w:t>
            </w:r>
          </w:p>
        </w:tc>
        <w:tc>
          <w:tcPr>
            <w:tcW w:w="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(0.4)</w:t>
            </w: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Pharmacy (W)</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125"/>
              <w:spacing w:after="0"/>
              <w:rPr>
                <w:sz w:val="20"/>
                <w:szCs w:val="20"/>
                <w:color w:val="auto"/>
              </w:rPr>
            </w:pPr>
            <w:r>
              <w:rPr>
                <w:rFonts w:ascii="Arial" w:cs="Arial" w:eastAsia="Arial" w:hAnsi="Arial"/>
                <w:sz w:val="11"/>
                <w:szCs w:val="11"/>
                <w:color w:val="auto"/>
              </w:rPr>
              <w:t>0.3</w:t>
            </w:r>
          </w:p>
        </w:tc>
        <w:tc>
          <w:tcPr>
            <w:tcW w:w="700" w:type="dxa"/>
            <w:vAlign w:val="bottom"/>
          </w:tcPr>
          <w:p>
            <w:pPr>
              <w:jc w:val="right"/>
              <w:spacing w:after="0"/>
              <w:rPr>
                <w:sz w:val="20"/>
                <w:szCs w:val="20"/>
                <w:color w:val="auto"/>
              </w:rPr>
            </w:pPr>
            <w:r>
              <w:rPr>
                <w:rFonts w:ascii="Arial" w:cs="Arial" w:eastAsia="Arial" w:hAnsi="Arial"/>
                <w:sz w:val="11"/>
                <w:szCs w:val="11"/>
                <w:color w:val="auto"/>
              </w:rPr>
              <w:t>(0.2)</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(0.4)</w:t>
            </w: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Processed claims inventory (X)</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(0.1)</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0.6</w:t>
            </w:r>
          </w:p>
        </w:tc>
        <w:tc>
          <w:tcPr>
            <w:tcW w:w="740" w:type="dxa"/>
            <w:vAlign w:val="bottom"/>
          </w:tcPr>
          <w:p>
            <w:pPr>
              <w:jc w:val="right"/>
              <w:spacing w:after="0"/>
              <w:rPr>
                <w:sz w:val="20"/>
                <w:szCs w:val="20"/>
                <w:color w:val="auto"/>
              </w:rPr>
            </w:pPr>
            <w:r>
              <w:rPr>
                <w:rFonts w:ascii="Arial" w:cs="Arial" w:eastAsia="Arial" w:hAnsi="Arial"/>
                <w:sz w:val="11"/>
                <w:szCs w:val="11"/>
                <w:color w:val="auto"/>
              </w:rPr>
              <w:t>0.7</w:t>
            </w:r>
          </w:p>
        </w:tc>
        <w:tc>
          <w:tcPr>
            <w:tcW w:w="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(0.4)</w:t>
            </w:r>
          </w:p>
        </w:tc>
        <w:tc>
          <w:tcPr>
            <w:tcW w:w="0" w:type="dxa"/>
            <w:vAlign w:val="bottom"/>
          </w:tcPr>
          <w:p>
            <w:pPr>
              <w:spacing w:after="0"/>
              <w:rPr>
                <w:sz w:val="1"/>
                <w:szCs w:val="1"/>
                <w:color w:val="auto"/>
              </w:rPr>
            </w:pPr>
          </w:p>
        </w:tc>
      </w:tr>
      <w:tr>
        <w:trPr>
          <w:trHeight w:val="148"/>
        </w:trPr>
        <w:tc>
          <w:tcPr>
            <w:tcW w:w="3020" w:type="dxa"/>
            <w:vAlign w:val="bottom"/>
          </w:tcPr>
          <w:p>
            <w:pPr>
              <w:ind w:left="440"/>
              <w:spacing w:after="0"/>
              <w:rPr>
                <w:sz w:val="20"/>
                <w:szCs w:val="20"/>
                <w:color w:val="auto"/>
              </w:rPr>
            </w:pPr>
            <w:r>
              <w:rPr>
                <w:rFonts w:ascii="Arial" w:cs="Arial" w:eastAsia="Arial" w:hAnsi="Arial"/>
                <w:sz w:val="11"/>
                <w:szCs w:val="11"/>
                <w:color w:val="auto"/>
              </w:rPr>
              <w:t>Other (Y)</w:t>
            </w: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(0.1)</w:t>
            </w: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820" w:type="dxa"/>
            <w:vAlign w:val="bottom"/>
            <w:tcBorders>
              <w:left w:val="single" w:sz="8" w:color="auto"/>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w:t>
            </w:r>
          </w:p>
        </w:tc>
        <w:tc>
          <w:tcPr>
            <w:tcW w:w="0" w:type="dxa"/>
            <w:vAlign w:val="bottom"/>
          </w:tcPr>
          <w:p>
            <w:pPr>
              <w:spacing w:after="0"/>
              <w:rPr>
                <w:sz w:val="1"/>
                <w:szCs w:val="1"/>
                <w:color w:val="auto"/>
              </w:rPr>
            </w:pPr>
          </w:p>
        </w:tc>
      </w:tr>
      <w:tr>
        <w:trPr>
          <w:trHeight w:val="133"/>
        </w:trPr>
        <w:tc>
          <w:tcPr>
            <w:tcW w:w="3020" w:type="dxa"/>
            <w:vAlign w:val="bottom"/>
          </w:tcPr>
          <w:p>
            <w:pPr>
              <w:spacing w:after="0" w:line="133" w:lineRule="exact"/>
              <w:rPr>
                <w:sz w:val="20"/>
                <w:szCs w:val="20"/>
                <w:color w:val="auto"/>
              </w:rPr>
            </w:pPr>
            <w:r>
              <w:rPr>
                <w:rFonts w:ascii="Arial" w:cs="Arial" w:eastAsia="Arial" w:hAnsi="Arial"/>
                <w:sz w:val="12"/>
                <w:szCs w:val="12"/>
                <w:b w:val="1"/>
                <w:bCs w:val="1"/>
                <w:color w:val="auto"/>
              </w:rPr>
              <w:t>DCP—end of period</w:t>
            </w: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41.3</w:t>
            </w: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48.4</w:t>
            </w:r>
          </w:p>
        </w:tc>
        <w:tc>
          <w:tcPr>
            <w:tcW w:w="820" w:type="dxa"/>
            <w:vAlign w:val="bottom"/>
            <w:tcBorders>
              <w:left w:val="single" w:sz="8" w:color="auto"/>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46.2</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Total change from beginning of period</w:t>
            </w: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ind w:right="125"/>
              <w:spacing w:after="0" w:line="120" w:lineRule="exact"/>
              <w:rPr>
                <w:sz w:val="20"/>
                <w:szCs w:val="20"/>
                <w:color w:val="auto"/>
              </w:rPr>
            </w:pPr>
            <w:r>
              <w:rPr>
                <w:rFonts w:ascii="Arial" w:cs="Arial" w:eastAsia="Arial" w:hAnsi="Arial"/>
                <w:sz w:val="11"/>
                <w:szCs w:val="11"/>
                <w:color w:val="auto"/>
              </w:rPr>
              <w:t>0.9</w:t>
            </w:r>
          </w:p>
        </w:tc>
        <w:tc>
          <w:tcPr>
            <w:tcW w:w="700" w:type="dxa"/>
            <w:vAlign w:val="bottom"/>
          </w:tcPr>
          <w:p>
            <w:pPr>
              <w:jc w:val="right"/>
              <w:ind w:right="26"/>
              <w:spacing w:after="0" w:line="120" w:lineRule="exact"/>
              <w:rPr>
                <w:sz w:val="20"/>
                <w:szCs w:val="20"/>
                <w:color w:val="auto"/>
              </w:rPr>
            </w:pPr>
            <w:r>
              <w:rPr>
                <w:rFonts w:ascii="Arial" w:cs="Arial" w:eastAsia="Arial" w:hAnsi="Arial"/>
                <w:sz w:val="11"/>
                <w:szCs w:val="11"/>
                <w:color w:val="auto"/>
              </w:rPr>
              <w:t>9.9</w:t>
            </w:r>
          </w:p>
        </w:tc>
        <w:tc>
          <w:tcPr>
            <w:tcW w:w="740" w:type="dxa"/>
            <w:vAlign w:val="bottom"/>
          </w:tcPr>
          <w:p>
            <w:pPr>
              <w:jc w:val="right"/>
              <w:spacing w:after="0" w:line="120" w:lineRule="exact"/>
              <w:rPr>
                <w:sz w:val="20"/>
                <w:szCs w:val="20"/>
                <w:color w:val="auto"/>
              </w:rPr>
            </w:pPr>
            <w:r>
              <w:rPr>
                <w:rFonts w:ascii="Arial" w:cs="Arial" w:eastAsia="Arial" w:hAnsi="Arial"/>
                <w:sz w:val="11"/>
                <w:szCs w:val="11"/>
                <w:color w:val="auto"/>
              </w:rPr>
              <w:t>(2.8)</w:t>
            </w:r>
          </w:p>
        </w:tc>
        <w:tc>
          <w:tcPr>
            <w:tcW w:w="820" w:type="dxa"/>
            <w:vAlign w:val="bottom"/>
            <w:tcBorders>
              <w:left w:val="single" w:sz="8" w:color="auto"/>
              <w:bottom w:val="single" w:sz="8" w:color="auto"/>
              <w:right w:val="single" w:sz="8" w:color="auto"/>
            </w:tcBorders>
          </w:tcPr>
          <w:p>
            <w:pPr>
              <w:jc w:val="right"/>
              <w:spacing w:after="0" w:line="120" w:lineRule="exact"/>
              <w:rPr>
                <w:sz w:val="20"/>
                <w:szCs w:val="20"/>
                <w:color w:val="auto"/>
              </w:rPr>
            </w:pPr>
            <w:r>
              <w:rPr>
                <w:rFonts w:ascii="Arial" w:cs="Arial" w:eastAsia="Arial" w:hAnsi="Arial"/>
                <w:sz w:val="11"/>
                <w:szCs w:val="11"/>
                <w:b w:val="1"/>
                <w:bCs w:val="1"/>
                <w:color w:val="00497F"/>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17"/>
        </w:trPr>
        <w:tc>
          <w:tcPr>
            <w:tcW w:w="820" w:type="dxa"/>
            <w:vAlign w:val="bottom"/>
            <w:tcBorders>
              <w:top w:val="single" w:sz="8" w:color="auto"/>
              <w:left w:val="single" w:sz="8" w:color="auto"/>
              <w:right w:val="single" w:sz="8" w:color="auto"/>
            </w:tcBorders>
          </w:tcPr>
          <w:p>
            <w:pPr>
              <w:jc w:val="right"/>
              <w:ind w:right="306"/>
              <w:spacing w:after="0" w:line="117" w:lineRule="exact"/>
              <w:rPr>
                <w:sz w:val="20"/>
                <w:szCs w:val="20"/>
                <w:color w:val="auto"/>
              </w:rPr>
            </w:pPr>
            <w:r>
              <w:rPr>
                <w:rFonts w:ascii="Arial" w:cs="Arial" w:eastAsia="Arial" w:hAnsi="Arial"/>
                <w:sz w:val="11"/>
                <w:szCs w:val="11"/>
                <w:color w:val="auto"/>
              </w:rPr>
              <w:t>FY</w:t>
            </w:r>
          </w:p>
        </w:tc>
        <w:tc>
          <w:tcPr>
            <w:tcW w:w="900" w:type="dxa"/>
            <w:vAlign w:val="bottom"/>
          </w:tcPr>
          <w:p>
            <w:pPr>
              <w:jc w:val="center"/>
              <w:ind w:right="126"/>
              <w:spacing w:after="0" w:line="117" w:lineRule="exact"/>
              <w:rPr>
                <w:sz w:val="20"/>
                <w:szCs w:val="20"/>
                <w:color w:val="auto"/>
              </w:rPr>
            </w:pPr>
            <w:r>
              <w:rPr>
                <w:rFonts w:ascii="Arial" w:cs="Arial" w:eastAsia="Arial" w:hAnsi="Arial"/>
                <w:sz w:val="11"/>
                <w:szCs w:val="11"/>
                <w:color w:val="auto"/>
              </w:rPr>
              <w:t>4Q</w:t>
            </w:r>
          </w:p>
        </w:tc>
        <w:tc>
          <w:tcPr>
            <w:tcW w:w="680" w:type="dxa"/>
            <w:vAlign w:val="bottom"/>
          </w:tcPr>
          <w:p>
            <w:pPr>
              <w:jc w:val="right"/>
              <w:ind w:right="286"/>
              <w:spacing w:after="0" w:line="117" w:lineRule="exact"/>
              <w:rPr>
                <w:sz w:val="20"/>
                <w:szCs w:val="20"/>
                <w:color w:val="auto"/>
              </w:rPr>
            </w:pPr>
            <w:r>
              <w:rPr>
                <w:rFonts w:ascii="Arial" w:cs="Arial" w:eastAsia="Arial" w:hAnsi="Arial"/>
                <w:sz w:val="11"/>
                <w:szCs w:val="11"/>
                <w:color w:val="auto"/>
              </w:rPr>
              <w:t>FY</w:t>
            </w:r>
          </w:p>
        </w:tc>
      </w:tr>
      <w:tr>
        <w:trPr>
          <w:trHeight w:val="144"/>
        </w:trPr>
        <w:tc>
          <w:tcPr>
            <w:tcW w:w="820" w:type="dxa"/>
            <w:vAlign w:val="bottom"/>
            <w:tcBorders>
              <w:left w:val="single" w:sz="8" w:color="auto"/>
              <w:bottom w:val="single" w:sz="8" w:color="auto"/>
              <w:right w:val="single" w:sz="8" w:color="auto"/>
            </w:tcBorders>
          </w:tcPr>
          <w:p>
            <w:pPr>
              <w:jc w:val="right"/>
              <w:ind w:right="246"/>
              <w:spacing w:after="0"/>
              <w:rPr>
                <w:sz w:val="20"/>
                <w:szCs w:val="20"/>
                <w:color w:val="auto"/>
              </w:rPr>
            </w:pPr>
            <w:r>
              <w:rPr>
                <w:rFonts w:ascii="Arial" w:cs="Arial" w:eastAsia="Arial" w:hAnsi="Arial"/>
                <w:sz w:val="11"/>
                <w:szCs w:val="11"/>
                <w:color w:val="auto"/>
              </w:rPr>
              <w:t>2020</w:t>
            </w: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2019</w:t>
            </w: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rPr>
              <w:t>2019</w:t>
            </w:r>
          </w:p>
        </w:tc>
      </w:tr>
      <w:tr>
        <w:trPr>
          <w:trHeight w:val="135"/>
        </w:trPr>
        <w:tc>
          <w:tcPr>
            <w:tcW w:w="820" w:type="dxa"/>
            <w:vAlign w:val="bottom"/>
            <w:tcBorders>
              <w:left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40.4</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42.8</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39.1</w:t>
            </w:r>
          </w:p>
        </w:tc>
      </w:tr>
      <w:tr>
        <w:trPr>
          <w:trHeight w:val="283"/>
        </w:trPr>
        <w:tc>
          <w:tcPr>
            <w:tcW w:w="820" w:type="dxa"/>
            <w:vAlign w:val="bottom"/>
            <w:tcBorders>
              <w:left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3.4</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(0.6)</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1.4</w:t>
            </w:r>
          </w:p>
        </w:tc>
      </w:tr>
      <w:tr>
        <w:trPr>
          <w:trHeight w:val="144"/>
        </w:trPr>
        <w:tc>
          <w:tcPr>
            <w:tcW w:w="820" w:type="dxa"/>
            <w:vAlign w:val="bottom"/>
            <w:tcBorders>
              <w:left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2.0</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0.3</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0.7</w:t>
            </w:r>
          </w:p>
        </w:tc>
      </w:tr>
      <w:tr>
        <w:trPr>
          <w:trHeight w:val="144"/>
        </w:trPr>
        <w:tc>
          <w:tcPr>
            <w:tcW w:w="820" w:type="dxa"/>
            <w:vAlign w:val="bottom"/>
            <w:tcBorders>
              <w:left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(0.3)</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(0.3)</w:t>
            </w:r>
          </w:p>
        </w:tc>
        <w:tc>
          <w:tcPr>
            <w:tcW w:w="68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44"/>
        </w:trPr>
        <w:tc>
          <w:tcPr>
            <w:tcW w:w="820" w:type="dxa"/>
            <w:vAlign w:val="bottom"/>
            <w:tcBorders>
              <w:left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0.8</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(2.0)</w:t>
            </w:r>
          </w:p>
        </w:tc>
        <w:tc>
          <w:tcPr>
            <w:tcW w:w="68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47"/>
        </w:trPr>
        <w:tc>
          <w:tcPr>
            <w:tcW w:w="820" w:type="dxa"/>
            <w:vAlign w:val="bottom"/>
            <w:tcBorders>
              <w:left w:val="single" w:sz="8" w:color="auto"/>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(0.1)</w:t>
            </w:r>
          </w:p>
        </w:tc>
        <w:tc>
          <w:tcPr>
            <w:tcW w:w="9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0.2</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0.2</w:t>
            </w:r>
          </w:p>
        </w:tc>
      </w:tr>
      <w:tr>
        <w:trPr>
          <w:trHeight w:val="134"/>
        </w:trPr>
        <w:tc>
          <w:tcPr>
            <w:tcW w:w="820" w:type="dxa"/>
            <w:vAlign w:val="bottom"/>
            <w:tcBorders>
              <w:left w:val="single" w:sz="8" w:color="auto"/>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46.2</w:t>
            </w:r>
          </w:p>
        </w:tc>
        <w:tc>
          <w:tcPr>
            <w:tcW w:w="9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40.4</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40.4</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20"/>
        </w:trPr>
        <w:tc>
          <w:tcPr>
            <w:tcW w:w="820" w:type="dxa"/>
            <w:vAlign w:val="bottom"/>
            <w:tcBorders>
              <w:left w:val="single" w:sz="8" w:color="auto"/>
              <w:bottom w:val="single" w:sz="8" w:color="auto"/>
              <w:right w:val="single" w:sz="8" w:color="auto"/>
            </w:tcBorders>
          </w:tcPr>
          <w:p>
            <w:pPr>
              <w:jc w:val="right"/>
              <w:ind w:right="46"/>
              <w:spacing w:after="0" w:line="120" w:lineRule="exact"/>
              <w:rPr>
                <w:sz w:val="20"/>
                <w:szCs w:val="20"/>
                <w:color w:val="auto"/>
              </w:rPr>
            </w:pPr>
            <w:r>
              <w:rPr>
                <w:rFonts w:ascii="Arial" w:cs="Arial" w:eastAsia="Arial" w:hAnsi="Arial"/>
                <w:sz w:val="11"/>
                <w:szCs w:val="11"/>
                <w:color w:val="auto"/>
              </w:rPr>
              <w:t>5.8</w:t>
            </w:r>
          </w:p>
        </w:tc>
        <w:tc>
          <w:tcPr>
            <w:tcW w:w="90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(2.4)</w:t>
            </w:r>
          </w:p>
        </w:tc>
        <w:tc>
          <w:tcPr>
            <w:tcW w:w="680" w:type="dxa"/>
            <w:vAlign w:val="bottom"/>
          </w:tcPr>
          <w:p>
            <w:pPr>
              <w:jc w:val="right"/>
              <w:ind w:right="6"/>
              <w:spacing w:after="0" w:line="120" w:lineRule="exact"/>
              <w:rPr>
                <w:sz w:val="20"/>
                <w:szCs w:val="20"/>
                <w:color w:val="auto"/>
              </w:rPr>
            </w:pPr>
            <w:r>
              <w:rPr>
                <w:rFonts w:ascii="Arial" w:cs="Arial" w:eastAsia="Arial" w:hAnsi="Arial"/>
                <w:sz w:val="11"/>
                <w:szCs w:val="11"/>
                <w:color w:val="auto"/>
              </w:rPr>
              <w:t>1.3</w:t>
            </w:r>
          </w:p>
        </w:tc>
      </w:tr>
    </w:tbl>
    <w:p>
      <w:pPr>
        <w:spacing w:after="0" w:line="200" w:lineRule="exact"/>
        <w:rPr>
          <w:sz w:val="20"/>
          <w:szCs w:val="20"/>
          <w:color w:val="auto"/>
        </w:rPr>
      </w:pPr>
    </w:p>
    <w:p>
      <w:pPr>
        <w:sectPr>
          <w:pgSz w:w="11900" w:h="16838" w:orient="portrait"/>
          <w:cols w:equalWidth="0" w:num="2">
            <w:col w:w="8040" w:space="60"/>
            <w:col w:w="2400"/>
          </w:cols>
          <w:pgMar w:left="300" w:top="632" w:right="1099" w:bottom="1440" w:gutter="0" w:footer="0" w:header="0"/>
          <w:type w:val="continuous"/>
        </w:sect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S-19</w:t>
      </w:r>
    </w:p>
    <w:p>
      <w:pPr>
        <w:sectPr>
          <w:pgSz w:w="11900" w:h="16838" w:orient="portrait"/>
          <w:cols w:equalWidth="0" w:num="1">
            <w:col w:w="10500"/>
          </w:cols>
          <w:pgMar w:left="300" w:top="632" w:right="10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9"/>
          <w:szCs w:val="9"/>
          <w:b w:val="1"/>
          <w:bCs w:val="1"/>
          <w:color w:val="auto"/>
        </w:rPr>
        <w:t>Humana Inc.</w:t>
      </w:r>
    </w:p>
    <w:p>
      <w:pPr>
        <w:spacing w:after="0" w:line="1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Footnotes to Statistical Schedules and Supplementary Information</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4Q20 Earnings Release</w:t>
      </w:r>
    </w:p>
    <w:p>
      <w:pPr>
        <w:spacing w:after="0" w:line="140" w:lineRule="exact"/>
        <w:rPr>
          <w:sz w:val="20"/>
          <w:szCs w:val="20"/>
          <w:color w:val="auto"/>
        </w:rPr>
      </w:pPr>
    </w:p>
    <w:p>
      <w:pPr>
        <w:ind w:left="540" w:hanging="224"/>
        <w:spacing w:after="0"/>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Put/call valuation adjustments associated with the company's non-consolidating minority interest investments.</w:t>
      </w:r>
    </w:p>
    <w:p>
      <w:pPr>
        <w:spacing w:after="0" w:line="5" w:lineRule="exact"/>
        <w:rPr>
          <w:rFonts w:ascii="Arial" w:cs="Arial" w:eastAsia="Arial" w:hAnsi="Arial"/>
          <w:sz w:val="10"/>
          <w:szCs w:val="10"/>
          <w:color w:val="auto"/>
        </w:rPr>
      </w:pP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Net earnings associated with the company's non-consolidating minority interest investments.</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Medicaid and other category includes premiums associated with the company’s Medicaid business.</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ASO and other category is primarily comprised of Administrative Services Only (ASO) fees and other ancillary services fees, including military services unless separately disclosed.</w:t>
      </w:r>
    </w:p>
    <w:p>
      <w:pPr>
        <w:ind w:left="560" w:hanging="24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Medicaid Temporary Assistance for Needy Families (TANF), dual-eligible demonstration, and Long-Term Support Services (LTSS) from state-based contracts.</w:t>
      </w:r>
    </w:p>
    <w:p>
      <w:pPr>
        <w:ind w:left="540" w:right="260" w:hanging="224"/>
        <w:spacing w:after="0" w:line="225" w:lineRule="auto"/>
        <w:tabs>
          <w:tab w:leader="none" w:pos="554" w:val="left"/>
        </w:tabs>
        <w:numPr>
          <w:ilvl w:val="0"/>
          <w:numId w:val="63"/>
        </w:numPr>
        <w:rPr>
          <w:rFonts w:ascii="Arial" w:cs="Arial" w:eastAsia="Arial" w:hAnsi="Arial"/>
          <w:sz w:val="10"/>
          <w:szCs w:val="10"/>
          <w:color w:val="auto"/>
        </w:rPr>
      </w:pPr>
      <w:r>
        <w:rPr>
          <w:rFonts w:ascii="Arial" w:cs="Arial" w:eastAsia="Arial" w:hAnsi="Arial"/>
          <w:sz w:val="10"/>
          <w:szCs w:val="10"/>
          <w:color w:val="auto"/>
        </w:rPr>
        <w:t>Fully-insured dental membership as reported does not include Humana members that have a Medicare Advantage plan that includes an embedded dental benefit. Costs associated with these dental benefits, however, are recorded in the Group and Specialty segment earnings results.</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Other supplemental benefits include group life policies.</w:t>
      </w:r>
    </w:p>
    <w:p>
      <w:pPr>
        <w:ind w:left="540" w:right="140" w:hanging="224"/>
        <w:spacing w:after="0" w:line="225" w:lineRule="auto"/>
        <w:tabs>
          <w:tab w:leader="none" w:pos="547"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ind w:left="540" w:right="8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ind w:left="560" w:hanging="24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Specialty per member per month is computed based on reported specialty premiums and average fully-insured specialty membership for the period. Included with specialty premiums are stop-loss ASO premiums.</w:t>
      </w:r>
    </w:p>
    <w:p>
      <w:pPr>
        <w:ind w:left="560" w:hanging="24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amounts primarily reflect services revenues under the TRICARE East Region contract that generally are contracted on a per-member basis.</w:t>
      </w:r>
    </w:p>
    <w:p>
      <w:pPr>
        <w:ind w:left="560" w:hanging="24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Computed based on average membership for the period (i.e., monthly ending membership during the period divided by the number of months in the period).</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Medicare Advantage (including Special Needs Plans (SNP)) and dual-eligible demonstration program members enrolled in one of Humana’s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jc w:val="both"/>
        <w:ind w:left="540" w:right="20" w:hanging="224"/>
        <w:spacing w:after="0" w:line="281" w:lineRule="auto"/>
        <w:tabs>
          <w:tab w:leader="none" w:pos="547" w:val="left"/>
        </w:tabs>
        <w:numPr>
          <w:ilvl w:val="0"/>
          <w:numId w:val="63"/>
        </w:numPr>
        <w:rPr>
          <w:rFonts w:ascii="Arial" w:cs="Arial" w:eastAsia="Arial" w:hAnsi="Arial"/>
          <w:sz w:val="8"/>
          <w:szCs w:val="8"/>
          <w:color w:val="auto"/>
        </w:rPr>
      </w:pPr>
      <w:r>
        <w:rPr>
          <w:rFonts w:ascii="Arial" w:cs="Arial" w:eastAsia="Arial" w:hAnsi="Arial"/>
          <w:sz w:val="8"/>
          <w:szCs w:val="8"/>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ind w:left="540" w:right="140" w:hanging="224"/>
        <w:spacing w:after="0" w:line="225" w:lineRule="auto"/>
        <w:tabs>
          <w:tab w:leader="none" w:pos="552" w:val="left"/>
        </w:tabs>
        <w:numPr>
          <w:ilvl w:val="0"/>
          <w:numId w:val="63"/>
        </w:numPr>
        <w:rPr>
          <w:rFonts w:ascii="Arial" w:cs="Arial" w:eastAsia="Arial" w:hAnsi="Arial"/>
          <w:sz w:val="10"/>
          <w:szCs w:val="10"/>
          <w:color w:val="auto"/>
        </w:rPr>
      </w:pPr>
      <w:r>
        <w:rPr>
          <w:rFonts w:ascii="Arial" w:cs="Arial" w:eastAsia="Arial" w:hAnsi="Arial"/>
          <w:sz w:val="10"/>
          <w:szCs w:val="10"/>
          <w:color w:val="auto"/>
        </w:rPr>
        <w:t>Humana's care delivery subsidiaries include Conviva, Partners in Primary Care, and Family Physicians Group. The center, primary care physician, and patients served counts include (i) the operations of our medical center business through both employed physicians and care providers, and through third party management service organizations and professional groups with whom we contract to arrange for and manage certain clinical services, (ii) clinics and operations managed by Partners in Primary Care in connection with a strategic partnership with Welsh, Carson, Anderson &amp; Stowe, and (iii) those associated with MSO/IPA relationships with Conviva.</w:t>
      </w:r>
    </w:p>
    <w:p>
      <w:pPr>
        <w:ind w:left="560" w:hanging="24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Script volume is presented on an adjusted 30-day equivalent basis. This includes all scripts processed by the Humana pharmacy benefit manager (PBM).</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Represents reinsurance recoverables associated with the company’s state-based Medicaid contract in Kentucky.</w:t>
      </w:r>
    </w:p>
    <w:p>
      <w:pPr>
        <w:ind w:left="540" w:right="100" w:hanging="224"/>
        <w:spacing w:after="0" w:line="225" w:lineRule="auto"/>
        <w:tabs>
          <w:tab w:leader="none" w:pos="556" w:val="left"/>
        </w:tabs>
        <w:numPr>
          <w:ilvl w:val="0"/>
          <w:numId w:val="63"/>
        </w:numPr>
        <w:rPr>
          <w:rFonts w:ascii="Arial" w:cs="Arial" w:eastAsia="Arial" w:hAnsi="Arial"/>
          <w:sz w:val="10"/>
          <w:szCs w:val="10"/>
          <w:color w:val="auto"/>
        </w:rPr>
      </w:pPr>
      <w:r>
        <w:rPr>
          <w:rFonts w:ascii="Arial" w:cs="Arial" w:eastAsia="Arial" w:hAnsi="Arial"/>
          <w:sz w:val="10"/>
          <w:szCs w:val="10"/>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ind w:left="540" w:right="200" w:hanging="22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ind w:left="540" w:right="80" w:hanging="224"/>
        <w:spacing w:after="0" w:line="225" w:lineRule="auto"/>
        <w:tabs>
          <w:tab w:leader="none" w:pos="554" w:val="left"/>
        </w:tabs>
        <w:numPr>
          <w:ilvl w:val="0"/>
          <w:numId w:val="63"/>
        </w:numPr>
        <w:rPr>
          <w:rFonts w:ascii="Arial" w:cs="Arial" w:eastAsia="Arial" w:hAnsi="Arial"/>
          <w:sz w:val="10"/>
          <w:szCs w:val="10"/>
          <w:color w:val="auto"/>
        </w:rPr>
      </w:pPr>
      <w:r>
        <w:rPr>
          <w:rFonts w:ascii="Arial" w:cs="Arial" w:eastAsia="Arial" w:hAnsi="Arial"/>
          <w:sz w:val="10"/>
          <w:szCs w:val="10"/>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Provider accruals represent portions of capitation payments set aside to pay future settlements for capitated providers. Related settlements generally happen over a 12-month period.</w:t>
      </w:r>
    </w:p>
    <w:p>
      <w:pPr>
        <w:ind w:left="540" w:hanging="224"/>
        <w:spacing w:after="0" w:line="225" w:lineRule="auto"/>
        <w:tabs>
          <w:tab w:leader="none" w:pos="540" w:val="left"/>
        </w:tabs>
        <w:numPr>
          <w:ilvl w:val="0"/>
          <w:numId w:val="63"/>
        </w:numPr>
        <w:rPr>
          <w:rFonts w:ascii="Arial" w:cs="Arial" w:eastAsia="Arial" w:hAnsi="Arial"/>
          <w:sz w:val="10"/>
          <w:szCs w:val="10"/>
          <w:color w:val="auto"/>
        </w:rPr>
      </w:pPr>
      <w:r>
        <w:rPr>
          <w:rFonts w:ascii="Arial" w:cs="Arial" w:eastAsia="Arial" w:hAnsi="Arial"/>
          <w:sz w:val="10"/>
          <w:szCs w:val="10"/>
          <w:color w:val="auto"/>
        </w:rPr>
        <w:t>Represents medical and specialty claims incurred but not reported (IBNR) for non-pharmacy fully-insured products.</w:t>
      </w:r>
    </w:p>
    <w:p>
      <w:pPr>
        <w:ind w:left="540" w:right="60" w:hanging="224"/>
        <w:spacing w:after="0" w:line="225" w:lineRule="auto"/>
        <w:tabs>
          <w:tab w:leader="none" w:pos="550" w:val="left"/>
        </w:tabs>
        <w:numPr>
          <w:ilvl w:val="0"/>
          <w:numId w:val="63"/>
        </w:numPr>
        <w:rPr>
          <w:rFonts w:ascii="Arial" w:cs="Arial" w:eastAsia="Arial" w:hAnsi="Arial"/>
          <w:sz w:val="10"/>
          <w:szCs w:val="10"/>
          <w:color w:val="auto"/>
        </w:rPr>
      </w:pPr>
      <w:r>
        <w:rPr>
          <w:rFonts w:ascii="Arial" w:cs="Arial" w:eastAsia="Arial" w:hAnsi="Arial"/>
          <w:sz w:val="10"/>
          <w:szCs w:val="10"/>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ind w:left="540" w:right="140" w:hanging="224"/>
        <w:spacing w:after="0" w:line="225"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ind w:left="540" w:right="160" w:hanging="224"/>
        <w:spacing w:after="0" w:line="234" w:lineRule="auto"/>
        <w:tabs>
          <w:tab w:leader="none" w:pos="560"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S-20</w:t>
      </w:r>
    </w:p>
    <w:p>
      <w:pPr>
        <w:sectPr>
          <w:pgSz w:w="11900" w:h="16838" w:orient="portrait"/>
          <w:cols w:equalWidth="0" w:num="1">
            <w:col w:w="11280"/>
          </w:cols>
          <w:pgMar w:left="300" w:top="775" w:right="319" w:bottom="1440"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4">
    <w:nsid w:val="614FD4A1"/>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abstractNum>
  <w:abstractNum w:abstractNumId="5">
    <w:nsid w:val="419AC241"/>
    <w:multiLevelType w:val="hybridMultilevel"/>
    <w:lvl w:ilvl="0">
      <w:lvlJc w:val="left"/>
      <w:lvlText w:val="(%1)"/>
      <w:numFmt w:val="lowerLetter"/>
      <w:start w:val="7"/>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lvl w:ilvl="1">
      <w:lvlJc w:val="left"/>
      <w:lvlText w:val="◦"/>
      <w:numFmt w:val="bullet"/>
      <w:start w:val="1"/>
    </w:lvl>
  </w:abstractNum>
  <w:abstractNum w:abstractNumId="27">
    <w:nsid w:val="7A6D8D3C"/>
    <w:multiLevelType w:val="hybridMultilevel"/>
    <w:lvl w:ilvl="0">
      <w:lvlJc w:val="left"/>
      <w:lvlText w:val="•"/>
      <w:numFmt w:val="bullet"/>
      <w:start w:val="1"/>
    </w:lvl>
    <w:lvl w:ilvl="1">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lvl w:ilvl="1">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lvl w:ilvl="1">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lvl w:ilvl="1">
      <w:lvlJc w:val="left"/>
      <w:lvlText w:val="◦"/>
      <w:numFmt w:val="bullet"/>
      <w:start w:val="1"/>
    </w:lvl>
  </w:abstractNum>
  <w:abstractNum w:abstractNumId="37">
    <w:nsid w:val="3DC240FB"/>
    <w:multiLevelType w:val="hybridMultilevel"/>
    <w:lvl w:ilvl="0">
      <w:lvlJc w:val="left"/>
      <w:lvlText w:val="•"/>
      <w:numFmt w:val="bullet"/>
      <w:start w:val="1"/>
    </w:lvl>
    <w:lvl w:ilvl="1">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lvl w:ilvl="1">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lvl w:ilvl="1">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lvl w:ilvl="1">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1">
    <w:nsid w:val="180115BE"/>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52">
    <w:nsid w:val="235BA861"/>
    <w:multiLevelType w:val="hybridMultilevel"/>
    <w:lvl w:ilvl="0">
      <w:lvlJc w:val="left"/>
      <w:lvlText w:val="(%1)"/>
      <w:numFmt w:val="lowerRoman"/>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lvl w:ilvl="1">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489"/>
    </w:lvl>
  </w:abstractNum>
  <w:abstractNum w:abstractNumId="59">
    <w:nsid w:val="3F6AB60F"/>
    <w:multiLevelType w:val="hybridMultilevel"/>
    <w:lvl w:ilvl="0">
      <w:lvlJc w:val="left"/>
      <w:lvlText w:val="%1"/>
      <w:numFmt w:val="decimal"/>
      <w:start w:val="28"/>
    </w:lvl>
  </w:abstractNum>
  <w:abstractNum w:abstractNumId="60">
    <w:nsid w:val="61574095"/>
    <w:multiLevelType w:val="hybridMultilevel"/>
    <w:lvl w:ilvl="0">
      <w:lvlJc w:val="left"/>
      <w:lvlText w:val="%1"/>
      <w:numFmt w:val="decimal"/>
      <w:start w:val="483"/>
    </w:lvl>
  </w:abstractNum>
  <w:abstractNum w:abstractNumId="61">
    <w:nsid w:val="7E0C57B1"/>
    <w:multiLevelType w:val="hybridMultilevel"/>
    <w:lvl w:ilvl="0">
      <w:lvlJc w:val="left"/>
      <w:lvlText w:val="%1"/>
      <w:numFmt w:val="decimal"/>
      <w:start w:val="28"/>
    </w:lvl>
  </w:abstractNum>
  <w:abstractNum w:abstractNumId="62">
    <w:nsid w:val="77AE35E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2021-02-03T06:01:13Z</dcterms:created>
  <dcterms:modified xsi:type="dcterms:W3CDTF">2021-02-03T06:01:13Z</dcterms:modified>
</cp:coreProperties>
</file>