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8"/>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426720</wp:posOffset>
            </wp:positionH>
            <wp:positionV relativeFrom="page">
              <wp:posOffset>162560</wp:posOffset>
            </wp:positionV>
            <wp:extent cx="6695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5440" cy="8255"/>
                    </a:xfrm>
                    <a:prstGeom prst="rect">
                      <a:avLst/>
                    </a:prstGeom>
                    <a:noFill/>
                  </pic:spPr>
                </pic:pic>
              </a:graphicData>
            </a:graphic>
          </wp:anchor>
        </w:drawing>
        <w:drawing>
          <wp:anchor simplePos="0" relativeHeight="251657728" behindDoc="1" locked="0" layoutInCell="0" allowOverlap="1">
            <wp:simplePos x="0" y="0"/>
            <wp:positionH relativeFrom="page">
              <wp:posOffset>426720</wp:posOffset>
            </wp:positionH>
            <wp:positionV relativeFrom="page">
              <wp:posOffset>203835</wp:posOffset>
            </wp:positionV>
            <wp:extent cx="6695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5440" cy="8255"/>
                    </a:xfrm>
                    <a:prstGeom prst="rect">
                      <a:avLst/>
                    </a:prstGeom>
                    <a:noFill/>
                  </pic:spPr>
                </pic:pic>
              </a:graphicData>
            </a:graphic>
          </wp:anchor>
        </w:drawing>
        <w:t>UNITED STATES</w:t>
      </w:r>
    </w:p>
    <w:p>
      <w:pPr>
        <w:spacing w:after="0" w:line="33" w:lineRule="exact"/>
        <w:rPr>
          <w:sz w:val="24"/>
          <w:szCs w:val="24"/>
          <w:color w:val="auto"/>
        </w:rPr>
      </w:pPr>
    </w:p>
    <w:p>
      <w:pPr>
        <w:jc w:val="center"/>
        <w:ind w:right="-768"/>
        <w:spacing w:after="0"/>
        <w:rPr>
          <w:sz w:val="20"/>
          <w:szCs w:val="20"/>
          <w:color w:val="auto"/>
        </w:rPr>
      </w:pPr>
      <w:r>
        <w:rPr>
          <w:rFonts w:ascii="Arial" w:cs="Arial" w:eastAsia="Arial" w:hAnsi="Arial"/>
          <w:sz w:val="31"/>
          <w:szCs w:val="31"/>
          <w:b w:val="1"/>
          <w:bCs w:val="1"/>
          <w:color w:val="auto"/>
        </w:rPr>
        <w:t>SECURITIES AND EXCHANGE COMMISSION</w:t>
      </w:r>
    </w:p>
    <w:p>
      <w:pPr>
        <w:ind w:left="4108"/>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2642235</wp:posOffset>
            </wp:positionH>
            <wp:positionV relativeFrom="paragraph">
              <wp:posOffset>113030</wp:posOffset>
            </wp:positionV>
            <wp:extent cx="1410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07" w:lineRule="exact"/>
        <w:rPr>
          <w:sz w:val="24"/>
          <w:szCs w:val="24"/>
          <w:color w:val="auto"/>
        </w:rPr>
      </w:pPr>
    </w:p>
    <w:p>
      <w:pPr>
        <w:jc w:val="center"/>
        <w:ind w:right="-768"/>
        <w:spacing w:after="0"/>
        <w:rPr>
          <w:sz w:val="20"/>
          <w:szCs w:val="20"/>
          <w:color w:val="auto"/>
        </w:rPr>
      </w:pPr>
      <w:r>
        <w:rPr>
          <w:rFonts w:ascii="Arial" w:cs="Arial" w:eastAsia="Arial" w:hAnsi="Arial"/>
          <w:sz w:val="31"/>
          <w:szCs w:val="31"/>
          <w:b w:val="1"/>
          <w:bCs w:val="1"/>
          <w:color w:val="auto"/>
        </w:rPr>
        <w:t>SCHEDULE 14A</w:t>
      </w:r>
    </w:p>
    <w:p>
      <w:pPr>
        <w:spacing w:after="0" w:line="85" w:lineRule="exact"/>
        <w:rPr>
          <w:sz w:val="24"/>
          <w:szCs w:val="24"/>
          <w:color w:val="auto"/>
        </w:rPr>
      </w:pPr>
    </w:p>
    <w:p>
      <w:pPr>
        <w:jc w:val="center"/>
        <w:ind w:right="-768"/>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2" w:lineRule="exact"/>
        <w:rPr>
          <w:sz w:val="24"/>
          <w:szCs w:val="24"/>
          <w:color w:val="auto"/>
        </w:rPr>
      </w:pPr>
    </w:p>
    <w:p>
      <w:pPr>
        <w:jc w:val="center"/>
        <w:ind w:right="-768"/>
        <w:spacing w:after="0"/>
        <w:rPr>
          <w:sz w:val="20"/>
          <w:szCs w:val="20"/>
          <w:color w:val="auto"/>
        </w:rPr>
      </w:pPr>
      <w:r>
        <w:rPr>
          <w:rFonts w:ascii="Arial" w:cs="Arial" w:eastAsia="Arial" w:hAnsi="Arial"/>
          <w:sz w:val="21"/>
          <w:szCs w:val="21"/>
          <w:b w:val="1"/>
          <w:bCs w:val="1"/>
          <w:color w:val="auto"/>
        </w:rPr>
        <w:t>of the Securities Exchange Act of 1934</w:t>
      </w:r>
    </w:p>
    <w:p>
      <w:pPr>
        <w:jc w:val="center"/>
        <w:ind w:right="-768"/>
        <w:spacing w:after="0"/>
        <w:rPr>
          <w:sz w:val="20"/>
          <w:szCs w:val="20"/>
          <w:color w:val="auto"/>
        </w:rPr>
      </w:pPr>
      <w:r>
        <w:rPr>
          <w:rFonts w:ascii="Arial" w:cs="Arial" w:eastAsia="Arial" w:hAnsi="Arial"/>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2642235</wp:posOffset>
            </wp:positionH>
            <wp:positionV relativeFrom="paragraph">
              <wp:posOffset>113030</wp:posOffset>
            </wp:positionV>
            <wp:extent cx="1410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179" w:lineRule="exact"/>
        <w:rPr>
          <w:sz w:val="24"/>
          <w:szCs w:val="24"/>
          <w:color w:val="auto"/>
        </w:rPr>
      </w:pPr>
    </w:p>
    <w:p>
      <w:pPr>
        <w:ind w:left="8"/>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rFonts w:ascii="Arial" w:cs="Arial" w:eastAsia="Arial" w:hAnsi="Arial"/>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129" w:lineRule="exact"/>
        <w:rPr>
          <w:sz w:val="24"/>
          <w:szCs w:val="24"/>
          <w:color w:val="auto"/>
        </w:rPr>
      </w:pPr>
    </w:p>
    <w:p>
      <w:pPr>
        <w:ind w:left="8"/>
        <w:spacing w:after="0"/>
        <w:rPr>
          <w:sz w:val="20"/>
          <w:szCs w:val="20"/>
          <w:color w:val="auto"/>
        </w:rPr>
      </w:pPr>
      <w:r>
        <w:rPr>
          <w:rFonts w:ascii="Arial" w:cs="Arial" w:eastAsia="Arial" w:hAnsi="Arial"/>
          <w:sz w:val="17"/>
          <w:szCs w:val="17"/>
          <w:color w:val="auto"/>
        </w:rPr>
        <w:t>Check the appropriate box:</w:t>
      </w:r>
    </w:p>
    <w:p>
      <w:pPr>
        <w:spacing w:after="0" w:line="76"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3" w:lineRule="exact"/>
        <w:rPr>
          <w:rFonts w:ascii="MS PGothic" w:cs="MS PGothic" w:eastAsia="MS PGothic" w:hAnsi="MS PGothic"/>
          <w:sz w:val="17"/>
          <w:szCs w:val="17"/>
          <w:color w:val="auto"/>
        </w:rPr>
      </w:pPr>
    </w:p>
    <w:p>
      <w:pPr>
        <w:ind w:left="328" w:hanging="328"/>
        <w:spacing w:after="0"/>
        <w:tabs>
          <w:tab w:leader="none" w:pos="32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7" w:lineRule="exact"/>
        <w:rPr>
          <w:rFonts w:ascii="MS PGothic" w:cs="MS PGothic" w:eastAsia="MS PGothic" w:hAnsi="MS PGothic"/>
          <w:sz w:val="17"/>
          <w:szCs w:val="17"/>
          <w:color w:val="auto"/>
        </w:rPr>
      </w:pPr>
    </w:p>
    <w:p>
      <w:pPr>
        <w:ind w:left="328" w:hanging="328"/>
        <w:spacing w:after="0"/>
        <w:tabs>
          <w:tab w:leader="none" w:pos="32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76" w:lineRule="exact"/>
        <w:rPr>
          <w:sz w:val="24"/>
          <w:szCs w:val="24"/>
          <w:color w:val="auto"/>
        </w:rPr>
      </w:pPr>
    </w:p>
    <w:p>
      <w:pPr>
        <w:ind w:left="328" w:hanging="328"/>
        <w:spacing w:after="0"/>
        <w:tabs>
          <w:tab w:leader="none" w:pos="32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6" w:lineRule="exact"/>
        <w:rPr>
          <w:sz w:val="24"/>
          <w:szCs w:val="24"/>
          <w:color w:val="auto"/>
        </w:rPr>
      </w:pPr>
    </w:p>
    <w:p>
      <w:pPr>
        <w:ind w:left="328" w:hanging="328"/>
        <w:spacing w:after="0"/>
        <w:tabs>
          <w:tab w:leader="none" w:pos="328"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61" w:lineRule="exact"/>
        <w:rPr>
          <w:sz w:val="24"/>
          <w:szCs w:val="24"/>
          <w:color w:val="auto"/>
        </w:rPr>
      </w:pPr>
    </w:p>
    <w:p>
      <w:pPr>
        <w:jc w:val="center"/>
        <w:ind w:right="-768"/>
        <w:spacing w:after="0"/>
        <w:rPr>
          <w:sz w:val="20"/>
          <w:szCs w:val="20"/>
          <w:color w:val="auto"/>
        </w:rPr>
      </w:pPr>
      <w:r>
        <w:rPr>
          <w:rFonts w:ascii="Arial" w:cs="Arial" w:eastAsia="Arial" w:hAnsi="Arial"/>
          <w:sz w:val="38"/>
          <w:szCs w:val="38"/>
          <w:b w:val="1"/>
          <w:bCs w:val="1"/>
          <w:color w:val="auto"/>
        </w:rPr>
        <w:t>Humana Inc.</w:t>
      </w:r>
    </w:p>
    <w:p>
      <w:pPr>
        <w:spacing w:after="0" w:line="34" w:lineRule="exact"/>
        <w:rPr>
          <w:sz w:val="24"/>
          <w:szCs w:val="24"/>
          <w:color w:val="auto"/>
        </w:rPr>
      </w:pPr>
    </w:p>
    <w:p>
      <w:pPr>
        <w:jc w:val="center"/>
        <w:ind w:right="-768"/>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67" w:lineRule="exact"/>
        <w:rPr>
          <w:sz w:val="24"/>
          <w:szCs w:val="24"/>
          <w:color w:val="auto"/>
        </w:rPr>
      </w:pPr>
    </w:p>
    <w:p>
      <w:pPr>
        <w:ind w:left="2928"/>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1" w:lineRule="exact"/>
        <w:rPr>
          <w:sz w:val="24"/>
          <w:szCs w:val="24"/>
          <w:color w:val="auto"/>
        </w:rPr>
      </w:pPr>
    </w:p>
    <w:p>
      <w:pPr>
        <w:ind w:left="8"/>
        <w:spacing w:after="0"/>
        <w:rPr>
          <w:sz w:val="20"/>
          <w:szCs w:val="20"/>
          <w:color w:val="auto"/>
        </w:rPr>
      </w:pPr>
      <w:r>
        <w:rPr>
          <w:rFonts w:ascii="Arial" w:cs="Arial" w:eastAsia="Arial" w:hAnsi="Arial"/>
          <w:sz w:val="17"/>
          <w:szCs w:val="17"/>
          <w:color w:val="auto"/>
        </w:rPr>
        <w:t>Payment of Filing Fee (Check the appropriate box):</w:t>
      </w:r>
    </w:p>
    <w:p>
      <w:pPr>
        <w:spacing w:after="0" w:line="76" w:lineRule="exact"/>
        <w:rPr>
          <w:sz w:val="24"/>
          <w:szCs w:val="24"/>
          <w:color w:val="auto"/>
        </w:rPr>
      </w:pPr>
    </w:p>
    <w:p>
      <w:pPr>
        <w:ind w:left="548" w:hanging="548"/>
        <w:spacing w:after="0"/>
        <w:tabs>
          <w:tab w:leader="none" w:pos="548"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89" w:lineRule="exact"/>
        <w:rPr>
          <w:sz w:val="24"/>
          <w:szCs w:val="24"/>
          <w:color w:val="auto"/>
        </w:rPr>
      </w:pPr>
    </w:p>
    <w:p>
      <w:pPr>
        <w:ind w:left="548" w:hanging="548"/>
        <w:spacing w:after="0"/>
        <w:tabs>
          <w:tab w:leader="none" w:pos="54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88" w:lineRule="exact"/>
        <w:rPr>
          <w:rFonts w:ascii="MS PGothic" w:cs="MS PGothic" w:eastAsia="MS PGothic" w:hAnsi="MS PGothic"/>
          <w:sz w:val="17"/>
          <w:szCs w:val="17"/>
          <w:color w:val="auto"/>
        </w:rPr>
      </w:pPr>
    </w:p>
    <w:p>
      <w:pPr>
        <w:ind w:left="548" w:hanging="548"/>
        <w:spacing w:after="0"/>
        <w:tabs>
          <w:tab w:leader="none" w:pos="54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695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54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6695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5440" cy="8255"/>
                    </a:xfrm>
                    <a:prstGeom prst="rect">
                      <a:avLst/>
                    </a:prstGeom>
                    <a:noFill/>
                  </pic:spPr>
                </pic:pic>
              </a:graphicData>
            </a:graphic>
          </wp:anchor>
        </w:drawing>
      </w:r>
    </w:p>
    <w:p>
      <w:pPr>
        <w:sectPr>
          <w:pgSz w:w="11900" w:h="16838" w:orient="portrait"/>
          <w:cols w:equalWidth="0" w:num="1">
            <w:col w:w="9787"/>
          </w:cols>
          <w:pgMar w:left="672" w:top="382" w:right="1440" w:bottom="1440" w:gutter="0" w:footer="0" w:header="0"/>
        </w:sectPr>
      </w:pPr>
    </w:p>
    <w:bookmarkStart w:id="1" w:name="page2"/>
    <w:bookmarkEnd w:id="1"/>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On March 8, 2024, Humana Inc. (the “Company”) made the following communication available to the Company’s employees: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w:t>
      </w:r>
    </w:p>
    <w:p>
      <w:pPr>
        <w:spacing w:after="0" w:line="132" w:lineRule="exact"/>
        <w:rPr>
          <w:sz w:val="20"/>
          <w:szCs w:val="20"/>
          <w:color w:val="auto"/>
        </w:rPr>
      </w:pPr>
    </w:p>
    <w:p>
      <w:pPr>
        <w:ind w:left="920" w:hanging="411"/>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have the right to vote on items being presented at our Annual Meeting of Stockholders (the “Annual Meeting”)</w:t>
      </w:r>
    </w:p>
    <w:p>
      <w:pPr>
        <w:spacing w:after="0" w:line="127" w:lineRule="exact"/>
        <w:rPr>
          <w:rFonts w:ascii="Times New Roman" w:cs="Times New Roman" w:eastAsia="Times New Roman" w:hAnsi="Times New Roman"/>
          <w:sz w:val="17"/>
          <w:szCs w:val="17"/>
          <w:color w:val="auto"/>
        </w:rPr>
      </w:pPr>
    </w:p>
    <w:p>
      <w:pPr>
        <w:ind w:left="920" w:right="420" w:hanging="411"/>
        <w:spacing w:after="0" w:line="288" w:lineRule="auto"/>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Meeting is scheduled for April 18, 2024 at 1:00 p.m. Eastern Time, and will be held via a live audio webcast accessible at: www.virtualshareholdermeeting.com/HUM2024</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Exercise your voting privilege as a Humana stockholder</w:t>
      </w:r>
    </w:p>
    <w:p>
      <w:pPr>
        <w:spacing w:after="0" w:line="222" w:lineRule="exact"/>
        <w:rPr>
          <w:sz w:val="20"/>
          <w:szCs w:val="20"/>
          <w:color w:val="auto"/>
        </w:rPr>
      </w:pPr>
    </w:p>
    <w:p>
      <w:pPr>
        <w:jc w:val="both"/>
        <w:ind w:right="260" w:firstLine="422"/>
        <w:spacing w:after="0" w:line="270" w:lineRule="auto"/>
        <w:rPr>
          <w:sz w:val="20"/>
          <w:szCs w:val="20"/>
          <w:color w:val="auto"/>
        </w:rPr>
      </w:pPr>
      <w:r>
        <w:rPr>
          <w:rFonts w:ascii="Times New Roman" w:cs="Times New Roman" w:eastAsia="Times New Roman" w:hAnsi="Times New Roman"/>
          <w:sz w:val="17"/>
          <w:szCs w:val="17"/>
          <w:color w:val="auto"/>
        </w:rPr>
        <w:t>Humana associates who participate in our Company’s Retirement Savings Plan 401(k) and have invested funds in the Humana Common Stock Fund have the right to vote on items being presented at this year’s Annual Meeting, scheduled for April 18, 2024. You may submit one vote for each share held in your Humana Common Stock account as of February 29, 2024, the record date for this Annual Meeting.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documents do you need to vote?</w:t>
      </w:r>
    </w:p>
    <w:p>
      <w:pPr>
        <w:spacing w:after="0" w:line="119" w:lineRule="exact"/>
        <w:rPr>
          <w:sz w:val="20"/>
          <w:szCs w:val="20"/>
          <w:color w:val="auto"/>
        </w:rPr>
      </w:pPr>
    </w:p>
    <w:p>
      <w:pPr>
        <w:ind w:right="140" w:firstLine="422"/>
        <w:spacing w:after="0" w:line="270" w:lineRule="auto"/>
        <w:rPr>
          <w:sz w:val="20"/>
          <w:szCs w:val="20"/>
          <w:color w:val="auto"/>
        </w:rPr>
      </w:pPr>
      <w:r>
        <w:rPr>
          <w:rFonts w:ascii="Times New Roman" w:cs="Times New Roman" w:eastAsia="Times New Roman" w:hAnsi="Times New Roman"/>
          <w:sz w:val="17"/>
          <w:szCs w:val="17"/>
          <w:color w:val="auto"/>
        </w:rPr>
        <w:t>Every year, Humana produces a document - the proxy statement - that details all of the information the Company’s stockholders need in order to make informed votes. The proxy becomes available to stockholders and the public after Humana files it with the federal Securities and Exchange Commission on March 8, 2024. In order to vote, you must also receive an official “voting card.”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will you receive the proxy statement and voting card?</w:t>
      </w:r>
    </w:p>
    <w:p>
      <w:pPr>
        <w:spacing w:after="0" w:line="119" w:lineRule="exact"/>
        <w:rPr>
          <w:sz w:val="20"/>
          <w:szCs w:val="20"/>
          <w:color w:val="auto"/>
        </w:rPr>
      </w:pPr>
    </w:p>
    <w:p>
      <w:pPr>
        <w:ind w:firstLine="422"/>
        <w:spacing w:after="0" w:line="265" w:lineRule="auto"/>
        <w:rPr>
          <w:sz w:val="20"/>
          <w:szCs w:val="20"/>
          <w:color w:val="auto"/>
        </w:rPr>
      </w:pPr>
      <w:r>
        <w:rPr>
          <w:rFonts w:ascii="Times New Roman" w:cs="Times New Roman" w:eastAsia="Times New Roman" w:hAnsi="Times New Roman"/>
          <w:sz w:val="17"/>
          <w:szCs w:val="17"/>
          <w:color w:val="auto"/>
        </w:rPr>
        <w:t xml:space="preserve">Starting March 8, 2024, all stockholders who have (recently or in prior years) successfully submitted electronic requests for a proxy statement and voting card will then receive - via the e-mail address you designated during the online-registration process - a proxy statement and voting card. (Please watch for e-mail from </w:t>
      </w:r>
      <w:r>
        <w:rPr>
          <w:rFonts w:ascii="Times New Roman" w:cs="Times New Roman" w:eastAsia="Times New Roman" w:hAnsi="Times New Roman"/>
          <w:sz w:val="17"/>
          <w:szCs w:val="17"/>
          <w:u w:val="single" w:color="auto"/>
          <w:color w:val="auto"/>
        </w:rPr>
        <w:t>ID@ProxyVote.com</w:t>
      </w:r>
      <w:r>
        <w:rPr>
          <w:rFonts w:ascii="Times New Roman" w:cs="Times New Roman" w:eastAsia="Times New Roman" w:hAnsi="Times New Roman"/>
          <w:sz w:val="17"/>
          <w:szCs w:val="17"/>
          <w:color w:val="auto"/>
        </w:rPr>
        <w:t>.) If you did not sign up for electronic delivery of these materials, you’ll receive a “Notice and Access Card” in the mail at home regarding the material.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can participants in the Humana Retirement Savings Plan vote?</w:t>
      </w:r>
    </w:p>
    <w:p>
      <w:pPr>
        <w:spacing w:after="0" w:line="119" w:lineRule="exact"/>
        <w:rPr>
          <w:sz w:val="20"/>
          <w:szCs w:val="20"/>
          <w:color w:val="auto"/>
        </w:rPr>
      </w:pPr>
    </w:p>
    <w:p>
      <w:pPr>
        <w:ind w:firstLine="422"/>
        <w:spacing w:after="0" w:line="262" w:lineRule="auto"/>
        <w:rPr>
          <w:sz w:val="20"/>
          <w:szCs w:val="20"/>
          <w:color w:val="auto"/>
        </w:rPr>
      </w:pPr>
      <w:r>
        <w:rPr>
          <w:rFonts w:ascii="Times New Roman" w:cs="Times New Roman" w:eastAsia="Times New Roman" w:hAnsi="Times New Roman"/>
          <w:sz w:val="17"/>
          <w:szCs w:val="17"/>
          <w:color w:val="auto"/>
        </w:rPr>
        <w:t>If you wish to vote, you may do so AFTER you receive your voting card. You then must vote BEFORE 11:59 p.m., EDT on Wednesday, April 10, 2024, through Humana’s Retirement Savings Plan Trustee - Charles Schwab - with Broadridge acting as tabulator. If your voting instructions are received by 11:59 p.m. EDT on Wednesday, April 10, 2024, the Trustee will submit a proxy that reflects your instructions. If you do not give voting instructions (or give them late), the Trustee will vote your interest in the Humana Common Stock Fund in the same proportion as the shares attributed to the Humana Retirement Savings Plan actually voted. Humana’s Annual Meeting will be held on April 18, 2024.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Whom do you contact for answers to your stockholder-voting-process questions?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you have any questions, please contact Joseph M. Ruschell, Corporate Secretary via email at CorporateSecretary@humana.com.</w:t>
      </w:r>
    </w:p>
    <w:p>
      <w:pPr>
        <w:spacing w:after="0" w:line="21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On March 8, 2024, the Company distributed the following “Notice Regarding the Availability of Proxy Materials” to its stockholders as of the record date of February 29, 2024.</w:t>
      </w:r>
    </w:p>
    <w:p>
      <w:pPr>
        <w:sectPr>
          <w:pgSz w:w="11900" w:h="16838" w:orient="portrait"/>
          <w:cols w:equalWidth="0" w:num="1">
            <w:col w:w="10500"/>
          </w:cols>
          <w:pgMar w:left="680" w:top="265" w:right="7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211695" cy="4168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26"/>
          <w:szCs w:val="26"/>
          <w:color w:val="004878"/>
        </w:rPr>
        <w:t>You invested in HUMANA INC. and it’s time to vote!</w:t>
      </w:r>
    </w:p>
    <w:p>
      <w:pPr>
        <w:spacing w:after="0" w:line="25" w:lineRule="exact"/>
        <w:rPr>
          <w:sz w:val="20"/>
          <w:szCs w:val="20"/>
          <w:color w:val="auto"/>
        </w:rPr>
      </w:pPr>
    </w:p>
    <w:p>
      <w:pPr>
        <w:ind w:left="200" w:right="700"/>
        <w:spacing w:after="0" w:line="267" w:lineRule="auto"/>
        <w:rPr>
          <w:sz w:val="20"/>
          <w:szCs w:val="20"/>
          <w:color w:val="auto"/>
        </w:rPr>
      </w:pPr>
      <w:r>
        <w:rPr>
          <w:rFonts w:ascii="Arial" w:cs="Arial" w:eastAsia="Arial" w:hAnsi="Arial"/>
          <w:sz w:val="17"/>
          <w:szCs w:val="17"/>
          <w:color w:val="004878"/>
        </w:rPr>
        <w:t xml:space="preserve">You have the right to vote on proposals being presented at the Annual Meeting. </w:t>
      </w:r>
      <w:r>
        <w:rPr>
          <w:rFonts w:ascii="Arial" w:cs="Arial" w:eastAsia="Arial" w:hAnsi="Arial"/>
          <w:sz w:val="17"/>
          <w:szCs w:val="17"/>
          <w:b w:val="1"/>
          <w:bCs w:val="1"/>
          <w:color w:val="004878"/>
        </w:rPr>
        <w:t>This is an important notice regarding the</w:t>
      </w:r>
      <w:r>
        <w:rPr>
          <w:rFonts w:ascii="Arial" w:cs="Arial" w:eastAsia="Arial" w:hAnsi="Arial"/>
          <w:sz w:val="17"/>
          <w:szCs w:val="17"/>
          <w:color w:val="004878"/>
        </w:rPr>
        <w:t xml:space="preserve"> </w:t>
      </w:r>
      <w:r>
        <w:rPr>
          <w:rFonts w:ascii="Arial" w:cs="Arial" w:eastAsia="Arial" w:hAnsi="Arial"/>
          <w:sz w:val="17"/>
          <w:szCs w:val="17"/>
          <w:b w:val="1"/>
          <w:bCs w:val="1"/>
          <w:color w:val="004878"/>
        </w:rPr>
        <w:t>availability of proxy material for the stockholder meeting to be held on April 18, 2024.</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26"/>
          <w:szCs w:val="26"/>
          <w:color w:val="004878"/>
        </w:rPr>
        <w:t>Get informed before you vote</w:t>
      </w:r>
    </w:p>
    <w:p>
      <w:pPr>
        <w:spacing w:after="0" w:line="25"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004878"/>
        </w:rPr>
        <w:t>View the Notice and Proxy Statement and Annual Report online OR you can receive a free paper or email copy of the material(s) by requesting prior to April 4,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6977380" cy="2519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7380" cy="2519045"/>
                    </a:xfrm>
                    <a:prstGeom prst="rect">
                      <a:avLst/>
                    </a:prstGeom>
                    <a:noFill/>
                  </pic:spPr>
                </pic:pic>
              </a:graphicData>
            </a:graphic>
          </wp:anchor>
        </w:drawing>
      </w:r>
    </w:p>
    <w:p>
      <w:pPr>
        <w:sectPr>
          <w:pgSz w:w="11900" w:h="16838" w:orient="portrait"/>
          <w:cols w:equalWidth="0" w:num="1">
            <w:col w:w="10320"/>
          </w:cols>
          <w:pgMar w:left="68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004878"/>
        </w:rPr>
        <w:t>      *Please check the meeting materials for any special requirements for meeting attendance.</w:t>
      </w:r>
    </w:p>
    <w:p>
      <w:pPr>
        <w:sectPr>
          <w:pgSz w:w="11900" w:h="16838" w:orient="portrait"/>
          <w:cols w:equalWidth="0" w:num="1">
            <w:col w:w="10320"/>
          </w:cols>
          <w:pgMar w:left="680" w:top="1440" w:right="8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6"/>
          <w:szCs w:val="26"/>
          <w:b w:val="1"/>
          <w:bCs w:val="1"/>
          <w:color w:val="007BB6"/>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6954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544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8"/>
          <w:szCs w:val="28"/>
          <w:b w:val="1"/>
          <w:bCs w:val="1"/>
          <w:color w:val="004878"/>
        </w:rPr>
        <w:t>  THIS IS NOT A VOTABLE BALLOT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gridSpan w:val="2"/>
          </w:tcPr>
          <w:p>
            <w:pPr>
              <w:ind w:left="200"/>
              <w:spacing w:after="0"/>
              <w:rPr>
                <w:sz w:val="20"/>
                <w:szCs w:val="20"/>
                <w:color w:val="auto"/>
              </w:rPr>
            </w:pPr>
            <w:r>
              <w:rPr>
                <w:rFonts w:ascii="Arial" w:cs="Arial" w:eastAsia="Arial" w:hAnsi="Arial"/>
                <w:sz w:val="17"/>
                <w:szCs w:val="17"/>
                <w:color w:val="004878"/>
              </w:rPr>
              <w:t>This is an overview of the proposals being presented at the</w:t>
            </w:r>
          </w:p>
        </w:tc>
        <w:tc>
          <w:tcPr>
            <w:tcW w:w="4000" w:type="dxa"/>
            <w:vAlign w:val="bottom"/>
          </w:tcPr>
          <w:p>
            <w:pPr>
              <w:ind w:left="60"/>
              <w:spacing w:after="0"/>
              <w:rPr>
                <w:sz w:val="20"/>
                <w:szCs w:val="20"/>
                <w:color w:val="auto"/>
              </w:rPr>
            </w:pPr>
            <w:r>
              <w:rPr>
                <w:rFonts w:ascii="Arial" w:cs="Arial" w:eastAsia="Arial" w:hAnsi="Arial"/>
                <w:sz w:val="17"/>
                <w:szCs w:val="17"/>
                <w:color w:val="auto"/>
              </w:rPr>
              <w:t xml:space="preserve">    </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00" w:type="dxa"/>
            <w:vAlign w:val="bottom"/>
            <w:gridSpan w:val="2"/>
          </w:tcPr>
          <w:p>
            <w:pPr>
              <w:ind w:left="200"/>
              <w:spacing w:after="0" w:line="194" w:lineRule="exact"/>
              <w:rPr>
                <w:sz w:val="20"/>
                <w:szCs w:val="20"/>
                <w:color w:val="auto"/>
              </w:rPr>
            </w:pPr>
            <w:r>
              <w:rPr>
                <w:rFonts w:ascii="Arial" w:cs="Arial" w:eastAsia="Arial" w:hAnsi="Arial"/>
                <w:sz w:val="17"/>
                <w:szCs w:val="17"/>
                <w:color w:val="004878"/>
              </w:rPr>
              <w:t>upcoming stockholder meeting. Please follow the instructions</w:t>
            </w:r>
          </w:p>
        </w:tc>
        <w:tc>
          <w:tcPr>
            <w:tcW w:w="4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00" w:type="dxa"/>
            <w:vAlign w:val="bottom"/>
            <w:gridSpan w:val="2"/>
          </w:tcPr>
          <w:p>
            <w:pPr>
              <w:ind w:left="200"/>
              <w:spacing w:after="0"/>
              <w:rPr>
                <w:sz w:val="20"/>
                <w:szCs w:val="20"/>
                <w:color w:val="auto"/>
              </w:rPr>
            </w:pPr>
            <w:r>
              <w:rPr>
                <w:rFonts w:ascii="Arial" w:cs="Arial" w:eastAsia="Arial" w:hAnsi="Arial"/>
                <w:sz w:val="17"/>
                <w:szCs w:val="17"/>
                <w:color w:val="004878"/>
              </w:rPr>
              <w:t>on the reverse side to vote these important matters.</w:t>
            </w:r>
          </w:p>
        </w:tc>
        <w:tc>
          <w:tcPr>
            <w:tcW w:w="4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1"/>
        </w:trPr>
        <w:tc>
          <w:tcPr>
            <w:tcW w:w="4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6"/>
                <w:szCs w:val="16"/>
                <w:b w:val="1"/>
                <w:bCs w:val="1"/>
                <w:color w:val="004878"/>
              </w:rPr>
              <w:t>Board</w:t>
            </w:r>
          </w:p>
        </w:tc>
        <w:tc>
          <w:tcPr>
            <w:tcW w:w="0" w:type="dxa"/>
            <w:vAlign w:val="bottom"/>
          </w:tcPr>
          <w:p>
            <w:pPr>
              <w:spacing w:after="0"/>
              <w:rPr>
                <w:sz w:val="1"/>
                <w:szCs w:val="1"/>
                <w:color w:val="auto"/>
              </w:rPr>
            </w:pPr>
          </w:p>
        </w:tc>
      </w:tr>
      <w:tr>
        <w:trPr>
          <w:trHeight w:val="195"/>
        </w:trPr>
        <w:tc>
          <w:tcPr>
            <w:tcW w:w="5300" w:type="dxa"/>
            <w:vAlign w:val="bottom"/>
            <w:gridSpan w:val="2"/>
          </w:tcPr>
          <w:p>
            <w:pPr>
              <w:spacing w:after="0"/>
              <w:rPr>
                <w:sz w:val="20"/>
                <w:szCs w:val="20"/>
                <w:color w:val="auto"/>
              </w:rPr>
            </w:pPr>
            <w:r>
              <w:rPr>
                <w:rFonts w:ascii="Arial" w:cs="Arial" w:eastAsia="Arial" w:hAnsi="Arial"/>
                <w:sz w:val="16"/>
                <w:szCs w:val="16"/>
                <w:b w:val="1"/>
                <w:bCs w:val="1"/>
                <w:color w:val="004878"/>
              </w:rPr>
              <w:t>  Voting Items</w:t>
            </w:r>
          </w:p>
        </w:tc>
        <w:tc>
          <w:tcPr>
            <w:tcW w:w="4000" w:type="dxa"/>
            <w:vAlign w:val="bottom"/>
          </w:tcPr>
          <w:p>
            <w:pPr>
              <w:spacing w:after="0"/>
              <w:rPr>
                <w:sz w:val="16"/>
                <w:szCs w:val="16"/>
                <w:color w:val="auto"/>
              </w:rPr>
            </w:pPr>
          </w:p>
        </w:tc>
        <w:tc>
          <w:tcPr>
            <w:tcW w:w="1240" w:type="dxa"/>
            <w:vAlign w:val="bottom"/>
          </w:tcPr>
          <w:p>
            <w:pPr>
              <w:ind w:left="160"/>
              <w:spacing w:after="0"/>
              <w:rPr>
                <w:sz w:val="20"/>
                <w:szCs w:val="20"/>
                <w:color w:val="auto"/>
              </w:rPr>
            </w:pPr>
            <w:r>
              <w:rPr>
                <w:rFonts w:ascii="Arial" w:cs="Arial" w:eastAsia="Arial" w:hAnsi="Arial"/>
                <w:sz w:val="16"/>
                <w:szCs w:val="16"/>
                <w:b w:val="1"/>
                <w:bCs w:val="1"/>
                <w:color w:val="004878"/>
              </w:rPr>
              <w:t>Recommends</w:t>
            </w:r>
          </w:p>
        </w:tc>
        <w:tc>
          <w:tcPr>
            <w:tcW w:w="0" w:type="dxa"/>
            <w:vAlign w:val="bottom"/>
          </w:tcPr>
          <w:p>
            <w:pPr>
              <w:spacing w:after="0"/>
              <w:rPr>
                <w:sz w:val="1"/>
                <w:szCs w:val="1"/>
                <w:color w:val="auto"/>
              </w:rPr>
            </w:pPr>
          </w:p>
        </w:tc>
      </w:tr>
      <w:tr>
        <w:trPr>
          <w:trHeight w:val="220"/>
        </w:trPr>
        <w:tc>
          <w:tcPr>
            <w:tcW w:w="400" w:type="dxa"/>
            <w:vAlign w:val="bottom"/>
            <w:shd w:val="clear" w:color="auto" w:fill="F0EFF7"/>
          </w:tcPr>
          <w:p>
            <w:pPr>
              <w:spacing w:after="0"/>
              <w:rPr>
                <w:sz w:val="20"/>
                <w:szCs w:val="20"/>
                <w:color w:val="auto"/>
              </w:rPr>
            </w:pPr>
            <w:r>
              <w:rPr>
                <w:rFonts w:ascii="Arial" w:cs="Arial" w:eastAsia="Arial" w:hAnsi="Arial"/>
                <w:sz w:val="17"/>
                <w:szCs w:val="17"/>
                <w:color w:val="004878"/>
              </w:rPr>
              <w:t>  1.</w:t>
            </w:r>
          </w:p>
        </w:tc>
        <w:tc>
          <w:tcPr>
            <w:tcW w:w="4900" w:type="dxa"/>
            <w:vAlign w:val="bottom"/>
            <w:shd w:val="clear" w:color="auto" w:fill="F0EFF7"/>
          </w:tcPr>
          <w:p>
            <w:pPr>
              <w:ind w:left="100"/>
              <w:spacing w:after="0"/>
              <w:rPr>
                <w:sz w:val="20"/>
                <w:szCs w:val="20"/>
                <w:color w:val="auto"/>
              </w:rPr>
            </w:pPr>
            <w:r>
              <w:rPr>
                <w:rFonts w:ascii="Arial" w:cs="Arial" w:eastAsia="Arial" w:hAnsi="Arial"/>
                <w:sz w:val="17"/>
                <w:szCs w:val="17"/>
                <w:color w:val="004878"/>
              </w:rPr>
              <w:t>Election of Directors</w:t>
            </w:r>
          </w:p>
        </w:tc>
        <w:tc>
          <w:tcPr>
            <w:tcW w:w="4000" w:type="dxa"/>
            <w:vAlign w:val="bottom"/>
            <w:tcBorders>
              <w:right w:val="single" w:sz="8" w:color="004878"/>
            </w:tcBorders>
            <w:shd w:val="clear" w:color="auto" w:fill="F0EFF7"/>
          </w:tcPr>
          <w:p>
            <w:pPr>
              <w:spacing w:after="0"/>
              <w:rPr>
                <w:sz w:val="19"/>
                <w:szCs w:val="19"/>
                <w:color w:val="auto"/>
              </w:rPr>
            </w:pPr>
          </w:p>
        </w:tc>
        <w:tc>
          <w:tcPr>
            <w:tcW w:w="1240" w:type="dxa"/>
            <w:vAlign w:val="bottom"/>
            <w:shd w:val="clear" w:color="auto" w:fill="F0EFF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 w:type="dxa"/>
            <w:vAlign w:val="bottom"/>
            <w:shd w:val="clear" w:color="auto" w:fill="F0EFF7"/>
          </w:tcPr>
          <w:p>
            <w:pPr>
              <w:spacing w:after="0"/>
              <w:rPr>
                <w:sz w:val="19"/>
                <w:szCs w:val="19"/>
                <w:color w:val="auto"/>
              </w:rPr>
            </w:pPr>
          </w:p>
        </w:tc>
        <w:tc>
          <w:tcPr>
            <w:tcW w:w="4900" w:type="dxa"/>
            <w:vAlign w:val="bottom"/>
            <w:shd w:val="clear" w:color="auto" w:fill="F0EFF7"/>
          </w:tcPr>
          <w:p>
            <w:pPr>
              <w:ind w:left="100"/>
              <w:spacing w:after="0"/>
              <w:rPr>
                <w:sz w:val="20"/>
                <w:szCs w:val="20"/>
                <w:color w:val="auto"/>
              </w:rPr>
            </w:pPr>
            <w:r>
              <w:rPr>
                <w:rFonts w:ascii="Arial" w:cs="Arial" w:eastAsia="Arial" w:hAnsi="Arial"/>
                <w:sz w:val="17"/>
                <w:szCs w:val="17"/>
                <w:b w:val="1"/>
                <w:bCs w:val="1"/>
                <w:color w:val="004878"/>
              </w:rPr>
              <w:t>Nominees:</w:t>
            </w:r>
          </w:p>
        </w:tc>
        <w:tc>
          <w:tcPr>
            <w:tcW w:w="4000" w:type="dxa"/>
            <w:vAlign w:val="bottom"/>
            <w:tcBorders>
              <w:right w:val="single" w:sz="8" w:color="004878"/>
            </w:tcBorders>
            <w:shd w:val="clear" w:color="auto" w:fill="F0EFF7"/>
          </w:tcPr>
          <w:p>
            <w:pPr>
              <w:spacing w:after="0"/>
              <w:rPr>
                <w:sz w:val="19"/>
                <w:szCs w:val="19"/>
                <w:color w:val="auto"/>
              </w:rPr>
            </w:pPr>
          </w:p>
        </w:tc>
        <w:tc>
          <w:tcPr>
            <w:tcW w:w="1240" w:type="dxa"/>
            <w:vAlign w:val="bottom"/>
            <w:shd w:val="clear" w:color="auto" w:fill="F0EFF7"/>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7"/>
                <w:szCs w:val="17"/>
                <w:color w:val="004878"/>
              </w:rPr>
              <w:t>  1a.</w:t>
            </w:r>
          </w:p>
        </w:tc>
        <w:tc>
          <w:tcPr>
            <w:tcW w:w="4900" w:type="dxa"/>
            <w:vAlign w:val="bottom"/>
            <w:tcBorders>
              <w:bottom w:val="single" w:sz="8" w:color="004878"/>
            </w:tcBorders>
            <w:shd w:val="clear" w:color="auto" w:fill="F0EFF7"/>
          </w:tcPr>
          <w:p>
            <w:pPr>
              <w:ind w:left="100"/>
              <w:spacing w:after="0"/>
              <w:rPr>
                <w:sz w:val="20"/>
                <w:szCs w:val="20"/>
                <w:color w:val="auto"/>
              </w:rPr>
            </w:pPr>
            <w:r>
              <w:rPr>
                <w:rFonts w:ascii="Arial" w:cs="Arial" w:eastAsia="Arial" w:hAnsi="Arial"/>
                <w:sz w:val="17"/>
                <w:szCs w:val="17"/>
                <w:color w:val="004878"/>
              </w:rPr>
              <w:t>Raquel C. Bono, M.D.</w:t>
            </w:r>
          </w:p>
        </w:tc>
        <w:tc>
          <w:tcPr>
            <w:tcW w:w="4000" w:type="dxa"/>
            <w:vAlign w:val="bottom"/>
            <w:tcBorders>
              <w:bottom w:val="single" w:sz="8" w:color="004878"/>
              <w:right w:val="single" w:sz="8" w:color="004878"/>
            </w:tcBorders>
            <w:shd w:val="clear" w:color="auto" w:fill="F0EFF7"/>
          </w:tcPr>
          <w:p>
            <w:pPr>
              <w:spacing w:after="0"/>
              <w:rPr>
                <w:sz w:val="24"/>
                <w:szCs w:val="24"/>
                <w:color w:val="auto"/>
              </w:rPr>
            </w:pPr>
          </w:p>
        </w:tc>
        <w:tc>
          <w:tcPr>
            <w:tcW w:w="1240" w:type="dxa"/>
            <w:vAlign w:val="bottom"/>
            <w:tcBorders>
              <w:bottom w:val="single" w:sz="8" w:color="004878"/>
            </w:tcBorders>
            <w:shd w:val="clear" w:color="auto" w:fill="F0EFF7"/>
          </w:tcPr>
          <w:p>
            <w:pPr>
              <w:ind w:left="38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1b.</w:t>
            </w:r>
          </w:p>
        </w:tc>
        <w:tc>
          <w:tcPr>
            <w:tcW w:w="4900" w:type="dxa"/>
            <w:vAlign w:val="bottom"/>
            <w:tcBorders>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Bruce D. Broussard</w:t>
            </w:r>
          </w:p>
        </w:tc>
        <w:tc>
          <w:tcPr>
            <w:tcW w:w="4000" w:type="dxa"/>
            <w:vAlign w:val="bottom"/>
            <w:tcBorders>
              <w:bottom w:val="single" w:sz="8" w:color="F0EFF7"/>
              <w:right w:val="single" w:sz="8" w:color="004878"/>
            </w:tcBorders>
            <w:shd w:val="clear" w:color="auto" w:fill="F0EFF7"/>
          </w:tcPr>
          <w:p>
            <w:pPr>
              <w:spacing w:after="0"/>
              <w:rPr>
                <w:sz w:val="24"/>
                <w:szCs w:val="24"/>
                <w:color w:val="auto"/>
              </w:rPr>
            </w:pPr>
          </w:p>
        </w:tc>
        <w:tc>
          <w:tcPr>
            <w:tcW w:w="1240" w:type="dxa"/>
            <w:vAlign w:val="bottom"/>
            <w:tcBorders>
              <w:bottom w:val="single" w:sz="8" w:color="F0EFF7"/>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1c.</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Frank A. D’Amelio</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1d.</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David T. Feinberg, M.D.</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1e.</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Wayne A. I. Frederick, M.D.</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1f.</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John W. Garratt</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1g.</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Kurt J. Hilzinger</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1h.</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Karen W. Katz</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1i.</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Marcy S. Klevorn</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1j.</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Jorge S. Mesquita</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321"/>
        </w:trPr>
        <w:tc>
          <w:tcPr>
            <w:tcW w:w="40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  1k.</w:t>
            </w:r>
          </w:p>
        </w:tc>
        <w:tc>
          <w:tcPr>
            <w:tcW w:w="4900" w:type="dxa"/>
            <w:vAlign w:val="bottom"/>
            <w:tcBorders>
              <w:top w:val="single" w:sz="8" w:color="004878"/>
              <w:bottom w:val="single" w:sz="8" w:color="F0EFF7"/>
            </w:tcBorders>
            <w:shd w:val="clear" w:color="auto" w:fill="F0EFF7"/>
          </w:tcPr>
          <w:p>
            <w:pPr>
              <w:ind w:left="100"/>
              <w:spacing w:after="0"/>
              <w:rPr>
                <w:sz w:val="20"/>
                <w:szCs w:val="20"/>
                <w:color w:val="auto"/>
              </w:rPr>
            </w:pPr>
            <w:r>
              <w:rPr>
                <w:rFonts w:ascii="Arial" w:cs="Arial" w:eastAsia="Arial" w:hAnsi="Arial"/>
                <w:sz w:val="17"/>
                <w:szCs w:val="17"/>
                <w:color w:val="004878"/>
              </w:rPr>
              <w:t>Brad D. Smith</w:t>
            </w:r>
          </w:p>
        </w:tc>
        <w:tc>
          <w:tcPr>
            <w:tcW w:w="4000" w:type="dxa"/>
            <w:vAlign w:val="bottom"/>
            <w:tcBorders>
              <w:top w:val="single" w:sz="8" w:color="004878"/>
              <w:bottom w:val="single" w:sz="8" w:color="F0EFF7"/>
              <w:right w:val="single" w:sz="8" w:color="004878"/>
            </w:tcBorders>
            <w:shd w:val="clear" w:color="auto" w:fill="F0EFF7"/>
          </w:tcPr>
          <w:p>
            <w:pPr>
              <w:spacing w:after="0"/>
              <w:rPr>
                <w:sz w:val="24"/>
                <w:szCs w:val="24"/>
                <w:color w:val="auto"/>
              </w:rPr>
            </w:pPr>
          </w:p>
        </w:tc>
        <w:tc>
          <w:tcPr>
            <w:tcW w:w="1240" w:type="dxa"/>
            <w:vAlign w:val="bottom"/>
            <w:tcBorders>
              <w:top w:val="single" w:sz="8" w:color="004878"/>
              <w:bottom w:val="single" w:sz="8" w:color="004878"/>
            </w:tcBorders>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183"/>
        </w:trPr>
        <w:tc>
          <w:tcPr>
            <w:tcW w:w="400" w:type="dxa"/>
            <w:vAlign w:val="bottom"/>
            <w:tcBorders>
              <w:top w:val="single" w:sz="8" w:color="004878"/>
            </w:tcBorders>
            <w:vMerge w:val="restart"/>
            <w:shd w:val="clear" w:color="auto" w:fill="F0EFF7"/>
          </w:tcPr>
          <w:p>
            <w:pPr>
              <w:spacing w:after="0"/>
              <w:rPr>
                <w:sz w:val="20"/>
                <w:szCs w:val="20"/>
                <w:color w:val="auto"/>
              </w:rPr>
            </w:pPr>
            <w:r>
              <w:rPr>
                <w:rFonts w:ascii="Arial" w:cs="Arial" w:eastAsia="Arial" w:hAnsi="Arial"/>
                <w:sz w:val="17"/>
                <w:szCs w:val="17"/>
                <w:color w:val="004878"/>
              </w:rPr>
              <w:t>  2.</w:t>
            </w:r>
          </w:p>
        </w:tc>
        <w:tc>
          <w:tcPr>
            <w:tcW w:w="8900" w:type="dxa"/>
            <w:vAlign w:val="bottom"/>
            <w:tcBorders>
              <w:top w:val="single" w:sz="8" w:color="004878"/>
              <w:right w:val="single" w:sz="8" w:color="004878"/>
            </w:tcBorders>
            <w:gridSpan w:val="2"/>
            <w:shd w:val="clear" w:color="auto" w:fill="F0EFF7"/>
          </w:tcPr>
          <w:p>
            <w:pPr>
              <w:ind w:left="100"/>
              <w:spacing w:after="0" w:line="183" w:lineRule="exact"/>
              <w:rPr>
                <w:sz w:val="20"/>
                <w:szCs w:val="20"/>
                <w:color w:val="auto"/>
              </w:rPr>
            </w:pPr>
            <w:r>
              <w:rPr>
                <w:rFonts w:ascii="Arial" w:cs="Arial" w:eastAsia="Arial" w:hAnsi="Arial"/>
                <w:sz w:val="17"/>
                <w:szCs w:val="17"/>
                <w:color w:val="004878"/>
              </w:rPr>
              <w:t>The ratification of the appointment of Pricewater-houseCoopers LLP as the Company’s independent registered</w:t>
            </w:r>
          </w:p>
        </w:tc>
        <w:tc>
          <w:tcPr>
            <w:tcW w:w="1240" w:type="dxa"/>
            <w:vAlign w:val="bottom"/>
            <w:tcBorders>
              <w:top w:val="single" w:sz="8" w:color="004878"/>
            </w:tcBorders>
            <w:vMerge w:val="restart"/>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123"/>
        </w:trPr>
        <w:tc>
          <w:tcPr>
            <w:tcW w:w="400" w:type="dxa"/>
            <w:vAlign w:val="bottom"/>
            <w:vMerge w:val="continue"/>
            <w:shd w:val="clear" w:color="auto" w:fill="F0EFF7"/>
          </w:tcPr>
          <w:p>
            <w:pPr>
              <w:spacing w:after="0"/>
              <w:rPr>
                <w:sz w:val="10"/>
                <w:szCs w:val="10"/>
                <w:color w:val="auto"/>
              </w:rPr>
            </w:pPr>
          </w:p>
        </w:tc>
        <w:tc>
          <w:tcPr>
            <w:tcW w:w="4900" w:type="dxa"/>
            <w:vAlign w:val="bottom"/>
            <w:vMerge w:val="restart"/>
            <w:shd w:val="clear" w:color="auto" w:fill="F0EFF7"/>
          </w:tcPr>
          <w:p>
            <w:pPr>
              <w:ind w:left="100"/>
              <w:spacing w:after="0"/>
              <w:rPr>
                <w:sz w:val="20"/>
                <w:szCs w:val="20"/>
                <w:color w:val="auto"/>
              </w:rPr>
            </w:pPr>
            <w:r>
              <w:rPr>
                <w:rFonts w:ascii="Arial" w:cs="Arial" w:eastAsia="Arial" w:hAnsi="Arial"/>
                <w:sz w:val="17"/>
                <w:szCs w:val="17"/>
                <w:color w:val="004878"/>
              </w:rPr>
              <w:t>public accounting firm.</w:t>
            </w:r>
          </w:p>
        </w:tc>
        <w:tc>
          <w:tcPr>
            <w:tcW w:w="4000" w:type="dxa"/>
            <w:vAlign w:val="bottom"/>
            <w:tcBorders>
              <w:right w:val="single" w:sz="8" w:color="004878"/>
            </w:tcBorders>
            <w:shd w:val="clear" w:color="auto" w:fill="F0EFF7"/>
          </w:tcPr>
          <w:p>
            <w:pPr>
              <w:spacing w:after="0"/>
              <w:rPr>
                <w:sz w:val="10"/>
                <w:szCs w:val="10"/>
                <w:color w:val="auto"/>
              </w:rPr>
            </w:pPr>
          </w:p>
        </w:tc>
        <w:tc>
          <w:tcPr>
            <w:tcW w:w="1240" w:type="dxa"/>
            <w:vAlign w:val="bottom"/>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 w:type="dxa"/>
            <w:vAlign w:val="bottom"/>
            <w:tcBorders>
              <w:bottom w:val="single" w:sz="8" w:color="004878"/>
            </w:tcBorders>
            <w:shd w:val="clear" w:color="auto" w:fill="F0EFF7"/>
          </w:tcPr>
          <w:p>
            <w:pPr>
              <w:spacing w:after="0"/>
              <w:rPr>
                <w:sz w:val="7"/>
                <w:szCs w:val="7"/>
                <w:color w:val="auto"/>
              </w:rPr>
            </w:pPr>
          </w:p>
        </w:tc>
        <w:tc>
          <w:tcPr>
            <w:tcW w:w="4900" w:type="dxa"/>
            <w:vAlign w:val="bottom"/>
            <w:tcBorders>
              <w:bottom w:val="single" w:sz="8" w:color="004878"/>
            </w:tcBorders>
            <w:vMerge w:val="continue"/>
            <w:shd w:val="clear" w:color="auto" w:fill="F0EFF7"/>
          </w:tcPr>
          <w:p>
            <w:pPr>
              <w:spacing w:after="0"/>
              <w:rPr>
                <w:sz w:val="7"/>
                <w:szCs w:val="7"/>
                <w:color w:val="auto"/>
              </w:rPr>
            </w:pPr>
          </w:p>
        </w:tc>
        <w:tc>
          <w:tcPr>
            <w:tcW w:w="4000" w:type="dxa"/>
            <w:vAlign w:val="bottom"/>
            <w:tcBorders>
              <w:bottom w:val="single" w:sz="8" w:color="004878"/>
              <w:right w:val="single" w:sz="8" w:color="004878"/>
            </w:tcBorders>
            <w:shd w:val="clear" w:color="auto" w:fill="F0EFF7"/>
          </w:tcPr>
          <w:p>
            <w:pPr>
              <w:spacing w:after="0"/>
              <w:rPr>
                <w:sz w:val="7"/>
                <w:szCs w:val="7"/>
                <w:color w:val="auto"/>
              </w:rPr>
            </w:pPr>
          </w:p>
        </w:tc>
        <w:tc>
          <w:tcPr>
            <w:tcW w:w="1240" w:type="dxa"/>
            <w:vAlign w:val="bottom"/>
            <w:tcBorders>
              <w:bottom w:val="single" w:sz="8" w:color="004878"/>
            </w:tcBorders>
            <w:vMerge w:val="continue"/>
            <w:shd w:val="clear" w:color="auto" w:fill="F0EFF7"/>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00" w:type="dxa"/>
            <w:vAlign w:val="bottom"/>
            <w:vMerge w:val="restart"/>
            <w:shd w:val="clear" w:color="auto" w:fill="F0EFF7"/>
          </w:tcPr>
          <w:p>
            <w:pPr>
              <w:spacing w:after="0"/>
              <w:rPr>
                <w:sz w:val="20"/>
                <w:szCs w:val="20"/>
                <w:color w:val="auto"/>
              </w:rPr>
            </w:pPr>
            <w:r>
              <w:rPr>
                <w:rFonts w:ascii="Arial" w:cs="Arial" w:eastAsia="Arial" w:hAnsi="Arial"/>
                <w:sz w:val="17"/>
                <w:szCs w:val="17"/>
                <w:color w:val="004878"/>
              </w:rPr>
              <w:t>  3.</w:t>
            </w:r>
          </w:p>
        </w:tc>
        <w:tc>
          <w:tcPr>
            <w:tcW w:w="8900" w:type="dxa"/>
            <w:vAlign w:val="bottom"/>
            <w:tcBorders>
              <w:right w:val="single" w:sz="8" w:color="004878"/>
            </w:tcBorders>
            <w:gridSpan w:val="2"/>
            <w:shd w:val="clear" w:color="auto" w:fill="F0EFF7"/>
          </w:tcPr>
          <w:p>
            <w:pPr>
              <w:ind w:left="100"/>
              <w:spacing w:after="0" w:line="183" w:lineRule="exact"/>
              <w:rPr>
                <w:sz w:val="20"/>
                <w:szCs w:val="20"/>
                <w:color w:val="auto"/>
              </w:rPr>
            </w:pPr>
            <w:r>
              <w:rPr>
                <w:rFonts w:ascii="Arial" w:cs="Arial" w:eastAsia="Arial" w:hAnsi="Arial"/>
                <w:sz w:val="17"/>
                <w:szCs w:val="17"/>
                <w:color w:val="004878"/>
              </w:rPr>
              <w:t>Non-binding advisory vote for the approval of the compensation of the named executive officers as disclosed in the</w:t>
            </w:r>
          </w:p>
        </w:tc>
        <w:tc>
          <w:tcPr>
            <w:tcW w:w="1240" w:type="dxa"/>
            <w:vAlign w:val="bottom"/>
            <w:vMerge w:val="restart"/>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123"/>
        </w:trPr>
        <w:tc>
          <w:tcPr>
            <w:tcW w:w="400" w:type="dxa"/>
            <w:vAlign w:val="bottom"/>
            <w:vMerge w:val="continue"/>
            <w:shd w:val="clear" w:color="auto" w:fill="F0EFF7"/>
          </w:tcPr>
          <w:p>
            <w:pPr>
              <w:spacing w:after="0"/>
              <w:rPr>
                <w:sz w:val="10"/>
                <w:szCs w:val="10"/>
                <w:color w:val="auto"/>
              </w:rPr>
            </w:pPr>
          </w:p>
        </w:tc>
        <w:tc>
          <w:tcPr>
            <w:tcW w:w="4900" w:type="dxa"/>
            <w:vAlign w:val="bottom"/>
            <w:vMerge w:val="restart"/>
            <w:shd w:val="clear" w:color="auto" w:fill="F0EFF7"/>
          </w:tcPr>
          <w:p>
            <w:pPr>
              <w:ind w:left="100"/>
              <w:spacing w:after="0"/>
              <w:rPr>
                <w:sz w:val="20"/>
                <w:szCs w:val="20"/>
                <w:color w:val="auto"/>
              </w:rPr>
            </w:pPr>
            <w:r>
              <w:rPr>
                <w:rFonts w:ascii="Arial" w:cs="Arial" w:eastAsia="Arial" w:hAnsi="Arial"/>
                <w:sz w:val="17"/>
                <w:szCs w:val="17"/>
                <w:color w:val="004878"/>
              </w:rPr>
              <w:t>2024 proxy statement.</w:t>
            </w:r>
          </w:p>
        </w:tc>
        <w:tc>
          <w:tcPr>
            <w:tcW w:w="4000" w:type="dxa"/>
            <w:vAlign w:val="bottom"/>
            <w:tcBorders>
              <w:right w:val="single" w:sz="8" w:color="004878"/>
            </w:tcBorders>
            <w:shd w:val="clear" w:color="auto" w:fill="F0EFF7"/>
          </w:tcPr>
          <w:p>
            <w:pPr>
              <w:spacing w:after="0"/>
              <w:rPr>
                <w:sz w:val="10"/>
                <w:szCs w:val="10"/>
                <w:color w:val="auto"/>
              </w:rPr>
            </w:pPr>
          </w:p>
        </w:tc>
        <w:tc>
          <w:tcPr>
            <w:tcW w:w="1240" w:type="dxa"/>
            <w:vAlign w:val="bottom"/>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 w:type="dxa"/>
            <w:vAlign w:val="bottom"/>
            <w:tcBorders>
              <w:bottom w:val="single" w:sz="8" w:color="004878"/>
            </w:tcBorders>
            <w:shd w:val="clear" w:color="auto" w:fill="F0EFF7"/>
          </w:tcPr>
          <w:p>
            <w:pPr>
              <w:spacing w:after="0"/>
              <w:rPr>
                <w:sz w:val="7"/>
                <w:szCs w:val="7"/>
                <w:color w:val="auto"/>
              </w:rPr>
            </w:pPr>
          </w:p>
        </w:tc>
        <w:tc>
          <w:tcPr>
            <w:tcW w:w="4900" w:type="dxa"/>
            <w:vAlign w:val="bottom"/>
            <w:tcBorders>
              <w:bottom w:val="single" w:sz="8" w:color="004878"/>
            </w:tcBorders>
            <w:vMerge w:val="continue"/>
            <w:shd w:val="clear" w:color="auto" w:fill="F0EFF7"/>
          </w:tcPr>
          <w:p>
            <w:pPr>
              <w:spacing w:after="0"/>
              <w:rPr>
                <w:sz w:val="7"/>
                <w:szCs w:val="7"/>
                <w:color w:val="auto"/>
              </w:rPr>
            </w:pPr>
          </w:p>
        </w:tc>
        <w:tc>
          <w:tcPr>
            <w:tcW w:w="4000" w:type="dxa"/>
            <w:vAlign w:val="bottom"/>
            <w:tcBorders>
              <w:bottom w:val="single" w:sz="8" w:color="004878"/>
              <w:right w:val="single" w:sz="8" w:color="004878"/>
            </w:tcBorders>
            <w:shd w:val="clear" w:color="auto" w:fill="F0EFF7"/>
          </w:tcPr>
          <w:p>
            <w:pPr>
              <w:spacing w:after="0"/>
              <w:rPr>
                <w:sz w:val="7"/>
                <w:szCs w:val="7"/>
                <w:color w:val="auto"/>
              </w:rPr>
            </w:pPr>
          </w:p>
        </w:tc>
        <w:tc>
          <w:tcPr>
            <w:tcW w:w="1240" w:type="dxa"/>
            <w:vAlign w:val="bottom"/>
            <w:tcBorders>
              <w:bottom w:val="single" w:sz="8" w:color="004878"/>
            </w:tcBorders>
            <w:vMerge w:val="continue"/>
            <w:shd w:val="clear" w:color="auto" w:fill="F0EFF7"/>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00" w:type="dxa"/>
            <w:vAlign w:val="bottom"/>
            <w:vMerge w:val="restart"/>
            <w:shd w:val="clear" w:color="auto" w:fill="F0EFF7"/>
          </w:tcPr>
          <w:p>
            <w:pPr>
              <w:spacing w:after="0"/>
              <w:rPr>
                <w:sz w:val="20"/>
                <w:szCs w:val="20"/>
                <w:color w:val="auto"/>
              </w:rPr>
            </w:pPr>
            <w:r>
              <w:rPr>
                <w:rFonts w:ascii="Arial" w:cs="Arial" w:eastAsia="Arial" w:hAnsi="Arial"/>
                <w:sz w:val="17"/>
                <w:szCs w:val="17"/>
                <w:color w:val="004878"/>
              </w:rPr>
              <w:t>  4.</w:t>
            </w:r>
          </w:p>
        </w:tc>
        <w:tc>
          <w:tcPr>
            <w:tcW w:w="8900" w:type="dxa"/>
            <w:vAlign w:val="bottom"/>
            <w:tcBorders>
              <w:right w:val="single" w:sz="8" w:color="004878"/>
            </w:tcBorders>
            <w:gridSpan w:val="2"/>
            <w:shd w:val="clear" w:color="auto" w:fill="F0EFF7"/>
          </w:tcPr>
          <w:p>
            <w:pPr>
              <w:ind w:left="100"/>
              <w:spacing w:after="0" w:line="183" w:lineRule="exact"/>
              <w:rPr>
                <w:sz w:val="20"/>
                <w:szCs w:val="20"/>
                <w:color w:val="auto"/>
              </w:rPr>
            </w:pPr>
            <w:r>
              <w:rPr>
                <w:rFonts w:ascii="Arial" w:cs="Arial" w:eastAsia="Arial" w:hAnsi="Arial"/>
                <w:sz w:val="17"/>
                <w:szCs w:val="17"/>
                <w:color w:val="004878"/>
              </w:rPr>
              <w:t>The approval of the amendment to the Company’s Restated Certificate of Incorporation to limit the liability of</w:t>
            </w:r>
          </w:p>
        </w:tc>
        <w:tc>
          <w:tcPr>
            <w:tcW w:w="1240" w:type="dxa"/>
            <w:vAlign w:val="bottom"/>
            <w:vMerge w:val="restart"/>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123"/>
        </w:trPr>
        <w:tc>
          <w:tcPr>
            <w:tcW w:w="400" w:type="dxa"/>
            <w:vAlign w:val="bottom"/>
            <w:vMerge w:val="continue"/>
            <w:shd w:val="clear" w:color="auto" w:fill="F0EFF7"/>
          </w:tcPr>
          <w:p>
            <w:pPr>
              <w:spacing w:after="0"/>
              <w:rPr>
                <w:sz w:val="10"/>
                <w:szCs w:val="10"/>
                <w:color w:val="auto"/>
              </w:rPr>
            </w:pPr>
          </w:p>
        </w:tc>
        <w:tc>
          <w:tcPr>
            <w:tcW w:w="4900" w:type="dxa"/>
            <w:vAlign w:val="bottom"/>
            <w:vMerge w:val="restart"/>
            <w:shd w:val="clear" w:color="auto" w:fill="F0EFF7"/>
          </w:tcPr>
          <w:p>
            <w:pPr>
              <w:ind w:left="100"/>
              <w:spacing w:after="0"/>
              <w:rPr>
                <w:sz w:val="20"/>
                <w:szCs w:val="20"/>
                <w:color w:val="auto"/>
              </w:rPr>
            </w:pPr>
            <w:r>
              <w:rPr>
                <w:rFonts w:ascii="Arial" w:cs="Arial" w:eastAsia="Arial" w:hAnsi="Arial"/>
                <w:sz w:val="17"/>
                <w:szCs w:val="17"/>
                <w:color w:val="004878"/>
              </w:rPr>
              <w:t>certain officers of the Company as permitted by Delaware law.</w:t>
            </w:r>
          </w:p>
        </w:tc>
        <w:tc>
          <w:tcPr>
            <w:tcW w:w="4000" w:type="dxa"/>
            <w:vAlign w:val="bottom"/>
            <w:tcBorders>
              <w:right w:val="single" w:sz="8" w:color="004878"/>
            </w:tcBorders>
            <w:shd w:val="clear" w:color="auto" w:fill="F0EFF7"/>
          </w:tcPr>
          <w:p>
            <w:pPr>
              <w:spacing w:after="0"/>
              <w:rPr>
                <w:sz w:val="10"/>
                <w:szCs w:val="10"/>
                <w:color w:val="auto"/>
              </w:rPr>
            </w:pPr>
          </w:p>
        </w:tc>
        <w:tc>
          <w:tcPr>
            <w:tcW w:w="1240" w:type="dxa"/>
            <w:vAlign w:val="bottom"/>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 w:type="dxa"/>
            <w:vAlign w:val="bottom"/>
            <w:tcBorders>
              <w:bottom w:val="single" w:sz="8" w:color="004878"/>
            </w:tcBorders>
            <w:shd w:val="clear" w:color="auto" w:fill="F0EFF7"/>
          </w:tcPr>
          <w:p>
            <w:pPr>
              <w:spacing w:after="0"/>
              <w:rPr>
                <w:sz w:val="7"/>
                <w:szCs w:val="7"/>
                <w:color w:val="auto"/>
              </w:rPr>
            </w:pPr>
          </w:p>
        </w:tc>
        <w:tc>
          <w:tcPr>
            <w:tcW w:w="4900" w:type="dxa"/>
            <w:vAlign w:val="bottom"/>
            <w:tcBorders>
              <w:bottom w:val="single" w:sz="8" w:color="004878"/>
            </w:tcBorders>
            <w:vMerge w:val="continue"/>
            <w:shd w:val="clear" w:color="auto" w:fill="F0EFF7"/>
          </w:tcPr>
          <w:p>
            <w:pPr>
              <w:spacing w:after="0"/>
              <w:rPr>
                <w:sz w:val="7"/>
                <w:szCs w:val="7"/>
                <w:color w:val="auto"/>
              </w:rPr>
            </w:pPr>
          </w:p>
        </w:tc>
        <w:tc>
          <w:tcPr>
            <w:tcW w:w="4000" w:type="dxa"/>
            <w:vAlign w:val="bottom"/>
            <w:tcBorders>
              <w:bottom w:val="single" w:sz="8" w:color="004878"/>
              <w:right w:val="single" w:sz="8" w:color="004878"/>
            </w:tcBorders>
            <w:shd w:val="clear" w:color="auto" w:fill="F0EFF7"/>
          </w:tcPr>
          <w:p>
            <w:pPr>
              <w:spacing w:after="0"/>
              <w:rPr>
                <w:sz w:val="7"/>
                <w:szCs w:val="7"/>
                <w:color w:val="auto"/>
              </w:rPr>
            </w:pPr>
          </w:p>
        </w:tc>
        <w:tc>
          <w:tcPr>
            <w:tcW w:w="1240" w:type="dxa"/>
            <w:vAlign w:val="bottom"/>
            <w:tcBorders>
              <w:bottom w:val="single" w:sz="8" w:color="004878"/>
            </w:tcBorders>
            <w:vMerge w:val="continue"/>
            <w:shd w:val="clear" w:color="auto" w:fill="F0EFF7"/>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00" w:type="dxa"/>
            <w:vAlign w:val="bottom"/>
            <w:vMerge w:val="restart"/>
            <w:shd w:val="clear" w:color="auto" w:fill="F0EFF7"/>
          </w:tcPr>
          <w:p>
            <w:pPr>
              <w:spacing w:after="0"/>
              <w:rPr>
                <w:sz w:val="20"/>
                <w:szCs w:val="20"/>
                <w:color w:val="auto"/>
              </w:rPr>
            </w:pPr>
            <w:r>
              <w:rPr>
                <w:rFonts w:ascii="Arial" w:cs="Arial" w:eastAsia="Arial" w:hAnsi="Arial"/>
                <w:sz w:val="17"/>
                <w:szCs w:val="17"/>
                <w:color w:val="004878"/>
              </w:rPr>
              <w:t>  5.</w:t>
            </w:r>
          </w:p>
        </w:tc>
        <w:tc>
          <w:tcPr>
            <w:tcW w:w="8900" w:type="dxa"/>
            <w:vAlign w:val="bottom"/>
            <w:tcBorders>
              <w:right w:val="single" w:sz="8" w:color="004878"/>
            </w:tcBorders>
            <w:gridSpan w:val="2"/>
            <w:shd w:val="clear" w:color="auto" w:fill="F0EFF7"/>
          </w:tcPr>
          <w:p>
            <w:pPr>
              <w:ind w:left="100"/>
              <w:spacing w:after="0" w:line="183" w:lineRule="exact"/>
              <w:rPr>
                <w:sz w:val="20"/>
                <w:szCs w:val="20"/>
                <w:color w:val="auto"/>
              </w:rPr>
            </w:pPr>
            <w:r>
              <w:rPr>
                <w:rFonts w:ascii="Arial" w:cs="Arial" w:eastAsia="Arial" w:hAnsi="Arial"/>
                <w:sz w:val="17"/>
                <w:szCs w:val="17"/>
                <w:color w:val="004878"/>
              </w:rPr>
              <w:t>The approval of the amendment to the Company’s Restated Certificate of Incorporation to eliminate supermajority</w:t>
            </w:r>
          </w:p>
        </w:tc>
        <w:tc>
          <w:tcPr>
            <w:tcW w:w="1240" w:type="dxa"/>
            <w:vAlign w:val="bottom"/>
            <w:vMerge w:val="restart"/>
            <w:shd w:val="clear" w:color="auto" w:fill="F0EFF7"/>
          </w:tcPr>
          <w:p>
            <w:pPr>
              <w:ind w:left="400"/>
              <w:spacing w:after="0"/>
              <w:rPr>
                <w:sz w:val="20"/>
                <w:szCs w:val="20"/>
                <w:color w:val="auto"/>
              </w:rPr>
            </w:pPr>
            <w:r>
              <w:rPr>
                <w:rFonts w:ascii="Arial" w:cs="Arial" w:eastAsia="Arial" w:hAnsi="Arial"/>
                <w:sz w:val="17"/>
                <w:szCs w:val="17"/>
                <w:b w:val="1"/>
                <w:bCs w:val="1"/>
                <w:color w:val="004878"/>
              </w:rPr>
              <w:t>For</w:t>
            </w:r>
          </w:p>
        </w:tc>
        <w:tc>
          <w:tcPr>
            <w:tcW w:w="0" w:type="dxa"/>
            <w:vAlign w:val="bottom"/>
          </w:tcPr>
          <w:p>
            <w:pPr>
              <w:spacing w:after="0"/>
              <w:rPr>
                <w:sz w:val="1"/>
                <w:szCs w:val="1"/>
                <w:color w:val="auto"/>
              </w:rPr>
            </w:pPr>
          </w:p>
        </w:tc>
      </w:tr>
      <w:tr>
        <w:trPr>
          <w:trHeight w:val="123"/>
        </w:trPr>
        <w:tc>
          <w:tcPr>
            <w:tcW w:w="400" w:type="dxa"/>
            <w:vAlign w:val="bottom"/>
            <w:vMerge w:val="continue"/>
            <w:shd w:val="clear" w:color="auto" w:fill="F0EFF7"/>
          </w:tcPr>
          <w:p>
            <w:pPr>
              <w:spacing w:after="0"/>
              <w:rPr>
                <w:sz w:val="10"/>
                <w:szCs w:val="10"/>
                <w:color w:val="auto"/>
              </w:rPr>
            </w:pPr>
          </w:p>
        </w:tc>
        <w:tc>
          <w:tcPr>
            <w:tcW w:w="4900" w:type="dxa"/>
            <w:vAlign w:val="bottom"/>
            <w:vMerge w:val="restart"/>
            <w:shd w:val="clear" w:color="auto" w:fill="F0EFF7"/>
          </w:tcPr>
          <w:p>
            <w:pPr>
              <w:ind w:left="100"/>
              <w:spacing w:after="0"/>
              <w:rPr>
                <w:sz w:val="20"/>
                <w:szCs w:val="20"/>
                <w:color w:val="auto"/>
              </w:rPr>
            </w:pPr>
            <w:r>
              <w:rPr>
                <w:rFonts w:ascii="Arial" w:cs="Arial" w:eastAsia="Arial" w:hAnsi="Arial"/>
                <w:sz w:val="17"/>
                <w:szCs w:val="17"/>
                <w:color w:val="004878"/>
              </w:rPr>
              <w:t>voting requirement in connection with certain transactions.</w:t>
            </w:r>
          </w:p>
        </w:tc>
        <w:tc>
          <w:tcPr>
            <w:tcW w:w="4000" w:type="dxa"/>
            <w:vAlign w:val="bottom"/>
            <w:tcBorders>
              <w:right w:val="single" w:sz="8" w:color="004878"/>
            </w:tcBorders>
            <w:shd w:val="clear" w:color="auto" w:fill="F0EFF7"/>
          </w:tcPr>
          <w:p>
            <w:pPr>
              <w:spacing w:after="0"/>
              <w:rPr>
                <w:sz w:val="10"/>
                <w:szCs w:val="10"/>
                <w:color w:val="auto"/>
              </w:rPr>
            </w:pPr>
          </w:p>
        </w:tc>
        <w:tc>
          <w:tcPr>
            <w:tcW w:w="1240" w:type="dxa"/>
            <w:vAlign w:val="bottom"/>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0" w:type="dxa"/>
            <w:vAlign w:val="bottom"/>
            <w:tcBorders>
              <w:bottom w:val="single" w:sz="8" w:color="004878"/>
            </w:tcBorders>
            <w:shd w:val="clear" w:color="auto" w:fill="F0EFF7"/>
          </w:tcPr>
          <w:p>
            <w:pPr>
              <w:spacing w:after="0"/>
              <w:rPr>
                <w:sz w:val="7"/>
                <w:szCs w:val="7"/>
                <w:color w:val="auto"/>
              </w:rPr>
            </w:pPr>
          </w:p>
        </w:tc>
        <w:tc>
          <w:tcPr>
            <w:tcW w:w="4900" w:type="dxa"/>
            <w:vAlign w:val="bottom"/>
            <w:tcBorders>
              <w:bottom w:val="single" w:sz="8" w:color="004878"/>
            </w:tcBorders>
            <w:vMerge w:val="continue"/>
            <w:shd w:val="clear" w:color="auto" w:fill="F0EFF7"/>
          </w:tcPr>
          <w:p>
            <w:pPr>
              <w:spacing w:after="0"/>
              <w:rPr>
                <w:sz w:val="7"/>
                <w:szCs w:val="7"/>
                <w:color w:val="auto"/>
              </w:rPr>
            </w:pPr>
          </w:p>
        </w:tc>
        <w:tc>
          <w:tcPr>
            <w:tcW w:w="4000" w:type="dxa"/>
            <w:vAlign w:val="bottom"/>
            <w:tcBorders>
              <w:bottom w:val="single" w:sz="8" w:color="004878"/>
              <w:right w:val="single" w:sz="8" w:color="004878"/>
            </w:tcBorders>
            <w:shd w:val="clear" w:color="auto" w:fill="F0EFF7"/>
          </w:tcPr>
          <w:p>
            <w:pPr>
              <w:spacing w:after="0"/>
              <w:rPr>
                <w:sz w:val="7"/>
                <w:szCs w:val="7"/>
                <w:color w:val="auto"/>
              </w:rPr>
            </w:pPr>
          </w:p>
        </w:tc>
        <w:tc>
          <w:tcPr>
            <w:tcW w:w="1240" w:type="dxa"/>
            <w:vAlign w:val="bottom"/>
            <w:tcBorders>
              <w:bottom w:val="single" w:sz="8" w:color="004878"/>
            </w:tcBorders>
            <w:vMerge w:val="continue"/>
            <w:shd w:val="clear" w:color="auto" w:fill="F0EFF7"/>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0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7"/>
                <w:szCs w:val="17"/>
                <w:color w:val="004878"/>
              </w:rPr>
              <w:t>6.</w:t>
            </w:r>
          </w:p>
        </w:tc>
        <w:tc>
          <w:tcPr>
            <w:tcW w:w="8900" w:type="dxa"/>
            <w:vAlign w:val="bottom"/>
            <w:tcBorders>
              <w:bottom w:val="single" w:sz="8" w:color="F0EFF7"/>
              <w:right w:val="single" w:sz="8" w:color="004878"/>
            </w:tcBorders>
            <w:gridSpan w:val="2"/>
            <w:shd w:val="clear" w:color="auto" w:fill="F0EFF7"/>
          </w:tcPr>
          <w:p>
            <w:pPr>
              <w:ind w:left="100"/>
              <w:spacing w:after="0"/>
              <w:rPr>
                <w:sz w:val="20"/>
                <w:szCs w:val="20"/>
                <w:color w:val="auto"/>
              </w:rPr>
            </w:pPr>
            <w:r>
              <w:rPr>
                <w:rFonts w:ascii="Arial" w:cs="Arial" w:eastAsia="Arial" w:hAnsi="Arial"/>
                <w:sz w:val="17"/>
                <w:szCs w:val="17"/>
                <w:color w:val="004878"/>
              </w:rPr>
              <w:t>The stockholder proposal on simple majority vote, if properly presented at the meeting.</w:t>
            </w:r>
          </w:p>
        </w:tc>
        <w:tc>
          <w:tcPr>
            <w:tcW w:w="1240" w:type="dxa"/>
            <w:vAlign w:val="bottom"/>
            <w:tcBorders>
              <w:bottom w:val="single" w:sz="8" w:color="F0EFF7"/>
            </w:tcBorders>
            <w:shd w:val="clear" w:color="auto" w:fill="F0EFF7"/>
          </w:tcPr>
          <w:p>
            <w:pPr>
              <w:ind w:left="420"/>
              <w:spacing w:after="0"/>
              <w:rPr>
                <w:sz w:val="20"/>
                <w:szCs w:val="20"/>
                <w:color w:val="auto"/>
              </w:rPr>
            </w:pPr>
            <w:r>
              <w:rPr>
                <w:rFonts w:ascii="Arial" w:cs="Arial" w:eastAsia="Arial" w:hAnsi="Arial"/>
                <w:sz w:val="17"/>
                <w:szCs w:val="17"/>
                <w:b w:val="1"/>
                <w:bCs w:val="1"/>
                <w:color w:val="004878"/>
              </w:rPr>
              <w:t>Against</w:t>
            </w:r>
          </w:p>
        </w:tc>
        <w:tc>
          <w:tcPr>
            <w:tcW w:w="0" w:type="dxa"/>
            <w:vAlign w:val="bottom"/>
          </w:tcPr>
          <w:p>
            <w:pPr>
              <w:spacing w:after="0"/>
              <w:rPr>
                <w:sz w:val="1"/>
                <w:szCs w:val="1"/>
                <w:color w:val="auto"/>
              </w:rPr>
            </w:pPr>
          </w:p>
        </w:tc>
      </w:tr>
      <w:tr>
        <w:trPr>
          <w:trHeight w:val="200"/>
        </w:trPr>
        <w:tc>
          <w:tcPr>
            <w:tcW w:w="9300" w:type="dxa"/>
            <w:vAlign w:val="bottom"/>
            <w:tcBorders>
              <w:top w:val="single" w:sz="8" w:color="004878"/>
              <w:bottom w:val="single" w:sz="8" w:color="004878"/>
              <w:right w:val="single" w:sz="8" w:color="F0EFF7"/>
            </w:tcBorders>
            <w:gridSpan w:val="3"/>
            <w:shd w:val="clear" w:color="auto" w:fill="F0EFF7"/>
          </w:tcPr>
          <w:p>
            <w:pPr>
              <w:spacing w:after="0"/>
              <w:rPr>
                <w:sz w:val="20"/>
                <w:szCs w:val="20"/>
                <w:color w:val="auto"/>
              </w:rPr>
            </w:pPr>
            <w:r>
              <w:rPr>
                <w:rFonts w:ascii="Arial" w:cs="Arial" w:eastAsia="Arial" w:hAnsi="Arial"/>
                <w:sz w:val="17"/>
                <w:szCs w:val="17"/>
                <w:color w:val="004878"/>
              </w:rPr>
              <w:t>At their discretion, the Proxies are authorized to vote upon any other matters as may come before the Annual Meeting.</w:t>
            </w:r>
          </w:p>
        </w:tc>
        <w:tc>
          <w:tcPr>
            <w:tcW w:w="1240" w:type="dxa"/>
            <w:vAlign w:val="bottom"/>
            <w:tcBorders>
              <w:top w:val="single" w:sz="8" w:color="004878"/>
              <w:bottom w:val="single" w:sz="8" w:color="004878"/>
            </w:tcBorders>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1931"/>
        </w:trPr>
        <w:tc>
          <w:tcPr>
            <w:tcW w:w="400" w:type="dxa"/>
            <w:vAlign w:val="bottom"/>
            <w:shd w:val="clear" w:color="auto" w:fill="F0EFF7"/>
          </w:tcPr>
          <w:p>
            <w:pPr>
              <w:spacing w:after="0"/>
              <w:rPr>
                <w:sz w:val="24"/>
                <w:szCs w:val="24"/>
                <w:color w:val="auto"/>
              </w:rPr>
            </w:pPr>
          </w:p>
        </w:tc>
        <w:tc>
          <w:tcPr>
            <w:tcW w:w="8900" w:type="dxa"/>
            <w:vAlign w:val="bottom"/>
            <w:tcBorders>
              <w:right w:val="single" w:sz="8" w:color="F0EFF7"/>
            </w:tcBorders>
            <w:gridSpan w:val="2"/>
            <w:shd w:val="clear" w:color="auto" w:fill="F0EFF7"/>
          </w:tcPr>
          <w:p>
            <w:pPr>
              <w:spacing w:after="0"/>
              <w:rPr>
                <w:sz w:val="24"/>
                <w:szCs w:val="24"/>
                <w:color w:val="auto"/>
              </w:rPr>
            </w:pPr>
          </w:p>
        </w:tc>
        <w:tc>
          <w:tcPr>
            <w:tcW w:w="124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890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00" w:type="dxa"/>
            <w:vAlign w:val="bottom"/>
            <w:tcBorders>
              <w:bottom w:val="single" w:sz="8" w:color="004878"/>
            </w:tcBorders>
            <w:shd w:val="clear" w:color="auto" w:fill="004878"/>
          </w:tcPr>
          <w:p>
            <w:pPr>
              <w:spacing w:after="0"/>
              <w:rPr>
                <w:sz w:val="20"/>
                <w:szCs w:val="20"/>
                <w:color w:val="auto"/>
              </w:rPr>
            </w:pPr>
            <w:r>
              <w:rPr>
                <w:rFonts w:ascii="Arial" w:cs="Arial" w:eastAsia="Arial" w:hAnsi="Arial"/>
                <w:sz w:val="17"/>
                <w:szCs w:val="17"/>
                <w:color w:val="FFFFFF"/>
              </w:rPr>
              <w:t xml:space="preserve">       </w:t>
            </w:r>
          </w:p>
        </w:tc>
        <w:tc>
          <w:tcPr>
            <w:tcW w:w="8900" w:type="dxa"/>
            <w:vAlign w:val="bottom"/>
            <w:tcBorders>
              <w:bottom w:val="single" w:sz="8" w:color="004878"/>
              <w:right w:val="single" w:sz="8" w:color="004878"/>
            </w:tcBorders>
            <w:gridSpan w:val="2"/>
            <w:shd w:val="clear" w:color="auto" w:fill="004878"/>
          </w:tcPr>
          <w:p>
            <w:pPr>
              <w:ind w:left="100"/>
              <w:spacing w:after="0"/>
              <w:rPr>
                <w:sz w:val="20"/>
                <w:szCs w:val="20"/>
                <w:color w:val="auto"/>
              </w:rPr>
            </w:pPr>
            <w:r>
              <w:rPr>
                <w:rFonts w:ascii="Arial" w:cs="Arial" w:eastAsia="Arial" w:hAnsi="Arial"/>
                <w:sz w:val="17"/>
                <w:szCs w:val="17"/>
                <w:color w:val="FFFFFF"/>
              </w:rPr>
              <w:t>Prefer to receive an email instead? While voting on www.ProxyVote.com, be sure to click “Delivery Settings”.</w:t>
            </w:r>
          </w:p>
        </w:tc>
        <w:tc>
          <w:tcPr>
            <w:tcW w:w="1240" w:type="dxa"/>
            <w:vAlign w:val="bottom"/>
            <w:tcBorders>
              <w:bottom w:val="single" w:sz="8" w:color="004878"/>
            </w:tcBorders>
            <w:shd w:val="clear" w:color="auto" w:fill="004878"/>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8900" w:type="dxa"/>
            <w:vAlign w:val="bottom"/>
            <w:gridSpan w:val="2"/>
          </w:tcPr>
          <w:p>
            <w:pPr>
              <w:ind w:left="4420"/>
              <w:spacing w:after="0"/>
              <w:rPr>
                <w:sz w:val="20"/>
                <w:szCs w:val="20"/>
                <w:color w:val="auto"/>
              </w:rPr>
            </w:pPr>
            <w:r>
              <w:rPr>
                <w:rFonts w:ascii="Arial" w:cs="Arial" w:eastAsia="Arial" w:hAnsi="Arial"/>
                <w:sz w:val="12"/>
                <w:szCs w:val="12"/>
                <w:color w:val="231F20"/>
              </w:rPr>
              <w:t>V30287-P02701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5960110</wp:posOffset>
            </wp:positionH>
            <wp:positionV relativeFrom="paragraph">
              <wp:posOffset>-5447030</wp:posOffset>
            </wp:positionV>
            <wp:extent cx="155575"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575" cy="15557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-5250180</wp:posOffset>
            </wp:positionV>
            <wp:extent cx="163830" cy="172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-5036820</wp:posOffset>
            </wp:positionV>
            <wp:extent cx="163830" cy="172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-4823460</wp:posOffset>
            </wp:positionV>
            <wp:extent cx="163830" cy="172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-4610100</wp:posOffset>
            </wp:positionV>
            <wp:extent cx="163830" cy="172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-4396740</wp:posOffset>
            </wp:positionV>
            <wp:extent cx="163830" cy="172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-4183380</wp:posOffset>
            </wp:positionV>
            <wp:extent cx="163830" cy="172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-3970020</wp:posOffset>
            </wp:positionV>
            <wp:extent cx="163830" cy="172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-3756660</wp:posOffset>
            </wp:positionV>
            <wp:extent cx="163830" cy="172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-3543300</wp:posOffset>
            </wp:positionV>
            <wp:extent cx="163830" cy="172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-3329940</wp:posOffset>
            </wp:positionV>
            <wp:extent cx="163830" cy="172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-3091815</wp:posOffset>
            </wp:positionV>
            <wp:extent cx="163830" cy="172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-2829560</wp:posOffset>
            </wp:positionV>
            <wp:extent cx="163830" cy="172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-2567305</wp:posOffset>
            </wp:positionV>
            <wp:extent cx="163830" cy="172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-2304415</wp:posOffset>
            </wp:positionV>
            <wp:extent cx="163830" cy="172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830" cy="172085"/>
                    </a:xfrm>
                    <a:prstGeom prst="rect">
                      <a:avLst/>
                    </a:prstGeom>
                    <a:noFill/>
                  </pic:spPr>
                </pic:pic>
              </a:graphicData>
            </a:graphic>
          </wp:anchor>
        </w:drawing>
        <w:drawing>
          <wp:anchor simplePos="0" relativeHeight="251657728" behindDoc="1" locked="0" layoutInCell="0" allowOverlap="1">
            <wp:simplePos x="0" y="0"/>
            <wp:positionH relativeFrom="column">
              <wp:posOffset>5960110</wp:posOffset>
            </wp:positionH>
            <wp:positionV relativeFrom="paragraph">
              <wp:posOffset>-2066290</wp:posOffset>
            </wp:positionV>
            <wp:extent cx="180340" cy="172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340" cy="172085"/>
                    </a:xfrm>
                    <a:prstGeom prst="rect">
                      <a:avLst/>
                    </a:prstGeom>
                    <a:noFill/>
                  </pic:spPr>
                </pic:pic>
              </a:graphicData>
            </a:graphic>
          </wp:anchor>
        </w:drawing>
      </w:r>
    </w:p>
    <w:sectPr>
      <w:pgSz w:w="11900" w:h="16838" w:orient="portrait"/>
      <w:cols w:equalWidth="0" w:num="1">
        <w:col w:w="10540"/>
      </w:cols>
      <w:pgMar w:left="680" w:top="25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2024-03-08T06:40:11Z</dcterms:created>
  <dcterms:modified xsi:type="dcterms:W3CDTF">2024-03-08T06:40:11Z</dcterms:modified>
</cp:coreProperties>
</file>