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29, 2026 (July 29,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Humana Inc. </w:t>
      </w:r>
    </w:p>
    <w:tbl>
      <w:tblPr>
        <w:tblW w:w="4515" w:type="dxa"/>
        <w:jc w:val="center"/>
        <w:tblInd w:w="0" w:type="dxa"/>
        <w:tblLayout w:type="fixed"/>
        <w:tblCellMar>
          <w:top w:w="28" w:type="dxa"/>
          <w:left w:w="28" w:type="dxa"/>
          <w:bottom w:w="28" w:type="dxa"/>
          <w:right w:w="28" w:type="dxa"/>
        </w:tblCellMar>
      </w:tblPr>
      <w:tblGrid>
        <w:gridCol w:w="1445"/>
        <w:gridCol w:w="1270"/>
        <w:gridCol w:w="1800"/>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4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1-5975</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61-0647538</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101 East Main Street, Louisville, KY 40202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502-580-1000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9"/>
        <w:gridCol w:w="2169"/>
        <w:gridCol w:w="3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342" w:type="dxa"/>
        <w:jc w:val="center"/>
        <w:tblInd w:w="0" w:type="dxa"/>
        <w:tblLayout w:type="fixed"/>
        <w:tblCellMar>
          <w:top w:w="28" w:type="dxa"/>
          <w:left w:w="28" w:type="dxa"/>
          <w:bottom w:w="28" w:type="dxa"/>
          <w:right w:w="28" w:type="dxa"/>
        </w:tblCellMar>
      </w:tblPr>
      <w:tblGrid>
        <w:gridCol w:w="569"/>
        <w:gridCol w:w="499"/>
        <w:gridCol w:w="506"/>
        <w:gridCol w:w="484"/>
        <w:gridCol w:w="484"/>
        <w:gridCol w:w="486"/>
        <w:gridCol w:w="970"/>
        <w:gridCol w:w="970"/>
        <w:gridCol w:w="1374"/>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HUM</w:t>
            </w:r>
          </w:p>
        </w:tc>
        <w:tc>
          <w:tcPr>
            <w:tcW w:w="331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(17 CFR §230.405) or Rule 12b-2 of the Securities Exchange Act of 1934 (17 CFR §240.12b-2).</w:t>
      </w:r>
    </w:p>
    <w:p>
      <w:pPr>
        <w:pStyle w:val="TextBody"/>
        <w:bidi w:val="0"/>
        <w:spacing w:lineRule="auto" w:line="288" w:before="0" w:after="12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ind w:left="0" w:right="0" w:firstLine="495"/>
        <w:jc w:val="both"/>
        <w:rPr/>
      </w:pPr>
      <w:r>
        <w:rPr>
          <w:rFonts w:ascii="Times New Roman;serif" w:hAnsi="Times New Roman;serif"/>
          <w:b w:val="false"/>
          <w:color w:val="000000"/>
          <w:sz w:val="20"/>
        </w:rPr>
        <w:t xml:space="preserve">Humana Inc. (the "Company") issued a press release this morning reporting financial results for the quarter ended June 30, 2026, and posted a detailed earnings release related to the same period to the Investor Relations portion of the Company’s website at </w:t>
      </w:r>
      <w:r>
        <w:rPr>
          <w:rFonts w:ascii="Times New Roman;serif" w:hAnsi="Times New Roman;serif"/>
          <w:b w:val="false"/>
          <w:color w:val="000000"/>
          <w:sz w:val="20"/>
          <w:u w:val="single"/>
        </w:rPr>
        <w:t>www.humana.com</w:t>
      </w:r>
      <w:r>
        <w:rPr>
          <w:rFonts w:ascii="Times New Roman;serif" w:hAnsi="Times New Roman;serif"/>
          <w:b w:val="false"/>
          <w:color w:val="000000"/>
          <w:sz w:val="20"/>
        </w:rPr>
        <w:t>. A copy of each release is attached hereto as Exhibit 99.1 and Exhibit 99.2, respectively, and each release is incorporated herein by reference. Additionally, a copy of management's prepared remarks on the Company's financial results for the quarter ended June 30, 2026 and expectations for future earnings, is attached hereto as Exhibit 99.3, and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873" w:type="dxa"/>
        <w:jc w:val="left"/>
        <w:tblInd w:w="0" w:type="dxa"/>
        <w:tblLayout w:type="fixed"/>
        <w:tblCellMar>
          <w:top w:w="28" w:type="dxa"/>
          <w:left w:w="28" w:type="dxa"/>
          <w:bottom w:w="28" w:type="dxa"/>
          <w:right w:w="28" w:type="dxa"/>
        </w:tblCellMar>
      </w:tblPr>
      <w:tblGrid>
        <w:gridCol w:w="342"/>
        <w:gridCol w:w="301"/>
        <w:gridCol w:w="303"/>
        <w:gridCol w:w="1980"/>
        <w:gridCol w:w="1980"/>
        <w:gridCol w:w="1989"/>
        <w:gridCol w:w="202"/>
        <w:gridCol w:w="202"/>
        <w:gridCol w:w="202"/>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6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5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m-2026q2xex99x1briefxjul.htm">
              <w:r>
                <w:rPr>
                  <w:rStyle w:val="InternetLink"/>
                  <w:rFonts w:ascii="Times New Roman;serif" w:hAnsi="Times New Roman;serif"/>
                  <w:b w:val="false"/>
                  <w:color w:val="0000FF"/>
                  <w:sz w:val="20"/>
                  <w:u w:val="single"/>
                </w:rPr>
                <w:t>Press Release</w:t>
              </w:r>
            </w:hyperlink>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5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m-2026q2xex99x2detailedx.htm">
              <w:r>
                <w:rPr>
                  <w:rStyle w:val="InternetLink"/>
                  <w:rFonts w:ascii="Times New Roman;serif" w:hAnsi="Times New Roman;serif"/>
                  <w:b w:val="false"/>
                  <w:color w:val="0000FF"/>
                  <w:sz w:val="20"/>
                  <w:u w:val="single"/>
                </w:rPr>
                <w:t>Earnings Release and Statistical Pages</w:t>
              </w:r>
            </w:hyperlink>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5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026humanaincpostedrema.htm">
              <w:r>
                <w:rPr>
                  <w:rStyle w:val="InternetLink"/>
                  <w:rFonts w:ascii="Times New Roman;serif" w:hAnsi="Times New Roman;serif"/>
                  <w:b w:val="false"/>
                  <w:color w:val="0000FF"/>
                  <w:sz w:val="20"/>
                  <w:u w:val="single"/>
                </w:rPr>
                <w:t>Prepared Management Remarks</w:t>
              </w:r>
            </w:hyperlink>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012" w:type="dxa"/>
        <w:jc w:val="right"/>
        <w:tblInd w:w="0" w:type="dxa"/>
        <w:tblLayout w:type="fixed"/>
        <w:tblCellMar>
          <w:top w:w="28" w:type="dxa"/>
          <w:left w:w="28" w:type="dxa"/>
          <w:bottom w:w="28" w:type="dxa"/>
          <w:right w:w="28" w:type="dxa"/>
        </w:tblCellMar>
      </w:tblPr>
      <w:tblGrid>
        <w:gridCol w:w="254"/>
        <w:gridCol w:w="224"/>
        <w:gridCol w:w="224"/>
        <w:gridCol w:w="1551"/>
        <w:gridCol w:w="1551"/>
        <w:gridCol w:w="2208"/>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60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HUMANA INC.</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John-Paul W. Felter</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John-Paul W. Felter</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Vice President, Chief Accounting Officer &amp; Controller</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Dated: July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54" w:type="dxa"/>
        <w:jc w:val="right"/>
        <w:tblInd w:w="0" w:type="dxa"/>
        <w:tblLayout w:type="fixed"/>
        <w:tblCellMar>
          <w:top w:w="28" w:type="dxa"/>
          <w:left w:w="28" w:type="dxa"/>
          <w:bottom w:w="28" w:type="dxa"/>
          <w:right w:w="28" w:type="dxa"/>
        </w:tblCellMar>
      </w:tblPr>
      <w:tblGrid>
        <w:gridCol w:w="1076"/>
        <w:gridCol w:w="946"/>
        <w:gridCol w:w="962"/>
        <w:gridCol w:w="869"/>
        <w:gridCol w:w="869"/>
        <w:gridCol w:w="1232"/>
      </w:tblGrid>
      <w:tr>
        <w:trPr/>
        <w:tc>
          <w:tcPr>
            <w:tcW w:w="10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30"/>
              </w:rPr>
              <w:t>n e w s</w:t>
            </w:r>
            <w:r>
              <w:rPr>
                <w:color w:val="000000"/>
              </w:rPr>
              <w:t xml:space="preserve"> </w:t>
            </w:r>
            <w:r>
              <w:rPr>
                <w:rFonts w:ascii="sans-serif" w:hAnsi="sans-serif"/>
                <w:b w:val="false"/>
                <w:color w:val="000000"/>
                <w:sz w:val="30"/>
              </w:rPr>
              <w:t>r e l e a s e</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color w:val="000000"/>
                <w:sz w:val="22"/>
              </w:rPr>
            </w:pPr>
            <w:r>
              <w:rPr>
                <w:rFonts w:ascii="sans-serif" w:hAnsi="sans-serif"/>
                <w:b/>
                <w:color w:val="000000"/>
                <w:sz w:val="22"/>
              </w:rPr>
              <w:t>Exhibit 99.1</w:t>
            </w:r>
          </w:p>
          <w:p>
            <w:pPr>
              <w:pStyle w:val="TableContents"/>
              <w:bidi w:val="0"/>
              <w:spacing w:lineRule="auto" w:line="240" w:before="0" w:after="0"/>
              <w:jc w:val="right"/>
              <w:rPr>
                <w:rFonts w:ascii="sans-serif" w:hAnsi="sans-serif"/>
                <w:b w:val="false"/>
                <w:color w:val="000000"/>
                <w:sz w:val="22"/>
              </w:rPr>
            </w:pPr>
            <w:r>
              <w:rPr>
                <w:rFonts w:ascii="sans-serif" w:hAnsi="sans-serif"/>
                <w:b w:val="false"/>
                <w:color w:val="000000"/>
                <w:sz w:val="22"/>
              </w:rPr>
              <w:t>Humana Inc.</w:t>
            </w:r>
          </w:p>
          <w:p>
            <w:pPr>
              <w:pStyle w:val="TableContents"/>
              <w:bidi w:val="0"/>
              <w:spacing w:lineRule="auto" w:line="240" w:before="0" w:after="0"/>
              <w:jc w:val="right"/>
              <w:rPr>
                <w:rFonts w:ascii="sans-serif" w:hAnsi="sans-serif"/>
                <w:b w:val="false"/>
                <w:color w:val="000000"/>
                <w:sz w:val="22"/>
              </w:rPr>
            </w:pPr>
            <w:r>
              <w:rPr>
                <w:rFonts w:ascii="sans-serif" w:hAnsi="sans-serif"/>
                <w:b w:val="false"/>
                <w:color w:val="000000"/>
                <w:sz w:val="22"/>
              </w:rPr>
              <w:t>101 East Main Street</w:t>
            </w:r>
          </w:p>
          <w:p>
            <w:pPr>
              <w:pStyle w:val="TableContents"/>
              <w:bidi w:val="0"/>
              <w:spacing w:lineRule="auto" w:line="240" w:before="0" w:after="0"/>
              <w:jc w:val="right"/>
              <w:rPr>
                <w:rFonts w:ascii="sans-serif" w:hAnsi="sans-serif"/>
                <w:b w:val="false"/>
                <w:color w:val="000000"/>
                <w:sz w:val="22"/>
              </w:rPr>
            </w:pPr>
            <w:r>
              <w:rPr>
                <w:rFonts w:ascii="sans-serif" w:hAnsi="sans-serif"/>
                <w:b w:val="false"/>
                <w:color w:val="000000"/>
                <w:sz w:val="22"/>
              </w:rPr>
              <w:t>P.O. Box 1438</w:t>
            </w:r>
          </w:p>
          <w:p>
            <w:pPr>
              <w:pStyle w:val="TableContents"/>
              <w:bidi w:val="0"/>
              <w:spacing w:lineRule="auto" w:line="240" w:before="0" w:after="0"/>
              <w:jc w:val="right"/>
              <w:rPr>
                <w:rFonts w:ascii="sans-serif" w:hAnsi="sans-serif"/>
                <w:b w:val="false"/>
                <w:color w:val="000000"/>
                <w:sz w:val="22"/>
              </w:rPr>
            </w:pPr>
            <w:r>
              <w:rPr>
                <w:rFonts w:ascii="sans-serif" w:hAnsi="sans-serif"/>
                <w:b w:val="false"/>
                <w:color w:val="000000"/>
                <w:sz w:val="22"/>
              </w:rPr>
              <w:t>Louisville, KY 40202</w:t>
            </w:r>
          </w:p>
          <w:p>
            <w:pPr>
              <w:pStyle w:val="TableContents"/>
              <w:bidi w:val="0"/>
              <w:spacing w:lineRule="auto" w:line="240" w:before="0" w:after="0"/>
              <w:jc w:val="right"/>
              <w:rPr>
                <w:rFonts w:ascii="sans-serif" w:hAnsi="sans-serif"/>
                <w:b w:val="false"/>
                <w:color w:val="000000"/>
                <w:sz w:val="22"/>
                <w:u w:val="single"/>
              </w:rPr>
            </w:pPr>
            <w:r>
              <w:rPr>
                <w:rFonts w:ascii="sans-serif" w:hAnsi="sans-serif"/>
                <w:b w:val="false"/>
                <w:color w:val="000000"/>
                <w:sz w:val="22"/>
                <w:u w:val="single"/>
              </w:rPr>
              <w:t>http://www.humana.com</w:t>
            </w:r>
          </w:p>
        </w:tc>
      </w:tr>
    </w:tbl>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FOR MORE INFORMATION CONTACT:</w:t>
      </w:r>
    </w:p>
    <w:tbl>
      <w:tblPr>
        <w:tblW w:w="7165" w:type="dxa"/>
        <w:jc w:val="left"/>
        <w:tblInd w:w="0" w:type="dxa"/>
        <w:tblLayout w:type="fixed"/>
        <w:tblCellMar>
          <w:top w:w="28" w:type="dxa"/>
          <w:left w:w="28" w:type="dxa"/>
          <w:bottom w:w="28" w:type="dxa"/>
          <w:right w:w="28" w:type="dxa"/>
        </w:tblCellMar>
      </w:tblPr>
      <w:tblGrid>
        <w:gridCol w:w="1370"/>
        <w:gridCol w:w="1203"/>
        <w:gridCol w:w="1206"/>
        <w:gridCol w:w="992"/>
        <w:gridCol w:w="992"/>
        <w:gridCol w:w="1402"/>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Lisa Stoner</w:t>
              <w:br/>
              <w:t>Humana Investor Relations</w:t>
              <w:br/>
              <w:t>(502) 580-2652</w:t>
              <w:br/>
              <w:t>e-mail: LStamper@humana.com</w:t>
            </w:r>
          </w:p>
        </w:tc>
        <w:tc>
          <w:tcPr>
            <w:tcW w:w="338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66925" cy="619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66925" cy="619125"/>
                          </a:xfrm>
                          <a:prstGeom prst="rect">
                            <a:avLst/>
                          </a:prstGeom>
                        </pic:spPr>
                      </pic:pic>
                    </a:graphicData>
                  </a:graphic>
                </wp:inline>
              </w:drawing>
            </w:r>
          </w:p>
        </w:tc>
      </w:tr>
    </w:tbl>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Mark Taylor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Humana Corporate Communications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(317) 753-0345</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e-mail: MTaylor108@humana.com</w:t>
      </w:r>
    </w:p>
    <w:p>
      <w:pPr>
        <w:pStyle w:val="TextBody"/>
        <w:bidi w:val="0"/>
        <w:spacing w:before="0" w:after="0"/>
        <w:jc w:val="left"/>
        <w:rPr/>
      </w:pPr>
      <w:r>
        <w:rPr/>
      </w:r>
    </w:p>
    <w:p>
      <w:pPr>
        <w:pStyle w:val="TextBody"/>
        <w:bidi w:val="0"/>
        <w:spacing w:lineRule="auto" w:line="288" w:before="0" w:after="0"/>
        <w:jc w:val="center"/>
        <w:rPr>
          <w:rFonts w:ascii="sans-serif" w:hAnsi="sans-serif"/>
          <w:b/>
          <w:color w:val="5C9A1B"/>
          <w:sz w:val="32"/>
        </w:rPr>
      </w:pPr>
      <w:r>
        <w:rPr>
          <w:rFonts w:ascii="sans-serif" w:hAnsi="sans-serif"/>
          <w:b/>
          <w:color w:val="5C9A1B"/>
          <w:sz w:val="32"/>
        </w:rPr>
        <w:t xml:space="preserve">Humana Reports Second Quarter 2026 Financial Results; </w:t>
      </w:r>
    </w:p>
    <w:p>
      <w:pPr>
        <w:pStyle w:val="TextBody"/>
        <w:bidi w:val="0"/>
        <w:spacing w:lineRule="auto" w:line="288" w:before="0" w:after="0"/>
        <w:jc w:val="center"/>
        <w:rPr>
          <w:rFonts w:ascii="sans-serif" w:hAnsi="sans-serif"/>
          <w:b/>
          <w:color w:val="5C9A1B"/>
          <w:sz w:val="32"/>
        </w:rPr>
      </w:pPr>
      <w:r>
        <w:rPr>
          <w:rFonts w:ascii="sans-serif" w:hAnsi="sans-serif"/>
          <w:b/>
          <w:color w:val="5C9A1B"/>
          <w:sz w:val="32"/>
        </w:rPr>
        <w:t xml:space="preserve">Affirms Full Year 2026 Adjusted Financial Guidance </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Reports 2Q26 earnings per share (EPS) of $5.73</w:t>
      </w:r>
      <w:r>
        <w:rPr>
          <w:color w:val="000000"/>
        </w:rPr>
        <w:t xml:space="preserve"> </w:t>
      </w:r>
      <w:r>
        <w:rPr>
          <w:rFonts w:ascii="sans-serif" w:hAnsi="sans-serif"/>
          <w:b w:val="false"/>
          <w:color w:val="000000"/>
          <w:sz w:val="20"/>
        </w:rPr>
        <w:t>on a GAAP basis,</w:t>
      </w:r>
      <w:r>
        <w:rPr>
          <w:color w:val="000000"/>
        </w:rPr>
        <w:t xml:space="preserve"> </w:t>
      </w:r>
      <w:r>
        <w:rPr>
          <w:rFonts w:ascii="sans-serif" w:hAnsi="sans-serif"/>
          <w:b w:val="false"/>
          <w:color w:val="000000"/>
          <w:sz w:val="20"/>
        </w:rPr>
        <w:t xml:space="preserve">Adjusted EPS of $7.61; reports year to date (YTD) 2026 EPS of $15.55 on a GAAP basis, $17.91 on an Adjusted basis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 xml:space="preserve">2Q26 Insurance segment GAAP benefit ratio of 91.2 percent, in line with management's guidance of 'slightly above 91 percent'; affirms full year (FY) 2026 Insurance segment benefit ratio guidance of 92.75 percent, plus or minus 25 basis points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Affirms FY 2026 Adjusted EPS guidance of 'at least $9.00'; while revising GAAP EPS guidance to</w:t>
      </w:r>
      <w:r>
        <w:rPr>
          <w:color w:val="EE2724"/>
        </w:rPr>
        <w:t xml:space="preserve"> </w:t>
      </w:r>
      <w:r>
        <w:rPr>
          <w:rFonts w:ascii="sans-serif" w:hAnsi="sans-serif"/>
          <w:b w:val="false"/>
          <w:color w:val="000000"/>
          <w:sz w:val="20"/>
        </w:rPr>
        <w:t>'at least $6.52' from the previous estimate of 'at least $8.36'</w:t>
      </w:r>
    </w:p>
    <w:p>
      <w:pPr>
        <w:pStyle w:val="TextBody"/>
        <w:bidi w:val="0"/>
        <w:spacing w:lineRule="auto" w:line="276" w:before="0" w:after="0"/>
        <w:ind w:left="0" w:right="0" w:hanging="360"/>
        <w:jc w:val="both"/>
        <w:rPr/>
      </w:pPr>
      <w:r>
        <w:rPr>
          <w:color w:val="000000"/>
        </w:rPr>
        <w:t>•</w:t>
      </w:r>
      <w:r>
        <w:rPr>
          <w:rFonts w:ascii="sans-serif" w:hAnsi="sans-serif"/>
          <w:b w:val="false"/>
          <w:color w:val="000000"/>
          <w:sz w:val="20"/>
        </w:rPr>
        <w:t>Affirms FY 2026 individual Medicare Advantage (MA) membership growth of 'approximately 25 percent' over 2025; driven by new sales and improved retention from the company's customer-led benefit strategy and changes to its customer service approach</w:t>
      </w:r>
    </w:p>
    <w:p>
      <w:pPr>
        <w:pStyle w:val="TextBody"/>
        <w:bidi w:val="0"/>
        <w:spacing w:lineRule="auto" w:line="276" w:before="0" w:after="0"/>
        <w:ind w:left="0" w:right="0" w:hanging="360"/>
        <w:jc w:val="both"/>
        <w:rPr/>
      </w:pPr>
      <w:r>
        <w:rPr>
          <w:color w:val="000000"/>
          <w:shd w:fill="FFFFFF" w:val="clear"/>
        </w:rPr>
        <w:t>•</w:t>
      </w:r>
      <w:r>
        <w:rPr>
          <w:rFonts w:ascii="sans-serif" w:hAnsi="sans-serif"/>
          <w:b w:val="false"/>
          <w:color w:val="000000"/>
          <w:sz w:val="20"/>
        </w:rPr>
        <w:t>Continued strategic expansion of the company's CenterWell and Medicaid footprints</w:t>
      </w:r>
    </w:p>
    <w:p>
      <w:pPr>
        <w:pStyle w:val="TextBody"/>
        <w:bidi w:val="0"/>
        <w:spacing w:lineRule="auto" w:line="276" w:before="0" w:after="0"/>
        <w:ind w:left="0" w:right="0" w:hanging="360"/>
        <w:jc w:val="both"/>
        <w:rPr/>
      </w:pPr>
      <w:r>
        <w:rPr>
          <w:color w:val="000000"/>
        </w:rPr>
        <w:t>◦</w:t>
      </w:r>
      <w:r>
        <w:rPr>
          <w:rFonts w:ascii="sans-serif" w:hAnsi="sans-serif"/>
          <w:b w:val="false"/>
          <w:color w:val="000000"/>
          <w:sz w:val="20"/>
        </w:rPr>
        <w:t>YTD growth of 130,900 patients, or 27 percent, in CenterWell Senior Primary Care</w:t>
      </w:r>
    </w:p>
    <w:p>
      <w:pPr>
        <w:pStyle w:val="TextBody"/>
        <w:bidi w:val="0"/>
        <w:spacing w:lineRule="auto" w:line="276" w:before="0" w:after="0"/>
        <w:ind w:left="0" w:right="0" w:hanging="360"/>
        <w:jc w:val="both"/>
        <w:rPr/>
      </w:pPr>
      <w:r>
        <w:rPr>
          <w:color w:val="000000"/>
        </w:rPr>
        <w:t>◦</w:t>
      </w:r>
      <w:r>
        <w:rPr>
          <w:rFonts w:ascii="sans-serif" w:hAnsi="sans-serif"/>
          <w:b w:val="false"/>
          <w:color w:val="000000"/>
          <w:sz w:val="20"/>
        </w:rPr>
        <w:t xml:space="preserve">Broadened Illinois Medicaid footprint with the award of a statewide Illinois Medicaid managed care contract expected to go live in January 2027; Humana was the only new entrant awarded along with five incumbents </w:t>
      </w:r>
    </w:p>
    <w:p>
      <w:pPr>
        <w:pStyle w:val="TextBody"/>
        <w:bidi w:val="0"/>
        <w:spacing w:lineRule="auto" w:line="276" w:before="0" w:after="0"/>
        <w:ind w:left="0" w:right="0" w:hanging="360"/>
        <w:jc w:val="both"/>
        <w:rPr/>
      </w:pPr>
      <w:r>
        <w:rPr>
          <w:color w:val="000000"/>
          <w:shd w:fill="FFFFFF" w:val="clear"/>
        </w:rPr>
        <w:t>•</w:t>
      </w:r>
      <w:r>
        <w:rPr>
          <w:rFonts w:ascii="sans-serif" w:hAnsi="sans-serif"/>
          <w:b w:val="false"/>
          <w:color w:val="000000"/>
          <w:sz w:val="20"/>
        </w:rPr>
        <w:t>Publishes prepared management remarks to Investor Relations page of www.humana.com ahead of this morning's 8:00 a.m. ET question and answer session to discuss its financial results for the quarter and expectations for future earnings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pPr>
      <w:r>
        <w:rPr>
          <w:rFonts w:ascii="sans-serif" w:hAnsi="sans-serif"/>
          <w:b/>
          <w:color w:val="000000"/>
          <w:sz w:val="22"/>
        </w:rPr>
        <w:t>LOUISVILLE, KY (July 29, 2026)</w:t>
      </w:r>
      <w:r>
        <w:rPr>
          <w:color w:val="000000"/>
        </w:rPr>
        <w:t xml:space="preserve"> – </w:t>
      </w:r>
      <w:r>
        <w:rPr>
          <w:rFonts w:ascii="sans-serif" w:hAnsi="sans-serif"/>
          <w:b w:val="false"/>
          <w:color w:val="000000"/>
          <w:sz w:val="22"/>
        </w:rPr>
        <w:t>Humana Inc. (NYSE: HUM) today reported consolidated pretax results and diluted earnings per share (EPS) for the quarter ended June 30, 2026 (2Q26) versus the quarter ended June 30, 2025 (2Q25) and for the six months ended June 30, 2026 (YTD 2026) versus the six months ended June 30, 2025 (YTD 2025) as noted in the tables below.</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074"/>
        <w:gridCol w:w="1700"/>
        <w:gridCol w:w="1703"/>
        <w:gridCol w:w="420"/>
        <w:gridCol w:w="421"/>
        <w:gridCol w:w="257"/>
        <w:gridCol w:w="413"/>
        <w:gridCol w:w="413"/>
        <w:gridCol w:w="257"/>
        <w:gridCol w:w="459"/>
        <w:gridCol w:w="418"/>
        <w:gridCol w:w="365"/>
        <w:gridCol w:w="416"/>
        <w:gridCol w:w="412"/>
        <w:gridCol w:w="477"/>
      </w:tblGrid>
      <w:tr>
        <w:trPr/>
        <w:tc>
          <w:tcPr>
            <w:tcW w:w="207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pPr>
            <w:r>
              <w:rPr>
                <w:rFonts w:ascii="sans-serif" w:hAnsi="sans-serif"/>
                <w:b/>
                <w:color w:val="FFFFFF"/>
                <w:sz w:val="18"/>
              </w:rPr>
              <w:t xml:space="preserve">Consolidated income before income taxes and equity in net losses (pretax results) </w:t>
            </w:r>
            <w:r>
              <w:rPr>
                <w:rFonts w:ascii="sans-serif" w:hAnsi="sans-serif"/>
                <w:b w:val="false"/>
                <w:i/>
                <w:color w:val="FFFFFF"/>
                <w:sz w:val="18"/>
              </w:rPr>
              <w:t>In millions</w:t>
            </w:r>
          </w:p>
        </w:tc>
        <w:tc>
          <w:tcPr>
            <w:tcW w:w="1098"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2Q26 (a)</w:t>
            </w:r>
          </w:p>
        </w:tc>
        <w:tc>
          <w:tcPr>
            <w:tcW w:w="1083"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2Q25 (a)</w:t>
            </w:r>
          </w:p>
        </w:tc>
        <w:tc>
          <w:tcPr>
            <w:tcW w:w="1242"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YTD 2026 (a)</w:t>
            </w:r>
          </w:p>
        </w:tc>
        <w:tc>
          <w:tcPr>
            <w:tcW w:w="1305"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YTD 2025 (a)</w:t>
            </w:r>
          </w:p>
        </w:tc>
      </w:tr>
      <w:tr>
        <w:trPr/>
        <w:tc>
          <w:tcPr>
            <w:tcW w:w="547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Generally Accepted Accounting Principles (GAAP)</w:t>
            </w:r>
          </w:p>
        </w:tc>
        <w:tc>
          <w:tcPr>
            <w:tcW w:w="8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$952</w:t>
            </w:r>
            <w:r>
              <w:rPr>
                <w:color w:val="000000"/>
              </w:rPr>
              <w:t> </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$741 </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$2,547</w:t>
            </w:r>
            <w:r>
              <w:rPr>
                <w:color w:val="000000"/>
              </w:rPr>
              <w:t> </w:t>
            </w:r>
          </w:p>
        </w:tc>
        <w:tc>
          <w:tcPr>
            <w:tcW w:w="3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$2,432 </w:t>
            </w:r>
          </w:p>
        </w:tc>
        <w:tc>
          <w:tcPr>
            <w:tcW w:w="47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associated with identifiable intangibles</w:t>
            </w:r>
          </w:p>
        </w:tc>
        <w:tc>
          <w:tcPr>
            <w:tcW w:w="84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w:t>
            </w:r>
            <w:r>
              <w:rPr>
                <w:color w:val="000000"/>
              </w:rPr>
              <w:t> </w:t>
            </w:r>
          </w:p>
        </w:tc>
        <w:tc>
          <w:tcPr>
            <w:tcW w:w="257"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15 </w:t>
            </w:r>
          </w:p>
        </w:tc>
        <w:tc>
          <w:tcPr>
            <w:tcW w:w="257"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w:t>
            </w:r>
            <w:r>
              <w:rPr>
                <w:color w:val="000000"/>
              </w:rPr>
              <w:t> </w:t>
            </w:r>
          </w:p>
        </w:tc>
        <w:tc>
          <w:tcPr>
            <w:tcW w:w="365"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30 </w:t>
            </w:r>
          </w:p>
        </w:tc>
        <w:tc>
          <w:tcPr>
            <w:tcW w:w="477"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Put/call valuation adjustments associated with company's non-consolidating minority interest investments</w:t>
            </w:r>
          </w:p>
        </w:tc>
        <w:tc>
          <w:tcPr>
            <w:tcW w:w="84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211</w:t>
            </w:r>
            <w:r>
              <w:rPr>
                <w:color w:val="000000"/>
              </w:rPr>
              <w:t>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177</w:t>
            </w:r>
            <w:r>
              <w:rPr>
                <w:color w:val="000000"/>
              </w:rPr>
              <w:t>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363 </w:t>
            </w:r>
          </w:p>
        </w:tc>
        <w:tc>
          <w:tcPr>
            <w:tcW w:w="477"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Value creation initiatives</w:t>
            </w:r>
          </w:p>
        </w:tc>
        <w:tc>
          <w:tcPr>
            <w:tcW w:w="84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w:t>
            </w:r>
            <w:r>
              <w:rPr>
                <w:color w:val="000000"/>
              </w:rPr>
              <w:t> </w:t>
            </w:r>
          </w:p>
        </w:tc>
        <w:tc>
          <w:tcPr>
            <w:tcW w:w="257"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29 </w:t>
            </w:r>
          </w:p>
        </w:tc>
        <w:tc>
          <w:tcPr>
            <w:tcW w:w="257"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154</w:t>
            </w:r>
            <w:r>
              <w:rPr>
                <w:color w:val="000000"/>
              </w:rPr>
              <w:t> </w:t>
            </w:r>
          </w:p>
        </w:tc>
        <w:tc>
          <w:tcPr>
            <w:tcW w:w="365"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53 </w:t>
            </w:r>
          </w:p>
        </w:tc>
        <w:tc>
          <w:tcPr>
            <w:tcW w:w="477"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 charges</w:t>
            </w:r>
          </w:p>
        </w:tc>
        <w:tc>
          <w:tcPr>
            <w:tcW w:w="84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w:t>
            </w:r>
            <w:r>
              <w:rPr>
                <w:color w:val="000000"/>
              </w:rPr>
              <w:t>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w:t>
            </w:r>
            <w:r>
              <w:rPr>
                <w:color w:val="000000"/>
              </w:rPr>
              <w:t>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32 </w:t>
            </w:r>
          </w:p>
        </w:tc>
        <w:tc>
          <w:tcPr>
            <w:tcW w:w="477"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Adjusted (non-GAAP)</w:t>
            </w:r>
          </w:p>
        </w:tc>
        <w:tc>
          <w:tcPr>
            <w:tcW w:w="841"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$1,248</w:t>
            </w:r>
            <w:r>
              <w:rPr>
                <w:color w:val="000000"/>
              </w:rPr>
              <w:t> </w:t>
            </w:r>
          </w:p>
        </w:tc>
        <w:tc>
          <w:tcPr>
            <w:tcW w:w="257"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$1,017 </w:t>
            </w:r>
          </w:p>
        </w:tc>
        <w:tc>
          <w:tcPr>
            <w:tcW w:w="257"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$2,918</w:t>
            </w:r>
            <w:r>
              <w:rPr>
                <w:color w:val="000000"/>
              </w:rPr>
              <w:t> </w:t>
            </w:r>
          </w:p>
        </w:tc>
        <w:tc>
          <w:tcPr>
            <w:tcW w:w="365"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$2,910 </w:t>
            </w:r>
          </w:p>
        </w:tc>
        <w:tc>
          <w:tcPr>
            <w:tcW w:w="477" w:type="dxa"/>
            <w:tcBorders>
              <w:top w:val="single" w:sz="8" w:space="0" w:color="000000"/>
              <w:bottom w:val="single" w:sz="8" w:space="0" w:color="000000"/>
              <w:right w:val="single" w:sz="8" w:space="0" w:color="000000"/>
            </w:tcBorders>
            <w:shd w:fill="DEF3C0"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240" w:after="283"/>
        <w:jc w:val="center"/>
        <w:rPr/>
      </w:pPr>
      <w:r>
        <w:rPr/>
      </w:r>
    </w:p>
    <w:tbl>
      <w:tblPr>
        <w:tblW w:w="10205" w:type="dxa"/>
        <w:jc w:val="left"/>
        <w:tblInd w:w="0" w:type="dxa"/>
        <w:tblLayout w:type="fixed"/>
        <w:tblCellMar>
          <w:top w:w="28" w:type="dxa"/>
          <w:left w:w="28" w:type="dxa"/>
          <w:bottom w:w="28" w:type="dxa"/>
          <w:right w:w="28" w:type="dxa"/>
        </w:tblCellMar>
      </w:tblPr>
      <w:tblGrid>
        <w:gridCol w:w="2292"/>
        <w:gridCol w:w="1700"/>
        <w:gridCol w:w="1706"/>
        <w:gridCol w:w="360"/>
        <w:gridCol w:w="361"/>
        <w:gridCol w:w="260"/>
        <w:gridCol w:w="353"/>
        <w:gridCol w:w="353"/>
        <w:gridCol w:w="260"/>
        <w:gridCol w:w="459"/>
        <w:gridCol w:w="420"/>
        <w:gridCol w:w="370"/>
        <w:gridCol w:w="416"/>
        <w:gridCol w:w="412"/>
        <w:gridCol w:w="483"/>
      </w:tblGrid>
      <w:tr>
        <w:trPr/>
        <w:tc>
          <w:tcPr>
            <w:tcW w:w="229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left"/>
              <w:rPr>
                <w:rFonts w:ascii="sans-serif" w:hAnsi="sans-serif"/>
                <w:b/>
                <w:color w:val="FFFFFF"/>
                <w:sz w:val="18"/>
              </w:rPr>
            </w:pPr>
            <w:r>
              <w:rPr>
                <w:rFonts w:ascii="sans-serif" w:hAnsi="sans-serif"/>
                <w:b/>
                <w:color w:val="FFFFFF"/>
                <w:sz w:val="18"/>
              </w:rPr>
              <w:t>Diluted earnings per share (EPS)</w:t>
            </w:r>
          </w:p>
        </w:tc>
        <w:tc>
          <w:tcPr>
            <w:tcW w:w="98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2Q26 (a)</w:t>
            </w:r>
          </w:p>
        </w:tc>
        <w:tc>
          <w:tcPr>
            <w:tcW w:w="966"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2Q25 (a)</w:t>
            </w:r>
          </w:p>
        </w:tc>
        <w:tc>
          <w:tcPr>
            <w:tcW w:w="1249"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YTD 2026 (a)</w:t>
            </w:r>
          </w:p>
        </w:tc>
        <w:tc>
          <w:tcPr>
            <w:tcW w:w="1311"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YTD 2025 (a)</w:t>
            </w:r>
          </w:p>
        </w:tc>
      </w:tr>
      <w:tr>
        <w:trPr/>
        <w:tc>
          <w:tcPr>
            <w:tcW w:w="56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GAAP</w:t>
            </w:r>
          </w:p>
        </w:tc>
        <w:tc>
          <w:tcPr>
            <w:tcW w:w="72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$5.73</w:t>
            </w:r>
            <w:r>
              <w:rPr>
                <w:color w:val="000000"/>
              </w:rPr>
              <w:t>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$4.51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$15.55</w:t>
            </w:r>
            <w:r>
              <w:rPr>
                <w:color w:val="000000"/>
              </w:rPr>
              <w:t> </w:t>
            </w:r>
          </w:p>
        </w:tc>
        <w:tc>
          <w:tcPr>
            <w:tcW w:w="3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$14.81 </w:t>
            </w:r>
          </w:p>
        </w:tc>
        <w:tc>
          <w:tcPr>
            <w:tcW w:w="483"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associated with identifiable intangibles</w:t>
            </w:r>
          </w:p>
        </w:tc>
        <w:tc>
          <w:tcPr>
            <w:tcW w:w="72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0.07</w:t>
            </w:r>
            <w:r>
              <w:rPr>
                <w:color w:val="000000"/>
              </w:rPr>
              <w:t> </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0.12 </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0.16</w:t>
            </w:r>
            <w:r>
              <w:rPr>
                <w:color w:val="000000"/>
              </w:rPr>
              <w:t> </w:t>
            </w:r>
          </w:p>
        </w:tc>
        <w:tc>
          <w:tcPr>
            <w:tcW w:w="37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0.24 </w:t>
            </w:r>
          </w:p>
        </w:tc>
        <w:tc>
          <w:tcPr>
            <w:tcW w:w="483"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Put/call valuation adjustments associated with company's non-consolidating minority interest investments</w:t>
            </w:r>
          </w:p>
        </w:tc>
        <w:tc>
          <w:tcPr>
            <w:tcW w:w="72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1.74</w:t>
            </w:r>
            <w:r>
              <w:rPr>
                <w:color w:val="000000"/>
              </w:rPr>
              <w:t>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1.47</w:t>
            </w:r>
            <w:r>
              <w:rPr>
                <w:color w:val="000000"/>
              </w:rPr>
              <w:t> </w:t>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3.01 </w:t>
            </w:r>
          </w:p>
        </w:tc>
        <w:tc>
          <w:tcPr>
            <w:tcW w:w="483"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Value creation initiatives</w:t>
            </w:r>
          </w:p>
        </w:tc>
        <w:tc>
          <w:tcPr>
            <w:tcW w:w="72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0.46</w:t>
            </w:r>
            <w:r>
              <w:rPr>
                <w:color w:val="000000"/>
              </w:rPr>
              <w:t> </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0.24 </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1.27</w:t>
            </w:r>
            <w:r>
              <w:rPr>
                <w:color w:val="000000"/>
              </w:rPr>
              <w:t> </w:t>
            </w:r>
          </w:p>
        </w:tc>
        <w:tc>
          <w:tcPr>
            <w:tcW w:w="37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0.44 </w:t>
            </w:r>
          </w:p>
        </w:tc>
        <w:tc>
          <w:tcPr>
            <w:tcW w:w="483"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 charges</w:t>
            </w:r>
          </w:p>
        </w:tc>
        <w:tc>
          <w:tcPr>
            <w:tcW w:w="72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0.17</w:t>
            </w:r>
            <w:r>
              <w:rPr>
                <w:color w:val="000000"/>
              </w:rPr>
              <w:t>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0.27 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0.17</w:t>
            </w:r>
            <w:r>
              <w:rPr>
                <w:color w:val="000000"/>
              </w:rPr>
              <w:t> </w:t>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0.26 </w:t>
            </w:r>
          </w:p>
        </w:tc>
        <w:tc>
          <w:tcPr>
            <w:tcW w:w="483"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Cumulative net tax impact of non-GAAP adjustments</w:t>
            </w:r>
          </w:p>
        </w:tc>
        <w:tc>
          <w:tcPr>
            <w:tcW w:w="72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(0.56)</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(0.53)</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(0.71)</w:t>
            </w:r>
          </w:p>
        </w:tc>
        <w:tc>
          <w:tcPr>
            <w:tcW w:w="37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(0.91)</w:t>
            </w:r>
          </w:p>
        </w:tc>
        <w:tc>
          <w:tcPr>
            <w:tcW w:w="483"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Adjusted (non-GAAP)</w:t>
            </w:r>
          </w:p>
        </w:tc>
        <w:tc>
          <w:tcPr>
            <w:tcW w:w="721"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$7.61</w:t>
            </w:r>
            <w:r>
              <w:rPr>
                <w:color w:val="000000"/>
              </w:rPr>
              <w:t> </w:t>
            </w:r>
          </w:p>
        </w:tc>
        <w:tc>
          <w:tcPr>
            <w:tcW w:w="2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$6.27 </w:t>
            </w:r>
          </w:p>
        </w:tc>
        <w:tc>
          <w:tcPr>
            <w:tcW w:w="2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$17.91</w:t>
            </w:r>
            <w:r>
              <w:rPr>
                <w:color w:val="000000"/>
              </w:rPr>
              <w:t> </w:t>
            </w:r>
          </w:p>
        </w:tc>
        <w:tc>
          <w:tcPr>
            <w:tcW w:w="3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$17.85 </w:t>
            </w:r>
          </w:p>
        </w:tc>
        <w:tc>
          <w:tcPr>
            <w:tcW w:w="483" w:type="dxa"/>
            <w:tcBorders>
              <w:top w:val="single" w:sz="8" w:space="0" w:color="000000"/>
              <w:bottom w:val="single" w:sz="8" w:space="0" w:color="000000"/>
              <w:right w:val="single" w:sz="8" w:space="0" w:color="000000"/>
            </w:tcBorders>
            <w:shd w:fill="FFFF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i/>
          <w:color w:val="000000"/>
          <w:sz w:val="18"/>
        </w:rPr>
      </w:pPr>
      <w:r>
        <w:rPr>
          <w:rFonts w:ascii="sans-serif" w:hAnsi="sans-serif"/>
          <w:b w:val="false"/>
          <w:i/>
          <w:color w:val="000000"/>
          <w:sz w:val="18"/>
        </w:rPr>
        <w:t>Refer to the "Footnotes" section included herein for further explanation of disclosures for Adjusted (non-GAAP) financial measures, as well as reconciliations.</w:t>
      </w:r>
    </w:p>
    <w:p>
      <w:pPr>
        <w:pStyle w:val="TextBody"/>
        <w:bidi w:val="0"/>
        <w:spacing w:lineRule="auto" w:line="288" w:before="140" w:after="283"/>
        <w:jc w:val="both"/>
        <w:rPr>
          <w:rFonts w:ascii="sans-serif" w:hAnsi="sans-serif"/>
          <w:b w:val="false"/>
          <w:color w:val="000000"/>
          <w:sz w:val="22"/>
        </w:rPr>
      </w:pPr>
      <w:r>
        <w:rPr>
          <w:rFonts w:ascii="sans-serif" w:hAnsi="sans-serif"/>
          <w:b w:val="false"/>
          <w:color w:val="000000"/>
          <w:sz w:val="22"/>
        </w:rPr>
        <w:t>Please refer to the tables above, as well as the consolidated and segment highlight sections in the detailed earnings release for additional discussion of the factors impacting the year-over-year quarterly and YTD comparisons.</w:t>
      </w:r>
    </w:p>
    <w:p>
      <w:pPr>
        <w:pStyle w:val="TextBody"/>
        <w:bidi w:val="0"/>
        <w:spacing w:before="140" w:after="283"/>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first half of the year went well, and we're right where we said we'd be at Investor Day last year," said Humana President and CEO Jim Rechtin. "When we get the clinical care right and run the business more efficiently, everything else follows—stronger earnings and better health and experiences for the people we serve.”</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i/>
          <w:color w:val="000000"/>
          <w:sz w:val="28"/>
          <w:u w:val="single"/>
        </w:rPr>
      </w:pPr>
      <w:r>
        <w:rPr>
          <w:rFonts w:ascii="sans-serif" w:hAnsi="sans-serif"/>
          <w:b/>
          <w:i/>
          <w:color w:val="000000"/>
          <w:sz w:val="28"/>
          <w:u w:val="single"/>
        </w:rPr>
        <w:t>FY 2026 Earnings Guidance</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Humana revises its GAAP EPS guidance for the year ending December 31, 2026 (FY 2026) to 'at least $6.52' from 'at least $8.36', while affirming its Adjusted EPS guidance of 'at least $9.00'. The FY 2026 Adjusted EPS guidance anticipates a year-over-year decline as a result of the Star Ratings headwind for Bonus Year (BY) 2026, net of mitigation. </w:t>
      </w:r>
    </w:p>
    <w:tbl>
      <w:tblPr>
        <w:tblW w:w="10205" w:type="dxa"/>
        <w:jc w:val="center"/>
        <w:tblInd w:w="0" w:type="dxa"/>
        <w:tblLayout w:type="fixed"/>
        <w:tblCellMar>
          <w:top w:w="28" w:type="dxa"/>
          <w:left w:w="28" w:type="dxa"/>
          <w:bottom w:w="28" w:type="dxa"/>
          <w:right w:w="28" w:type="dxa"/>
        </w:tblCellMar>
      </w:tblPr>
      <w:tblGrid>
        <w:gridCol w:w="2862"/>
        <w:gridCol w:w="2289"/>
        <w:gridCol w:w="2295"/>
        <w:gridCol w:w="507"/>
        <w:gridCol w:w="507"/>
        <w:gridCol w:w="509"/>
        <w:gridCol w:w="413"/>
        <w:gridCol w:w="413"/>
        <w:gridCol w:w="410"/>
      </w:tblGrid>
      <w:tr>
        <w:trPr/>
        <w:tc>
          <w:tcPr>
            <w:tcW w:w="2862"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sans-serif" w:hAnsi="sans-serif"/>
                <w:b/>
                <w:color w:val="FFFFFF"/>
                <w:sz w:val="22"/>
              </w:rPr>
            </w:pPr>
            <w:r>
              <w:rPr>
                <w:rFonts w:ascii="sans-serif" w:hAnsi="sans-serif"/>
                <w:b/>
                <w:color w:val="FFFFFF"/>
                <w:sz w:val="22"/>
              </w:rPr>
              <w:t>Diluted earnings per share (a)</w:t>
            </w:r>
          </w:p>
        </w:tc>
        <w:tc>
          <w:tcPr>
            <w:tcW w:w="1523"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2"/>
              </w:rPr>
            </w:pPr>
            <w:r>
              <w:rPr>
                <w:rFonts w:ascii="sans-serif" w:hAnsi="sans-serif"/>
                <w:b/>
                <w:color w:val="FFFFFF"/>
                <w:sz w:val="22"/>
              </w:rPr>
              <w:t>FY 2026</w:t>
              <w:br/>
              <w:t> Guidance</w:t>
            </w:r>
          </w:p>
        </w:tc>
        <w:tc>
          <w:tcPr>
            <w:tcW w:w="1236"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2"/>
              </w:rPr>
            </w:pPr>
            <w:r>
              <w:rPr>
                <w:rFonts w:ascii="sans-serif" w:hAnsi="sans-serif"/>
                <w:b/>
                <w:color w:val="FFFFFF"/>
                <w:sz w:val="22"/>
              </w:rPr>
              <w:t>FY 2025</w:t>
            </w:r>
          </w:p>
        </w:tc>
      </w:tr>
      <w:tr>
        <w:trPr/>
        <w:tc>
          <w:tcPr>
            <w:tcW w:w="744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GAAP</w:t>
            </w:r>
          </w:p>
        </w:tc>
        <w:tc>
          <w:tcPr>
            <w:tcW w:w="15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at least $6.52</w:t>
            </w:r>
          </w:p>
        </w:tc>
        <w:tc>
          <w:tcPr>
            <w:tcW w:w="82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$9.84 </w:t>
            </w:r>
          </w:p>
        </w:tc>
        <w:tc>
          <w:tcPr>
            <w:tcW w:w="410"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associated with identifiable intangibles</w:t>
            </w:r>
          </w:p>
        </w:tc>
        <w:tc>
          <w:tcPr>
            <w:tcW w:w="101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0.30</w:t>
            </w:r>
            <w:r>
              <w:rPr>
                <w:color w:val="000000"/>
              </w:rPr>
              <w:t> </w:t>
            </w:r>
          </w:p>
        </w:tc>
        <w:tc>
          <w:tcPr>
            <w:tcW w:w="509"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0.42 </w:t>
            </w:r>
          </w:p>
        </w:tc>
        <w:tc>
          <w:tcPr>
            <w:tcW w:w="41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Put/call valuation adjustments associated with the company's non-consolidating minority interest investments (b)</w:t>
            </w:r>
          </w:p>
        </w:tc>
        <w:tc>
          <w:tcPr>
            <w:tcW w:w="101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1.47</w:t>
            </w:r>
            <w:r>
              <w:rPr>
                <w:color w:val="000000"/>
              </w:rPr>
              <w:t> </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4.25 </w:t>
            </w:r>
          </w:p>
        </w:tc>
        <w:tc>
          <w:tcPr>
            <w:tcW w:w="41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Value creation initiatives (b)</w:t>
            </w:r>
          </w:p>
        </w:tc>
        <w:tc>
          <w:tcPr>
            <w:tcW w:w="101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1.27</w:t>
            </w:r>
            <w:r>
              <w:rPr>
                <w:color w:val="000000"/>
              </w:rPr>
              <w:t> </w:t>
            </w:r>
          </w:p>
        </w:tc>
        <w:tc>
          <w:tcPr>
            <w:tcW w:w="509"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3.72 </w:t>
            </w:r>
          </w:p>
        </w:tc>
        <w:tc>
          <w:tcPr>
            <w:tcW w:w="41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Impact of exit of employer group commercial medical products business (b)</w:t>
            </w:r>
          </w:p>
        </w:tc>
        <w:tc>
          <w:tcPr>
            <w:tcW w:w="101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(0.52)</w:t>
            </w:r>
          </w:p>
        </w:tc>
        <w:tc>
          <w:tcPr>
            <w:tcW w:w="41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Settlement of certain litigation expenses (b)</w:t>
            </w:r>
          </w:p>
        </w:tc>
        <w:tc>
          <w:tcPr>
            <w:tcW w:w="101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0.13 </w:t>
            </w:r>
          </w:p>
        </w:tc>
        <w:tc>
          <w:tcPr>
            <w:tcW w:w="41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sale of business (b)</w:t>
            </w:r>
          </w:p>
        </w:tc>
        <w:tc>
          <w:tcPr>
            <w:tcW w:w="101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0.55 </w:t>
            </w:r>
          </w:p>
        </w:tc>
        <w:tc>
          <w:tcPr>
            <w:tcW w:w="41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charges (b)</w:t>
            </w:r>
          </w:p>
        </w:tc>
        <w:tc>
          <w:tcPr>
            <w:tcW w:w="101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0.17</w:t>
            </w:r>
            <w:r>
              <w:rPr>
                <w:color w:val="000000"/>
              </w:rPr>
              <w:t> </w:t>
            </w:r>
          </w:p>
        </w:tc>
        <w:tc>
          <w:tcPr>
            <w:tcW w:w="509"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2.09 </w:t>
            </w:r>
          </w:p>
        </w:tc>
        <w:tc>
          <w:tcPr>
            <w:tcW w:w="41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Cumulative net tax impact</w:t>
            </w:r>
          </w:p>
        </w:tc>
        <w:tc>
          <w:tcPr>
            <w:tcW w:w="101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(0.73)</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(3.34)</w:t>
            </w:r>
          </w:p>
        </w:tc>
        <w:tc>
          <w:tcPr>
            <w:tcW w:w="41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(non-GAAP) – FY 2026 projected (b); FY 2025 reported</w:t>
            </w:r>
          </w:p>
        </w:tc>
        <w:tc>
          <w:tcPr>
            <w:tcW w:w="1523"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at least $9.00</w:t>
            </w:r>
          </w:p>
        </w:tc>
        <w:tc>
          <w:tcPr>
            <w:tcW w:w="826"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$17.14 </w:t>
            </w:r>
          </w:p>
        </w:tc>
        <w:tc>
          <w:tcPr>
            <w:tcW w:w="410" w:type="dxa"/>
            <w:tcBorders>
              <w:top w:val="single" w:sz="8" w:space="0" w:color="000000"/>
              <w:bottom w:val="single" w:sz="8" w:space="0" w:color="000000"/>
              <w:right w:val="single" w:sz="8" w:space="0" w:color="000000"/>
            </w:tcBorders>
            <w:shd w:fill="DEF3C0"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i/>
          <w:color w:val="000000"/>
          <w:sz w:val="18"/>
        </w:rPr>
      </w:pPr>
      <w:r>
        <w:rPr>
          <w:rFonts w:ascii="sans-serif" w:hAnsi="sans-serif"/>
          <w:b w:val="false"/>
          <w:i/>
          <w:color w:val="000000"/>
          <w:sz w:val="18"/>
        </w:rPr>
        <w:t>Refer to the "Footnotes" section included herein for further explanation of disclosures for Adjusted (non-GAAP) financial measures, as well as additional reconciliations.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i/>
          <w:color w:val="000000"/>
          <w:sz w:val="28"/>
          <w:u w:val="single"/>
        </w:rPr>
      </w:pPr>
      <w:r>
        <w:rPr>
          <w:rFonts w:ascii="sans-serif" w:hAnsi="sans-serif"/>
          <w:b/>
          <w:i/>
          <w:color w:val="000000"/>
          <w:sz w:val="28"/>
          <w:u w:val="single"/>
        </w:rPr>
        <w:t>Detailed Press Release</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Humana’s full earnings press release, including the statistical pages, has been posted to the company’s Investor Relations site and may be accessed at https://humana.gcs-web.com/ or via a current report on Form 8-K filed by the company with the Securities and Exchange Commission this morning (available at www.sec.gov or on the company’s website).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40" w:after="283"/>
        <w:jc w:val="left"/>
        <w:rPr>
          <w:rFonts w:ascii="sans-serif" w:hAnsi="sans-serif"/>
          <w:b/>
          <w:i/>
          <w:color w:val="000000"/>
          <w:sz w:val="28"/>
          <w:u w:val="single"/>
        </w:rPr>
      </w:pPr>
      <w:r>
        <w:rPr>
          <w:rFonts w:ascii="sans-serif" w:hAnsi="sans-serif"/>
          <w:b/>
          <w:i/>
          <w:color w:val="000000"/>
          <w:sz w:val="28"/>
          <w:u w:val="single"/>
        </w:rPr>
        <w:t>Conference Call</w:t>
      </w:r>
    </w:p>
    <w:p>
      <w:pPr>
        <w:pStyle w:val="TextBody"/>
        <w:bidi w:val="0"/>
        <w:spacing w:before="0" w:after="0"/>
        <w:jc w:val="left"/>
        <w:rPr/>
      </w:pPr>
      <w:r>
        <w:rPr/>
      </w:r>
    </w:p>
    <w:p>
      <w:pPr>
        <w:pStyle w:val="TextBody"/>
        <w:bidi w:val="0"/>
        <w:spacing w:lineRule="auto" w:line="256" w:before="0" w:after="0"/>
        <w:jc w:val="both"/>
        <w:rPr>
          <w:rFonts w:ascii="sans-serif" w:hAnsi="sans-serif"/>
          <w:b w:val="false"/>
          <w:color w:val="000000"/>
          <w:sz w:val="22"/>
        </w:rPr>
      </w:pPr>
      <w:r>
        <w:rPr>
          <w:rFonts w:ascii="sans-serif" w:hAnsi="sans-serif"/>
          <w:b w:val="false"/>
          <w:color w:val="000000"/>
          <w:sz w:val="22"/>
        </w:rPr>
        <w:t>Humana will host a live question-and-answer session for analysts at 8:00 a.m. Eastern time today to discuss its financial results for the quarter and the company’s expectations for future earnings. In advance of the question-and-answer session, Humana will post prepared management remarks to the Quarterly Results section of its Investor Relations page (https://humana.gcs-web.com/financial-information/quarterly-results).</w:t>
      </w:r>
    </w:p>
    <w:p>
      <w:pPr>
        <w:pStyle w:val="TextBody"/>
        <w:bidi w:val="0"/>
        <w:spacing w:before="0" w:after="0"/>
        <w:jc w:val="both"/>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A webcast of the 2Q26 earnings call may be accessed via Humana’s Investor Relations page at https://humana.gcs-web.com/. </w:t>
      </w:r>
    </w:p>
    <w:p>
      <w:pPr>
        <w:pStyle w:val="TextBody"/>
        <w:bidi w:val="0"/>
        <w:spacing w:before="0" w:after="0"/>
        <w:jc w:val="both"/>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If you anticipate asking a question during the question-and-answer session, please register in advance at this link - https://register-conf.media-server.com/register/BI18085d824058461aa3c6b8b2af27cb40.</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Upon registration, telephone participants will receive a confirmation email detailing how to join the conference call, including the dial-in number and a unique registrant ID.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The company suggests participants listening via the web or the conference call sign in or dial in at least 15 minutes in advance of the call. For those unable to participate in the live event, the virtual presentation archive will be available in the Historical Webcasts and Presentations section of the Investor Relations page at https://humana.gcs-web.com/, approximately two hours following the live webcast.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i/>
          <w:color w:val="000000"/>
          <w:sz w:val="28"/>
          <w:u w:val="single"/>
        </w:rPr>
      </w:pPr>
      <w:r>
        <w:rPr>
          <w:rFonts w:ascii="sans-serif" w:hAnsi="sans-serif"/>
          <w:b/>
          <w:i/>
          <w:color w:val="000000"/>
          <w:sz w:val="28"/>
          <w:u w:val="single"/>
        </w:rPr>
        <w:t>Footnotes</w:t>
      </w:r>
    </w:p>
    <w:p>
      <w:pPr>
        <w:pStyle w:val="TextBody"/>
        <w:bidi w:val="0"/>
        <w:spacing w:lineRule="auto" w:line="256" w:before="0" w:after="0"/>
        <w:jc w:val="both"/>
        <w:rPr/>
      </w:pPr>
      <w:r>
        <w:rPr>
          <w:rFonts w:ascii="sans-serif" w:hAnsi="sans-serif"/>
          <w:b w:val="false"/>
          <w:color w:val="000000"/>
          <w:sz w:val="20"/>
        </w:rPr>
        <w:t>The company has included financial measures throughout this earnings release that are not in accordance with GAAP. Management believes that these measures, when presented in conjunction with the corresponding GAAP measures, provide a comprehensive perspective to more accurately compare and analyze the company’s core operating performance over time. Consequently, management uses these non-GAAP (Adjusted) financial measures as consistent indicators of the company’s core business operations from period to period, as well as for planning and decision-making purposes and in determination of incentive compensation. Non-GAAP (Adjusted) financial measures should be considered in addition to, but not as a substitute for, or superior to, financial measures prepared in accordance with GAAP. The company’s non-GAAP measures are not intended to normalize earnings, eliminate volatility, or represent future performance. Non-GAAP measures are subject to inherent limitations and may differ from similarly titled measures used by other companies</w:t>
      </w:r>
      <w:r>
        <w:rPr>
          <w:rFonts w:ascii="Aptos;sans-serif" w:hAnsi="Aptos;sans-serif"/>
          <w:b w:val="false"/>
          <w:color w:val="000000"/>
          <w:sz w:val="22"/>
        </w:rPr>
        <w:t>.</w:t>
      </w:r>
      <w:r>
        <w:rPr>
          <w:color w:val="000000"/>
        </w:rPr>
        <w:t xml:space="preserve"> </w:t>
      </w:r>
      <w:r>
        <w:rPr>
          <w:rFonts w:ascii="sans-serif" w:hAnsi="sans-serif"/>
          <w:b w:val="false"/>
          <w:color w:val="000000"/>
          <w:sz w:val="20"/>
        </w:rPr>
        <w:t>All financial measures in this earnings release are in accordance with GAAP unless otherwise indicated. Please refer to the footnotes for a detailed description of each item adjusted out of GAAP financial measures to arrive at non-GAAP (Adjusted) financial measures.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(a) For the periods covered in this earnings release, the following items are excluded from the non-GAAP financial measures described above, as applicable. </w:t>
      </w:r>
    </w:p>
    <w:p>
      <w:pPr>
        <w:pStyle w:val="TextBody"/>
        <w:bidi w:val="0"/>
        <w:spacing w:lineRule="auto" w:line="288" w:before="0" w:after="0"/>
        <w:ind w:left="0" w:right="0" w:hanging="360"/>
        <w:jc w:val="both"/>
        <w:rPr/>
      </w:pPr>
      <w:r>
        <w:rPr>
          <w:color w:val="000000"/>
          <w:shd w:fill="FFFFFF" w:val="clear"/>
        </w:rPr>
        <w:t>•</w:t>
      </w:r>
      <w:r>
        <w:rPr>
          <w:rFonts w:ascii="sans-serif" w:hAnsi="sans-serif"/>
          <w:b/>
          <w:color w:val="000000"/>
          <w:sz w:val="20"/>
        </w:rPr>
        <w:t>Amortization associated with identifiable intangibles -</w:t>
      </w:r>
      <w:r>
        <w:rPr>
          <w:color w:val="000000"/>
        </w:rPr>
        <w:t xml:space="preserve"> </w:t>
      </w:r>
      <w:r>
        <w:rPr>
          <w:rFonts w:ascii="sans-serif" w:hAnsi="sans-serif"/>
          <w:b w:val="false"/>
          <w:color w:val="000000"/>
          <w:sz w:val="20"/>
        </w:rPr>
        <w:t xml:space="preserve">Since amortization varies based on the size and timing of acquisition activity, management believes the exclusion of this non-cash expense provides a more consistent and uniform indicator of performance from period to period. For all periods shown within this earnings release, </w:t>
      </w:r>
      <w:r>
        <w:rPr>
          <w:rFonts w:ascii="sans-serif" w:hAnsi="sans-serif"/>
          <w:b w:val="false"/>
          <w:color w:val="000000"/>
          <w:sz w:val="20"/>
          <w:shd w:fill="FFFFFF" w:val="clear"/>
        </w:rPr>
        <w:t>GAAP measures affected include consolidated pretax results, EPS, and Insurance and CenterWell segments' income from operations. The table below discloses respective period amortization expense for each segment:</w:t>
      </w:r>
    </w:p>
    <w:p>
      <w:pPr>
        <w:pStyle w:val="TextBody"/>
        <w:bidi w:val="0"/>
        <w:spacing w:before="0" w:after="0"/>
        <w:jc w:val="both"/>
        <w:rPr/>
      </w:pPr>
      <w:r>
        <w:rPr/>
      </w:r>
    </w:p>
    <w:tbl>
      <w:tblPr>
        <w:tblW w:w="6571" w:type="dxa"/>
        <w:jc w:val="center"/>
        <w:tblInd w:w="0" w:type="dxa"/>
        <w:tblLayout w:type="fixed"/>
        <w:tblCellMar>
          <w:top w:w="28" w:type="dxa"/>
          <w:left w:w="28" w:type="dxa"/>
          <w:bottom w:w="28" w:type="dxa"/>
          <w:right w:w="28" w:type="dxa"/>
        </w:tblCellMar>
      </w:tblPr>
      <w:tblGrid>
        <w:gridCol w:w="766"/>
        <w:gridCol w:w="674"/>
        <w:gridCol w:w="675"/>
        <w:gridCol w:w="270"/>
        <w:gridCol w:w="270"/>
        <w:gridCol w:w="271"/>
        <w:gridCol w:w="270"/>
        <w:gridCol w:w="270"/>
        <w:gridCol w:w="271"/>
        <w:gridCol w:w="464"/>
        <w:gridCol w:w="464"/>
        <w:gridCol w:w="466"/>
        <w:gridCol w:w="421"/>
        <w:gridCol w:w="421"/>
        <w:gridCol w:w="598"/>
      </w:tblGrid>
      <w:tr>
        <w:trPr/>
        <w:tc>
          <w:tcPr>
            <w:tcW w:w="7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 xml:space="preserve">Amortization </w:t>
            </w:r>
          </w:p>
          <w:p>
            <w:pPr>
              <w:pStyle w:val="TableContents"/>
              <w:bidi w:val="0"/>
              <w:spacing w:lineRule="auto" w:line="240" w:before="0" w:after="0"/>
              <w:jc w:val="left"/>
              <w:rPr>
                <w:rFonts w:ascii="sans-serif" w:hAnsi="sans-serif"/>
                <w:b w:val="false"/>
                <w:i/>
                <w:color w:val="FFFFFF"/>
                <w:sz w:val="24"/>
              </w:rPr>
            </w:pPr>
            <w:r>
              <w:rPr>
                <w:rFonts w:ascii="sans-serif" w:hAnsi="sans-serif"/>
                <w:b w:val="false"/>
                <w:i/>
                <w:color w:val="FFFFFF"/>
                <w:sz w:val="24"/>
              </w:rPr>
              <w:t>(in millions)</w:t>
            </w:r>
          </w:p>
        </w:tc>
        <w:tc>
          <w:tcPr>
            <w:tcW w:w="81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2Q26</w:t>
            </w:r>
          </w:p>
        </w:tc>
        <w:tc>
          <w:tcPr>
            <w:tcW w:w="81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2Q25</w:t>
            </w:r>
          </w:p>
        </w:tc>
        <w:tc>
          <w:tcPr>
            <w:tcW w:w="139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2026</w:t>
            </w:r>
          </w:p>
        </w:tc>
        <w:tc>
          <w:tcPr>
            <w:tcW w:w="1440"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2025</w:t>
            </w:r>
          </w:p>
        </w:tc>
      </w:tr>
      <w:tr>
        <w:trPr/>
        <w:tc>
          <w:tcPr>
            <w:tcW w:w="211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Insurance segment</w:t>
            </w:r>
          </w:p>
        </w:tc>
        <w:tc>
          <w:tcPr>
            <w:tcW w:w="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w:t>
            </w:r>
          </w:p>
        </w:tc>
        <w:tc>
          <w:tcPr>
            <w:tcW w:w="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w:t>
            </w:r>
          </w:p>
        </w:tc>
        <w:tc>
          <w:tcPr>
            <w:tcW w:w="13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$8</w:t>
            </w:r>
          </w:p>
        </w:tc>
        <w:tc>
          <w:tcPr>
            <w:tcW w:w="144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w:t>
            </w:r>
          </w:p>
        </w:tc>
      </w:tr>
      <w:tr>
        <w:trPr/>
        <w:tc>
          <w:tcPr>
            <w:tcW w:w="211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CenterWell segment</w:t>
            </w:r>
          </w:p>
        </w:tc>
        <w:tc>
          <w:tcPr>
            <w:tcW w:w="81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w:t>
            </w:r>
          </w:p>
        </w:tc>
        <w:tc>
          <w:tcPr>
            <w:tcW w:w="81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w:t>
            </w:r>
          </w:p>
        </w:tc>
        <w:tc>
          <w:tcPr>
            <w:tcW w:w="13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$11</w:t>
            </w:r>
          </w:p>
        </w:tc>
        <w:tc>
          <w:tcPr>
            <w:tcW w:w="144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w:t>
            </w:r>
          </w:p>
        </w:tc>
      </w:tr>
    </w:tbl>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0"/>
        </w:rPr>
        <w:t xml:space="preserve">Put/call valuation adjustments associated with the company’s non-consolidating minority interest investments - </w:t>
      </w:r>
      <w:r>
        <w:rPr>
          <w:rFonts w:ascii="sans-serif" w:hAnsi="sans-serif"/>
          <w:b w:val="false"/>
          <w:color w:val="000000"/>
          <w:sz w:val="20"/>
        </w:rPr>
        <w:t>These non-cash amounts are the result of fair value measurements associated with the company's primary care strategic partnership and are unrelated to the company's core business performance. For all periods shown within this earnings release, GAAP measures affected include consolidated pretax results and EPS.</w:t>
      </w:r>
    </w:p>
    <w:p>
      <w:pPr>
        <w:pStyle w:val="TextBody"/>
        <w:bidi w:val="0"/>
        <w:spacing w:lineRule="auto" w:line="288"/>
        <w:ind w:left="0" w:right="0" w:hanging="360"/>
        <w:jc w:val="both"/>
        <w:rPr/>
      </w:pPr>
      <w:r>
        <w:rPr>
          <w:color w:val="000000"/>
        </w:rPr>
        <w:t>•</w:t>
      </w:r>
      <w:r>
        <w:rPr>
          <w:rFonts w:ascii="sans-serif" w:hAnsi="sans-serif"/>
          <w:b/>
          <w:color w:val="000000"/>
          <w:sz w:val="20"/>
        </w:rPr>
        <w:t xml:space="preserve">Value creation initiatives - </w:t>
      </w:r>
      <w:r>
        <w:rPr>
          <w:rFonts w:ascii="sans-serif" w:hAnsi="sans-serif"/>
          <w:b w:val="false"/>
          <w:color w:val="000000"/>
          <w:sz w:val="20"/>
        </w:rPr>
        <w:t xml:space="preserve">These charges relate to the company's multi-year transformation program, as approved by management with defined scope and milestones. The intent of the program is to re-align the company’s cost structure, operating model, and technology footprint with evolving market conditions. These costs primarily include severance and associate exit costs, asset impairments, and external consulting expenses incurred to execute the program. These charges were recorded at the corporate level and not allocated to the segments. The company has consistently applied this adjustment across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both"/>
        <w:rPr/>
      </w:pPr>
      <w:r>
        <w:rPr>
          <w:rFonts w:ascii="sans-serif" w:hAnsi="sans-serif"/>
          <w:b w:val="false"/>
          <w:color w:val="000000"/>
          <w:sz w:val="20"/>
        </w:rPr>
        <w:t>all periods. For all periods shown within this earnings release, GAAP measures affected in this release include consolidated pretax results, EPS, and the consolidated operating cost ratio.</w:t>
      </w:r>
      <w:r>
        <w:rPr>
          <w:color w:val="000000"/>
        </w:rPr>
        <w:t xml:space="preserve"> </w:t>
      </w:r>
    </w:p>
    <w:p>
      <w:pPr>
        <w:pStyle w:val="TextBody"/>
        <w:bidi w:val="0"/>
        <w:spacing w:lineRule="auto" w:line="288" w:before="0" w:after="0"/>
        <w:ind w:left="0" w:right="0" w:hanging="360"/>
        <w:jc w:val="both"/>
        <w:rPr/>
      </w:pPr>
      <w:r>
        <w:rPr>
          <w:color w:val="000000"/>
        </w:rPr>
        <w:t>•</w:t>
      </w:r>
      <w:r>
        <w:rPr>
          <w:rFonts w:ascii="sans-serif" w:hAnsi="sans-serif"/>
          <w:b/>
          <w:color w:val="000000"/>
          <w:sz w:val="20"/>
        </w:rPr>
        <w:t>Impairment charges</w:t>
      </w:r>
      <w:r>
        <w:rPr>
          <w:color w:val="000000"/>
        </w:rPr>
        <w:t xml:space="preserve"> </w:t>
      </w:r>
      <w:r>
        <w:rPr>
          <w:rFonts w:ascii="sans-serif" w:hAnsi="sans-serif"/>
          <w:b/>
          <w:color w:val="000000"/>
          <w:sz w:val="20"/>
        </w:rPr>
        <w:t>-</w:t>
      </w:r>
      <w:r>
        <w:rPr>
          <w:color w:val="000000"/>
        </w:rPr>
        <w:t xml:space="preserve"> </w:t>
      </w:r>
      <w:r>
        <w:rPr>
          <w:rFonts w:ascii="sans-serif" w:hAnsi="sans-serif"/>
          <w:b w:val="false"/>
          <w:color w:val="000000"/>
          <w:sz w:val="20"/>
        </w:rPr>
        <w:t xml:space="preserve">During 2Q26, the company recognized non-cash impairment charges related to investments for which the company held minority ownership interests that were deemed to be unrecoverable based on recent market activity. In 2Q25, the company recognized non-cash impairment charges related to certain indefinite-lived intangible assets based on the company's estimate of future financial performance in certain state markets. These charges were recorded at the corporate level and not allocated to the segments. For 2Q26 and YTD 2026, GAAP measures affected include consolidated pretax results, EPS, and consolidated revenues. For 2Q25 and YTD 2025, GAAP measures affected included consolidated pretax results, EPS, and the consolidated operating cost ratio. The FY 2025 GAAP EPS measure was also impacted by this adjustment. </w:t>
      </w:r>
    </w:p>
    <w:p>
      <w:pPr>
        <w:pStyle w:val="TextBody"/>
        <w:bidi w:val="0"/>
        <w:spacing w:lineRule="auto" w:line="288" w:before="0" w:after="0"/>
        <w:ind w:left="0" w:right="0" w:hanging="360"/>
        <w:jc w:val="both"/>
        <w:rPr/>
      </w:pPr>
      <w:r>
        <w:rPr>
          <w:color w:val="000000"/>
          <w:shd w:fill="FFFFFF" w:val="clear"/>
        </w:rPr>
        <w:t>•</w:t>
      </w:r>
      <w:r>
        <w:rPr>
          <w:rFonts w:ascii="sans-serif" w:hAnsi="sans-serif"/>
          <w:b/>
          <w:color w:val="000000"/>
          <w:sz w:val="20"/>
        </w:rPr>
        <w:t xml:space="preserve">Cumulative net tax impact - </w:t>
      </w:r>
      <w:r>
        <w:rPr>
          <w:rFonts w:ascii="sans-serif" w:hAnsi="sans-serif"/>
          <w:b w:val="false"/>
          <w:color w:val="000000"/>
          <w:sz w:val="20"/>
        </w:rPr>
        <w:t xml:space="preserve">This adjustment represents the cumulative net impact of the corresponding tax benefit or expense at the applicable marginal rate related to the aforementioned items excluded from the applicable GAAP measures. For FY 2025, the tax adjustment reflects the impact of the loss on sale of business, which exceeded the book loss. The related tax benefit from the loss on sale of business is realizable via capital loss carryback. The tax impact of the aforementioned items differs from the statutory rates due to jurisdictional mix, limitations on deductibility, and other factors. The cumulative tax impact is not intended to represent a normalized effective tax rate or expected future tax outcomes. For all periods presented in this earnings release, </w:t>
      </w:r>
      <w:r>
        <w:rPr>
          <w:rFonts w:ascii="sans-serif" w:hAnsi="sans-serif"/>
          <w:b w:val="false"/>
          <w:color w:val="000000"/>
          <w:sz w:val="20"/>
          <w:shd w:fill="FFFFFF" w:val="clear"/>
        </w:rPr>
        <w:t xml:space="preserve">EPS </w:t>
      </w:r>
      <w:r>
        <w:rPr>
          <w:rFonts w:ascii="sans-serif" w:hAnsi="sans-serif"/>
          <w:b w:val="false"/>
          <w:color w:val="000000"/>
          <w:sz w:val="20"/>
        </w:rPr>
        <w:t>is the sole GAAP measure affected.</w:t>
      </w:r>
    </w:p>
    <w:p>
      <w:pPr>
        <w:pStyle w:val="TextBody"/>
        <w:bidi w:val="0"/>
        <w:spacing w:before="0" w:after="0"/>
        <w:jc w:val="both"/>
        <w:rPr/>
      </w:pPr>
      <w:r>
        <w:rPr/>
      </w:r>
    </w:p>
    <w:p>
      <w:pPr>
        <w:pStyle w:val="TextBody"/>
        <w:bidi w:val="0"/>
        <w:spacing w:lineRule="auto" w:line="256" w:before="0" w:after="0"/>
        <w:jc w:val="both"/>
        <w:rPr>
          <w:rFonts w:ascii="sans-serif" w:hAnsi="sans-serif"/>
          <w:b w:val="false"/>
          <w:color w:val="000000"/>
          <w:sz w:val="20"/>
        </w:rPr>
      </w:pPr>
      <w:r>
        <w:rPr>
          <w:rFonts w:ascii="sans-serif" w:hAnsi="sans-serif"/>
          <w:b w:val="false"/>
          <w:color w:val="000000"/>
          <w:sz w:val="20"/>
        </w:rPr>
        <w:t>The following adjustments impact only the FY 2025 GAAP EPS shown within this release on page 2.</w:t>
      </w:r>
    </w:p>
    <w:p>
      <w:pPr>
        <w:pStyle w:val="TextBody"/>
        <w:bidi w:val="0"/>
        <w:spacing w:lineRule="auto" w:line="288" w:before="0" w:after="0"/>
        <w:ind w:left="0" w:right="0" w:hanging="360"/>
        <w:jc w:val="both"/>
        <w:rPr/>
      </w:pPr>
      <w:r>
        <w:rPr>
          <w:color w:val="000000"/>
        </w:rPr>
        <w:t>•</w:t>
      </w:r>
      <w:r>
        <w:rPr>
          <w:rFonts w:ascii="sans-serif" w:hAnsi="sans-serif"/>
          <w:b/>
          <w:color w:val="000000"/>
          <w:sz w:val="20"/>
        </w:rPr>
        <w:t xml:space="preserve">Impact of exit of employer group commercial medical products business - </w:t>
      </w:r>
      <w:r>
        <w:rPr>
          <w:rFonts w:ascii="sans-serif" w:hAnsi="sans-serif"/>
          <w:b w:val="false"/>
          <w:color w:val="000000"/>
          <w:sz w:val="20"/>
        </w:rPr>
        <w:t xml:space="preserve">These amounts relate to activity from the exit of the employer group commercial medical products business as announced by Humana on February 23, 2023. </w:t>
      </w:r>
    </w:p>
    <w:p>
      <w:pPr>
        <w:pStyle w:val="TextBody"/>
        <w:bidi w:val="0"/>
        <w:spacing w:lineRule="auto" w:line="256" w:before="0" w:after="0"/>
        <w:ind w:left="0" w:right="0" w:hanging="360"/>
        <w:jc w:val="left"/>
        <w:rPr/>
      </w:pPr>
      <w:r>
        <w:rPr>
          <w:color w:val="000000"/>
        </w:rPr>
        <w:t>•</w:t>
      </w:r>
      <w:r>
        <w:rPr>
          <w:rFonts w:ascii="sans-serif" w:hAnsi="sans-serif"/>
          <w:b/>
          <w:color w:val="000000"/>
          <w:sz w:val="20"/>
        </w:rPr>
        <w:t>Settlement of certain litigation expenses -</w:t>
      </w:r>
      <w:r>
        <w:rPr>
          <w:color w:val="000000"/>
        </w:rPr>
        <w:t xml:space="preserve"> </w:t>
      </w:r>
      <w:r>
        <w:rPr>
          <w:rFonts w:ascii="sans-serif" w:hAnsi="sans-serif"/>
          <w:b w:val="false"/>
          <w:color w:val="000000"/>
          <w:sz w:val="20"/>
        </w:rPr>
        <w:t>These charges</w:t>
      </w:r>
      <w:r>
        <w:rPr>
          <w:color w:val="000000"/>
        </w:rPr>
        <w:t xml:space="preserve"> </w:t>
      </w:r>
      <w:r>
        <w:rPr>
          <w:rFonts w:ascii="sans-serif" w:hAnsi="sans-serif"/>
          <w:b w:val="false"/>
          <w:color w:val="000000"/>
          <w:sz w:val="20"/>
        </w:rPr>
        <w:t xml:space="preserve">relate to expenses the company recognized in connection with a discrete legal matter. The nature and magnitude of this settlement are not indicative of the company’s ongoing operations. </w:t>
      </w:r>
    </w:p>
    <w:p>
      <w:pPr>
        <w:pStyle w:val="TextBody"/>
        <w:bidi w:val="0"/>
        <w:spacing w:lineRule="auto" w:line="256" w:before="0" w:after="0"/>
        <w:ind w:left="0" w:right="0" w:hanging="360"/>
        <w:jc w:val="left"/>
        <w:rPr/>
      </w:pPr>
      <w:r>
        <w:rPr>
          <w:color w:val="000000"/>
        </w:rPr>
        <w:t>•</w:t>
      </w:r>
      <w:r>
        <w:rPr>
          <w:rFonts w:ascii="sans-serif" w:hAnsi="sans-serif"/>
          <w:b/>
          <w:color w:val="000000"/>
          <w:sz w:val="20"/>
        </w:rPr>
        <w:t xml:space="preserve">Loss on sale of business - </w:t>
      </w:r>
      <w:r>
        <w:rPr>
          <w:rFonts w:ascii="sans-serif" w:hAnsi="sans-serif"/>
          <w:b w:val="false"/>
          <w:color w:val="000000"/>
          <w:sz w:val="20"/>
        </w:rPr>
        <w:t xml:space="preserve">This discrete disposition is not part of the company's ordinary course operations and the impacts recognized from the disposal do not reflect core operational performance. The loss primarily reflects the difference between the carrying value and proceeds at the time of sale. </w:t>
      </w:r>
    </w:p>
    <w:p>
      <w:pPr>
        <w:pStyle w:val="TextBody"/>
        <w:bidi w:val="0"/>
        <w:spacing w:before="0" w:after="0"/>
        <w:jc w:val="both"/>
        <w:rPr/>
      </w:pPr>
      <w:r>
        <w:rPr/>
      </w:r>
    </w:p>
    <w:p>
      <w:pPr>
        <w:pStyle w:val="TextBody"/>
        <w:bidi w:val="0"/>
        <w:spacing w:lineRule="auto" w:line="288" w:before="0" w:after="0"/>
        <w:jc w:val="left"/>
        <w:rPr/>
      </w:pPr>
      <w:r>
        <w:rPr>
          <w:rFonts w:ascii="sans-serif" w:hAnsi="sans-serif"/>
          <w:b w:val="false"/>
          <w:color w:val="000000"/>
          <w:sz w:val="20"/>
        </w:rPr>
        <w:t>In addition to the reconciliations shown on</w:t>
      </w:r>
      <w:r>
        <w:rPr>
          <w:color w:val="EE2724"/>
        </w:rPr>
        <w:t xml:space="preserve"> </w:t>
      </w:r>
      <w:r>
        <w:rPr>
          <w:rFonts w:ascii="sans-serif" w:hAnsi="sans-serif"/>
          <w:b w:val="false"/>
          <w:color w:val="000000"/>
          <w:sz w:val="20"/>
        </w:rPr>
        <w:t>pages 1 and 2</w:t>
      </w:r>
      <w:r>
        <w:rPr>
          <w:color w:val="EE2724"/>
        </w:rPr>
        <w:t xml:space="preserve"> </w:t>
      </w:r>
      <w:r>
        <w:rPr>
          <w:rFonts w:ascii="sans-serif" w:hAnsi="sans-serif"/>
          <w:b w:val="false"/>
          <w:color w:val="000000"/>
          <w:sz w:val="20"/>
        </w:rPr>
        <w:t>of this release, the following are reconciliations of GAAP to Adjusted (non-GAAP) measures described above and disclosed within this earnings release:</w:t>
      </w:r>
    </w:p>
    <w:p>
      <w:pPr>
        <w:pStyle w:val="TextBody"/>
        <w:bidi w:val="0"/>
        <w:spacing w:before="0" w:after="0"/>
        <w:jc w:val="left"/>
        <w:rPr/>
      </w:pPr>
      <w:r>
        <w:rPr/>
      </w:r>
    </w:p>
    <w:p>
      <w:pPr>
        <w:pStyle w:val="TextBody"/>
        <w:bidi w:val="0"/>
        <w:spacing w:lineRule="auto" w:line="288" w:before="0" w:after="0"/>
        <w:ind w:left="0" w:right="0" w:hanging="360"/>
        <w:jc w:val="both"/>
        <w:rPr>
          <w:rFonts w:ascii="sans-serif" w:hAnsi="sans-serif"/>
          <w:b/>
          <w:i/>
          <w:color w:val="000000"/>
          <w:sz w:val="32"/>
          <w:u w:val="single"/>
        </w:rPr>
      </w:pPr>
      <w:r>
        <w:rPr>
          <w:rFonts w:ascii="sans-serif" w:hAnsi="sans-serif"/>
          <w:b/>
          <w:i/>
          <w:color w:val="000000"/>
          <w:sz w:val="32"/>
          <w:u w:val="single"/>
        </w:rPr>
        <w:t>Revenues</w:t>
      </w:r>
    </w:p>
    <w:tbl>
      <w:tblPr>
        <w:tblW w:w="7141" w:type="dxa"/>
        <w:jc w:val="center"/>
        <w:tblInd w:w="0" w:type="dxa"/>
        <w:tblLayout w:type="fixed"/>
        <w:tblCellMar>
          <w:top w:w="28" w:type="dxa"/>
          <w:left w:w="28" w:type="dxa"/>
          <w:bottom w:w="28" w:type="dxa"/>
          <w:right w:w="28" w:type="dxa"/>
        </w:tblCellMar>
      </w:tblPr>
      <w:tblGrid>
        <w:gridCol w:w="880"/>
        <w:gridCol w:w="774"/>
        <w:gridCol w:w="776"/>
        <w:gridCol w:w="329"/>
        <w:gridCol w:w="329"/>
        <w:gridCol w:w="333"/>
        <w:gridCol w:w="294"/>
        <w:gridCol w:w="294"/>
        <w:gridCol w:w="298"/>
        <w:gridCol w:w="464"/>
        <w:gridCol w:w="464"/>
        <w:gridCol w:w="466"/>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CONSOLIDATED</w:t>
            </w:r>
          </w:p>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Revenues</w:t>
            </w:r>
          </w:p>
          <w:p>
            <w:pPr>
              <w:pStyle w:val="TableContents"/>
              <w:bidi w:val="0"/>
              <w:spacing w:lineRule="auto" w:line="240" w:before="0" w:after="0"/>
              <w:jc w:val="left"/>
              <w:rPr>
                <w:rFonts w:ascii="sans-serif" w:hAnsi="sans-serif"/>
                <w:b w:val="false"/>
                <w:i/>
                <w:color w:val="FFFFFF"/>
                <w:sz w:val="24"/>
              </w:rPr>
            </w:pPr>
            <w:r>
              <w:rPr>
                <w:rFonts w:ascii="sans-serif" w:hAnsi="sans-serif"/>
                <w:b w:val="false"/>
                <w:i/>
                <w:color w:val="FFFFFF"/>
                <w:sz w:val="24"/>
              </w:rPr>
              <w:t>(in millions)</w:t>
            </w:r>
          </w:p>
        </w:tc>
        <w:tc>
          <w:tcPr>
            <w:tcW w:w="99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2Q26</w:t>
            </w:r>
          </w:p>
        </w:tc>
        <w:tc>
          <w:tcPr>
            <w:tcW w:w="886"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2Q25</w:t>
            </w:r>
          </w:p>
        </w:tc>
        <w:tc>
          <w:tcPr>
            <w:tcW w:w="139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2026</w:t>
            </w:r>
          </w:p>
        </w:tc>
        <w:tc>
          <w:tcPr>
            <w:tcW w:w="1440"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2025</w:t>
            </w:r>
          </w:p>
        </w:tc>
      </w:tr>
      <w:tr>
        <w:trPr/>
        <w:tc>
          <w:tcPr>
            <w:tcW w:w="24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GAAP</w:t>
            </w:r>
          </w:p>
        </w:tc>
        <w:tc>
          <w:tcPr>
            <w:tcW w:w="9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$40,867</w:t>
            </w:r>
          </w:p>
        </w:tc>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$32,388</w:t>
            </w:r>
          </w:p>
        </w:tc>
        <w:tc>
          <w:tcPr>
            <w:tcW w:w="13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$80,515</w:t>
            </w:r>
          </w:p>
        </w:tc>
        <w:tc>
          <w:tcPr>
            <w:tcW w:w="144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$64,500</w:t>
            </w:r>
          </w:p>
        </w:tc>
      </w:tr>
      <w:tr>
        <w:trPr/>
        <w:tc>
          <w:tcPr>
            <w:tcW w:w="2430"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charges</w:t>
            </w:r>
          </w:p>
        </w:tc>
        <w:tc>
          <w:tcPr>
            <w:tcW w:w="65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21</w:t>
            </w:r>
            <w:r>
              <w:rPr>
                <w:color w:val="000000"/>
              </w:rPr>
              <w:t> </w:t>
            </w:r>
          </w:p>
        </w:tc>
        <w:tc>
          <w:tcPr>
            <w:tcW w:w="333"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21</w:t>
            </w:r>
            <w:r>
              <w:rPr>
                <w:color w:val="000000"/>
              </w:rPr>
              <w:t> </w:t>
            </w:r>
          </w:p>
        </w:tc>
        <w:tc>
          <w:tcPr>
            <w:tcW w:w="466"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(non-GAAP)</w:t>
            </w:r>
          </w:p>
        </w:tc>
        <w:tc>
          <w:tcPr>
            <w:tcW w:w="991"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$40,888</w:t>
            </w:r>
          </w:p>
        </w:tc>
        <w:tc>
          <w:tcPr>
            <w:tcW w:w="886"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$32,388</w:t>
            </w:r>
          </w:p>
        </w:tc>
        <w:tc>
          <w:tcPr>
            <w:tcW w:w="139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$80,536</w:t>
            </w:r>
          </w:p>
        </w:tc>
        <w:tc>
          <w:tcPr>
            <w:tcW w:w="1440"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$64,500</w:t>
            </w:r>
          </w:p>
        </w:tc>
      </w:tr>
    </w:tbl>
    <w:p>
      <w:pPr>
        <w:pStyle w:val="TextBody"/>
        <w:bidi w:val="0"/>
        <w:spacing w:before="0" w:after="0"/>
        <w:jc w:val="center"/>
        <w:rPr/>
      </w:pPr>
      <w:r>
        <w:rPr/>
      </w:r>
    </w:p>
    <w:p>
      <w:pPr>
        <w:pStyle w:val="TextBody"/>
        <w:bidi w:val="0"/>
        <w:spacing w:lineRule="auto" w:line="288" w:before="60" w:after="283"/>
        <w:ind w:left="0" w:right="0" w:hanging="720"/>
        <w:jc w:val="left"/>
        <w:rPr>
          <w:rFonts w:ascii="sans-serif" w:hAnsi="sans-serif"/>
          <w:b/>
          <w:i/>
          <w:color w:val="000000"/>
          <w:sz w:val="32"/>
          <w:u w:val="single"/>
        </w:rPr>
      </w:pPr>
      <w:r>
        <w:rPr>
          <w:rFonts w:ascii="sans-serif" w:hAnsi="sans-serif"/>
          <w:b/>
          <w:i/>
          <w:color w:val="000000"/>
          <w:sz w:val="32"/>
          <w:u w:val="single"/>
        </w:rPr>
        <w:t xml:space="preserve">Operating cost ratio </w:t>
      </w:r>
    </w:p>
    <w:tbl>
      <w:tblPr>
        <w:tblW w:w="8014" w:type="dxa"/>
        <w:jc w:val="center"/>
        <w:tblInd w:w="0" w:type="dxa"/>
        <w:tblLayout w:type="fixed"/>
        <w:tblCellMar>
          <w:top w:w="28" w:type="dxa"/>
          <w:left w:w="28" w:type="dxa"/>
          <w:bottom w:w="28" w:type="dxa"/>
          <w:right w:w="28" w:type="dxa"/>
        </w:tblCellMar>
      </w:tblPr>
      <w:tblGrid>
        <w:gridCol w:w="1070"/>
        <w:gridCol w:w="941"/>
        <w:gridCol w:w="943"/>
        <w:gridCol w:w="313"/>
        <w:gridCol w:w="317"/>
        <w:gridCol w:w="471"/>
        <w:gridCol w:w="293"/>
        <w:gridCol w:w="293"/>
        <w:gridCol w:w="461"/>
        <w:gridCol w:w="323"/>
        <w:gridCol w:w="323"/>
        <w:gridCol w:w="812"/>
        <w:gridCol w:w="293"/>
        <w:gridCol w:w="293"/>
        <w:gridCol w:w="868"/>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left"/>
              <w:rPr>
                <w:rFonts w:ascii="sans-serif" w:hAnsi="sans-serif"/>
                <w:b/>
                <w:color w:val="FFFFFF"/>
                <w:sz w:val="24"/>
              </w:rPr>
            </w:pPr>
            <w:r>
              <w:rPr>
                <w:rFonts w:ascii="sans-serif" w:hAnsi="sans-serif"/>
                <w:b/>
                <w:color w:val="FFFFFF"/>
                <w:sz w:val="24"/>
              </w:rPr>
              <w:t>CONSOLIDATED</w:t>
              <w:br/>
              <w:t xml:space="preserve">Operating cost ratio </w:t>
            </w:r>
          </w:p>
        </w:tc>
        <w:tc>
          <w:tcPr>
            <w:tcW w:w="110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2Q26</w:t>
            </w:r>
          </w:p>
        </w:tc>
        <w:tc>
          <w:tcPr>
            <w:tcW w:w="1047"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2Q25</w:t>
            </w:r>
          </w:p>
        </w:tc>
        <w:tc>
          <w:tcPr>
            <w:tcW w:w="1458"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2026</w:t>
            </w:r>
          </w:p>
        </w:tc>
        <w:tc>
          <w:tcPr>
            <w:tcW w:w="1454"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2025</w:t>
            </w:r>
          </w:p>
        </w:tc>
      </w:tr>
      <w:tr>
        <w:trPr/>
        <w:tc>
          <w:tcPr>
            <w:tcW w:w="2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GAAP</w:t>
            </w:r>
          </w:p>
        </w:tc>
        <w:tc>
          <w:tcPr>
            <w:tcW w:w="630"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9.8</w:t>
            </w:r>
            <w:r>
              <w:rPr>
                <w:color w:val="000000"/>
              </w:rPr>
              <w:t> </w:t>
            </w:r>
          </w:p>
        </w:tc>
        <w:tc>
          <w:tcPr>
            <w:tcW w:w="4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4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10.0</w:t>
            </w:r>
            <w:r>
              <w:rPr>
                <w:color w:val="000000"/>
              </w:rPr>
              <w:t> </w:t>
            </w:r>
          </w:p>
        </w:tc>
        <w:tc>
          <w:tcPr>
            <w:tcW w:w="8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868"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5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Value creation initiatives</w:t>
            </w:r>
          </w:p>
        </w:tc>
        <w:tc>
          <w:tcPr>
            <w:tcW w:w="630"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(0.1)</w:t>
            </w:r>
          </w:p>
        </w:tc>
        <w:tc>
          <w:tcPr>
            <w:tcW w:w="471"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(0.2)</w:t>
            </w:r>
          </w:p>
        </w:tc>
        <w:tc>
          <w:tcPr>
            <w:tcW w:w="812"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w:t>
            </w:r>
          </w:p>
        </w:tc>
        <w:tc>
          <w:tcPr>
            <w:tcW w:w="868"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charges</w:t>
            </w:r>
          </w:p>
        </w:tc>
        <w:tc>
          <w:tcPr>
            <w:tcW w:w="630"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8"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54"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(non-GAAP)</w:t>
            </w:r>
          </w:p>
        </w:tc>
        <w:tc>
          <w:tcPr>
            <w:tcW w:w="630"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9.7</w:t>
            </w:r>
            <w:r>
              <w:rPr>
                <w:color w:val="000000"/>
              </w:rPr>
              <w:t> </w:t>
            </w:r>
          </w:p>
        </w:tc>
        <w:tc>
          <w:tcPr>
            <w:tcW w:w="471"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461"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9.8</w:t>
            </w:r>
            <w:r>
              <w:rPr>
                <w:color w:val="000000"/>
              </w:rPr>
              <w:t> </w:t>
            </w:r>
          </w:p>
        </w:tc>
        <w:tc>
          <w:tcPr>
            <w:tcW w:w="812"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868" w:type="dxa"/>
            <w:tcBorders>
              <w:top w:val="single" w:sz="8" w:space="0" w:color="000000"/>
              <w:bottom w:val="single" w:sz="8" w:space="0" w:color="000000"/>
              <w:right w:val="single" w:sz="8" w:space="0" w:color="000000"/>
            </w:tcBorders>
            <w:shd w:fill="DEF3C0" w:val="clear"/>
            <w:tcMar>
              <w:top w:w="52" w:type="dxa"/>
              <w:left w:w="0" w:type="dxa"/>
              <w:bottom w:w="3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ind w:left="0" w:right="0" w:firstLine="9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76" w:before="0" w:after="0"/>
        <w:ind w:left="0" w:right="0" w:hanging="360"/>
        <w:jc w:val="left"/>
        <w:rPr>
          <w:rFonts w:ascii="sans-serif" w:hAnsi="sans-serif"/>
          <w:b/>
          <w:i/>
          <w:color w:val="000000"/>
          <w:sz w:val="32"/>
          <w:u w:val="single"/>
        </w:rPr>
      </w:pPr>
      <w:r>
        <w:rPr>
          <w:rFonts w:ascii="sans-serif" w:hAnsi="sans-serif"/>
          <w:b/>
          <w:i/>
          <w:color w:val="000000"/>
          <w:sz w:val="32"/>
          <w:u w:val="single"/>
        </w:rPr>
        <w:t>Insurance Segment - Income from operations</w:t>
      </w:r>
    </w:p>
    <w:tbl>
      <w:tblPr>
        <w:tblW w:w="9721" w:type="dxa"/>
        <w:jc w:val="center"/>
        <w:tblInd w:w="0" w:type="dxa"/>
        <w:tblLayout w:type="fixed"/>
        <w:tblCellMar>
          <w:top w:w="28" w:type="dxa"/>
          <w:left w:w="28" w:type="dxa"/>
          <w:bottom w:w="28" w:type="dxa"/>
          <w:right w:w="28" w:type="dxa"/>
        </w:tblCellMar>
      </w:tblPr>
      <w:tblGrid>
        <w:gridCol w:w="1907"/>
        <w:gridCol w:w="1676"/>
        <w:gridCol w:w="1682"/>
        <w:gridCol w:w="270"/>
        <w:gridCol w:w="270"/>
        <w:gridCol w:w="271"/>
        <w:gridCol w:w="270"/>
        <w:gridCol w:w="270"/>
        <w:gridCol w:w="271"/>
        <w:gridCol w:w="464"/>
        <w:gridCol w:w="464"/>
        <w:gridCol w:w="466"/>
        <w:gridCol w:w="421"/>
        <w:gridCol w:w="421"/>
        <w:gridCol w:w="598"/>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INSURANCE SEGMENT</w:t>
            </w:r>
          </w:p>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 xml:space="preserve">Income from operations </w:t>
            </w:r>
          </w:p>
          <w:p>
            <w:pPr>
              <w:pStyle w:val="TableContents"/>
              <w:bidi w:val="0"/>
              <w:spacing w:lineRule="auto" w:line="240" w:before="0" w:after="0"/>
              <w:jc w:val="left"/>
              <w:rPr>
                <w:rFonts w:ascii="sans-serif" w:hAnsi="sans-serif"/>
                <w:b w:val="false"/>
                <w:i/>
                <w:color w:val="FFFFFF"/>
                <w:sz w:val="24"/>
              </w:rPr>
            </w:pPr>
            <w:r>
              <w:rPr>
                <w:rFonts w:ascii="sans-serif" w:hAnsi="sans-serif"/>
                <w:b w:val="false"/>
                <w:i/>
                <w:color w:val="FFFFFF"/>
                <w:sz w:val="24"/>
              </w:rPr>
              <w:t>(in millions)</w:t>
            </w:r>
          </w:p>
        </w:tc>
        <w:tc>
          <w:tcPr>
            <w:tcW w:w="81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2Q26</w:t>
            </w:r>
          </w:p>
        </w:tc>
        <w:tc>
          <w:tcPr>
            <w:tcW w:w="81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2Q25</w:t>
            </w:r>
          </w:p>
        </w:tc>
        <w:tc>
          <w:tcPr>
            <w:tcW w:w="139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2026</w:t>
            </w:r>
          </w:p>
        </w:tc>
        <w:tc>
          <w:tcPr>
            <w:tcW w:w="1440"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2025</w:t>
            </w:r>
          </w:p>
        </w:tc>
      </w:tr>
      <w:tr>
        <w:trPr/>
        <w:tc>
          <w:tcPr>
            <w:tcW w:w="52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GAAP</w:t>
            </w:r>
          </w:p>
        </w:tc>
        <w:tc>
          <w:tcPr>
            <w:tcW w:w="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$820</w:t>
            </w:r>
          </w:p>
        </w:tc>
        <w:tc>
          <w:tcPr>
            <w:tcW w:w="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w:t>
            </w:r>
          </w:p>
        </w:tc>
        <w:tc>
          <w:tcPr>
            <w:tcW w:w="13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$2,255</w:t>
            </w:r>
          </w:p>
        </w:tc>
        <w:tc>
          <w:tcPr>
            <w:tcW w:w="144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$2,340</w:t>
            </w:r>
          </w:p>
        </w:tc>
      </w:tr>
      <w:tr>
        <w:trPr/>
        <w:tc>
          <w:tcPr>
            <w:tcW w:w="526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associated with identifiable intangibles</w:t>
            </w:r>
          </w:p>
        </w:tc>
        <w:tc>
          <w:tcPr>
            <w:tcW w:w="811"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w:t>
            </w:r>
          </w:p>
        </w:tc>
        <w:tc>
          <w:tcPr>
            <w:tcW w:w="811"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139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w:t>
            </w:r>
          </w:p>
        </w:tc>
        <w:tc>
          <w:tcPr>
            <w:tcW w:w="1440"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r>
      <w:tr>
        <w:trPr/>
        <w:tc>
          <w:tcPr>
            <w:tcW w:w="5265"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(non-GAAP)</w:t>
            </w:r>
          </w:p>
        </w:tc>
        <w:tc>
          <w:tcPr>
            <w:tcW w:w="811"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$824</w:t>
            </w:r>
          </w:p>
        </w:tc>
        <w:tc>
          <w:tcPr>
            <w:tcW w:w="811"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w:t>
            </w:r>
          </w:p>
        </w:tc>
        <w:tc>
          <w:tcPr>
            <w:tcW w:w="139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$2,263</w:t>
            </w:r>
          </w:p>
        </w:tc>
        <w:tc>
          <w:tcPr>
            <w:tcW w:w="1440"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$2,349</w:t>
            </w:r>
          </w:p>
        </w:tc>
      </w:tr>
    </w:tbl>
    <w:p>
      <w:pPr>
        <w:pStyle w:val="TextBody"/>
        <w:bidi w:val="0"/>
        <w:spacing w:before="0" w:after="0"/>
        <w:ind w:left="0" w:right="0" w:firstLine="90"/>
        <w:jc w:val="center"/>
        <w:rPr/>
      </w:pPr>
      <w:r>
        <w:rPr/>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 xml:space="preserve">(b) FY 2026 GAAP EPS guidance and FY 2026 Adjusted (non-GAAP) EPS guidance exclude the impact of future value changes to items that have not yet been recognized and cannot currently be reasonably estimated at this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sans-serif" w:hAnsi="sans-serif"/>
          <w:b/>
          <w:color w:val="000000"/>
          <w:sz w:val="22"/>
          <w:u w:val="single"/>
        </w:rPr>
      </w:pPr>
      <w:r>
        <w:rPr>
          <w:rFonts w:ascii="sans-serif" w:hAnsi="sans-serif"/>
          <w:b/>
          <w:color w:val="000000"/>
          <w:sz w:val="22"/>
          <w:u w:val="single"/>
        </w:rPr>
        <w:t>Cautionary Statement</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 xml:space="preserve">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“assumes,” “intends,” “likely will result,” “estimates,” “projects” or variations of such words and similar expressions are intended to identify such forward-looking statements. </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involve extensive judgment, and have considerable inherent variability because they are extremely sensitive to changes in claim payment patterns and medical cost trends. Accordingly, Humana's reserves may be insufficient.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If Humana fails to effectively implement its operational and strategic initiatives, including its Medicare initiatives, which are of particular importance given the concentration of the company's revenues in these products, state-based contract strategy, the growth of its CenterWell business, and its integrated care delivery model, the company’s business may be materially adversely affected.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The number of Humana’s Medicare Advantage plans rated 4-star or higher significantly declined in 2025. Humana filed a lawsuit seeking to set aside and vacate the 2025 Star Ratings of its Medicare Advantage plans, and on October 14, 2025, the Court issued a decision rejecting Humana's challenge. Although the company has appealed that decision, there can be no assurances that it will ultimately prevail in the lawsuit. If the company is not successful, the decline in Star Ratings will negatively impact its 2026 quality bonus payments from CMS and may also significantly adversely affect the company’s revenues, operating results, and cash flows. In addition, there can be no assurances the company will be successful in maintaining or improving its Star Ratings in future years. </w:t>
      </w:r>
    </w:p>
    <w:p>
      <w:pPr>
        <w:pStyle w:val="TextBody"/>
        <w:bidi w:val="0"/>
        <w:spacing w:lineRule="auto" w:line="288"/>
        <w:ind w:left="0" w:right="0" w:hanging="360"/>
        <w:jc w:val="both"/>
        <w:rPr/>
      </w:pPr>
      <w:r>
        <w:rPr>
          <w:color w:val="000000"/>
        </w:rPr>
        <w:t>•</w:t>
      </w:r>
      <w:r>
        <w:rPr>
          <w:rFonts w:ascii="sans-serif" w:hAnsi="sans-serif"/>
          <w:b w:val="false"/>
          <w:color w:val="000000"/>
          <w:sz w:val="22"/>
        </w:rPr>
        <w:t xml:space="preserve">If Humana, or the third-party service providers on which it relies, fails to properly maintain the integrity of its data, to strategically maintain existing or implement new information systems (including systems powered by or incorporating artificial intelligence (AI) or machine learning (ML)), or to protect Humana’s proprietary rights to its systems, or to defend against cyber-security attacks, contain such attacks when they occur, or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prevent other privacy or data security incidents that result in security breaches that disrupt the company's operations or in the unintentional dissemination of sensitive personal information or proprietary or confidential information, the company’s business may be materially adversely affected.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plans or retrospective recovery by CMS of previously paid premiums as a result of the final rule related to the risk adjustment data validation audit methodology published by CMS on January 30, 2023 (Final RADV Rule), which Humana believes fails to address adequately the statutory requirement of actuarial equivalence and violates the Administrative Procedure Act due to its failure to include a "Fee for Service Adjuster" could have a material adverse effect on the company's operating results, financial position and cash flows.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Humana’s failure to manage acquisitions, divestitures and other significant transactions successfully may have a material adverse effect on the company’s results of operations, financial position, and cash flows.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If Humana fails to develop and maintain satisfactory relationships with the providers of care to its members, the company’s business may be adversely affected. </w:t>
      </w:r>
    </w:p>
    <w:p>
      <w:pPr>
        <w:pStyle w:val="TextBody"/>
        <w:bidi w:val="0"/>
        <w:spacing w:lineRule="auto" w:line="256" w:before="0" w:after="0"/>
        <w:ind w:left="0" w:right="0" w:hanging="360"/>
        <w:jc w:val="both"/>
        <w:rPr/>
      </w:pPr>
      <w:r>
        <w:rPr>
          <w:color w:val="000000"/>
        </w:rPr>
        <w:t>•</w:t>
      </w:r>
      <w:r>
        <w:rPr>
          <w:rFonts w:ascii="sans-serif" w:hAnsi="sans-serif"/>
          <w:b w:val="false"/>
          <w:color w:val="000000"/>
          <w:sz w:val="22"/>
        </w:rPr>
        <w:t>Humana faces significant competition in attracting and retaining talented employees. Further, managing succession for, and retention of, key executives is critical to the Company’s success, and its failure to do so could adversely affect the Company’s businesses, operating results and/or future performance.</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Humana’s pharmacy business is highly competitive and subjects it to regulations and supply chain risks in addition to those the company faces with its core health benefits businesses.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Changes in the prescription drug industry pricing benchmarks may adversely affect Humana’s financial performance.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Humana’s ability to obtain funds from certain of its licensed subsidiaries is restricted by state insurance regulations.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Downgrades in Humana’s debt ratings, should they occur, may adversely affect its business, results of operations, and financial condition.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Volatility or disruption in the securities and credit markets may significantly and adversely affect the value of our investment portfolio and the investment income that we derive from this portfolio.</w:t>
      </w:r>
    </w:p>
    <w:p>
      <w:pPr>
        <w:pStyle w:val="TextBody"/>
        <w:bidi w:val="0"/>
        <w:spacing w:before="0" w:after="0"/>
        <w:jc w:val="both"/>
        <w:rPr/>
      </w:pPr>
      <w:r>
        <w:rPr/>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 xml:space="preserve">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240" w:after="283"/>
        <w:jc w:val="left"/>
        <w:rPr>
          <w:rFonts w:ascii="sans-serif" w:hAnsi="sans-serif"/>
          <w:b w:val="false"/>
          <w:color w:val="000000"/>
          <w:sz w:val="22"/>
        </w:rPr>
      </w:pPr>
      <w:r>
        <w:rPr>
          <w:rFonts w:ascii="sans-serif" w:hAnsi="sans-serif"/>
          <w:b w:val="false"/>
          <w:color w:val="000000"/>
          <w:sz w:val="22"/>
        </w:rPr>
        <w:t xml:space="preserve">Humana advises investors to read the following documents as filed by the company with the SEC for further discussion both of the risks it faces and its historical performance: </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2"/>
        </w:rPr>
        <w:t xml:space="preserve">Form 10-K for the year ended December 31, 2025; </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2"/>
        </w:rPr>
        <w:t>Form 10-Q for the quarter ended March 31, 2026; and</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2"/>
        </w:rPr>
        <w:t>Form 8-Ks filed during 2026.</w:t>
      </w:r>
    </w:p>
    <w:p>
      <w:pPr>
        <w:pStyle w:val="TextBody"/>
        <w:bidi w:val="0"/>
        <w:spacing w:lineRule="auto" w:line="288" w:before="240" w:after="283"/>
        <w:jc w:val="left"/>
        <w:rPr>
          <w:rFonts w:ascii="sans-serif" w:hAnsi="sans-serif"/>
          <w:b/>
          <w:i/>
          <w:color w:val="000000"/>
          <w:sz w:val="28"/>
          <w:u w:val="single"/>
        </w:rPr>
      </w:pPr>
      <w:r>
        <w:rPr>
          <w:rFonts w:ascii="sans-serif" w:hAnsi="sans-serif"/>
          <w:b/>
          <w:i/>
          <w:color w:val="000000"/>
          <w:sz w:val="28"/>
          <w:u w:val="single"/>
        </w:rPr>
        <w:t xml:space="preserve">About Humana </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 xml:space="preserve">Humana (NYSE: HUM) is a leading U.S. healthcare company. Through our Humana insurance services and our CenterWell health care services, we make it easier for the millions of people we serve to achieve their best health – delivering the care and service they need, when they need it. These efforts are leading to a better quality of life for people with Medicare and Medicaid, families, individuals, military service personnel, and communities at large. Learn more about what we offer at Humana.com and at CenterWell.com.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tbl>
      <w:tblPr>
        <w:tblW w:w="2134" w:type="dxa"/>
        <w:jc w:val="left"/>
        <w:tblInd w:w="0" w:type="dxa"/>
        <w:tblLayout w:type="fixed"/>
        <w:tblCellMar>
          <w:top w:w="28" w:type="dxa"/>
          <w:left w:w="28" w:type="dxa"/>
          <w:bottom w:w="28" w:type="dxa"/>
          <w:right w:w="28" w:type="dxa"/>
        </w:tblCellMar>
      </w:tblPr>
      <w:tblGrid>
        <w:gridCol w:w="718"/>
        <w:gridCol w:w="631"/>
        <w:gridCol w:w="631"/>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 e w s r e l e a s 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665" w:type="dxa"/>
        <w:jc w:val="right"/>
        <w:tblInd w:w="0" w:type="dxa"/>
        <w:tblLayout w:type="fixed"/>
        <w:tblCellMar>
          <w:top w:w="28" w:type="dxa"/>
          <w:left w:w="28" w:type="dxa"/>
          <w:bottom w:w="28" w:type="dxa"/>
          <w:right w:w="28" w:type="dxa"/>
        </w:tblCellMar>
      </w:tblPr>
      <w:tblGrid>
        <w:gridCol w:w="532"/>
        <w:gridCol w:w="469"/>
        <w:gridCol w:w="664"/>
      </w:tblGrid>
      <w:tr>
        <w:trPr/>
        <w:tc>
          <w:tcPr>
            <w:tcW w:w="53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sans-serif" w:hAnsi="sans-serif"/>
                <w:b/>
                <w:color w:val="000000"/>
                <w:sz w:val="22"/>
              </w:rPr>
            </w:pPr>
            <w:r>
              <w:rPr>
                <w:rFonts w:ascii="sans-serif" w:hAnsi="sans-serif"/>
                <w:b/>
                <w:color w:val="000000"/>
                <w:sz w:val="22"/>
              </w:rPr>
              <w:t>Exhibit 99.2</w:t>
            </w:r>
          </w:p>
        </w:tc>
      </w:tr>
    </w:tbl>
    <w:tbl>
      <w:tblPr>
        <w:tblW w:w="1695"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85" w:type="dxa"/>
        <w:jc w:val="right"/>
        <w:tblInd w:w="0" w:type="dxa"/>
        <w:tblLayout w:type="fixed"/>
        <w:tblCellMar>
          <w:top w:w="28" w:type="dxa"/>
          <w:left w:w="28" w:type="dxa"/>
          <w:bottom w:w="28" w:type="dxa"/>
          <w:right w:w="28" w:type="dxa"/>
        </w:tblCellMar>
      </w:tblPr>
      <w:tblGrid>
        <w:gridCol w:w="955"/>
        <w:gridCol w:w="840"/>
        <w:gridCol w:w="1190"/>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2"/>
              </w:rPr>
            </w:pPr>
            <w:r>
              <w:rPr>
                <w:rFonts w:ascii="sans-serif" w:hAnsi="sans-serif"/>
                <w:b w:val="false"/>
                <w:color w:val="000000"/>
                <w:sz w:val="22"/>
              </w:rPr>
              <w:t>Humana Inc.</w:t>
            </w:r>
          </w:p>
          <w:p>
            <w:pPr>
              <w:pStyle w:val="TableContents"/>
              <w:bidi w:val="0"/>
              <w:spacing w:lineRule="auto" w:line="240" w:before="0" w:after="0"/>
              <w:jc w:val="right"/>
              <w:rPr>
                <w:rFonts w:ascii="sans-serif" w:hAnsi="sans-serif"/>
                <w:b w:val="false"/>
                <w:color w:val="000000"/>
                <w:sz w:val="22"/>
              </w:rPr>
            </w:pPr>
            <w:r>
              <w:rPr>
                <w:rFonts w:ascii="sans-serif" w:hAnsi="sans-serif"/>
                <w:b w:val="false"/>
                <w:color w:val="000000"/>
                <w:sz w:val="22"/>
              </w:rPr>
              <w:t>101 East Main Street</w:t>
            </w:r>
          </w:p>
          <w:p>
            <w:pPr>
              <w:pStyle w:val="TableContents"/>
              <w:bidi w:val="0"/>
              <w:spacing w:lineRule="auto" w:line="240" w:before="0" w:after="0"/>
              <w:jc w:val="right"/>
              <w:rPr>
                <w:rFonts w:ascii="sans-serif" w:hAnsi="sans-serif"/>
                <w:b w:val="false"/>
                <w:color w:val="000000"/>
                <w:sz w:val="22"/>
              </w:rPr>
            </w:pPr>
            <w:r>
              <w:rPr>
                <w:rFonts w:ascii="sans-serif" w:hAnsi="sans-serif"/>
                <w:b w:val="false"/>
                <w:color w:val="000000"/>
                <w:sz w:val="22"/>
              </w:rPr>
              <w:t>P.O. Box 1438</w:t>
            </w:r>
          </w:p>
          <w:p>
            <w:pPr>
              <w:pStyle w:val="TableContents"/>
              <w:bidi w:val="0"/>
              <w:spacing w:lineRule="auto" w:line="240" w:before="0" w:after="0"/>
              <w:jc w:val="right"/>
              <w:rPr>
                <w:rFonts w:ascii="sans-serif" w:hAnsi="sans-serif"/>
                <w:b w:val="false"/>
                <w:color w:val="000000"/>
                <w:sz w:val="22"/>
              </w:rPr>
            </w:pPr>
            <w:r>
              <w:rPr>
                <w:rFonts w:ascii="sans-serif" w:hAnsi="sans-serif"/>
                <w:b w:val="false"/>
                <w:color w:val="000000"/>
                <w:sz w:val="22"/>
              </w:rPr>
              <w:t>Louisville, KY 40202</w:t>
            </w:r>
          </w:p>
          <w:p>
            <w:pPr>
              <w:pStyle w:val="TableContents"/>
              <w:bidi w:val="0"/>
              <w:spacing w:lineRule="auto" w:line="240" w:before="0" w:after="0"/>
              <w:jc w:val="right"/>
              <w:rPr>
                <w:rFonts w:ascii="sans-serif" w:hAnsi="sans-serif"/>
                <w:b w:val="false"/>
                <w:color w:val="000000"/>
                <w:sz w:val="22"/>
                <w:u w:val="single"/>
              </w:rPr>
            </w:pPr>
            <w:r>
              <w:rPr>
                <w:rFonts w:ascii="sans-serif" w:hAnsi="sans-serif"/>
                <w:b w:val="false"/>
                <w:color w:val="000000"/>
                <w:sz w:val="22"/>
                <w:u w:val="single"/>
              </w:rPr>
              <w:t>http://www.humana.com</w:t>
            </w:r>
          </w:p>
        </w:tc>
      </w:tr>
    </w:tbl>
    <w:tbl>
      <w:tblPr>
        <w:tblW w:w="6731" w:type="dxa"/>
        <w:jc w:val="left"/>
        <w:tblInd w:w="0" w:type="dxa"/>
        <w:tblLayout w:type="fixed"/>
        <w:tblCellMar>
          <w:top w:w="28" w:type="dxa"/>
          <w:left w:w="28" w:type="dxa"/>
          <w:bottom w:w="28" w:type="dxa"/>
          <w:right w:w="28" w:type="dxa"/>
        </w:tblCellMar>
      </w:tblPr>
      <w:tblGrid>
        <w:gridCol w:w="1211"/>
        <w:gridCol w:w="1066"/>
        <w:gridCol w:w="1068"/>
        <w:gridCol w:w="992"/>
        <w:gridCol w:w="992"/>
        <w:gridCol w:w="1402"/>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140" w:after="283"/>
              <w:jc w:val="left"/>
              <w:rPr>
                <w:rFonts w:ascii="sans-serif" w:hAnsi="sans-serif"/>
                <w:b w:val="false"/>
                <w:color w:val="000000"/>
                <w:sz w:val="18"/>
              </w:rPr>
            </w:pPr>
            <w:r>
              <w:rPr>
                <w:rFonts w:ascii="sans-serif" w:hAnsi="sans-serif"/>
                <w:b w:val="false"/>
                <w:color w:val="000000"/>
                <w:sz w:val="18"/>
              </w:rPr>
              <w:t>FOR MORE INFORMATION CONTACT:</w:t>
            </w:r>
          </w:p>
        </w:tc>
        <w:tc>
          <w:tcPr>
            <w:tcW w:w="338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66925" cy="6191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2066925" cy="619125"/>
                          </a:xfrm>
                          <a:prstGeom prst="rect">
                            <a:avLst/>
                          </a:prstGeom>
                        </pic:spPr>
                      </pic:pic>
                    </a:graphicData>
                  </a:graphic>
                </wp:inline>
              </w:drawing>
            </w:r>
          </w:p>
        </w:tc>
      </w:tr>
    </w:tbl>
    <w:p>
      <w:pPr>
        <w:pStyle w:val="TextBody"/>
        <w:bidi w:val="0"/>
        <w:spacing w:lineRule="auto" w:line="240" w:before="140" w:after="283"/>
        <w:jc w:val="left"/>
        <w:rPr>
          <w:rFonts w:ascii="sans-serif" w:hAnsi="sans-serif"/>
          <w:b w:val="false"/>
          <w:color w:val="000000"/>
          <w:sz w:val="22"/>
        </w:rPr>
      </w:pPr>
      <w:r>
        <w:rPr>
          <w:rFonts w:ascii="sans-serif" w:hAnsi="sans-serif"/>
          <w:b w:val="false"/>
          <w:color w:val="000000"/>
          <w:sz w:val="22"/>
        </w:rPr>
        <w:t>Lisa Stoner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Humana Investor Relations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(502) 580-2652</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e-mail: LStamper@humana.com</w:t>
      </w:r>
    </w:p>
    <w:p>
      <w:pPr>
        <w:pStyle w:val="TextBody"/>
        <w:bidi w:val="0"/>
        <w:spacing w:lineRule="auto" w:line="240" w:before="140" w:after="283"/>
        <w:jc w:val="left"/>
        <w:rPr>
          <w:rFonts w:ascii="sans-serif" w:hAnsi="sans-serif"/>
          <w:b w:val="false"/>
          <w:color w:val="000000"/>
          <w:sz w:val="22"/>
        </w:rPr>
      </w:pPr>
      <w:r>
        <w:rPr>
          <w:rFonts w:ascii="sans-serif" w:hAnsi="sans-serif"/>
          <w:b w:val="false"/>
          <w:color w:val="000000"/>
          <w:sz w:val="22"/>
        </w:rPr>
        <w:t>Mark Taylor</w:t>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Humana Corporate Communications</w:t>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(317) 753-0345</w:t>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e-mail: MTaylor108@humana.com</w:t>
      </w:r>
    </w:p>
    <w:p>
      <w:pPr>
        <w:pStyle w:val="TextBody"/>
        <w:bidi w:val="0"/>
        <w:spacing w:before="0" w:after="0"/>
        <w:jc w:val="left"/>
        <w:rPr/>
      </w:pPr>
      <w:r>
        <w:rPr/>
      </w:r>
    </w:p>
    <w:p>
      <w:pPr>
        <w:pStyle w:val="TextBody"/>
        <w:bidi w:val="0"/>
        <w:spacing w:lineRule="auto" w:line="288" w:before="0" w:after="0"/>
        <w:jc w:val="center"/>
        <w:rPr>
          <w:rFonts w:ascii="sans-serif" w:hAnsi="sans-serif"/>
          <w:b/>
          <w:color w:val="5C9A1B"/>
          <w:sz w:val="32"/>
        </w:rPr>
      </w:pPr>
      <w:r>
        <w:rPr>
          <w:rFonts w:ascii="sans-serif" w:hAnsi="sans-serif"/>
          <w:b/>
          <w:color w:val="5C9A1B"/>
          <w:sz w:val="32"/>
        </w:rPr>
        <w:t xml:space="preserve">Humana Reports Second Quarter 2026 Financial Results; </w:t>
      </w:r>
    </w:p>
    <w:p>
      <w:pPr>
        <w:pStyle w:val="TextBody"/>
        <w:bidi w:val="0"/>
        <w:spacing w:lineRule="auto" w:line="288" w:before="0" w:after="0"/>
        <w:jc w:val="center"/>
        <w:rPr>
          <w:rFonts w:ascii="sans-serif" w:hAnsi="sans-serif"/>
          <w:b/>
          <w:color w:val="5C9A1B"/>
          <w:sz w:val="32"/>
        </w:rPr>
      </w:pPr>
      <w:r>
        <w:rPr>
          <w:rFonts w:ascii="sans-serif" w:hAnsi="sans-serif"/>
          <w:b/>
          <w:color w:val="5C9A1B"/>
          <w:sz w:val="32"/>
        </w:rPr>
        <w:t xml:space="preserve">Affirms Full Year 2026 Adjusted Financial Guidance </w:t>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Reports 2Q26 earnings per share (EPS) of $5.73 on a GAAP basis, Adjusted EPS of</w:t>
      </w:r>
      <w:r>
        <w:rPr>
          <w:color w:val="000000"/>
        </w:rPr>
        <w:t xml:space="preserve"> </w:t>
      </w:r>
      <w:r>
        <w:rPr>
          <w:rFonts w:ascii="sans-serif" w:hAnsi="sans-serif"/>
          <w:b w:val="false"/>
          <w:color w:val="000000"/>
          <w:sz w:val="20"/>
        </w:rPr>
        <w:t xml:space="preserve">$7.61; reports year to date (YTD) 2026 EPS of $15.55 on a GAAP basis, $17.91 on an Adjusted basis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 xml:space="preserve">2Q26 Insurance segment GAAP benefit ratio of 91.2 percent, in line with management's guidance of 'slightly above 91 percent'; affirms full year (FY) 2026 Insurance segment benefit ratio guidance of 92.75 percent, plus or minus 25 basis points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Affirms FY 2026 Adjusted EPS guidance of 'at least $9.00'; while revising GAAP EPS guidance to</w:t>
      </w:r>
      <w:r>
        <w:rPr>
          <w:color w:val="EE2724"/>
        </w:rPr>
        <w:t xml:space="preserve"> </w:t>
      </w:r>
      <w:r>
        <w:rPr>
          <w:rFonts w:ascii="sans-serif" w:hAnsi="sans-serif"/>
          <w:b w:val="false"/>
          <w:color w:val="000000"/>
          <w:sz w:val="20"/>
        </w:rPr>
        <w:t>'at least $6.52' from the previous estimate of 'at least $8.36'</w:t>
      </w:r>
      <w:r>
        <w:rPr>
          <w:color w:val="EE2724"/>
        </w:rPr>
        <w:t xml:space="preserve"> </w:t>
      </w:r>
    </w:p>
    <w:p>
      <w:pPr>
        <w:pStyle w:val="TextBody"/>
        <w:bidi w:val="0"/>
        <w:spacing w:lineRule="auto" w:line="276" w:before="0" w:after="0"/>
        <w:ind w:left="0" w:right="0" w:hanging="360"/>
        <w:jc w:val="both"/>
        <w:rPr/>
      </w:pPr>
      <w:r>
        <w:rPr>
          <w:color w:val="000000"/>
        </w:rPr>
        <w:t>•</w:t>
      </w:r>
      <w:r>
        <w:rPr>
          <w:rFonts w:ascii="sans-serif" w:hAnsi="sans-serif"/>
          <w:b w:val="false"/>
          <w:color w:val="000000"/>
          <w:sz w:val="20"/>
        </w:rPr>
        <w:t>Affirms FY 2026 individual Medicare Advantage (MA) membership growth of 'approximately 25 percent' over 2025; driven by new sales and improved retention from the company's customer-led benefit strategy and changes to its customer service approach</w:t>
      </w:r>
    </w:p>
    <w:p>
      <w:pPr>
        <w:pStyle w:val="TextBody"/>
        <w:bidi w:val="0"/>
        <w:spacing w:lineRule="auto" w:line="276" w:before="0" w:after="0"/>
        <w:ind w:left="0" w:right="0" w:hanging="360"/>
        <w:jc w:val="both"/>
        <w:rPr/>
      </w:pPr>
      <w:r>
        <w:rPr>
          <w:color w:val="000000"/>
        </w:rPr>
        <w:t>•</w:t>
      </w:r>
      <w:r>
        <w:rPr>
          <w:rFonts w:ascii="sans-serif" w:hAnsi="sans-serif"/>
          <w:b w:val="false"/>
          <w:color w:val="000000"/>
          <w:sz w:val="20"/>
        </w:rPr>
        <w:t>Continued strategic expansion of the company's CenterWell and Medicaid footprints</w:t>
      </w:r>
    </w:p>
    <w:p>
      <w:pPr>
        <w:pStyle w:val="TextBody"/>
        <w:bidi w:val="0"/>
        <w:spacing w:lineRule="auto" w:line="276" w:before="0" w:after="0"/>
        <w:ind w:left="0" w:right="0" w:hanging="360"/>
        <w:jc w:val="both"/>
        <w:rPr/>
      </w:pPr>
      <w:r>
        <w:rPr>
          <w:color w:val="000000"/>
        </w:rPr>
        <w:t>◦</w:t>
      </w:r>
      <w:r>
        <w:rPr>
          <w:rFonts w:ascii="sans-serif" w:hAnsi="sans-serif"/>
          <w:b w:val="false"/>
          <w:color w:val="000000"/>
          <w:sz w:val="20"/>
        </w:rPr>
        <w:t>YTD growth of 130,900 patients, or 27 percent, in CenterWell Senior Primary Care</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0"/>
        </w:rPr>
        <w:t xml:space="preserve">Broadened Illinois Medicaid footprint with the award of a statewide Illinois Medicaid managed care contract expected to go live in January 2027; Humana was the only new entrant awarded along with five incumbents </w:t>
      </w:r>
    </w:p>
    <w:p>
      <w:pPr>
        <w:pStyle w:val="TextBody"/>
        <w:bidi w:val="0"/>
        <w:spacing w:lineRule="auto" w:line="268" w:before="0" w:after="0"/>
        <w:ind w:left="0" w:right="0" w:hanging="360"/>
        <w:jc w:val="both"/>
        <w:rPr/>
      </w:pPr>
      <w:r>
        <w:rPr>
          <w:color w:val="000000"/>
          <w:shd w:fill="FFFFFF" w:val="clear"/>
        </w:rPr>
        <w:t>•</w:t>
      </w:r>
      <w:r>
        <w:rPr>
          <w:rFonts w:ascii="sans-serif" w:hAnsi="sans-serif"/>
          <w:b w:val="false"/>
          <w:color w:val="000000"/>
          <w:sz w:val="20"/>
        </w:rPr>
        <w:t>Publishes prepared management remarks to Investor Relations page of www.humana.com ahead of this morning's 8:00 a.m. ET question and answer session to discuss its financial results for the quarter and expectations for future earnings</w:t>
      </w:r>
    </w:p>
    <w:p>
      <w:pPr>
        <w:pStyle w:val="TextBody"/>
        <w:bidi w:val="0"/>
        <w:spacing w:before="0" w:after="0"/>
        <w:jc w:val="both"/>
        <w:rPr/>
      </w:pPr>
      <w:r>
        <w:rPr/>
      </w:r>
    </w:p>
    <w:p>
      <w:pPr>
        <w:pStyle w:val="TextBody"/>
        <w:bidi w:val="0"/>
        <w:spacing w:lineRule="auto" w:line="276" w:before="0" w:after="0"/>
        <w:jc w:val="both"/>
        <w:rPr/>
      </w:pPr>
      <w:r>
        <w:rPr>
          <w:rFonts w:ascii="sans-serif" w:hAnsi="sans-serif"/>
          <w:b/>
          <w:color w:val="000000"/>
          <w:sz w:val="22"/>
        </w:rPr>
        <w:t>LOUISVILLE, KY (July 29, 2026)</w:t>
      </w:r>
      <w:r>
        <w:rPr>
          <w:color w:val="000000"/>
        </w:rPr>
        <w:t xml:space="preserve"> – </w:t>
      </w:r>
      <w:r>
        <w:rPr>
          <w:rFonts w:ascii="sans-serif" w:hAnsi="sans-serif"/>
          <w:b w:val="false"/>
          <w:color w:val="000000"/>
          <w:sz w:val="22"/>
        </w:rPr>
        <w:t>Humana Inc. (NYSE: HUM) today reported consolidated pretax results and diluted earnings per share (EPS) for the quarter ended June 30, 2026 (2Q26) versus the quarter ended June 30, 2025 (2Q25) and for the six months ended June 30, 2026 (YTD 2026) versus the six months ended June 30, 2025 (YTD 2025) as noted in the tables below.</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3"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74"/>
        <w:gridCol w:w="1700"/>
        <w:gridCol w:w="1703"/>
        <w:gridCol w:w="420"/>
        <w:gridCol w:w="421"/>
        <w:gridCol w:w="257"/>
        <w:gridCol w:w="413"/>
        <w:gridCol w:w="413"/>
        <w:gridCol w:w="257"/>
        <w:gridCol w:w="459"/>
        <w:gridCol w:w="418"/>
        <w:gridCol w:w="365"/>
        <w:gridCol w:w="416"/>
        <w:gridCol w:w="412"/>
        <w:gridCol w:w="477"/>
      </w:tblGrid>
      <w:tr>
        <w:trPr/>
        <w:tc>
          <w:tcPr>
            <w:tcW w:w="207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pPr>
            <w:r>
              <w:rPr>
                <w:rFonts w:ascii="sans-serif" w:hAnsi="sans-serif"/>
                <w:b/>
                <w:color w:val="FFFFFF"/>
                <w:sz w:val="18"/>
              </w:rPr>
              <w:t xml:space="preserve">Consolidated income before income taxes and equity in net losses (pretax results) </w:t>
            </w:r>
            <w:r>
              <w:rPr>
                <w:rFonts w:ascii="sans-serif" w:hAnsi="sans-serif"/>
                <w:b w:val="false"/>
                <w:i/>
                <w:color w:val="FFFFFF"/>
                <w:sz w:val="18"/>
              </w:rPr>
              <w:t>In millions</w:t>
            </w:r>
          </w:p>
        </w:tc>
        <w:tc>
          <w:tcPr>
            <w:tcW w:w="1098"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2Q26 (a)</w:t>
            </w:r>
          </w:p>
        </w:tc>
        <w:tc>
          <w:tcPr>
            <w:tcW w:w="1083"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2Q25 (a)</w:t>
            </w:r>
          </w:p>
        </w:tc>
        <w:tc>
          <w:tcPr>
            <w:tcW w:w="1242"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YTD 2026 (a)</w:t>
            </w:r>
          </w:p>
        </w:tc>
        <w:tc>
          <w:tcPr>
            <w:tcW w:w="1305"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YTD 2025 (a)</w:t>
            </w:r>
          </w:p>
        </w:tc>
      </w:tr>
      <w:tr>
        <w:trPr/>
        <w:tc>
          <w:tcPr>
            <w:tcW w:w="547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Generally Accepted Accounting Principles (GAAP)</w:t>
            </w:r>
          </w:p>
        </w:tc>
        <w:tc>
          <w:tcPr>
            <w:tcW w:w="8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$952</w:t>
            </w:r>
            <w:r>
              <w:rPr>
                <w:color w:val="000000"/>
              </w:rPr>
              <w:t> </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$741 </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$2,547</w:t>
            </w:r>
            <w:r>
              <w:rPr>
                <w:color w:val="000000"/>
              </w:rPr>
              <w:t> </w:t>
            </w:r>
          </w:p>
        </w:tc>
        <w:tc>
          <w:tcPr>
            <w:tcW w:w="3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$2,432 </w:t>
            </w:r>
          </w:p>
        </w:tc>
        <w:tc>
          <w:tcPr>
            <w:tcW w:w="47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associated with identifiable intangibles</w:t>
            </w:r>
          </w:p>
        </w:tc>
        <w:tc>
          <w:tcPr>
            <w:tcW w:w="84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w:t>
            </w:r>
            <w:r>
              <w:rPr>
                <w:color w:val="000000"/>
              </w:rPr>
              <w:t> </w:t>
            </w:r>
          </w:p>
        </w:tc>
        <w:tc>
          <w:tcPr>
            <w:tcW w:w="257"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15 </w:t>
            </w:r>
          </w:p>
        </w:tc>
        <w:tc>
          <w:tcPr>
            <w:tcW w:w="257"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w:t>
            </w:r>
            <w:r>
              <w:rPr>
                <w:color w:val="000000"/>
              </w:rPr>
              <w:t> </w:t>
            </w:r>
          </w:p>
        </w:tc>
        <w:tc>
          <w:tcPr>
            <w:tcW w:w="365"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30 </w:t>
            </w:r>
          </w:p>
        </w:tc>
        <w:tc>
          <w:tcPr>
            <w:tcW w:w="477"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Put/call valuation adjustments associated with company's non-consolidating minority interest investments</w:t>
            </w:r>
          </w:p>
        </w:tc>
        <w:tc>
          <w:tcPr>
            <w:tcW w:w="84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211</w:t>
            </w:r>
            <w:r>
              <w:rPr>
                <w:color w:val="000000"/>
              </w:rPr>
              <w:t>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177</w:t>
            </w:r>
            <w:r>
              <w:rPr>
                <w:color w:val="000000"/>
              </w:rPr>
              <w:t>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363 </w:t>
            </w:r>
          </w:p>
        </w:tc>
        <w:tc>
          <w:tcPr>
            <w:tcW w:w="477"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Value creation initiatives</w:t>
            </w:r>
          </w:p>
        </w:tc>
        <w:tc>
          <w:tcPr>
            <w:tcW w:w="84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w:t>
            </w:r>
            <w:r>
              <w:rPr>
                <w:color w:val="000000"/>
              </w:rPr>
              <w:t> </w:t>
            </w:r>
          </w:p>
        </w:tc>
        <w:tc>
          <w:tcPr>
            <w:tcW w:w="257"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29 </w:t>
            </w:r>
          </w:p>
        </w:tc>
        <w:tc>
          <w:tcPr>
            <w:tcW w:w="257"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154</w:t>
            </w:r>
            <w:r>
              <w:rPr>
                <w:color w:val="000000"/>
              </w:rPr>
              <w:t> </w:t>
            </w:r>
          </w:p>
        </w:tc>
        <w:tc>
          <w:tcPr>
            <w:tcW w:w="365"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53 </w:t>
            </w:r>
          </w:p>
        </w:tc>
        <w:tc>
          <w:tcPr>
            <w:tcW w:w="477"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 charges</w:t>
            </w:r>
          </w:p>
        </w:tc>
        <w:tc>
          <w:tcPr>
            <w:tcW w:w="84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w:t>
            </w:r>
            <w:r>
              <w:rPr>
                <w:color w:val="000000"/>
              </w:rPr>
              <w:t>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w:t>
            </w:r>
            <w:r>
              <w:rPr>
                <w:color w:val="000000"/>
              </w:rPr>
              <w:t>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32 </w:t>
            </w:r>
          </w:p>
        </w:tc>
        <w:tc>
          <w:tcPr>
            <w:tcW w:w="477"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477"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Adjusted (non-GAAP)</w:t>
            </w:r>
          </w:p>
        </w:tc>
        <w:tc>
          <w:tcPr>
            <w:tcW w:w="841"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$1,248</w:t>
            </w:r>
            <w:r>
              <w:rPr>
                <w:color w:val="000000"/>
              </w:rPr>
              <w:t> </w:t>
            </w:r>
          </w:p>
        </w:tc>
        <w:tc>
          <w:tcPr>
            <w:tcW w:w="257"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$1,017 </w:t>
            </w:r>
          </w:p>
        </w:tc>
        <w:tc>
          <w:tcPr>
            <w:tcW w:w="257"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$2,918</w:t>
            </w:r>
            <w:r>
              <w:rPr>
                <w:color w:val="000000"/>
              </w:rPr>
              <w:t> </w:t>
            </w:r>
          </w:p>
        </w:tc>
        <w:tc>
          <w:tcPr>
            <w:tcW w:w="365"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$2,910 </w:t>
            </w:r>
          </w:p>
        </w:tc>
        <w:tc>
          <w:tcPr>
            <w:tcW w:w="477" w:type="dxa"/>
            <w:tcBorders>
              <w:top w:val="single" w:sz="8" w:space="0" w:color="000000"/>
              <w:bottom w:val="single" w:sz="8" w:space="0" w:color="000000"/>
              <w:right w:val="single" w:sz="8" w:space="0" w:color="000000"/>
            </w:tcBorders>
            <w:shd w:fill="DEF3C0"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292"/>
        <w:gridCol w:w="1700"/>
        <w:gridCol w:w="1706"/>
        <w:gridCol w:w="360"/>
        <w:gridCol w:w="361"/>
        <w:gridCol w:w="260"/>
        <w:gridCol w:w="353"/>
        <w:gridCol w:w="353"/>
        <w:gridCol w:w="260"/>
        <w:gridCol w:w="459"/>
        <w:gridCol w:w="420"/>
        <w:gridCol w:w="370"/>
        <w:gridCol w:w="416"/>
        <w:gridCol w:w="412"/>
        <w:gridCol w:w="483"/>
      </w:tblGrid>
      <w:tr>
        <w:trPr/>
        <w:tc>
          <w:tcPr>
            <w:tcW w:w="229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left"/>
              <w:rPr>
                <w:rFonts w:ascii="sans-serif" w:hAnsi="sans-serif"/>
                <w:b/>
                <w:color w:val="FFFFFF"/>
                <w:sz w:val="18"/>
              </w:rPr>
            </w:pPr>
            <w:r>
              <w:rPr>
                <w:rFonts w:ascii="sans-serif" w:hAnsi="sans-serif"/>
                <w:b/>
                <w:color w:val="FFFFFF"/>
                <w:sz w:val="18"/>
              </w:rPr>
              <w:t>Diluted earnings per share (EPS)</w:t>
            </w:r>
          </w:p>
        </w:tc>
        <w:tc>
          <w:tcPr>
            <w:tcW w:w="98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2Q26 (a)</w:t>
            </w:r>
          </w:p>
        </w:tc>
        <w:tc>
          <w:tcPr>
            <w:tcW w:w="966"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2Q25 (a)</w:t>
            </w:r>
          </w:p>
        </w:tc>
        <w:tc>
          <w:tcPr>
            <w:tcW w:w="1249"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YTD 2026 (a)</w:t>
            </w:r>
          </w:p>
        </w:tc>
        <w:tc>
          <w:tcPr>
            <w:tcW w:w="1311"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YTD 2025 (a)</w:t>
            </w:r>
          </w:p>
        </w:tc>
      </w:tr>
      <w:tr>
        <w:trPr/>
        <w:tc>
          <w:tcPr>
            <w:tcW w:w="56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GAAP</w:t>
            </w:r>
          </w:p>
        </w:tc>
        <w:tc>
          <w:tcPr>
            <w:tcW w:w="72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$5.73</w:t>
            </w:r>
            <w:r>
              <w:rPr>
                <w:color w:val="000000"/>
              </w:rPr>
              <w:t>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$4.51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$15.55</w:t>
            </w:r>
            <w:r>
              <w:rPr>
                <w:color w:val="000000"/>
              </w:rPr>
              <w:t> </w:t>
            </w:r>
          </w:p>
        </w:tc>
        <w:tc>
          <w:tcPr>
            <w:tcW w:w="3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$14.81 </w:t>
            </w:r>
          </w:p>
        </w:tc>
        <w:tc>
          <w:tcPr>
            <w:tcW w:w="483"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associated with identifiable intangibles</w:t>
            </w:r>
          </w:p>
        </w:tc>
        <w:tc>
          <w:tcPr>
            <w:tcW w:w="72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0.07</w:t>
            </w:r>
            <w:r>
              <w:rPr>
                <w:color w:val="000000"/>
              </w:rPr>
              <w:t> </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0.12 </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0.16</w:t>
            </w:r>
            <w:r>
              <w:rPr>
                <w:color w:val="000000"/>
              </w:rPr>
              <w:t> </w:t>
            </w:r>
          </w:p>
        </w:tc>
        <w:tc>
          <w:tcPr>
            <w:tcW w:w="37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0.24 </w:t>
            </w:r>
          </w:p>
        </w:tc>
        <w:tc>
          <w:tcPr>
            <w:tcW w:w="483"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Put/call valuation adjustments associated with company's non-consolidating minority interest investments</w:t>
            </w:r>
          </w:p>
        </w:tc>
        <w:tc>
          <w:tcPr>
            <w:tcW w:w="72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1.74</w:t>
            </w:r>
            <w:r>
              <w:rPr>
                <w:color w:val="000000"/>
              </w:rPr>
              <w:t>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1.47</w:t>
            </w:r>
            <w:r>
              <w:rPr>
                <w:color w:val="000000"/>
              </w:rPr>
              <w:t> </w:t>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3.01 </w:t>
            </w:r>
          </w:p>
        </w:tc>
        <w:tc>
          <w:tcPr>
            <w:tcW w:w="483"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Value creation initiatives</w:t>
            </w:r>
          </w:p>
        </w:tc>
        <w:tc>
          <w:tcPr>
            <w:tcW w:w="72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0.46</w:t>
            </w:r>
            <w:r>
              <w:rPr>
                <w:color w:val="000000"/>
              </w:rPr>
              <w:t> </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0.24 </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1.27</w:t>
            </w:r>
            <w:r>
              <w:rPr>
                <w:color w:val="000000"/>
              </w:rPr>
              <w:t> </w:t>
            </w:r>
          </w:p>
        </w:tc>
        <w:tc>
          <w:tcPr>
            <w:tcW w:w="37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0.44 </w:t>
            </w:r>
          </w:p>
        </w:tc>
        <w:tc>
          <w:tcPr>
            <w:tcW w:w="483"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 charges</w:t>
            </w:r>
          </w:p>
        </w:tc>
        <w:tc>
          <w:tcPr>
            <w:tcW w:w="72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0.17</w:t>
            </w:r>
            <w:r>
              <w:rPr>
                <w:color w:val="000000"/>
              </w:rPr>
              <w:t>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0.27 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0.17</w:t>
            </w:r>
            <w:r>
              <w:rPr>
                <w:color w:val="000000"/>
              </w:rPr>
              <w:t> </w:t>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0.26 </w:t>
            </w:r>
          </w:p>
        </w:tc>
        <w:tc>
          <w:tcPr>
            <w:tcW w:w="483"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Cumulative net tax impact of non-GAAP adjustments</w:t>
            </w:r>
          </w:p>
        </w:tc>
        <w:tc>
          <w:tcPr>
            <w:tcW w:w="72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(0.56)</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(0.53)</w:t>
            </w:r>
          </w:p>
        </w:tc>
        <w:tc>
          <w:tcPr>
            <w:tcW w:w="26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(0.71)</w:t>
            </w:r>
          </w:p>
        </w:tc>
        <w:tc>
          <w:tcPr>
            <w:tcW w:w="370"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(0.91)</w:t>
            </w:r>
          </w:p>
        </w:tc>
        <w:tc>
          <w:tcPr>
            <w:tcW w:w="483"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Adjusted (non-GAAP)</w:t>
            </w:r>
          </w:p>
        </w:tc>
        <w:tc>
          <w:tcPr>
            <w:tcW w:w="721"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$7.61</w:t>
            </w:r>
            <w:r>
              <w:rPr>
                <w:color w:val="000000"/>
              </w:rPr>
              <w:t> </w:t>
            </w:r>
          </w:p>
        </w:tc>
        <w:tc>
          <w:tcPr>
            <w:tcW w:w="2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$6.27 </w:t>
            </w:r>
          </w:p>
        </w:tc>
        <w:tc>
          <w:tcPr>
            <w:tcW w:w="2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$17.91</w:t>
            </w:r>
            <w:r>
              <w:rPr>
                <w:color w:val="000000"/>
              </w:rPr>
              <w:t> </w:t>
            </w:r>
          </w:p>
        </w:tc>
        <w:tc>
          <w:tcPr>
            <w:tcW w:w="3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$17.85 </w:t>
            </w:r>
          </w:p>
        </w:tc>
        <w:tc>
          <w:tcPr>
            <w:tcW w:w="483" w:type="dxa"/>
            <w:tcBorders>
              <w:top w:val="single" w:sz="8" w:space="0" w:color="000000"/>
              <w:bottom w:val="single" w:sz="8" w:space="0" w:color="000000"/>
              <w:right w:val="single" w:sz="8" w:space="0" w:color="000000"/>
            </w:tcBorders>
            <w:shd w:fill="FFFF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sans-serif" w:hAnsi="sans-serif"/>
          <w:b w:val="false"/>
          <w:i/>
          <w:color w:val="000000"/>
          <w:sz w:val="18"/>
        </w:rPr>
      </w:pPr>
      <w:r>
        <w:rPr>
          <w:rFonts w:ascii="sans-serif" w:hAnsi="sans-serif"/>
          <w:b w:val="false"/>
          <w:i/>
          <w:color w:val="000000"/>
          <w:sz w:val="18"/>
        </w:rPr>
        <w:t>Refer to the "Footnotes" section included herein for further explanation of disclosures for Adjusted (non-GAAP) financial measures, as well as reconciliations.</w:t>
      </w:r>
    </w:p>
    <w:p>
      <w:pPr>
        <w:pStyle w:val="TextBody"/>
        <w:bidi w:val="0"/>
        <w:spacing w:lineRule="auto" w:line="276" w:before="240" w:after="283"/>
        <w:jc w:val="both"/>
        <w:rPr>
          <w:rFonts w:ascii="sans-serif" w:hAnsi="sans-serif"/>
          <w:b w:val="false"/>
          <w:color w:val="000000"/>
          <w:sz w:val="22"/>
        </w:rPr>
      </w:pPr>
      <w:r>
        <w:rPr>
          <w:rFonts w:ascii="sans-serif" w:hAnsi="sans-serif"/>
          <w:b w:val="false"/>
          <w:color w:val="000000"/>
          <w:sz w:val="22"/>
        </w:rPr>
        <w:t xml:space="preserve">Please refer to the tables above, as well as the consolidated and segment highlight sections that follow for additional discussion of the factors impacting the year-over-year quarterly and YTD comparisons. </w:t>
      </w:r>
    </w:p>
    <w:p>
      <w:pPr>
        <w:pStyle w:val="TextBody"/>
        <w:bidi w:val="0"/>
        <w:spacing w:lineRule="auto" w:line="268" w:before="240" w:after="283"/>
        <w:jc w:val="both"/>
        <w:rPr>
          <w:rFonts w:ascii="sans-serif" w:hAnsi="sans-serif"/>
          <w:b w:val="false"/>
          <w:color w:val="000000"/>
          <w:sz w:val="22"/>
        </w:rPr>
      </w:pPr>
      <w:r>
        <w:rPr>
          <w:rFonts w:ascii="sans-serif" w:hAnsi="sans-serif"/>
          <w:b w:val="false"/>
          <w:color w:val="000000"/>
          <w:sz w:val="22"/>
        </w:rPr>
        <w:t>"The first half of the year went well, and we're right where we said we'd be at Investor Day last year," said Humana President and CEO Jim Rechtin. "When we get the clinical care right and run the business more efficiently, everything else follows—stronger earnings and better health and experiences for the people we serve.”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i/>
          <w:color w:val="000000"/>
          <w:sz w:val="32"/>
          <w:u w:val="single"/>
        </w:rPr>
      </w:pPr>
      <w:r>
        <w:rPr>
          <w:rFonts w:ascii="sans-serif" w:hAnsi="sans-serif"/>
          <w:b/>
          <w:i/>
          <w:color w:val="000000"/>
          <w:sz w:val="32"/>
          <w:u w:val="single"/>
        </w:rPr>
        <w:t>FY 2026 Earnings Guidance</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Humana revises its GAAP EPS guidance for the year ending December 31, 2026 (FY 2026) to 'at least $6.52' from 'at least $8.36', while affirming its Adjusted EPS guidance of 'at least $9.00'. The FY 2026 Adjusted EPS guidance anticipates a year-over-year decline as a result of the Star Ratings headwind for Bonus Year (BY) 2026, net of mitigation. Additional FY 2026 guidance points are included on page 12 of this earnings release.</w:t>
      </w:r>
    </w:p>
    <w:tbl>
      <w:tblPr>
        <w:tblW w:w="10205" w:type="dxa"/>
        <w:jc w:val="center"/>
        <w:tblInd w:w="0" w:type="dxa"/>
        <w:tblLayout w:type="fixed"/>
        <w:tblCellMar>
          <w:top w:w="28" w:type="dxa"/>
          <w:left w:w="28" w:type="dxa"/>
          <w:bottom w:w="28" w:type="dxa"/>
          <w:right w:w="28" w:type="dxa"/>
        </w:tblCellMar>
      </w:tblPr>
      <w:tblGrid>
        <w:gridCol w:w="2862"/>
        <w:gridCol w:w="2289"/>
        <w:gridCol w:w="2295"/>
        <w:gridCol w:w="507"/>
        <w:gridCol w:w="507"/>
        <w:gridCol w:w="509"/>
        <w:gridCol w:w="413"/>
        <w:gridCol w:w="413"/>
        <w:gridCol w:w="410"/>
      </w:tblGrid>
      <w:tr>
        <w:trPr/>
        <w:tc>
          <w:tcPr>
            <w:tcW w:w="2862"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sans-serif" w:hAnsi="sans-serif"/>
                <w:b/>
                <w:color w:val="FFFFFF"/>
                <w:sz w:val="22"/>
              </w:rPr>
            </w:pPr>
            <w:r>
              <w:rPr>
                <w:rFonts w:ascii="sans-serif" w:hAnsi="sans-serif"/>
                <w:b/>
                <w:color w:val="FFFFFF"/>
                <w:sz w:val="22"/>
              </w:rPr>
              <w:t>Diluted earnings per share (a)</w:t>
            </w:r>
          </w:p>
        </w:tc>
        <w:tc>
          <w:tcPr>
            <w:tcW w:w="1523"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2"/>
              </w:rPr>
            </w:pPr>
            <w:r>
              <w:rPr>
                <w:rFonts w:ascii="sans-serif" w:hAnsi="sans-serif"/>
                <w:b/>
                <w:color w:val="FFFFFF"/>
                <w:sz w:val="22"/>
              </w:rPr>
              <w:t>FY 2026</w:t>
              <w:br/>
              <w:t> Guidance</w:t>
            </w:r>
          </w:p>
        </w:tc>
        <w:tc>
          <w:tcPr>
            <w:tcW w:w="1236"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2"/>
              </w:rPr>
            </w:pPr>
            <w:r>
              <w:rPr>
                <w:rFonts w:ascii="sans-serif" w:hAnsi="sans-serif"/>
                <w:b/>
                <w:color w:val="FFFFFF"/>
                <w:sz w:val="22"/>
              </w:rPr>
              <w:t>FY 2025</w:t>
            </w:r>
          </w:p>
        </w:tc>
      </w:tr>
      <w:tr>
        <w:trPr/>
        <w:tc>
          <w:tcPr>
            <w:tcW w:w="744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GAAP</w:t>
            </w:r>
          </w:p>
        </w:tc>
        <w:tc>
          <w:tcPr>
            <w:tcW w:w="15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at least $6.52</w:t>
            </w:r>
          </w:p>
        </w:tc>
        <w:tc>
          <w:tcPr>
            <w:tcW w:w="82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$9.84 </w:t>
            </w:r>
          </w:p>
        </w:tc>
        <w:tc>
          <w:tcPr>
            <w:tcW w:w="410"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associated with identifiable intangibles</w:t>
            </w:r>
          </w:p>
        </w:tc>
        <w:tc>
          <w:tcPr>
            <w:tcW w:w="101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0.30</w:t>
            </w:r>
            <w:r>
              <w:rPr>
                <w:color w:val="000000"/>
              </w:rPr>
              <w:t> </w:t>
            </w:r>
          </w:p>
        </w:tc>
        <w:tc>
          <w:tcPr>
            <w:tcW w:w="509"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0.42 </w:t>
            </w:r>
          </w:p>
        </w:tc>
        <w:tc>
          <w:tcPr>
            <w:tcW w:w="41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Put/call valuation adjustments associated with the company's non-consolidating minority interest investments (b)</w:t>
            </w:r>
          </w:p>
        </w:tc>
        <w:tc>
          <w:tcPr>
            <w:tcW w:w="101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1.47</w:t>
            </w:r>
            <w:r>
              <w:rPr>
                <w:color w:val="000000"/>
              </w:rPr>
              <w:t> </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4.25 </w:t>
            </w:r>
          </w:p>
        </w:tc>
        <w:tc>
          <w:tcPr>
            <w:tcW w:w="41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Value creation initiatives (b)</w:t>
            </w:r>
          </w:p>
        </w:tc>
        <w:tc>
          <w:tcPr>
            <w:tcW w:w="101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1.27</w:t>
            </w:r>
            <w:r>
              <w:rPr>
                <w:color w:val="000000"/>
              </w:rPr>
              <w:t> </w:t>
            </w:r>
          </w:p>
        </w:tc>
        <w:tc>
          <w:tcPr>
            <w:tcW w:w="509"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3.72 </w:t>
            </w:r>
          </w:p>
        </w:tc>
        <w:tc>
          <w:tcPr>
            <w:tcW w:w="41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Impact of exit of employer group commercial medical products business (b)</w:t>
            </w:r>
          </w:p>
        </w:tc>
        <w:tc>
          <w:tcPr>
            <w:tcW w:w="101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(0.52)</w:t>
            </w:r>
          </w:p>
        </w:tc>
        <w:tc>
          <w:tcPr>
            <w:tcW w:w="41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Settlement of certain litigation expenses (b)</w:t>
            </w:r>
          </w:p>
        </w:tc>
        <w:tc>
          <w:tcPr>
            <w:tcW w:w="101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0.13 </w:t>
            </w:r>
          </w:p>
        </w:tc>
        <w:tc>
          <w:tcPr>
            <w:tcW w:w="41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sale of business (b)</w:t>
            </w:r>
          </w:p>
        </w:tc>
        <w:tc>
          <w:tcPr>
            <w:tcW w:w="101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0.55 </w:t>
            </w:r>
          </w:p>
        </w:tc>
        <w:tc>
          <w:tcPr>
            <w:tcW w:w="41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charges (b)</w:t>
            </w:r>
          </w:p>
        </w:tc>
        <w:tc>
          <w:tcPr>
            <w:tcW w:w="101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0.17</w:t>
            </w:r>
            <w:r>
              <w:rPr>
                <w:color w:val="000000"/>
              </w:rPr>
              <w:t> </w:t>
            </w:r>
          </w:p>
        </w:tc>
        <w:tc>
          <w:tcPr>
            <w:tcW w:w="509"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2.09 </w:t>
            </w:r>
          </w:p>
        </w:tc>
        <w:tc>
          <w:tcPr>
            <w:tcW w:w="41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Cumulative net tax impact</w:t>
            </w:r>
          </w:p>
        </w:tc>
        <w:tc>
          <w:tcPr>
            <w:tcW w:w="101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(0.73)</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(3.34)</w:t>
            </w:r>
          </w:p>
        </w:tc>
        <w:tc>
          <w:tcPr>
            <w:tcW w:w="41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(non-GAAP) – FY 2026 projected (b); FY 2025 reported</w:t>
            </w:r>
          </w:p>
        </w:tc>
        <w:tc>
          <w:tcPr>
            <w:tcW w:w="1523"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at least $9.00</w:t>
            </w:r>
          </w:p>
        </w:tc>
        <w:tc>
          <w:tcPr>
            <w:tcW w:w="826"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$17.14 </w:t>
            </w:r>
          </w:p>
        </w:tc>
        <w:tc>
          <w:tcPr>
            <w:tcW w:w="410" w:type="dxa"/>
            <w:tcBorders>
              <w:top w:val="single" w:sz="8" w:space="0" w:color="000000"/>
              <w:bottom w:val="single" w:sz="8" w:space="0" w:color="000000"/>
              <w:right w:val="single" w:sz="8" w:space="0" w:color="000000"/>
            </w:tcBorders>
            <w:shd w:fill="DEF3C0"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both"/>
        <w:rPr>
          <w:rFonts w:ascii="sans-serif" w:hAnsi="sans-serif"/>
          <w:b w:val="false"/>
          <w:i/>
          <w:color w:val="000000"/>
          <w:sz w:val="18"/>
        </w:rPr>
      </w:pPr>
      <w:r>
        <w:rPr>
          <w:rFonts w:ascii="sans-serif" w:hAnsi="sans-serif"/>
          <w:b w:val="false"/>
          <w:i/>
          <w:color w:val="000000"/>
          <w:sz w:val="18"/>
        </w:rPr>
        <w:t>Refer to the "Footnotes" section included herein for further explanation of disclosures for Adjusted (non-GAAP) financial measures, as well</w:t>
      </w:r>
    </w:p>
    <w:p>
      <w:pPr>
        <w:pStyle w:val="TextBody"/>
        <w:bidi w:val="0"/>
        <w:spacing w:lineRule="auto" w:line="256" w:before="0" w:after="0"/>
        <w:jc w:val="both"/>
        <w:rPr>
          <w:rFonts w:ascii="sans-serif" w:hAnsi="sans-serif"/>
          <w:b w:val="false"/>
          <w:i/>
          <w:color w:val="000000"/>
          <w:sz w:val="18"/>
        </w:rPr>
      </w:pPr>
      <w:r>
        <w:rPr>
          <w:rFonts w:ascii="sans-serif" w:hAnsi="sans-serif"/>
          <w:b w:val="false"/>
          <w:i/>
          <w:color w:val="000000"/>
          <w:sz w:val="18"/>
        </w:rPr>
        <w:t>as reconciliations.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4"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i/>
          <w:color w:val="000000"/>
          <w:sz w:val="32"/>
          <w:u w:val="single"/>
        </w:rPr>
      </w:pPr>
      <w:r>
        <w:rPr>
          <w:rFonts w:ascii="sans-serif" w:hAnsi="sans-serif"/>
          <w:b/>
          <w:i/>
          <w:color w:val="000000"/>
          <w:sz w:val="32"/>
          <w:u w:val="single"/>
        </w:rPr>
        <w:t>Humana Consolidated Highlights</w:t>
      </w:r>
    </w:p>
    <w:tbl>
      <w:tblPr>
        <w:tblW w:w="10205" w:type="dxa"/>
        <w:jc w:val="center"/>
        <w:tblInd w:w="0" w:type="dxa"/>
        <w:tblLayout w:type="fixed"/>
        <w:tblCellMar>
          <w:top w:w="28" w:type="dxa"/>
          <w:left w:w="28" w:type="dxa"/>
          <w:bottom w:w="28" w:type="dxa"/>
          <w:right w:w="28" w:type="dxa"/>
        </w:tblCellMar>
      </w:tblPr>
      <w:tblGrid>
        <w:gridCol w:w="1557"/>
        <w:gridCol w:w="1362"/>
        <w:gridCol w:w="1367"/>
        <w:gridCol w:w="331"/>
        <w:gridCol w:w="315"/>
        <w:gridCol w:w="668"/>
        <w:gridCol w:w="344"/>
        <w:gridCol w:w="266"/>
        <w:gridCol w:w="654"/>
        <w:gridCol w:w="388"/>
        <w:gridCol w:w="353"/>
        <w:gridCol w:w="912"/>
        <w:gridCol w:w="378"/>
        <w:gridCol w:w="332"/>
        <w:gridCol w:w="978"/>
      </w:tblGrid>
      <w:tr>
        <w:trPr/>
        <w:tc>
          <w:tcPr>
            <w:tcW w:w="15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pPr>
            <w:r>
              <w:rPr>
                <w:rFonts w:ascii="sans-serif" w:hAnsi="sans-serif"/>
                <w:b/>
                <w:color w:val="FFFFFF"/>
                <w:sz w:val="24"/>
              </w:rPr>
              <w:t>Humana Inc. Summary of Results</w:t>
              <w:br/>
            </w:r>
            <w:r>
              <w:rPr>
                <w:rFonts w:ascii="sans-serif" w:hAnsi="sans-serif"/>
                <w:b w:val="false"/>
                <w:i/>
                <w:color w:val="FFFFFF"/>
                <w:sz w:val="20"/>
              </w:rPr>
              <w:t>($ in millions, except per share amounts)</w:t>
            </w:r>
          </w:p>
        </w:tc>
        <w:tc>
          <w:tcPr>
            <w:tcW w:w="131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2Q26 (a)</w:t>
            </w:r>
          </w:p>
        </w:tc>
        <w:tc>
          <w:tcPr>
            <w:tcW w:w="126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2Q25 (a)</w:t>
            </w:r>
          </w:p>
        </w:tc>
        <w:tc>
          <w:tcPr>
            <w:tcW w:w="1653"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2026 (a)</w:t>
            </w:r>
          </w:p>
        </w:tc>
        <w:tc>
          <w:tcPr>
            <w:tcW w:w="1688"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2025 (a)</w:t>
            </w:r>
          </w:p>
        </w:tc>
      </w:tr>
      <w:tr>
        <w:trPr/>
        <w:tc>
          <w:tcPr>
            <w:tcW w:w="428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31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$40,867</w:t>
            </w:r>
          </w:p>
        </w:tc>
        <w:tc>
          <w:tcPr>
            <w:tcW w:w="126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$32,388</w:t>
            </w:r>
          </w:p>
        </w:tc>
        <w:tc>
          <w:tcPr>
            <w:tcW w:w="1653"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$80,515</w:t>
            </w:r>
          </w:p>
        </w:tc>
        <w:tc>
          <w:tcPr>
            <w:tcW w:w="1688"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$64,500</w:t>
            </w:r>
          </w:p>
        </w:tc>
      </w:tr>
      <w:tr>
        <w:trPr/>
        <w:tc>
          <w:tcPr>
            <w:tcW w:w="428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 - Adjusted (non-GAAP)</w:t>
            </w:r>
          </w:p>
        </w:tc>
        <w:tc>
          <w:tcPr>
            <w:tcW w:w="131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$40,888</w:t>
            </w:r>
          </w:p>
        </w:tc>
        <w:tc>
          <w:tcPr>
            <w:tcW w:w="126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$32,388</w:t>
            </w:r>
          </w:p>
        </w:tc>
        <w:tc>
          <w:tcPr>
            <w:tcW w:w="16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$80,536</w:t>
            </w:r>
          </w:p>
        </w:tc>
        <w:tc>
          <w:tcPr>
            <w:tcW w:w="1688"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$64,500</w:t>
            </w:r>
          </w:p>
        </w:tc>
      </w:tr>
      <w:tr>
        <w:trPr/>
        <w:tc>
          <w:tcPr>
            <w:tcW w:w="428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Pretax results</w:t>
            </w:r>
          </w:p>
        </w:tc>
        <w:tc>
          <w:tcPr>
            <w:tcW w:w="131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$952</w:t>
            </w:r>
          </w:p>
        </w:tc>
        <w:tc>
          <w:tcPr>
            <w:tcW w:w="126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$741</w:t>
            </w:r>
          </w:p>
        </w:tc>
        <w:tc>
          <w:tcPr>
            <w:tcW w:w="1653"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$2,547</w:t>
            </w:r>
          </w:p>
        </w:tc>
        <w:tc>
          <w:tcPr>
            <w:tcW w:w="1688"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$2,432</w:t>
            </w:r>
          </w:p>
        </w:tc>
      </w:tr>
      <w:tr>
        <w:trPr/>
        <w:tc>
          <w:tcPr>
            <w:tcW w:w="428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Pretax results - Adjusted (non-GAAP)</w:t>
            </w:r>
          </w:p>
        </w:tc>
        <w:tc>
          <w:tcPr>
            <w:tcW w:w="131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$1,248</w:t>
            </w:r>
          </w:p>
        </w:tc>
        <w:tc>
          <w:tcPr>
            <w:tcW w:w="126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$1,017</w:t>
            </w:r>
          </w:p>
        </w:tc>
        <w:tc>
          <w:tcPr>
            <w:tcW w:w="16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$2,918</w:t>
            </w:r>
          </w:p>
        </w:tc>
        <w:tc>
          <w:tcPr>
            <w:tcW w:w="1688"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$2,910</w:t>
            </w:r>
          </w:p>
        </w:tc>
      </w:tr>
      <w:tr>
        <w:trPr/>
        <w:tc>
          <w:tcPr>
            <w:tcW w:w="428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EPS</w:t>
            </w:r>
          </w:p>
        </w:tc>
        <w:tc>
          <w:tcPr>
            <w:tcW w:w="131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$5.73</w:t>
            </w:r>
          </w:p>
        </w:tc>
        <w:tc>
          <w:tcPr>
            <w:tcW w:w="126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w:t>
            </w:r>
          </w:p>
        </w:tc>
        <w:tc>
          <w:tcPr>
            <w:tcW w:w="1653"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$15.55</w:t>
            </w:r>
          </w:p>
        </w:tc>
        <w:tc>
          <w:tcPr>
            <w:tcW w:w="1688"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$14.81</w:t>
            </w:r>
          </w:p>
        </w:tc>
      </w:tr>
      <w:tr>
        <w:trPr/>
        <w:tc>
          <w:tcPr>
            <w:tcW w:w="428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EPS - Adjusted (non-GAAP)</w:t>
            </w:r>
          </w:p>
        </w:tc>
        <w:tc>
          <w:tcPr>
            <w:tcW w:w="131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$7.61</w:t>
            </w:r>
          </w:p>
        </w:tc>
        <w:tc>
          <w:tcPr>
            <w:tcW w:w="126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$6.27</w:t>
            </w:r>
          </w:p>
        </w:tc>
        <w:tc>
          <w:tcPr>
            <w:tcW w:w="16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$17.91</w:t>
            </w:r>
          </w:p>
        </w:tc>
        <w:tc>
          <w:tcPr>
            <w:tcW w:w="1688"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$17.85</w:t>
            </w:r>
          </w:p>
        </w:tc>
      </w:tr>
      <w:tr>
        <w:trPr/>
        <w:tc>
          <w:tcPr>
            <w:tcW w:w="428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ratio</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91.1</w:t>
            </w:r>
            <w:r>
              <w:rPr>
                <w:color w:val="000000"/>
              </w:rPr>
              <w:t> </w:t>
            </w:r>
          </w:p>
        </w:tc>
        <w:tc>
          <w:tcPr>
            <w:tcW w:w="668"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10"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89.7 </w:t>
            </w:r>
          </w:p>
        </w:tc>
        <w:tc>
          <w:tcPr>
            <w:tcW w:w="654"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74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90.2</w:t>
            </w:r>
            <w:r>
              <w:rPr>
                <w:color w:val="000000"/>
              </w:rPr>
              <w:t> </w:t>
            </w:r>
          </w:p>
        </w:tc>
        <w:tc>
          <w:tcPr>
            <w:tcW w:w="912"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710"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88.4 </w:t>
            </w:r>
          </w:p>
        </w:tc>
        <w:tc>
          <w:tcPr>
            <w:tcW w:w="978"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8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 ratio</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9.8</w:t>
            </w:r>
            <w:r>
              <w:rPr>
                <w:color w:val="000000"/>
              </w:rPr>
              <w:t> </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10"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6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74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10.0</w:t>
            </w:r>
            <w:r>
              <w:rPr>
                <w:color w:val="000000"/>
              </w:rPr>
              <w:t> </w:t>
            </w:r>
          </w:p>
        </w:tc>
        <w:tc>
          <w:tcPr>
            <w:tcW w:w="9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710"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978"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8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 ratio - Adjusted (non-GAAP)</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9.7</w:t>
            </w:r>
            <w:r>
              <w:rPr>
                <w:color w:val="000000"/>
              </w:rPr>
              <w:t> </w:t>
            </w:r>
          </w:p>
        </w:tc>
        <w:tc>
          <w:tcPr>
            <w:tcW w:w="668"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10"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654"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741"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9.8</w:t>
            </w:r>
            <w:r>
              <w:rPr>
                <w:color w:val="000000"/>
              </w:rPr>
              <w:t> </w:t>
            </w:r>
          </w:p>
        </w:tc>
        <w:tc>
          <w:tcPr>
            <w:tcW w:w="912"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710"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978"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8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cash flows</w:t>
            </w:r>
          </w:p>
        </w:tc>
        <w:tc>
          <w:tcPr>
            <w:tcW w:w="131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$3,220</w:t>
            </w:r>
          </w:p>
        </w:tc>
        <w:tc>
          <w:tcPr>
            <w:tcW w:w="1688"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$1,602</w:t>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Parent company cash and short-term investments (c)</w:t>
            </w:r>
          </w:p>
        </w:tc>
        <w:tc>
          <w:tcPr>
            <w:tcW w:w="1314" w:type="dxa"/>
            <w:gridSpan w:val="3"/>
            <w:tcBorders>
              <w:top w:val="single" w:sz="8" w:space="0" w:color="000000"/>
              <w:left w:val="single" w:sz="8" w:space="0" w:color="000000"/>
            </w:tcBorders>
            <w:shd w:fill="DEF3C0"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left w:val="single" w:sz="8" w:space="0" w:color="000000"/>
            </w:tcBorders>
            <w:shd w:fill="DEF3C0"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$1,590</w:t>
            </w:r>
          </w:p>
        </w:tc>
        <w:tc>
          <w:tcPr>
            <w:tcW w:w="1688"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$1,334</w:t>
            </w:r>
          </w:p>
        </w:tc>
      </w:tr>
      <w:tr>
        <w:trPr/>
        <w:tc>
          <w:tcPr>
            <w:tcW w:w="428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Debt-to-total capitalization</w:t>
            </w:r>
          </w:p>
        </w:tc>
        <w:tc>
          <w:tcPr>
            <w:tcW w:w="131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42.7</w:t>
            </w:r>
            <w:r>
              <w:rPr>
                <w:color w:val="000000"/>
              </w:rPr>
              <w:t> </w:t>
            </w:r>
          </w:p>
        </w:tc>
        <w:tc>
          <w:tcPr>
            <w:tcW w:w="9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710"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40.7 </w:t>
            </w:r>
          </w:p>
        </w:tc>
        <w:tc>
          <w:tcPr>
            <w:tcW w:w="978"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86"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Days in Claims Payable (DCP)</w:t>
            </w:r>
          </w:p>
        </w:tc>
        <w:tc>
          <w:tcPr>
            <w:tcW w:w="1314"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33.1</w:t>
            </w:r>
          </w:p>
        </w:tc>
        <w:tc>
          <w:tcPr>
            <w:tcW w:w="1264"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36.5</w:t>
            </w:r>
          </w:p>
        </w:tc>
        <w:tc>
          <w:tcPr>
            <w:tcW w:w="1653" w:type="dxa"/>
            <w:gridSpan w:val="3"/>
            <w:tcBorders>
              <w:top w:val="single" w:sz="8" w:space="0" w:color="000000"/>
              <w:left w:val="single" w:sz="8" w:space="0" w:color="000000"/>
              <w:bottom w:val="single" w:sz="8" w:space="0" w:color="000000"/>
            </w:tcBorders>
            <w:shd w:fill="DEF3C0" w:val="clear"/>
            <w:tcMar>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left w:val="single" w:sz="8" w:space="0" w:color="000000"/>
              <w:bottom w:val="single" w:sz="8" w:space="0" w:color="000000"/>
              <w:right w:val="single" w:sz="8" w:space="0" w:color="000000"/>
            </w:tcBorders>
            <w:shd w:fill="DEF3C0"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sans-serif" w:hAnsi="sans-serif"/>
          <w:b w:val="false"/>
          <w:i/>
          <w:color w:val="000000"/>
          <w:sz w:val="18"/>
        </w:rPr>
      </w:pPr>
      <w:r>
        <w:rPr>
          <w:rFonts w:ascii="sans-serif" w:hAnsi="sans-serif"/>
          <w:b w:val="false"/>
          <w:i/>
          <w:color w:val="000000"/>
          <w:sz w:val="18"/>
        </w:rPr>
        <w:t>Refer to the "Footnotes" section included herein for further explanation of disclosures for Adjusted (non-GAAP) financial measures, as well as reconciliations.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4"/>
          <w:u w:val="single"/>
        </w:rPr>
      </w:pPr>
      <w:r>
        <w:rPr>
          <w:rFonts w:ascii="sans-serif" w:hAnsi="sans-serif"/>
          <w:b/>
          <w:color w:val="000000"/>
          <w:sz w:val="24"/>
          <w:u w:val="single"/>
        </w:rPr>
        <w:t>Consolidated Revenues</w:t>
      </w:r>
    </w:p>
    <w:p>
      <w:pPr>
        <w:pStyle w:val="TextBody"/>
        <w:bidi w:val="0"/>
        <w:spacing w:lineRule="auto" w:line="288" w:before="140" w:after="283"/>
        <w:jc w:val="both"/>
        <w:rPr/>
      </w:pPr>
      <w:r>
        <w:rPr>
          <w:rFonts w:ascii="sans-serif" w:hAnsi="sans-serif"/>
          <w:b w:val="false"/>
          <w:color w:val="000000"/>
          <w:sz w:val="22"/>
          <w:shd w:fill="FFFFFF" w:val="clear"/>
        </w:rPr>
        <w:t xml:space="preserve">The </w:t>
      </w:r>
      <w:r>
        <w:rPr>
          <w:rFonts w:ascii="sans-serif" w:hAnsi="sans-serif"/>
          <w:b w:val="false"/>
          <w:color w:val="000000"/>
          <w:sz w:val="22"/>
        </w:rPr>
        <w:t>favorable</w:t>
      </w:r>
      <w:r>
        <w:rPr>
          <w:color w:val="000000"/>
          <w:shd w:fill="FFFFFF" w:val="clear"/>
        </w:rPr>
        <w:t xml:space="preserve"> </w:t>
      </w:r>
      <w:r>
        <w:rPr>
          <w:rFonts w:ascii="sans-serif" w:hAnsi="sans-serif"/>
          <w:b w:val="false"/>
          <w:color w:val="000000"/>
          <w:sz w:val="22"/>
          <w:shd w:fill="FFFFFF" w:val="clear"/>
        </w:rPr>
        <w:t>year-over-year quarterly and YTD GAAP consolidated revenues comparisons were primarily driven by the following:</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rPr>
        <w:t xml:space="preserve">membership growth across the company's Medicare businesses in 2026, </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rPr>
        <w:t xml:space="preserve">higher per member </w:t>
      </w:r>
      <w:r>
        <w:rPr>
          <w:rFonts w:ascii="sans-serif" w:hAnsi="sans-serif"/>
          <w:b w:val="false"/>
          <w:color w:val="000000"/>
          <w:sz w:val="22"/>
          <w:shd w:fill="FFFFFF" w:val="clear"/>
        </w:rPr>
        <w:t xml:space="preserve">MA and stand-alone PDP premiums largely driven by an increase in MA benchmark funding from the Centers for Medicare and Medicaid Services (CMS) and the increased Part D direct subsidy as a result of the Inflation Reduction Act (IRA), </w:t>
      </w:r>
      <w:r>
        <w:rPr>
          <w:rFonts w:ascii="sans-serif" w:hAnsi="sans-serif"/>
          <w:b w:val="false"/>
          <w:color w:val="000000"/>
          <w:sz w:val="22"/>
        </w:rPr>
        <w:t>and</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rPr>
        <w:t>increased payor-agnostic client base across the CenterWell platform, partially offset by the final year of the v28 risk model revision phase-in.</w:t>
      </w:r>
    </w:p>
    <w:p>
      <w:pPr>
        <w:pStyle w:val="TextBody"/>
        <w:bidi w:val="0"/>
        <w:spacing w:lineRule="auto" w:line="288" w:before="140" w:after="283"/>
        <w:jc w:val="both"/>
        <w:rPr>
          <w:rFonts w:ascii="sans-serif" w:hAnsi="sans-serif"/>
          <w:b w:val="false"/>
          <w:color w:val="000000"/>
          <w:sz w:val="22"/>
          <w:shd w:fill="FFFFFF" w:val="clear"/>
        </w:rPr>
      </w:pPr>
      <w:r>
        <w:rPr>
          <w:rFonts w:ascii="sans-serif" w:hAnsi="sans-serif"/>
          <w:b w:val="false"/>
          <w:color w:val="000000"/>
          <w:sz w:val="22"/>
          <w:shd w:fill="FFFFFF" w:val="clear"/>
        </w:rPr>
        <w:t>These factors were partially offset by the previously disclosed BY 2026 Star Ratings headwind.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sans-serif" w:hAnsi="sans-serif"/>
          <w:b/>
          <w:color w:val="000000"/>
          <w:sz w:val="24"/>
          <w:u w:val="single"/>
        </w:rPr>
        <w:t>Consolidated Benefit Ratio</w:t>
      </w:r>
      <w:r>
        <w:rPr>
          <w:color w:val="000000"/>
          <w:shd w:fill="FFFFFF" w:val="clear"/>
        </w:rPr>
        <w:t xml:space="preserve"> </w:t>
      </w:r>
    </w:p>
    <w:p>
      <w:pPr>
        <w:pStyle w:val="TextBody"/>
        <w:bidi w:val="0"/>
        <w:spacing w:lineRule="auto" w:line="288" w:before="240" w:after="283"/>
        <w:jc w:val="left"/>
        <w:rPr>
          <w:rFonts w:ascii="sans-serif" w:hAnsi="sans-serif"/>
          <w:b w:val="false"/>
          <w:color w:val="000000"/>
          <w:sz w:val="22"/>
          <w:shd w:fill="FFFFFF" w:val="clear"/>
        </w:rPr>
      </w:pPr>
      <w:r>
        <w:rPr>
          <w:rFonts w:ascii="sans-serif" w:hAnsi="sans-serif"/>
          <w:b w:val="false"/>
          <w:color w:val="000000"/>
          <w:sz w:val="22"/>
          <w:shd w:fill="FFFFFF" w:val="clear"/>
        </w:rPr>
        <w:t>The year-over-year increases in the quarterly and YTD GAAP consolidated benefit ratios primarily reflected the following:</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 xml:space="preserve">the BY 2026 Star Ratings revenue headwind, </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the effect of the individual MA membership growth during the most recent Annual Election Period (AEP) and Open Enrollment Period (OEP) as the new members, on average, run at a higher benefit ratio as compared to retained members (excluding the impact of the BY 2026 Star Ratings headwind), and</w:t>
      </w:r>
    </w:p>
    <w:p>
      <w:pPr>
        <w:pStyle w:val="TextBody"/>
        <w:bidi w:val="0"/>
        <w:spacing w:lineRule="auto" w:line="288" w:before="240" w:after="283"/>
        <w:ind w:left="0" w:right="0" w:hanging="360"/>
        <w:jc w:val="both"/>
        <w:rPr/>
      </w:pPr>
      <w:r>
        <w:rPr>
          <w:color w:val="000000"/>
        </w:rPr>
        <w:t>•</w:t>
      </w:r>
      <w:r>
        <w:rPr>
          <w:rFonts w:ascii="sans-serif" w:hAnsi="sans-serif"/>
          <w:b w:val="false"/>
          <w:color w:val="000000"/>
          <w:sz w:val="22"/>
        </w:rPr>
        <w:t xml:space="preserve">the anticipated lower favorable prior period medical claims reserve development (prior period development) in 2026. Prior period development was $53 million favorable in 2Q26 compared to $161 million favorable in 2Q25; YTD 2026 prior period development was $442 million compared to $638 million in YTD 2025. This development does not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5"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directly correspond to the company's operating results as a portion is attributable to provider risk-sharing arrangements, which are accounted for separately based on contractual terms.</w:t>
      </w:r>
    </w:p>
    <w:p>
      <w:pPr>
        <w:pStyle w:val="TextBody"/>
        <w:bidi w:val="0"/>
        <w:spacing w:lineRule="auto" w:line="288" w:before="240" w:after="283"/>
        <w:jc w:val="both"/>
        <w:rPr>
          <w:rFonts w:ascii="sans-serif" w:hAnsi="sans-serif"/>
          <w:b w:val="false"/>
          <w:color w:val="000000"/>
          <w:sz w:val="22"/>
          <w:shd w:fill="FFFFFF" w:val="clear"/>
        </w:rPr>
      </w:pPr>
      <w:r>
        <w:rPr>
          <w:rFonts w:ascii="sans-serif" w:hAnsi="sans-serif"/>
          <w:b w:val="false"/>
          <w:color w:val="000000"/>
          <w:sz w:val="22"/>
          <w:shd w:fill="FFFFFF" w:val="clear"/>
        </w:rPr>
        <w:t>These factors were partially offset by the following:</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 xml:space="preserve">2026 individual MA pricing, inclusive of the MA funding environment (excluding the BY 2026 Star Ratings headwind) combined with the company's ongoing clinical excellence efforts, more than offsetting the assumption of claims trend (with largely stable benefits year over year), and </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the benefit of the company's group MA recontracting efforts for the 2026 plan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4"/>
          <w:u w:val="single"/>
        </w:rPr>
      </w:pPr>
      <w:r>
        <w:rPr>
          <w:rFonts w:ascii="sans-serif" w:hAnsi="sans-serif"/>
          <w:b/>
          <w:color w:val="000000"/>
          <w:sz w:val="24"/>
          <w:u w:val="single"/>
        </w:rPr>
        <w:t>Consolidated Operating Cost Ratio</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The year-over-year improvement in the quarterly and YTD GAAP operating cost ratios from 2Q25 and YTD 2025, respectively, primarily resulted from the following:</w:t>
      </w:r>
    </w:p>
    <w:p>
      <w:pPr>
        <w:pStyle w:val="TextBody"/>
        <w:bidi w:val="0"/>
        <w:spacing w:lineRule="auto" w:line="288" w:before="240" w:after="283"/>
        <w:ind w:left="0" w:right="0" w:hanging="360"/>
        <w:jc w:val="both"/>
        <w:rPr/>
      </w:pPr>
      <w:r>
        <w:rPr>
          <w:color w:val="000000"/>
        </w:rPr>
        <w:t>•</w:t>
      </w:r>
      <w:r>
        <w:rPr>
          <w:rFonts w:ascii="sans-serif" w:hAnsi="sans-serif"/>
          <w:b w:val="false"/>
          <w:color w:val="000000"/>
          <w:sz w:val="22"/>
        </w:rPr>
        <w:t xml:space="preserve">operating leverage associated with </w:t>
      </w:r>
      <w:r>
        <w:rPr>
          <w:rFonts w:ascii="sans-serif" w:hAnsi="sans-serif"/>
          <w:b w:val="false"/>
          <w:color w:val="000000"/>
          <w:sz w:val="22"/>
          <w:shd w:fill="FFFFFF" w:val="clear"/>
        </w:rPr>
        <w:t xml:space="preserve">increased revenues from </w:t>
      </w:r>
      <w:r>
        <w:rPr>
          <w:rFonts w:ascii="sans-serif" w:hAnsi="sans-serif"/>
          <w:b w:val="false"/>
          <w:color w:val="000000"/>
          <w:sz w:val="22"/>
        </w:rPr>
        <w:t xml:space="preserve">membership growth across the company's Medicare businesses in 2026 </w:t>
      </w:r>
      <w:r>
        <w:rPr>
          <w:rFonts w:ascii="sans-serif" w:hAnsi="sans-serif"/>
          <w:b w:val="false"/>
          <w:color w:val="000000"/>
          <w:sz w:val="22"/>
          <w:shd w:fill="FFFFFF" w:val="clear"/>
        </w:rPr>
        <w:t>combined with an improved MA benchmark funding rate and increased Part D direct subsidy resulting from the IRA, and</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the company's progress on its previously discussed tactical cost cutting and transformation initiatives combined with the beneficial impact of prior value creation initiatives that have driven administrative cost efficiencies.</w:t>
      </w:r>
    </w:p>
    <w:p>
      <w:pPr>
        <w:pStyle w:val="TextBody"/>
        <w:bidi w:val="0"/>
        <w:spacing w:lineRule="auto" w:line="288" w:before="240" w:after="283"/>
        <w:jc w:val="both"/>
        <w:rPr>
          <w:rFonts w:ascii="sans-serif" w:hAnsi="sans-serif"/>
          <w:b w:val="false"/>
          <w:color w:val="000000"/>
          <w:sz w:val="22"/>
          <w:shd w:fill="FFFFFF" w:val="clear"/>
        </w:rPr>
      </w:pPr>
      <w:r>
        <w:rPr>
          <w:rFonts w:ascii="sans-serif" w:hAnsi="sans-serif"/>
          <w:b w:val="false"/>
          <w:color w:val="000000"/>
          <w:sz w:val="22"/>
          <w:shd w:fill="FFFFFF" w:val="clear"/>
        </w:rPr>
        <w:t>These factors were partially offset by the following:</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 xml:space="preserve">impact of the previously disclosed BY 2026 Star Ratings headwind, </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 xml:space="preserve">higher charges associated with the company's value creation initiatives, and </w:t>
      </w:r>
    </w:p>
    <w:p>
      <w:pPr>
        <w:pStyle w:val="TextBody"/>
        <w:bidi w:val="0"/>
        <w:spacing w:lineRule="auto" w:line="288" w:before="240" w:after="283"/>
        <w:ind w:left="0" w:right="0" w:hanging="360"/>
        <w:jc w:val="both"/>
        <w:rPr/>
      </w:pPr>
      <w:r>
        <w:rPr>
          <w:color w:val="000000"/>
        </w:rPr>
        <w:t>•</w:t>
      </w:r>
      <w:r>
        <w:rPr>
          <w:rFonts w:ascii="sans-serif" w:hAnsi="sans-serif"/>
          <w:b w:val="false"/>
          <w:color w:val="000000"/>
          <w:sz w:val="22"/>
        </w:rPr>
        <w:t>for the YTD 2026 period, a higher CenterWell operating cost ratio.</w:t>
      </w:r>
    </w:p>
    <w:p>
      <w:pPr>
        <w:pStyle w:val="TextBody"/>
        <w:bidi w:val="0"/>
        <w:spacing w:lineRule="auto" w:line="288" w:before="240" w:after="283"/>
        <w:jc w:val="both"/>
        <w:rPr>
          <w:rFonts w:ascii="sans-serif" w:hAnsi="sans-serif"/>
          <w:b w:val="false"/>
          <w:i/>
          <w:color w:val="000000"/>
          <w:sz w:val="20"/>
        </w:rPr>
      </w:pPr>
      <w:r>
        <w:rPr>
          <w:rFonts w:ascii="sans-serif" w:hAnsi="sans-serif"/>
          <w:b w:val="false"/>
          <w:i/>
          <w:color w:val="000000"/>
          <w:sz w:val="20"/>
        </w:rPr>
        <w:t xml:space="preserve">Refer to the "Footnotes" section included herein for a reconciliation of GAAP to Adjusted (non-GAAP) consolidated operating cost ratios for the respective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4"/>
          <w:u w:val="single"/>
        </w:rPr>
      </w:pPr>
      <w:r>
        <w:rPr>
          <w:rFonts w:ascii="sans-serif" w:hAnsi="sans-serif"/>
          <w:b/>
          <w:color w:val="000000"/>
          <w:sz w:val="24"/>
          <w:u w:val="single"/>
        </w:rPr>
        <w:t>Balance sheet</w:t>
      </w:r>
    </w:p>
    <w:p>
      <w:pPr>
        <w:pStyle w:val="TextBody"/>
        <w:bidi w:val="0"/>
        <w:spacing w:lineRule="auto" w:line="288" w:before="180" w:after="283"/>
        <w:ind w:left="0" w:right="0" w:hanging="360"/>
        <w:jc w:val="both"/>
        <w:rPr/>
      </w:pPr>
      <w:r>
        <w:rPr>
          <w:color w:val="000000"/>
          <w:shd w:fill="FFFFFF" w:val="clear"/>
        </w:rPr>
        <w:t>•</w:t>
      </w:r>
      <w:r>
        <w:rPr>
          <w:rFonts w:ascii="sans-serif" w:hAnsi="sans-serif"/>
          <w:b w:val="false"/>
          <w:color w:val="000000"/>
          <w:sz w:val="22"/>
          <w:shd w:fill="FFFFFF" w:val="clear"/>
        </w:rPr>
        <w:t xml:space="preserve">Days in claims payable (DCP) of </w:t>
      </w:r>
      <w:r>
        <w:rPr>
          <w:rFonts w:ascii="sans-serif" w:hAnsi="sans-serif"/>
          <w:b w:val="false"/>
          <w:color w:val="000000"/>
          <w:sz w:val="22"/>
        </w:rPr>
        <w:t>33.1</w:t>
      </w:r>
      <w:r>
        <w:rPr>
          <w:color w:val="000000"/>
          <w:shd w:fill="FFFFFF" w:val="clear"/>
        </w:rPr>
        <w:t xml:space="preserve"> </w:t>
      </w:r>
      <w:r>
        <w:rPr>
          <w:rFonts w:ascii="sans-serif" w:hAnsi="sans-serif"/>
          <w:b w:val="false"/>
          <w:color w:val="000000"/>
          <w:sz w:val="22"/>
          <w:shd w:fill="FFFFFF" w:val="clear"/>
        </w:rPr>
        <w:t>days at June 30, 2026 represented a decrease</w:t>
      </w:r>
      <w:r>
        <w:rPr>
          <w:color w:val="EE2724"/>
        </w:rPr>
        <w:t xml:space="preserve"> </w:t>
      </w:r>
      <w:r>
        <w:rPr>
          <w:rFonts w:ascii="sans-serif" w:hAnsi="sans-serif"/>
          <w:b w:val="false"/>
          <w:color w:val="000000"/>
          <w:sz w:val="22"/>
        </w:rPr>
        <w:t>of 0.8 days</w:t>
      </w:r>
      <w:r>
        <w:rPr>
          <w:color w:val="000000"/>
        </w:rPr>
        <w:t xml:space="preserve"> </w:t>
      </w:r>
      <w:r>
        <w:rPr>
          <w:rFonts w:ascii="sans-serif" w:hAnsi="sans-serif"/>
          <w:b w:val="false"/>
          <w:color w:val="000000"/>
          <w:sz w:val="22"/>
        </w:rPr>
        <w:t>from 33.9 days at March 31</w:t>
      </w:r>
      <w:r>
        <w:rPr>
          <w:rFonts w:ascii="sans-serif" w:hAnsi="sans-serif"/>
          <w:b w:val="false"/>
          <w:color w:val="000000"/>
          <w:sz w:val="22"/>
          <w:shd w:fill="FFFFFF" w:val="clear"/>
        </w:rPr>
        <w:t>, 2026</w:t>
      </w:r>
      <w:r>
        <w:rPr>
          <w:color w:val="000000"/>
        </w:rPr>
        <w:t xml:space="preserve"> </w:t>
      </w:r>
      <w:r>
        <w:rPr>
          <w:rFonts w:ascii="sans-serif" w:hAnsi="sans-serif"/>
          <w:b w:val="false"/>
          <w:color w:val="000000"/>
          <w:sz w:val="22"/>
        </w:rPr>
        <w:t>and a decrease of 3.4</w:t>
      </w:r>
      <w:r>
        <w:rPr>
          <w:color w:val="EE2724"/>
        </w:rPr>
        <w:t xml:space="preserve"> </w:t>
      </w:r>
      <w:r>
        <w:rPr>
          <w:rFonts w:ascii="sans-serif" w:hAnsi="sans-serif"/>
          <w:b w:val="false"/>
          <w:color w:val="000000"/>
          <w:sz w:val="22"/>
        </w:rPr>
        <w:t xml:space="preserve">days from 36.5 days at June 30, 2025. </w:t>
      </w:r>
    </w:p>
    <w:p>
      <w:pPr>
        <w:pStyle w:val="TextBody"/>
        <w:bidi w:val="0"/>
        <w:spacing w:lineRule="auto" w:line="256" w:before="180" w:after="283"/>
        <w:jc w:val="both"/>
        <w:rPr>
          <w:rFonts w:ascii="sans-serif" w:hAnsi="sans-serif"/>
          <w:b w:val="false"/>
          <w:color w:val="000000"/>
          <w:sz w:val="22"/>
        </w:rPr>
      </w:pPr>
      <w:r>
        <w:rPr>
          <w:rFonts w:ascii="sans-serif" w:hAnsi="sans-serif"/>
          <w:b w:val="false"/>
          <w:color w:val="000000"/>
          <w:sz w:val="22"/>
        </w:rPr>
        <w:t>The sequential decline was primarily driven by a reduction in processed claims inventories as of June 30, 2026.</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The year-over-year decline in DCP from June 30, 2025 was also impacted by a reduction in processed claims inventories, along with a relative reduction in provider-capitation accruals, including the timing of payments to providers in accordance with the respective risk-sharing arrangements.</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In addition to the factors above, the comparisons continue to reflect an increasing proportion of prescription drug benefits expense due to structural changes associated with the previous implementation of the IRA and pharmacy cost trend that is outpacing medical cost trend on a relative basis, as expected. Pharmacy claims are processed more quickly than medical claims leading to a lower benefits payable for claims incurred but not reported (IBNR) and DCP. </w:t>
      </w:r>
    </w:p>
    <w:p>
      <w:pPr>
        <w:pStyle w:val="TextBody"/>
        <w:bidi w:val="0"/>
        <w:spacing w:lineRule="auto" w:line="268" w:before="180" w:after="283"/>
        <w:ind w:left="0" w:right="0" w:hanging="360"/>
        <w:jc w:val="both"/>
        <w:rPr/>
      </w:pPr>
      <w:r>
        <w:rPr>
          <w:color w:val="000000"/>
        </w:rPr>
        <w:t>•</w:t>
      </w:r>
      <w:r>
        <w:rPr>
          <w:rFonts w:ascii="sans-serif" w:hAnsi="sans-serif"/>
          <w:b w:val="false"/>
          <w:color w:val="000000"/>
          <w:sz w:val="22"/>
        </w:rPr>
        <w:t>Humana's debt-to-total capitalization at June 30</w:t>
      </w:r>
      <w:r>
        <w:rPr>
          <w:rFonts w:ascii="sans-serif" w:hAnsi="sans-serif"/>
          <w:b w:val="false"/>
          <w:color w:val="000000"/>
          <w:sz w:val="22"/>
          <w:shd w:fill="FFFFFF" w:val="clear"/>
        </w:rPr>
        <w:t>, 2026 de</w:t>
      </w:r>
      <w:r>
        <w:rPr>
          <w:rFonts w:ascii="sans-serif" w:hAnsi="sans-serif"/>
          <w:b w:val="false"/>
          <w:color w:val="000000"/>
          <w:sz w:val="22"/>
        </w:rPr>
        <w:t>creased 30 basis points to 42.7 percent</w:t>
      </w:r>
      <w:r>
        <w:rPr>
          <w:color w:val="EE2724"/>
        </w:rPr>
        <w:t xml:space="preserve"> </w:t>
      </w:r>
      <w:r>
        <w:rPr>
          <w:rFonts w:ascii="sans-serif" w:hAnsi="sans-serif"/>
          <w:b w:val="false"/>
          <w:color w:val="000000"/>
          <w:sz w:val="22"/>
        </w:rPr>
        <w:t xml:space="preserve">from 43.0 percent at March 31, 2026, primarily reflecting the impact of the 2Q26 net earnings, partially offset by a commercial paper issuance.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6"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68" w:before="180" w:after="283"/>
        <w:ind w:left="0" w:right="0" w:hanging="360"/>
        <w:jc w:val="both"/>
        <w:rPr/>
      </w:pPr>
      <w:r>
        <w:rPr>
          <w:color w:val="000000"/>
        </w:rPr>
        <w:t>•</w:t>
      </w:r>
      <w:r>
        <w:rPr>
          <w:rFonts w:ascii="sans-serif" w:hAnsi="sans-serif"/>
          <w:b w:val="false"/>
          <w:color w:val="000000"/>
          <w:sz w:val="22"/>
        </w:rPr>
        <w:t>During the quarter, the company entered into $1.50 billion of pre-capitalized trust security arrangements, enhancing financial flexibility and contingent liquidity. These arrangements do not impact the company's debt-to-total capitalization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4"/>
          <w:u w:val="single"/>
          <w:shd w:fill="FFFFFF" w:val="clear"/>
        </w:rPr>
      </w:pPr>
      <w:r>
        <w:rPr>
          <w:rFonts w:ascii="sans-serif" w:hAnsi="sans-serif"/>
          <w:b/>
          <w:color w:val="000000"/>
          <w:sz w:val="24"/>
          <w:u w:val="single"/>
          <w:shd w:fill="FFFFFF" w:val="clear"/>
        </w:rPr>
        <w:t>Operating cash flows</w:t>
      </w:r>
    </w:p>
    <w:p>
      <w:pPr>
        <w:pStyle w:val="TextBody"/>
        <w:bidi w:val="0"/>
        <w:spacing w:lineRule="auto" w:line="256" w:before="180" w:after="283"/>
        <w:jc w:val="both"/>
        <w:rPr>
          <w:rFonts w:ascii="sans-serif" w:hAnsi="sans-serif"/>
          <w:b w:val="false"/>
          <w:color w:val="000000"/>
          <w:sz w:val="22"/>
        </w:rPr>
      </w:pPr>
      <w:r>
        <w:rPr>
          <w:rFonts w:ascii="sans-serif" w:hAnsi="sans-serif"/>
          <w:b w:val="false"/>
          <w:color w:val="000000"/>
          <w:sz w:val="22"/>
        </w:rPr>
        <w:t xml:space="preserve">YTD 2026 GAAP operating cash flows increased from YTD 2025 as a result of favorable working capital activity, primarily associated with an increase in the IBNR balance and the favorable timing impact of an approximately $1.05 billion Medicaid state-directed payment (which settled shortly after 2Q26), combined with a modest increase in YTD 2026 earnings.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i/>
          <w:color w:val="000000"/>
          <w:sz w:val="32"/>
          <w:u w:val="single"/>
        </w:rPr>
      </w:pPr>
      <w:r>
        <w:rPr>
          <w:rFonts w:ascii="sans-serif" w:hAnsi="sans-serif"/>
          <w:b/>
          <w:i/>
          <w:color w:val="000000"/>
          <w:sz w:val="32"/>
          <w:u w:val="single"/>
        </w:rPr>
        <w:t>Humana’s Insurance Segment</w:t>
      </w:r>
    </w:p>
    <w:p>
      <w:pPr>
        <w:pStyle w:val="TextBody"/>
        <w:bidi w:val="0"/>
        <w:spacing w:lineRule="auto" w:line="288" w:before="0" w:after="0"/>
        <w:jc w:val="both"/>
        <w:rPr>
          <w:rFonts w:ascii="sans-serif" w:hAnsi="sans-serif"/>
          <w:b w:val="false"/>
          <w:i/>
          <w:color w:val="000000"/>
          <w:sz w:val="20"/>
        </w:rPr>
      </w:pPr>
      <w:r>
        <w:rPr>
          <w:rFonts w:ascii="sans-serif" w:hAnsi="sans-serif"/>
          <w:b w:val="false"/>
          <w:i/>
          <w:color w:val="000000"/>
          <w:sz w:val="20"/>
        </w:rPr>
        <w:t xml:space="preserve">This segment is comprised of insurance products serving Medicare and state-based contract beneficiaries, as well as individuals and employers. The segment also includes the company's Pharmacy Benefit Manager, or PBM, business.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78"/>
        <w:gridCol w:w="1474"/>
        <w:gridCol w:w="1482"/>
        <w:gridCol w:w="323"/>
        <w:gridCol w:w="323"/>
        <w:gridCol w:w="619"/>
        <w:gridCol w:w="293"/>
        <w:gridCol w:w="293"/>
        <w:gridCol w:w="601"/>
        <w:gridCol w:w="323"/>
        <w:gridCol w:w="323"/>
        <w:gridCol w:w="890"/>
        <w:gridCol w:w="315"/>
        <w:gridCol w:w="314"/>
        <w:gridCol w:w="954"/>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pPr>
            <w:r>
              <w:rPr>
                <w:rFonts w:ascii="sans-serif" w:hAnsi="sans-serif"/>
                <w:b/>
                <w:color w:val="FFFFFF"/>
                <w:sz w:val="20"/>
              </w:rPr>
              <w:t>Insurance Segment Results</w:t>
              <w:br/>
            </w:r>
            <w:r>
              <w:rPr>
                <w:rFonts w:ascii="sans-serif" w:hAnsi="sans-serif"/>
                <w:b w:val="false"/>
                <w:i/>
                <w:color w:val="FFFFFF"/>
                <w:sz w:val="20"/>
              </w:rPr>
              <w:t>($ in millions)</w:t>
            </w:r>
          </w:p>
        </w:tc>
        <w:tc>
          <w:tcPr>
            <w:tcW w:w="1265"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2Q26 (a)</w:t>
            </w:r>
          </w:p>
        </w:tc>
        <w:tc>
          <w:tcPr>
            <w:tcW w:w="1187"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2Q25 (a)</w:t>
            </w:r>
          </w:p>
        </w:tc>
        <w:tc>
          <w:tcPr>
            <w:tcW w:w="1536"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YTD 2026 (a)</w:t>
            </w:r>
          </w:p>
        </w:tc>
        <w:tc>
          <w:tcPr>
            <w:tcW w:w="1583"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YTD 2025 (a)</w:t>
            </w:r>
          </w:p>
        </w:tc>
      </w:tr>
      <w:tr>
        <w:trPr/>
        <w:tc>
          <w:tcPr>
            <w:tcW w:w="46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2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$39,140</w:t>
            </w:r>
          </w:p>
        </w:tc>
        <w:tc>
          <w:tcPr>
            <w:tcW w:w="118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$31,094</w:t>
            </w:r>
          </w:p>
        </w:tc>
        <w:tc>
          <w:tcPr>
            <w:tcW w:w="153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$77,199</w:t>
            </w:r>
          </w:p>
        </w:tc>
        <w:tc>
          <w:tcPr>
            <w:tcW w:w="158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$62,031</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ratio</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91.2</w:t>
            </w:r>
            <w:r>
              <w:rPr>
                <w:color w:val="000000"/>
              </w:rPr>
              <w:t> </w:t>
            </w:r>
          </w:p>
        </w:tc>
        <w:tc>
          <w:tcPr>
            <w:tcW w:w="619"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89.9 </w:t>
            </w:r>
          </w:p>
        </w:tc>
        <w:tc>
          <w:tcPr>
            <w:tcW w:w="601"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90.3</w:t>
            </w:r>
            <w:r>
              <w:rPr>
                <w:color w:val="000000"/>
              </w:rPr>
              <w:t> </w:t>
            </w:r>
          </w:p>
        </w:tc>
        <w:tc>
          <w:tcPr>
            <w:tcW w:w="890"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29"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88.7 </w:t>
            </w:r>
          </w:p>
        </w:tc>
        <w:tc>
          <w:tcPr>
            <w:tcW w:w="954"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 ratio</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7.1</w:t>
            </w:r>
            <w:r>
              <w:rPr>
                <w:color w:val="000000"/>
              </w:rPr>
              <w:t> </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7.2</w:t>
            </w:r>
            <w:r>
              <w:rPr>
                <w:color w:val="000000"/>
              </w:rPr>
              <w:t> </w:t>
            </w:r>
          </w:p>
        </w:tc>
        <w:tc>
          <w:tcPr>
            <w:tcW w:w="8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2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954"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from operations</w:t>
            </w:r>
          </w:p>
        </w:tc>
        <w:tc>
          <w:tcPr>
            <w:tcW w:w="126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$820</w:t>
            </w:r>
          </w:p>
        </w:tc>
        <w:tc>
          <w:tcPr>
            <w:tcW w:w="1187"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w:t>
            </w:r>
          </w:p>
        </w:tc>
        <w:tc>
          <w:tcPr>
            <w:tcW w:w="153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$2,255</w:t>
            </w:r>
          </w:p>
        </w:tc>
        <w:tc>
          <w:tcPr>
            <w:tcW w:w="1583"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$2,340</w:t>
            </w:r>
          </w:p>
        </w:tc>
      </w:tr>
      <w:tr>
        <w:trPr/>
        <w:tc>
          <w:tcPr>
            <w:tcW w:w="463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from operations - Adjusted (non-GAAP)</w:t>
            </w:r>
          </w:p>
        </w:tc>
        <w:tc>
          <w:tcPr>
            <w:tcW w:w="1265"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$824</w:t>
            </w:r>
          </w:p>
        </w:tc>
        <w:tc>
          <w:tcPr>
            <w:tcW w:w="1187"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w:t>
            </w:r>
          </w:p>
        </w:tc>
        <w:tc>
          <w:tcPr>
            <w:tcW w:w="1536"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$2,263</w:t>
            </w:r>
          </w:p>
        </w:tc>
        <w:tc>
          <w:tcPr>
            <w:tcW w:w="1583"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$2,349</w:t>
            </w:r>
          </w:p>
        </w:tc>
      </w:tr>
    </w:tbl>
    <w:p>
      <w:pPr>
        <w:pStyle w:val="TextBody"/>
        <w:bidi w:val="0"/>
        <w:spacing w:lineRule="auto" w:line="288" w:before="0" w:after="0"/>
        <w:jc w:val="left"/>
        <w:rPr>
          <w:rFonts w:ascii="sans-serif" w:hAnsi="sans-serif"/>
          <w:b w:val="false"/>
          <w:i/>
          <w:color w:val="000000"/>
          <w:sz w:val="18"/>
        </w:rPr>
      </w:pPr>
      <w:r>
        <w:rPr>
          <w:rFonts w:ascii="sans-serif" w:hAnsi="sans-serif"/>
          <w:b w:val="false"/>
          <w:i/>
          <w:color w:val="000000"/>
          <w:sz w:val="18"/>
        </w:rPr>
        <w:t>Refer to the "Footnotes" section included herein for further explanation of the disclosure for the Adjusted (non-GAAP) financial measure, as well as the reconciliation.</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u w:val="single"/>
        </w:rPr>
      </w:pPr>
      <w:r>
        <w:rPr>
          <w:rFonts w:ascii="sans-serif" w:hAnsi="sans-serif"/>
          <w:b/>
          <w:color w:val="000000"/>
          <w:sz w:val="24"/>
          <w:u w:val="single"/>
        </w:rPr>
        <w:t>Insurance Segment Revenues</w:t>
      </w:r>
    </w:p>
    <w:p>
      <w:pPr>
        <w:pStyle w:val="TextBody"/>
        <w:bidi w:val="0"/>
        <w:spacing w:lineRule="auto" w:line="288" w:before="240" w:after="283"/>
        <w:jc w:val="both"/>
        <w:rPr/>
      </w:pPr>
      <w:r>
        <w:rPr>
          <w:rFonts w:ascii="sans-serif" w:hAnsi="sans-serif"/>
          <w:b w:val="false"/>
          <w:color w:val="000000"/>
          <w:sz w:val="22"/>
          <w:shd w:fill="FFFFFF" w:val="clear"/>
        </w:rPr>
        <w:t>The year-over-year in</w:t>
      </w:r>
      <w:r>
        <w:rPr>
          <w:rFonts w:ascii="sans-serif" w:hAnsi="sans-serif"/>
          <w:b w:val="false"/>
          <w:color w:val="000000"/>
          <w:sz w:val="22"/>
        </w:rPr>
        <w:t>creases</w:t>
      </w:r>
      <w:r>
        <w:rPr>
          <w:color w:val="EE2724"/>
        </w:rPr>
        <w:t xml:space="preserve"> </w:t>
      </w:r>
      <w:r>
        <w:rPr>
          <w:rFonts w:ascii="sans-serif" w:hAnsi="sans-serif"/>
          <w:b w:val="false"/>
          <w:color w:val="000000"/>
          <w:sz w:val="22"/>
          <w:shd w:fill="FFFFFF" w:val="clear"/>
        </w:rPr>
        <w:t>in the quarterly and YTD GAAP segment revenues from the respective 2025 periods primarily reflected the following:</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rPr>
        <w:t>membership growth across the company's Medicare businesses in 2026, and</w:t>
      </w:r>
    </w:p>
    <w:p>
      <w:pPr>
        <w:pStyle w:val="TextBody"/>
        <w:bidi w:val="0"/>
        <w:spacing w:lineRule="auto" w:line="288" w:before="240" w:after="283"/>
        <w:ind w:left="0" w:right="0" w:hanging="360"/>
        <w:jc w:val="both"/>
        <w:rPr/>
      </w:pPr>
      <w:r>
        <w:rPr>
          <w:color w:val="000000"/>
        </w:rPr>
        <w:t>•</w:t>
      </w:r>
      <w:r>
        <w:rPr>
          <w:rFonts w:ascii="sans-serif" w:hAnsi="sans-serif"/>
          <w:b w:val="false"/>
          <w:color w:val="000000"/>
          <w:sz w:val="22"/>
        </w:rPr>
        <w:t xml:space="preserve">higher per member </w:t>
      </w:r>
      <w:r>
        <w:rPr>
          <w:rFonts w:ascii="sans-serif" w:hAnsi="sans-serif"/>
          <w:b w:val="false"/>
          <w:color w:val="000000"/>
          <w:sz w:val="22"/>
          <w:shd w:fill="FFFFFF" w:val="clear"/>
        </w:rPr>
        <w:t>MA and stand-alone PDP premiums largely driven by an increase in MA benchmark funding from CMS and the increased Part D direct subsidy as a result of the IRA.</w:t>
      </w:r>
    </w:p>
    <w:p>
      <w:pPr>
        <w:pStyle w:val="TextBody"/>
        <w:bidi w:val="0"/>
        <w:spacing w:lineRule="auto" w:line="288" w:before="140" w:after="283"/>
        <w:jc w:val="both"/>
        <w:rPr>
          <w:rFonts w:ascii="sans-serif" w:hAnsi="sans-serif"/>
          <w:b w:val="false"/>
          <w:color w:val="000000"/>
          <w:sz w:val="22"/>
          <w:shd w:fill="FFFFFF" w:val="clear"/>
        </w:rPr>
      </w:pPr>
      <w:r>
        <w:rPr>
          <w:rFonts w:ascii="sans-serif" w:hAnsi="sans-serif"/>
          <w:b w:val="false"/>
          <w:color w:val="000000"/>
          <w:sz w:val="22"/>
          <w:shd w:fill="FFFFFF" w:val="clear"/>
        </w:rPr>
        <w:t>These factors were partially offset by the previously disclosed BY 2026 Star Ratings headwind.</w:t>
      </w:r>
    </w:p>
    <w:p>
      <w:pPr>
        <w:pStyle w:val="TextBody"/>
        <w:bidi w:val="0"/>
        <w:spacing w:lineRule="auto" w:line="288" w:before="240" w:after="283"/>
        <w:ind w:left="0" w:right="0" w:hanging="90"/>
        <w:jc w:val="both"/>
        <w:rPr>
          <w:rFonts w:ascii="sans-serif" w:hAnsi="sans-serif"/>
          <w:b/>
          <w:color w:val="000000"/>
          <w:sz w:val="24"/>
          <w:u w:val="single"/>
        </w:rPr>
      </w:pPr>
      <w:r>
        <w:rPr>
          <w:rFonts w:ascii="sans-serif" w:hAnsi="sans-serif"/>
          <w:b/>
          <w:color w:val="000000"/>
          <w:sz w:val="24"/>
          <w:u w:val="single"/>
        </w:rPr>
        <w:t>Insurance Segment Benefit Ratio</w:t>
      </w:r>
    </w:p>
    <w:p>
      <w:pPr>
        <w:pStyle w:val="TextBody"/>
        <w:bidi w:val="0"/>
        <w:spacing w:lineRule="auto" w:line="268" w:before="240" w:after="283"/>
        <w:jc w:val="both"/>
        <w:rPr>
          <w:rFonts w:ascii="sans-serif" w:hAnsi="sans-serif"/>
          <w:b w:val="false"/>
          <w:color w:val="000000"/>
          <w:sz w:val="22"/>
          <w:shd w:fill="FFFFFF" w:val="clear"/>
        </w:rPr>
      </w:pPr>
      <w:r>
        <w:rPr>
          <w:rFonts w:ascii="sans-serif" w:hAnsi="sans-serif"/>
          <w:b w:val="false"/>
          <w:color w:val="000000"/>
          <w:sz w:val="22"/>
          <w:shd w:fill="FFFFFF" w:val="clear"/>
        </w:rPr>
        <w:t xml:space="preserve">The year-over-year increases in the quarterly and YTD GAAP segment benefit ratio from the respective 2025 periods primarily reflected the following: </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 xml:space="preserve">the BY 2026 Star Ratings revenue headwind, </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 xml:space="preserve">the effect of the individual MA membership growth during the most recent AEP and OEP as the new members, on average, run at a higher benefit ratio as compared to retained members (excluding the impact of the BY 2026 Star Ratings headwind), </w:t>
      </w:r>
      <w:r>
        <w:rPr>
          <w:rFonts w:ascii="sans-serif" w:hAnsi="sans-serif"/>
          <w:b w:val="false"/>
          <w:color w:val="000000"/>
          <w:sz w:val="22"/>
        </w:rPr>
        <w:t>and</w:t>
      </w:r>
    </w:p>
    <w:p>
      <w:pPr>
        <w:pStyle w:val="TextBody"/>
        <w:bidi w:val="0"/>
        <w:spacing w:lineRule="auto" w:line="288" w:before="240" w:after="283"/>
        <w:ind w:left="0" w:right="0" w:hanging="360"/>
        <w:jc w:val="both"/>
        <w:rPr/>
      </w:pPr>
      <w:r>
        <w:rPr>
          <w:color w:val="000000"/>
        </w:rPr>
        <w:t>•</w:t>
      </w:r>
      <w:r>
        <w:rPr>
          <w:rFonts w:ascii="sans-serif" w:hAnsi="sans-serif"/>
          <w:b w:val="false"/>
          <w:color w:val="000000"/>
          <w:sz w:val="22"/>
        </w:rPr>
        <w:t>the anticipated lower favorable prior period development in 2026.</w:t>
      </w:r>
    </w:p>
    <w:p>
      <w:pPr>
        <w:pStyle w:val="TextBody"/>
        <w:bidi w:val="0"/>
        <w:spacing w:lineRule="auto" w:line="288" w:before="240" w:after="283"/>
        <w:jc w:val="both"/>
        <w:rPr>
          <w:rFonts w:ascii="sans-serif" w:hAnsi="sans-serif"/>
          <w:b w:val="false"/>
          <w:color w:val="000000"/>
          <w:sz w:val="22"/>
          <w:shd w:fill="FFFFFF" w:val="clear"/>
        </w:rPr>
      </w:pPr>
      <w:r>
        <w:rPr>
          <w:rFonts w:ascii="sans-serif" w:hAnsi="sans-serif"/>
          <w:b w:val="false"/>
          <w:color w:val="000000"/>
          <w:sz w:val="22"/>
          <w:shd w:fill="FFFFFF" w:val="clear"/>
        </w:rPr>
        <w:t>These factors were partially offset by the following factors:</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 xml:space="preserve">2026 individual MA pricing, inclusive of the MA funding environment (excluding the BY 2026 Star Ratings headwind) combined with the company's ongoing clinical excellence efforts, more than offsetting the assumption of claims trend (with largely stable benefits year over year), and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7"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the benefit of the company's group MA recontracting efforts for the 2026 plan year.</w:t>
      </w:r>
    </w:p>
    <w:p>
      <w:pPr>
        <w:pStyle w:val="TextBody"/>
        <w:bidi w:val="0"/>
        <w:spacing w:lineRule="auto" w:line="268" w:before="240" w:after="283"/>
        <w:jc w:val="both"/>
        <w:rPr>
          <w:rFonts w:ascii="sans-serif" w:hAnsi="sans-serif"/>
          <w:b/>
          <w:color w:val="000000"/>
          <w:sz w:val="24"/>
          <w:u w:val="single"/>
        </w:rPr>
      </w:pPr>
      <w:r>
        <w:rPr>
          <w:rFonts w:ascii="sans-serif" w:hAnsi="sans-serif"/>
          <w:b/>
          <w:color w:val="000000"/>
          <w:sz w:val="24"/>
          <w:u w:val="single"/>
        </w:rPr>
        <w:t>Insurance Segment Operating Cost Ratio</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The significant year-over-year decreases in the quarterly and YTD GAAP segment operating cost ratios from the respective 2025 periods primarily related to the following:</w:t>
      </w:r>
    </w:p>
    <w:p>
      <w:pPr>
        <w:pStyle w:val="TextBody"/>
        <w:bidi w:val="0"/>
        <w:spacing w:lineRule="auto" w:line="288" w:before="240" w:after="283"/>
        <w:ind w:left="0" w:right="0" w:hanging="360"/>
        <w:jc w:val="both"/>
        <w:rPr/>
      </w:pPr>
      <w:r>
        <w:rPr>
          <w:color w:val="000000"/>
        </w:rPr>
        <w:t>•</w:t>
      </w:r>
      <w:r>
        <w:rPr>
          <w:rFonts w:ascii="sans-serif" w:hAnsi="sans-serif"/>
          <w:b w:val="false"/>
          <w:color w:val="000000"/>
          <w:sz w:val="22"/>
        </w:rPr>
        <w:t xml:space="preserve">operating leverage associated with </w:t>
      </w:r>
      <w:r>
        <w:rPr>
          <w:rFonts w:ascii="sans-serif" w:hAnsi="sans-serif"/>
          <w:b w:val="false"/>
          <w:color w:val="000000"/>
          <w:sz w:val="22"/>
          <w:shd w:fill="FFFFFF" w:val="clear"/>
        </w:rPr>
        <w:t xml:space="preserve">increased revenues from </w:t>
      </w:r>
      <w:r>
        <w:rPr>
          <w:rFonts w:ascii="sans-serif" w:hAnsi="sans-serif"/>
          <w:b w:val="false"/>
          <w:color w:val="000000"/>
          <w:sz w:val="22"/>
        </w:rPr>
        <w:t xml:space="preserve">membership growth across the company's Medicare businesses in 2026 </w:t>
      </w:r>
      <w:r>
        <w:rPr>
          <w:rFonts w:ascii="sans-serif" w:hAnsi="sans-serif"/>
          <w:b w:val="false"/>
          <w:color w:val="000000"/>
          <w:sz w:val="22"/>
          <w:shd w:fill="FFFFFF" w:val="clear"/>
        </w:rPr>
        <w:t>combined with an improved MA benchmark funding rate and the increased Part D direct subsidy resulting from the IRA, and</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the company's progress on its tactical cost cutting and transformation initiatives combined with the beneficial impact of prior value creation initiatives that have driven administrative cost efficiencies.</w:t>
      </w:r>
    </w:p>
    <w:p>
      <w:pPr>
        <w:pStyle w:val="TextBody"/>
        <w:bidi w:val="0"/>
        <w:spacing w:lineRule="auto" w:line="288" w:before="240" w:after="283"/>
        <w:jc w:val="both"/>
        <w:rPr>
          <w:rFonts w:ascii="sans-serif" w:hAnsi="sans-serif"/>
          <w:b w:val="false"/>
          <w:color w:val="000000"/>
          <w:sz w:val="22"/>
          <w:shd w:fill="FFFFFF" w:val="clear"/>
        </w:rPr>
      </w:pPr>
      <w:r>
        <w:rPr>
          <w:rFonts w:ascii="sans-serif" w:hAnsi="sans-serif"/>
          <w:b w:val="false"/>
          <w:color w:val="000000"/>
          <w:sz w:val="22"/>
          <w:shd w:fill="FFFFFF" w:val="clear"/>
        </w:rPr>
        <w:t>These factors were partially offset by the impact of the previously disclosed BY 2026 Star Ratings headwind.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i/>
          <w:color w:val="000000"/>
          <w:sz w:val="32"/>
          <w:u w:val="single"/>
        </w:rPr>
      </w:pPr>
      <w:r>
        <w:rPr>
          <w:rFonts w:ascii="sans-serif" w:hAnsi="sans-serif"/>
          <w:b/>
          <w:i/>
          <w:color w:val="000000"/>
          <w:sz w:val="32"/>
          <w:u w:val="single"/>
        </w:rPr>
        <w:t>Humana’s CenterWell Segment</w:t>
      </w:r>
    </w:p>
    <w:p>
      <w:pPr>
        <w:pStyle w:val="TextBody"/>
        <w:bidi w:val="0"/>
        <w:spacing w:lineRule="auto" w:line="288" w:before="0" w:after="0"/>
        <w:jc w:val="both"/>
        <w:rPr>
          <w:rFonts w:ascii="sans-serif" w:hAnsi="sans-serif"/>
          <w:b w:val="false"/>
          <w:i/>
          <w:color w:val="000000"/>
          <w:sz w:val="20"/>
        </w:rPr>
      </w:pPr>
      <w:r>
        <w:rPr>
          <w:rFonts w:ascii="sans-serif" w:hAnsi="sans-serif"/>
          <w:b w:val="false"/>
          <w:i/>
          <w:color w:val="000000"/>
          <w:sz w:val="20"/>
        </w:rPr>
        <w:t>This segment includes pharmacy solutions (excluding the PBM operations), primary care, and home solutions. Services offered by this segment are designed to enhance the overall healthcare experience. These services may lead to lower utilization associated with improved member health and/or lower drug costs.</w:t>
      </w:r>
    </w:p>
    <w:tbl>
      <w:tblPr>
        <w:tblW w:w="9820" w:type="dxa"/>
        <w:jc w:val="left"/>
        <w:tblInd w:w="0" w:type="dxa"/>
        <w:tblLayout w:type="fixed"/>
        <w:tblCellMar>
          <w:top w:w="28" w:type="dxa"/>
          <w:left w:w="28" w:type="dxa"/>
          <w:bottom w:w="28" w:type="dxa"/>
          <w:right w:w="28" w:type="dxa"/>
        </w:tblCellMar>
      </w:tblPr>
      <w:tblGrid>
        <w:gridCol w:w="1818"/>
        <w:gridCol w:w="1601"/>
        <w:gridCol w:w="1605"/>
        <w:gridCol w:w="323"/>
        <w:gridCol w:w="323"/>
        <w:gridCol w:w="500"/>
        <w:gridCol w:w="293"/>
        <w:gridCol w:w="293"/>
        <w:gridCol w:w="436"/>
        <w:gridCol w:w="323"/>
        <w:gridCol w:w="323"/>
        <w:gridCol w:w="672"/>
        <w:gridCol w:w="293"/>
        <w:gridCol w:w="293"/>
        <w:gridCol w:w="724"/>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rFonts w:ascii="sans-serif" w:hAnsi="sans-serif"/>
                <w:b/>
                <w:color w:val="FFFFFF"/>
                <w:sz w:val="20"/>
              </w:rPr>
            </w:pPr>
            <w:r>
              <w:rPr>
                <w:rFonts w:ascii="sans-serif" w:hAnsi="sans-serif"/>
                <w:b/>
                <w:color w:val="FFFFFF"/>
                <w:sz w:val="20"/>
              </w:rPr>
              <w:t>CenterWell Segment Results</w:t>
            </w:r>
          </w:p>
          <w:p>
            <w:pPr>
              <w:pStyle w:val="TableContents"/>
              <w:bidi w:val="0"/>
              <w:spacing w:lineRule="auto" w:line="240" w:before="0" w:after="0"/>
              <w:jc w:val="left"/>
              <w:rPr>
                <w:rFonts w:ascii="sans-serif" w:hAnsi="sans-serif"/>
                <w:b w:val="false"/>
                <w:color w:val="FFFFFF"/>
                <w:sz w:val="20"/>
              </w:rPr>
            </w:pPr>
            <w:r>
              <w:rPr>
                <w:rFonts w:ascii="sans-serif" w:hAnsi="sans-serif"/>
                <w:b w:val="false"/>
                <w:color w:val="FFFFFF"/>
                <w:sz w:val="20"/>
              </w:rPr>
              <w:t>($ in millions)</w:t>
            </w:r>
          </w:p>
        </w:tc>
        <w:tc>
          <w:tcPr>
            <w:tcW w:w="1146"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2Q26</w:t>
            </w:r>
          </w:p>
        </w:tc>
        <w:tc>
          <w:tcPr>
            <w:tcW w:w="1022"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2Q25</w:t>
            </w:r>
          </w:p>
        </w:tc>
        <w:tc>
          <w:tcPr>
            <w:tcW w:w="1318"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YTD 2026</w:t>
            </w:r>
          </w:p>
        </w:tc>
        <w:tc>
          <w:tcPr>
            <w:tcW w:w="1310"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YTD 2025</w:t>
            </w:r>
          </w:p>
        </w:tc>
      </w:tr>
      <w:tr>
        <w:trPr/>
        <w:tc>
          <w:tcPr>
            <w:tcW w:w="502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14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$6,790</w:t>
            </w:r>
          </w:p>
        </w:tc>
        <w:tc>
          <w:tcPr>
            <w:tcW w:w="1022"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$5,537</w:t>
            </w:r>
          </w:p>
        </w:tc>
        <w:tc>
          <w:tcPr>
            <w:tcW w:w="1318"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$12,890</w:t>
            </w:r>
          </w:p>
        </w:tc>
        <w:tc>
          <w:tcPr>
            <w:tcW w:w="1310"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$10,632</w:t>
            </w:r>
          </w:p>
        </w:tc>
      </w:tr>
      <w:tr>
        <w:trPr/>
        <w:tc>
          <w:tcPr>
            <w:tcW w:w="502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 ratio</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92.4</w:t>
            </w:r>
            <w:r>
              <w:rPr>
                <w:color w:val="000000"/>
              </w:rPr>
              <w:t> </w:t>
            </w:r>
          </w:p>
        </w:tc>
        <w:tc>
          <w:tcPr>
            <w:tcW w:w="5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92.7 </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93.4</w:t>
            </w:r>
            <w:r>
              <w:rPr>
                <w:color w:val="000000"/>
              </w:rPr>
              <w:t> </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92.0 </w:t>
            </w:r>
          </w:p>
        </w:tc>
        <w:tc>
          <w:tcPr>
            <w:tcW w:w="724"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502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from operations</w:t>
            </w:r>
          </w:p>
        </w:tc>
        <w:tc>
          <w:tcPr>
            <w:tcW w:w="114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$466</w:t>
            </w:r>
          </w:p>
        </w:tc>
        <w:tc>
          <w:tcPr>
            <w:tcW w:w="1022"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w:t>
            </w:r>
          </w:p>
        </w:tc>
        <w:tc>
          <w:tcPr>
            <w:tcW w:w="1318"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$755</w:t>
            </w:r>
          </w:p>
        </w:tc>
        <w:tc>
          <w:tcPr>
            <w:tcW w:w="1310"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$736</w:t>
            </w:r>
          </w:p>
        </w:tc>
      </w:tr>
      <w:tr>
        <w:trPr/>
        <w:tc>
          <w:tcPr>
            <w:tcW w:w="502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from operations - Adjusted (non-GAAP) (d)</w:t>
            </w:r>
          </w:p>
        </w:tc>
        <w:tc>
          <w:tcPr>
            <w:tcW w:w="1146"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$514</w:t>
            </w:r>
          </w:p>
        </w:tc>
        <w:tc>
          <w:tcPr>
            <w:tcW w:w="1022"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$404</w:t>
            </w:r>
          </w:p>
        </w:tc>
        <w:tc>
          <w:tcPr>
            <w:tcW w:w="1318"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$852</w:t>
            </w:r>
          </w:p>
        </w:tc>
        <w:tc>
          <w:tcPr>
            <w:tcW w:w="1310"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$855</w:t>
            </w:r>
          </w:p>
        </w:tc>
      </w:tr>
    </w:tbl>
    <w:p>
      <w:pPr>
        <w:pStyle w:val="TextBody"/>
        <w:bidi w:val="0"/>
        <w:spacing w:lineRule="auto" w:line="288" w:before="240" w:after="283"/>
        <w:jc w:val="both"/>
        <w:rPr>
          <w:rFonts w:ascii="sans-serif" w:hAnsi="sans-serif"/>
          <w:b w:val="false"/>
          <w:i/>
          <w:color w:val="000000"/>
          <w:sz w:val="18"/>
        </w:rPr>
      </w:pPr>
      <w:r>
        <w:rPr>
          <w:rFonts w:ascii="sans-serif" w:hAnsi="sans-serif"/>
          <w:b w:val="false"/>
          <w:i/>
          <w:color w:val="000000"/>
          <w:sz w:val="18"/>
        </w:rPr>
        <w:t>Refer to the "Footnotes" section included herein for further explanation of the disclosure for the Adjusted (non-GAAP) financial measure, as well as the reconciliation.</w:t>
      </w:r>
    </w:p>
    <w:p>
      <w:pPr>
        <w:pStyle w:val="TextBody"/>
        <w:bidi w:val="0"/>
        <w:spacing w:lineRule="auto" w:line="288" w:before="240" w:after="283"/>
        <w:jc w:val="left"/>
        <w:rPr>
          <w:rFonts w:ascii="sans-serif" w:hAnsi="sans-serif"/>
          <w:b/>
          <w:color w:val="000000"/>
          <w:sz w:val="24"/>
          <w:u w:val="single"/>
        </w:rPr>
      </w:pPr>
      <w:r>
        <w:rPr>
          <w:rFonts w:ascii="sans-serif" w:hAnsi="sans-serif"/>
          <w:b/>
          <w:color w:val="000000"/>
          <w:sz w:val="24"/>
          <w:u w:val="single"/>
        </w:rPr>
        <w:t>CenterWell Segment Revenues</w:t>
      </w:r>
    </w:p>
    <w:p>
      <w:pPr>
        <w:pStyle w:val="TextBody"/>
        <w:bidi w:val="0"/>
        <w:spacing w:lineRule="auto" w:line="288" w:before="240" w:after="283"/>
        <w:jc w:val="both"/>
        <w:rPr>
          <w:rFonts w:ascii="sans-serif" w:hAnsi="sans-serif"/>
          <w:b w:val="false"/>
          <w:color w:val="000000"/>
          <w:sz w:val="22"/>
          <w:shd w:fill="FFFFFF" w:val="clear"/>
        </w:rPr>
      </w:pPr>
      <w:r>
        <w:rPr>
          <w:rFonts w:ascii="sans-serif" w:hAnsi="sans-serif"/>
          <w:b w:val="false"/>
          <w:color w:val="000000"/>
          <w:sz w:val="22"/>
          <w:shd w:fill="FFFFFF" w:val="clear"/>
        </w:rPr>
        <w:t>The favorable year-over-year quarterly and YTD CenterWell GAAP segment revenues comparisons were primarily driven by the following:</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rPr>
        <w:t>higher revenues associated with growth in each of the CenterWell business lines resulting from increased Medicare membership in 2026, and</w:t>
      </w:r>
    </w:p>
    <w:p>
      <w:pPr>
        <w:pStyle w:val="TextBody"/>
        <w:bidi w:val="0"/>
        <w:spacing w:lineRule="auto" w:line="288" w:before="240" w:after="283"/>
        <w:ind w:left="0" w:right="0" w:hanging="360"/>
        <w:jc w:val="both"/>
        <w:rPr/>
      </w:pPr>
      <w:r>
        <w:rPr>
          <w:color w:val="000000"/>
        </w:rPr>
        <w:t>•</w:t>
      </w:r>
      <w:r>
        <w:rPr>
          <w:rFonts w:ascii="sans-serif" w:hAnsi="sans-serif"/>
          <w:b w:val="false"/>
          <w:color w:val="000000"/>
          <w:sz w:val="22"/>
        </w:rPr>
        <w:t>continued expansion of the company's payor-agnostic client base, primarily associated with the company's primary care business as a result of recent acquisitions.</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 xml:space="preserve">These factors were partially offset by the impact of the final year of the phase-in of the v28 risk model revision. </w:t>
      </w:r>
    </w:p>
    <w:p>
      <w:pPr>
        <w:pStyle w:val="TextBody"/>
        <w:bidi w:val="0"/>
        <w:spacing w:lineRule="auto" w:line="288" w:before="240" w:after="283"/>
        <w:jc w:val="both"/>
        <w:rPr>
          <w:rFonts w:ascii="sans-serif" w:hAnsi="sans-serif"/>
          <w:b/>
          <w:color w:val="000000"/>
          <w:sz w:val="24"/>
          <w:u w:val="single"/>
        </w:rPr>
      </w:pPr>
      <w:r>
        <w:rPr>
          <w:rFonts w:ascii="sans-serif" w:hAnsi="sans-serif"/>
          <w:b/>
          <w:color w:val="000000"/>
          <w:sz w:val="24"/>
          <w:u w:val="single"/>
        </w:rPr>
        <w:t>CenterWell Segment Operating Cost Ratio</w:t>
      </w:r>
    </w:p>
    <w:p>
      <w:pPr>
        <w:pStyle w:val="TextBody"/>
        <w:bidi w:val="0"/>
        <w:spacing w:lineRule="auto" w:line="288" w:before="240" w:after="283"/>
        <w:jc w:val="both"/>
        <w:rPr/>
      </w:pPr>
      <w:r>
        <w:rPr>
          <w:rFonts w:ascii="sans-serif" w:hAnsi="sans-serif"/>
          <w:b w:val="false"/>
          <w:color w:val="000000"/>
          <w:sz w:val="22"/>
          <w:shd w:fill="FFFFFF" w:val="clear"/>
        </w:rPr>
        <w:t>The year-over-year</w:t>
      </w:r>
      <w:r>
        <w:rPr>
          <w:color w:val="000000"/>
        </w:rPr>
        <w:t xml:space="preserve"> </w:t>
      </w:r>
      <w:r>
        <w:rPr>
          <w:rFonts w:ascii="sans-serif" w:hAnsi="sans-serif"/>
          <w:b w:val="false"/>
          <w:color w:val="000000"/>
          <w:sz w:val="22"/>
        </w:rPr>
        <w:t>decrease i</w:t>
      </w:r>
      <w:r>
        <w:rPr>
          <w:rFonts w:ascii="sans-serif" w:hAnsi="sans-serif"/>
          <w:b w:val="false"/>
          <w:color w:val="000000"/>
          <w:sz w:val="22"/>
          <w:shd w:fill="FFFFFF" w:val="clear"/>
        </w:rPr>
        <w:t>n the segment's quarterly GAAP operating cost ratio from 2Q25 primarily resulted from the following:</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rPr>
        <w:t>continued maturation of the v28 mitigation activities within the primary care business, and</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the company's progress on its tactical cost cutting and transformation initiatives combined with the beneficial impact of prior value creation initiatives that have driven administrative cost efficiencies.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8"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240" w:after="283"/>
        <w:jc w:val="both"/>
        <w:rPr>
          <w:rFonts w:ascii="sans-serif" w:hAnsi="sans-serif"/>
          <w:b w:val="false"/>
          <w:color w:val="000000"/>
          <w:sz w:val="22"/>
          <w:shd w:fill="FFFFFF" w:val="clear"/>
        </w:rPr>
      </w:pPr>
      <w:r>
        <w:rPr>
          <w:rFonts w:ascii="sans-serif" w:hAnsi="sans-serif"/>
          <w:b w:val="false"/>
          <w:color w:val="000000"/>
          <w:sz w:val="22"/>
          <w:shd w:fill="FFFFFF" w:val="clear"/>
        </w:rPr>
        <w:t>These factors were partially offset by the following:</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the impact of the final year of the phase-in of the v28 risk model revision, and</w:t>
      </w:r>
    </w:p>
    <w:p>
      <w:pPr>
        <w:pStyle w:val="TextBody"/>
        <w:bidi w:val="0"/>
        <w:spacing w:lineRule="auto" w:line="288" w:before="240" w:after="283"/>
        <w:ind w:left="0" w:right="0" w:hanging="360"/>
        <w:jc w:val="both"/>
        <w:rPr/>
      </w:pPr>
      <w:r>
        <w:rPr>
          <w:color w:val="000000"/>
          <w:shd w:fill="FFFFFF" w:val="clear"/>
        </w:rPr>
        <w:t>•</w:t>
      </w:r>
      <w:r>
        <w:rPr>
          <w:rFonts w:ascii="sans-serif" w:hAnsi="sans-serif"/>
          <w:b w:val="false"/>
          <w:color w:val="000000"/>
          <w:sz w:val="22"/>
          <w:shd w:fill="FFFFFF" w:val="clear"/>
        </w:rPr>
        <w:t>the uptick of volume within CenterWell Specialty Pharmacy, which carries a higher operating cost ratio than the traditional pharmacy business.</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The year-over-year increase in the segment's YTD 2026 GAAP operating cost ratio from YTD 2025 primarily reflected the net unfavorable impact of the items noted above affecting the quarterly comparison, along with the following items:</w:t>
      </w:r>
    </w:p>
    <w:p>
      <w:pPr>
        <w:pStyle w:val="TextBody"/>
        <w:bidi w:val="0"/>
        <w:spacing w:lineRule="auto" w:line="288" w:before="240" w:after="283"/>
        <w:ind w:left="0" w:right="0" w:hanging="360"/>
        <w:jc w:val="both"/>
        <w:rPr/>
      </w:pPr>
      <w:r>
        <w:rPr>
          <w:color w:val="000000"/>
        </w:rPr>
        <w:t>•</w:t>
      </w:r>
      <w:r>
        <w:rPr>
          <w:rFonts w:ascii="sans-serif" w:hAnsi="sans-serif"/>
          <w:b w:val="false"/>
          <w:color w:val="000000"/>
          <w:sz w:val="22"/>
        </w:rPr>
        <w:t>the anticipated headwind in the first quarter of 2026 associated with the acquisition of The Villages Health, which closed in November 2025, and</w:t>
      </w:r>
    </w:p>
    <w:p>
      <w:pPr>
        <w:pStyle w:val="TextBody"/>
        <w:bidi w:val="0"/>
        <w:spacing w:lineRule="auto" w:line="288" w:before="240" w:after="283"/>
        <w:ind w:left="0" w:right="0" w:hanging="360"/>
        <w:jc w:val="both"/>
        <w:rPr/>
      </w:pPr>
      <w:r>
        <w:rPr>
          <w:color w:val="000000"/>
        </w:rPr>
        <w:t>•</w:t>
      </w:r>
      <w:r>
        <w:rPr>
          <w:rFonts w:ascii="sans-serif" w:hAnsi="sans-serif"/>
          <w:b w:val="false"/>
          <w:color w:val="000000"/>
          <w:sz w:val="22"/>
        </w:rPr>
        <w:t>transaction and integration costs associated with the recent acquisition of MaxHealth in the first quarter of 2026.</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See additional operational metrics for the CenterWell segment on pages S-13 and S-14 of the statistical supplement included in this earnings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i/>
          <w:color w:val="000000"/>
          <w:sz w:val="32"/>
          <w:u w:val="single"/>
        </w:rPr>
      </w:pPr>
      <w:r>
        <w:rPr>
          <w:rFonts w:ascii="sans-serif" w:hAnsi="sans-serif"/>
          <w:b/>
          <w:i/>
          <w:color w:val="000000"/>
          <w:sz w:val="32"/>
          <w:u w:val="single"/>
        </w:rPr>
        <w:t>Conference Call</w:t>
      </w:r>
    </w:p>
    <w:p>
      <w:pPr>
        <w:pStyle w:val="TextBody"/>
        <w:bidi w:val="0"/>
        <w:spacing w:before="0" w:after="0"/>
        <w:jc w:val="left"/>
        <w:rPr/>
      </w:pPr>
      <w:r>
        <w:rPr/>
      </w:r>
    </w:p>
    <w:p>
      <w:pPr>
        <w:pStyle w:val="TextBody"/>
        <w:bidi w:val="0"/>
        <w:spacing w:lineRule="auto" w:line="256" w:before="0" w:after="0"/>
        <w:jc w:val="both"/>
        <w:rPr>
          <w:rFonts w:ascii="sans-serif" w:hAnsi="sans-serif"/>
          <w:b w:val="false"/>
          <w:color w:val="000000"/>
          <w:sz w:val="22"/>
        </w:rPr>
      </w:pPr>
      <w:r>
        <w:rPr>
          <w:rFonts w:ascii="sans-serif" w:hAnsi="sans-serif"/>
          <w:b w:val="false"/>
          <w:color w:val="000000"/>
          <w:sz w:val="22"/>
        </w:rPr>
        <w:t>Humana will host a live question-and-answer session for analysts at 8:00 a.m. Eastern time today to discuss its financial results for the quarter and the company’s expectations for future earnings. In advance of the question-and-answer session, Humana will post prepared management remarks to the Quarterly Results section of its Investor Relations page (https://humana.gcs-web.com/financial-information/quarterly-results).</w:t>
      </w:r>
    </w:p>
    <w:p>
      <w:pPr>
        <w:pStyle w:val="TextBody"/>
        <w:bidi w:val="0"/>
        <w:spacing w:before="0" w:after="0"/>
        <w:jc w:val="both"/>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A webcast of the 2Q26 earnings call may be accessed via Humana’s Investor Relations page at https://humana.gcs-web.com/. </w:t>
      </w:r>
    </w:p>
    <w:p>
      <w:pPr>
        <w:pStyle w:val="TextBody"/>
        <w:bidi w:val="0"/>
        <w:spacing w:before="0" w:after="0"/>
        <w:jc w:val="both"/>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If you anticipate asking a question during the question-and-answer session, please register in advance at this link - https://register-conf.media-server.com/register/BI18085d824058461aa3c6b8b2af27cb40.</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Upon registration, telephone participants will receive a confirmation email detailing how to join the conference call, including the dial-in number and a unique registrant ID.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The company suggests participants listening via the web or the conference call sign in or dial in at least 15 minutes in advance of the call. For those unable to participate in the live event, the virtual presentation archive will be available in the Historical Webcasts and Presentations section of the Investor Relations page at https://humana.gcs-web.com/, approximately two hours following the live webcast.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sans-serif" w:hAnsi="sans-serif"/>
          <w:b/>
          <w:i/>
          <w:color w:val="000000"/>
          <w:sz w:val="32"/>
          <w:u w:val="single"/>
        </w:rPr>
      </w:pPr>
      <w:r>
        <w:rPr>
          <w:rFonts w:ascii="sans-serif" w:hAnsi="sans-serif"/>
          <w:b/>
          <w:i/>
          <w:color w:val="000000"/>
          <w:sz w:val="32"/>
          <w:u w:val="single"/>
        </w:rPr>
        <w:t>Footnotes</w:t>
      </w:r>
    </w:p>
    <w:p>
      <w:pPr>
        <w:pStyle w:val="TextBody"/>
        <w:bidi w:val="0"/>
        <w:spacing w:lineRule="auto" w:line="256" w:before="0" w:after="0"/>
        <w:jc w:val="both"/>
        <w:rPr/>
      </w:pPr>
      <w:r>
        <w:rPr>
          <w:rFonts w:ascii="sans-serif" w:hAnsi="sans-serif"/>
          <w:b w:val="false"/>
          <w:color w:val="000000"/>
          <w:sz w:val="20"/>
        </w:rPr>
        <w:t>The company has included financial measures throughout this earnings release that are not in accordance with GAAP. Management believes that these measures, when presented in conjunction with the corresponding GAAP measures, provide a comprehensive perspective to more accurately compare and analyze the company’s core operating performance over time. Consequently, management uses these non-GAAP (Adjusted) financial measures as consistent indicators of the company’s core business operations from period to period, as well as for planning and decision-making purposes and in determination of incentive compensation. Non-GAAP (Adjusted) financial measures should be considered in addition to, but not as a substitute for, or superior to, financial measures prepared in accordance with GAAP. The company’s non-GAAP measures are not intended to normalize earnings, eliminate volatility, or represent future performance. Non-GAAP measures are subject to inherent limitations and may differ from similarly titled measures used by other companies</w:t>
      </w:r>
      <w:r>
        <w:rPr>
          <w:rFonts w:ascii="Aptos;sans-serif" w:hAnsi="Aptos;sans-serif"/>
          <w:b w:val="false"/>
          <w:color w:val="000000"/>
          <w:sz w:val="22"/>
        </w:rPr>
        <w:t>.</w:t>
      </w:r>
      <w:r>
        <w:rPr>
          <w:color w:val="000000"/>
        </w:rPr>
        <w:t xml:space="preserve"> </w:t>
      </w:r>
      <w:r>
        <w:rPr>
          <w:rFonts w:ascii="sans-serif" w:hAnsi="sans-serif"/>
          <w:b w:val="false"/>
          <w:color w:val="000000"/>
          <w:sz w:val="20"/>
        </w:rPr>
        <w:t>All financial measures in this earnings release are in accordance with GAAP unless otherwise indicated. Please refer to the footnotes for a detailed description of each item adjusted out of GAAP financial measures to arrive at non-GAAP (Adjusted) financial measures.</w:t>
      </w:r>
    </w:p>
    <w:p>
      <w:pPr>
        <w:pStyle w:val="TextBody"/>
        <w:bidi w:val="0"/>
        <w:spacing w:lineRule="auto" w:line="288" w:before="240" w:after="120"/>
        <w:jc w:val="both"/>
        <w:rPr>
          <w:rFonts w:ascii="sans-serif" w:hAnsi="sans-serif"/>
          <w:b w:val="false"/>
          <w:color w:val="000000"/>
          <w:sz w:val="20"/>
        </w:rPr>
      </w:pPr>
      <w:r>
        <w:rPr>
          <w:rFonts w:ascii="sans-serif" w:hAnsi="sans-serif"/>
          <w:b w:val="false"/>
          <w:color w:val="000000"/>
          <w:sz w:val="20"/>
        </w:rPr>
        <w:t xml:space="preserve">(a) For the periods covered in this earnings release, the following items are excluded from the non-GAAP financial measures described above,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19"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ind w:left="0" w:right="0" w:hanging="360"/>
        <w:jc w:val="both"/>
        <w:rPr/>
      </w:pPr>
      <w:r>
        <w:rPr>
          <w:color w:val="000000"/>
          <w:shd w:fill="FFFFFF" w:val="clear"/>
        </w:rPr>
        <w:t>•</w:t>
      </w:r>
      <w:r>
        <w:rPr>
          <w:rFonts w:ascii="sans-serif" w:hAnsi="sans-serif"/>
          <w:b/>
          <w:color w:val="000000"/>
          <w:sz w:val="20"/>
        </w:rPr>
        <w:t>Amortization associated with identifiable intangibles -</w:t>
      </w:r>
      <w:r>
        <w:rPr>
          <w:color w:val="000000"/>
        </w:rPr>
        <w:t xml:space="preserve"> </w:t>
      </w:r>
      <w:r>
        <w:rPr>
          <w:rFonts w:ascii="sans-serif" w:hAnsi="sans-serif"/>
          <w:b w:val="false"/>
          <w:color w:val="000000"/>
          <w:sz w:val="20"/>
        </w:rPr>
        <w:t xml:space="preserve">Since amortization varies based on the size and timing of acquisition activity, management believes the exclusion of this non-cash expense provides a more consistent and uniform indicator of performance from period to period. For all periods shown within this earnings release, </w:t>
      </w:r>
      <w:r>
        <w:rPr>
          <w:rFonts w:ascii="sans-serif" w:hAnsi="sans-serif"/>
          <w:b w:val="false"/>
          <w:color w:val="000000"/>
          <w:sz w:val="20"/>
          <w:shd w:fill="FFFFFF" w:val="clear"/>
        </w:rPr>
        <w:t>GAAP measures affected include consolidated pretax results, EPS, and Insurance and CenterWell segments' income from operations. The table below discloses respective period amortization expense for each segment:</w:t>
      </w:r>
    </w:p>
    <w:tbl>
      <w:tblPr>
        <w:tblW w:w="6571" w:type="dxa"/>
        <w:jc w:val="center"/>
        <w:tblInd w:w="0" w:type="dxa"/>
        <w:tblLayout w:type="fixed"/>
        <w:tblCellMar>
          <w:top w:w="28" w:type="dxa"/>
          <w:left w:w="28" w:type="dxa"/>
          <w:bottom w:w="28" w:type="dxa"/>
          <w:right w:w="28" w:type="dxa"/>
        </w:tblCellMar>
      </w:tblPr>
      <w:tblGrid>
        <w:gridCol w:w="766"/>
        <w:gridCol w:w="674"/>
        <w:gridCol w:w="675"/>
        <w:gridCol w:w="270"/>
        <w:gridCol w:w="270"/>
        <w:gridCol w:w="271"/>
        <w:gridCol w:w="270"/>
        <w:gridCol w:w="270"/>
        <w:gridCol w:w="271"/>
        <w:gridCol w:w="464"/>
        <w:gridCol w:w="464"/>
        <w:gridCol w:w="466"/>
        <w:gridCol w:w="421"/>
        <w:gridCol w:w="421"/>
        <w:gridCol w:w="598"/>
      </w:tblGrid>
      <w:tr>
        <w:trPr/>
        <w:tc>
          <w:tcPr>
            <w:tcW w:w="7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 xml:space="preserve">Amortization </w:t>
            </w:r>
          </w:p>
          <w:p>
            <w:pPr>
              <w:pStyle w:val="TableContents"/>
              <w:bidi w:val="0"/>
              <w:spacing w:lineRule="auto" w:line="240" w:before="0" w:after="0"/>
              <w:jc w:val="left"/>
              <w:rPr>
                <w:rFonts w:ascii="sans-serif" w:hAnsi="sans-serif"/>
                <w:b w:val="false"/>
                <w:i/>
                <w:color w:val="FFFFFF"/>
                <w:sz w:val="24"/>
              </w:rPr>
            </w:pPr>
            <w:r>
              <w:rPr>
                <w:rFonts w:ascii="sans-serif" w:hAnsi="sans-serif"/>
                <w:b w:val="false"/>
                <w:i/>
                <w:color w:val="FFFFFF"/>
                <w:sz w:val="24"/>
              </w:rPr>
              <w:t>(in millions)</w:t>
            </w:r>
          </w:p>
        </w:tc>
        <w:tc>
          <w:tcPr>
            <w:tcW w:w="81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2Q26</w:t>
            </w:r>
          </w:p>
        </w:tc>
        <w:tc>
          <w:tcPr>
            <w:tcW w:w="81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2Q25</w:t>
            </w:r>
          </w:p>
        </w:tc>
        <w:tc>
          <w:tcPr>
            <w:tcW w:w="139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2026</w:t>
            </w:r>
          </w:p>
        </w:tc>
        <w:tc>
          <w:tcPr>
            <w:tcW w:w="1440"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2025</w:t>
            </w:r>
          </w:p>
        </w:tc>
      </w:tr>
      <w:tr>
        <w:trPr/>
        <w:tc>
          <w:tcPr>
            <w:tcW w:w="211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Insurance segment</w:t>
            </w:r>
          </w:p>
        </w:tc>
        <w:tc>
          <w:tcPr>
            <w:tcW w:w="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w:t>
            </w:r>
          </w:p>
        </w:tc>
        <w:tc>
          <w:tcPr>
            <w:tcW w:w="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w:t>
            </w:r>
          </w:p>
        </w:tc>
        <w:tc>
          <w:tcPr>
            <w:tcW w:w="13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$8</w:t>
            </w:r>
          </w:p>
        </w:tc>
        <w:tc>
          <w:tcPr>
            <w:tcW w:w="144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w:t>
            </w:r>
          </w:p>
        </w:tc>
      </w:tr>
      <w:tr>
        <w:trPr/>
        <w:tc>
          <w:tcPr>
            <w:tcW w:w="211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CenterWell segment</w:t>
            </w:r>
          </w:p>
        </w:tc>
        <w:tc>
          <w:tcPr>
            <w:tcW w:w="81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w:t>
            </w:r>
          </w:p>
        </w:tc>
        <w:tc>
          <w:tcPr>
            <w:tcW w:w="81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w:t>
            </w:r>
          </w:p>
        </w:tc>
        <w:tc>
          <w:tcPr>
            <w:tcW w:w="13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$11</w:t>
            </w:r>
          </w:p>
        </w:tc>
        <w:tc>
          <w:tcPr>
            <w:tcW w:w="144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w:t>
            </w:r>
          </w:p>
        </w:tc>
      </w:tr>
    </w:tbl>
    <w:p>
      <w:pPr>
        <w:pStyle w:val="TextBody"/>
        <w:bidi w:val="0"/>
        <w:spacing w:before="0" w:after="0"/>
        <w:ind w:left="0" w:right="0" w:firstLine="90"/>
        <w:jc w:val="center"/>
        <w:rPr/>
      </w:pPr>
      <w:r>
        <w:rPr/>
      </w:r>
    </w:p>
    <w:p>
      <w:pPr>
        <w:pStyle w:val="TextBody"/>
        <w:bidi w:val="0"/>
        <w:spacing w:lineRule="auto" w:line="288" w:before="0" w:after="0"/>
        <w:ind w:left="0" w:right="0" w:hanging="360"/>
        <w:jc w:val="both"/>
        <w:rPr/>
      </w:pPr>
      <w:r>
        <w:rPr>
          <w:color w:val="000000"/>
        </w:rPr>
        <w:t>•</w:t>
      </w:r>
      <w:r>
        <w:rPr>
          <w:rFonts w:ascii="sans-serif" w:hAnsi="sans-serif"/>
          <w:b/>
          <w:color w:val="000000"/>
          <w:sz w:val="20"/>
        </w:rPr>
        <w:t xml:space="preserve">Put/call valuation adjustments associated with the company’s non-consolidating minority interest investments - </w:t>
      </w:r>
      <w:r>
        <w:rPr>
          <w:rFonts w:ascii="sans-serif" w:hAnsi="sans-serif"/>
          <w:b w:val="false"/>
          <w:color w:val="000000"/>
          <w:sz w:val="20"/>
        </w:rPr>
        <w:t>These non-cash amounts are the result of fair value measurements associated with the company's primary care strategic partnership and are unrelated to the company's core business performance. For all periods shown within this earnings release, GAAP measures affected include consolidated pretax results and EPS.</w:t>
      </w:r>
    </w:p>
    <w:p>
      <w:pPr>
        <w:pStyle w:val="TextBody"/>
        <w:bidi w:val="0"/>
        <w:spacing w:lineRule="auto" w:line="288" w:before="0" w:after="0"/>
        <w:ind w:left="0" w:right="0" w:hanging="360"/>
        <w:jc w:val="both"/>
        <w:rPr/>
      </w:pPr>
      <w:r>
        <w:rPr>
          <w:color w:val="000000"/>
        </w:rPr>
        <w:t>•</w:t>
      </w:r>
      <w:r>
        <w:rPr>
          <w:rFonts w:ascii="sans-serif" w:hAnsi="sans-serif"/>
          <w:b/>
          <w:color w:val="000000"/>
          <w:sz w:val="20"/>
        </w:rPr>
        <w:t xml:space="preserve">Value creation initiatives - </w:t>
      </w:r>
      <w:r>
        <w:rPr>
          <w:rFonts w:ascii="sans-serif" w:hAnsi="sans-serif"/>
          <w:b w:val="false"/>
          <w:color w:val="000000"/>
          <w:sz w:val="20"/>
        </w:rPr>
        <w:t>These charges relate to the company's multi-year transformation program, as approved by management with defined scope and milestones. The intent of the program is to re-align the company’s cost structure, operating model, and technology footprint with evolving market conditions. These costs primarily include severance and associate exit costs, asset impairments, and external consulting expenses incurred to execute the program. These charges were recorded at the corporate level and not allocated to the segments. The company has consistently applied this adjustment across all periods. For all periods shown within this earnings release, GAAP measures affected in this release include consolidated pretax results, EPS, and the consolidated operating cost ratio.</w:t>
      </w:r>
      <w:r>
        <w:rPr>
          <w:color w:val="000000"/>
        </w:rPr>
        <w:t xml:space="preserve"> </w:t>
      </w:r>
    </w:p>
    <w:p>
      <w:pPr>
        <w:pStyle w:val="TextBody"/>
        <w:bidi w:val="0"/>
        <w:spacing w:lineRule="auto" w:line="288" w:before="0" w:after="0"/>
        <w:ind w:left="0" w:right="0" w:hanging="360"/>
        <w:jc w:val="both"/>
        <w:rPr/>
      </w:pPr>
      <w:r>
        <w:rPr>
          <w:color w:val="000000"/>
        </w:rPr>
        <w:t>•</w:t>
      </w:r>
      <w:r>
        <w:rPr>
          <w:rFonts w:ascii="sans-serif" w:hAnsi="sans-serif"/>
          <w:b/>
          <w:color w:val="000000"/>
          <w:sz w:val="20"/>
        </w:rPr>
        <w:t>Impairment charges</w:t>
      </w:r>
      <w:r>
        <w:rPr>
          <w:color w:val="000000"/>
        </w:rPr>
        <w:t xml:space="preserve"> </w:t>
      </w:r>
      <w:r>
        <w:rPr>
          <w:rFonts w:ascii="sans-serif" w:hAnsi="sans-serif"/>
          <w:b/>
          <w:color w:val="000000"/>
          <w:sz w:val="20"/>
        </w:rPr>
        <w:t>-</w:t>
      </w:r>
      <w:r>
        <w:rPr>
          <w:color w:val="000000"/>
        </w:rPr>
        <w:t xml:space="preserve"> </w:t>
      </w:r>
      <w:r>
        <w:rPr>
          <w:rFonts w:ascii="sans-serif" w:hAnsi="sans-serif"/>
          <w:b w:val="false"/>
          <w:color w:val="000000"/>
          <w:sz w:val="20"/>
        </w:rPr>
        <w:t xml:space="preserve">During 2Q26, the company recognized non-cash impairment charges related to investments for which the company held minority ownership interests that were deemed to be unrecoverable based on recent market activity. In 2Q25, the company recognized non-cash impairment charges related to certain indefinite-lived intangible assets based on the company's estimate of future financial performance in certain state markets. These charges were recorded at the corporate level and not allocated to the segments. For 2Q26 and YTD 2026, GAAP measures affected include consolidated pretax results, EPS, and consolidated revenues. For 2Q25 and YTD 2025, GAAP measures affected included consolidated pretax results, EPS, and the consolidated operating cost ratio. The FY 2025 GAAP EPS measure was also impacted by this adjustment. </w:t>
      </w:r>
    </w:p>
    <w:p>
      <w:pPr>
        <w:pStyle w:val="TextBody"/>
        <w:bidi w:val="0"/>
        <w:spacing w:lineRule="auto" w:line="288" w:before="0" w:after="0"/>
        <w:ind w:left="0" w:right="0" w:hanging="360"/>
        <w:jc w:val="both"/>
        <w:rPr/>
      </w:pPr>
      <w:r>
        <w:rPr>
          <w:color w:val="000000"/>
          <w:shd w:fill="FFFFFF" w:val="clear"/>
        </w:rPr>
        <w:t>•</w:t>
      </w:r>
      <w:r>
        <w:rPr>
          <w:rFonts w:ascii="sans-serif" w:hAnsi="sans-serif"/>
          <w:b/>
          <w:color w:val="000000"/>
          <w:sz w:val="20"/>
        </w:rPr>
        <w:t xml:space="preserve">Cumulative net tax impact - </w:t>
      </w:r>
      <w:r>
        <w:rPr>
          <w:rFonts w:ascii="sans-serif" w:hAnsi="sans-serif"/>
          <w:b w:val="false"/>
          <w:color w:val="000000"/>
          <w:sz w:val="20"/>
        </w:rPr>
        <w:t xml:space="preserve">This adjustment represents the cumulative net impact of the corresponding tax benefit or expense at the applicable marginal rate related to the aforementioned items excluded from the applicable GAAP measures. For FY 2025, the tax adjustment reflects the impact of the loss on sale of business, which exceeded the book loss. The related tax benefit from the loss on sale of business is realizable via capital loss carryback. The tax impact of the aforementioned items differs from the statutory rates due to jurisdictional mix, limitations on deductibility, and other factors. The cumulative tax impact is not intended to represent a normalized effective tax rate or expected future tax outcomes. For all periods presented in this earnings release, </w:t>
      </w:r>
      <w:r>
        <w:rPr>
          <w:rFonts w:ascii="sans-serif" w:hAnsi="sans-serif"/>
          <w:b w:val="false"/>
          <w:color w:val="000000"/>
          <w:sz w:val="20"/>
          <w:shd w:fill="FFFFFF" w:val="clear"/>
        </w:rPr>
        <w:t xml:space="preserve">EPS </w:t>
      </w:r>
      <w:r>
        <w:rPr>
          <w:rFonts w:ascii="sans-serif" w:hAnsi="sans-serif"/>
          <w:b w:val="false"/>
          <w:color w:val="000000"/>
          <w:sz w:val="20"/>
        </w:rPr>
        <w:t>is the sole GAAP measure affected.</w:t>
      </w:r>
    </w:p>
    <w:p>
      <w:pPr>
        <w:pStyle w:val="TextBody"/>
        <w:bidi w:val="0"/>
        <w:spacing w:before="0" w:after="0"/>
        <w:jc w:val="both"/>
        <w:rPr/>
      </w:pPr>
      <w:r>
        <w:rPr/>
      </w:r>
    </w:p>
    <w:p>
      <w:pPr>
        <w:pStyle w:val="TextBody"/>
        <w:bidi w:val="0"/>
        <w:spacing w:lineRule="auto" w:line="256" w:before="0" w:after="0"/>
        <w:jc w:val="both"/>
        <w:rPr>
          <w:rFonts w:ascii="sans-serif" w:hAnsi="sans-serif"/>
          <w:b w:val="false"/>
          <w:color w:val="000000"/>
          <w:sz w:val="20"/>
        </w:rPr>
      </w:pPr>
      <w:r>
        <w:rPr>
          <w:rFonts w:ascii="sans-serif" w:hAnsi="sans-serif"/>
          <w:b w:val="false"/>
          <w:color w:val="000000"/>
          <w:sz w:val="20"/>
        </w:rPr>
        <w:t>The following adjustments impact only the FY 2025 GAAP EPS shown within this release on page 2.</w:t>
      </w:r>
    </w:p>
    <w:p>
      <w:pPr>
        <w:pStyle w:val="TextBody"/>
        <w:bidi w:val="0"/>
        <w:spacing w:lineRule="auto" w:line="288" w:before="0" w:after="0"/>
        <w:ind w:left="0" w:right="0" w:hanging="360"/>
        <w:jc w:val="both"/>
        <w:rPr/>
      </w:pPr>
      <w:r>
        <w:rPr>
          <w:color w:val="000000"/>
        </w:rPr>
        <w:t>•</w:t>
      </w:r>
      <w:r>
        <w:rPr>
          <w:rFonts w:ascii="sans-serif" w:hAnsi="sans-serif"/>
          <w:b/>
          <w:color w:val="000000"/>
          <w:sz w:val="20"/>
        </w:rPr>
        <w:t xml:space="preserve">Impact of exit of employer group commercial medical products business - </w:t>
      </w:r>
      <w:r>
        <w:rPr>
          <w:rFonts w:ascii="sans-serif" w:hAnsi="sans-serif"/>
          <w:b w:val="false"/>
          <w:color w:val="000000"/>
          <w:sz w:val="20"/>
        </w:rPr>
        <w:t xml:space="preserve">These amounts relate to activity from the exit of the employer group commercial medical products business as announced by Humana on February 23, 2023. </w:t>
      </w:r>
    </w:p>
    <w:p>
      <w:pPr>
        <w:pStyle w:val="TextBody"/>
        <w:bidi w:val="0"/>
        <w:spacing w:lineRule="auto" w:line="256" w:before="0" w:after="0"/>
        <w:ind w:left="0" w:right="0" w:hanging="360"/>
        <w:jc w:val="left"/>
        <w:rPr/>
      </w:pPr>
      <w:r>
        <w:rPr>
          <w:color w:val="000000"/>
        </w:rPr>
        <w:t>•</w:t>
      </w:r>
      <w:r>
        <w:rPr>
          <w:rFonts w:ascii="sans-serif" w:hAnsi="sans-serif"/>
          <w:b/>
          <w:color w:val="000000"/>
          <w:sz w:val="20"/>
        </w:rPr>
        <w:t>Settlement of certain litigation expenses -</w:t>
      </w:r>
      <w:r>
        <w:rPr>
          <w:color w:val="000000"/>
        </w:rPr>
        <w:t xml:space="preserve"> </w:t>
      </w:r>
      <w:r>
        <w:rPr>
          <w:rFonts w:ascii="sans-serif" w:hAnsi="sans-serif"/>
          <w:b w:val="false"/>
          <w:color w:val="000000"/>
          <w:sz w:val="20"/>
        </w:rPr>
        <w:t>These charges</w:t>
      </w:r>
      <w:r>
        <w:rPr>
          <w:color w:val="000000"/>
        </w:rPr>
        <w:t xml:space="preserve"> </w:t>
      </w:r>
      <w:r>
        <w:rPr>
          <w:rFonts w:ascii="sans-serif" w:hAnsi="sans-serif"/>
          <w:b w:val="false"/>
          <w:color w:val="000000"/>
          <w:sz w:val="20"/>
        </w:rPr>
        <w:t xml:space="preserve">relate to expenses the company recognized in connection with a discrete legal matter. The nature and magnitude of this settlement are not indicative of the company’s ongoing operations. </w:t>
      </w:r>
    </w:p>
    <w:p>
      <w:pPr>
        <w:pStyle w:val="TextBody"/>
        <w:bidi w:val="0"/>
        <w:spacing w:lineRule="auto" w:line="256" w:before="0" w:after="0"/>
        <w:ind w:left="0" w:right="0" w:hanging="360"/>
        <w:jc w:val="left"/>
        <w:rPr/>
      </w:pPr>
      <w:r>
        <w:rPr>
          <w:color w:val="000000"/>
        </w:rPr>
        <w:t>•</w:t>
      </w:r>
      <w:r>
        <w:rPr>
          <w:rFonts w:ascii="sans-serif" w:hAnsi="sans-serif"/>
          <w:b/>
          <w:color w:val="000000"/>
          <w:sz w:val="20"/>
        </w:rPr>
        <w:t xml:space="preserve">Loss on sale of business - </w:t>
      </w:r>
      <w:r>
        <w:rPr>
          <w:rFonts w:ascii="sans-serif" w:hAnsi="sans-serif"/>
          <w:b w:val="false"/>
          <w:color w:val="000000"/>
          <w:sz w:val="20"/>
        </w:rPr>
        <w:t xml:space="preserve">This discrete disposition is not part of the company's ordinary course operations and the impacts recognized from the disposal do not reflect core operational performance. The loss primarily reflects the difference between the carrying value and proceeds at the time of sale. </w:t>
      </w:r>
    </w:p>
    <w:p>
      <w:pPr>
        <w:pStyle w:val="TextBody"/>
        <w:bidi w:val="0"/>
        <w:spacing w:before="0" w:after="0"/>
        <w:jc w:val="both"/>
        <w:rPr/>
      </w:pPr>
      <w:r>
        <w:rPr/>
      </w:r>
    </w:p>
    <w:p>
      <w:pPr>
        <w:pStyle w:val="TextBody"/>
        <w:bidi w:val="0"/>
        <w:spacing w:lineRule="auto" w:line="288" w:before="0" w:after="0"/>
        <w:jc w:val="left"/>
        <w:rPr/>
      </w:pPr>
      <w:r>
        <w:rPr>
          <w:rFonts w:ascii="sans-serif" w:hAnsi="sans-serif"/>
          <w:b w:val="false"/>
          <w:color w:val="000000"/>
          <w:sz w:val="20"/>
        </w:rPr>
        <w:t>In addition to the reconciliations shown on</w:t>
      </w:r>
      <w:r>
        <w:rPr>
          <w:color w:val="EE2724"/>
        </w:rPr>
        <w:t xml:space="preserve"> </w:t>
      </w:r>
      <w:r>
        <w:rPr>
          <w:rFonts w:ascii="sans-serif" w:hAnsi="sans-serif"/>
          <w:b w:val="false"/>
          <w:color w:val="000000"/>
          <w:sz w:val="20"/>
        </w:rPr>
        <w:t>page 2</w:t>
      </w:r>
      <w:r>
        <w:rPr>
          <w:color w:val="EE2724"/>
        </w:rPr>
        <w:t xml:space="preserve"> </w:t>
      </w:r>
      <w:r>
        <w:rPr>
          <w:rFonts w:ascii="sans-serif" w:hAnsi="sans-serif"/>
          <w:b w:val="false"/>
          <w:color w:val="000000"/>
          <w:sz w:val="20"/>
        </w:rPr>
        <w:t>of this release, the following are reconciliations of GAAP to Adjusted (non-GAAP) measures described above and disclosed within this earnings release: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0"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ind w:left="0" w:right="0" w:hanging="360"/>
        <w:jc w:val="both"/>
        <w:rPr>
          <w:rFonts w:ascii="sans-serif" w:hAnsi="sans-serif"/>
          <w:b/>
          <w:i/>
          <w:color w:val="000000"/>
          <w:sz w:val="32"/>
          <w:u w:val="single"/>
        </w:rPr>
      </w:pPr>
      <w:r>
        <w:rPr>
          <w:rFonts w:ascii="sans-serif" w:hAnsi="sans-serif"/>
          <w:b/>
          <w:i/>
          <w:color w:val="000000"/>
          <w:sz w:val="32"/>
          <w:u w:val="single"/>
        </w:rPr>
        <w:t>Revenues</w:t>
      </w:r>
    </w:p>
    <w:tbl>
      <w:tblPr>
        <w:tblW w:w="7141" w:type="dxa"/>
        <w:jc w:val="center"/>
        <w:tblInd w:w="0" w:type="dxa"/>
        <w:tblLayout w:type="fixed"/>
        <w:tblCellMar>
          <w:top w:w="28" w:type="dxa"/>
          <w:left w:w="28" w:type="dxa"/>
          <w:bottom w:w="28" w:type="dxa"/>
          <w:right w:w="28" w:type="dxa"/>
        </w:tblCellMar>
      </w:tblPr>
      <w:tblGrid>
        <w:gridCol w:w="880"/>
        <w:gridCol w:w="774"/>
        <w:gridCol w:w="776"/>
        <w:gridCol w:w="329"/>
        <w:gridCol w:w="329"/>
        <w:gridCol w:w="333"/>
        <w:gridCol w:w="294"/>
        <w:gridCol w:w="294"/>
        <w:gridCol w:w="298"/>
        <w:gridCol w:w="464"/>
        <w:gridCol w:w="464"/>
        <w:gridCol w:w="466"/>
        <w:gridCol w:w="421"/>
        <w:gridCol w:w="421"/>
        <w:gridCol w:w="598"/>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CONSOLIDATED</w:t>
            </w:r>
          </w:p>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Revenues</w:t>
            </w:r>
          </w:p>
          <w:p>
            <w:pPr>
              <w:pStyle w:val="TableContents"/>
              <w:bidi w:val="0"/>
              <w:spacing w:lineRule="auto" w:line="240" w:before="0" w:after="0"/>
              <w:jc w:val="left"/>
              <w:rPr>
                <w:rFonts w:ascii="sans-serif" w:hAnsi="sans-serif"/>
                <w:b w:val="false"/>
                <w:i/>
                <w:color w:val="FFFFFF"/>
                <w:sz w:val="24"/>
              </w:rPr>
            </w:pPr>
            <w:r>
              <w:rPr>
                <w:rFonts w:ascii="sans-serif" w:hAnsi="sans-serif"/>
                <w:b w:val="false"/>
                <w:i/>
                <w:color w:val="FFFFFF"/>
                <w:sz w:val="24"/>
              </w:rPr>
              <w:t>(in millions)</w:t>
            </w:r>
          </w:p>
        </w:tc>
        <w:tc>
          <w:tcPr>
            <w:tcW w:w="99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2Q26</w:t>
            </w:r>
          </w:p>
        </w:tc>
        <w:tc>
          <w:tcPr>
            <w:tcW w:w="886"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2Q25</w:t>
            </w:r>
          </w:p>
        </w:tc>
        <w:tc>
          <w:tcPr>
            <w:tcW w:w="139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2026</w:t>
            </w:r>
          </w:p>
        </w:tc>
        <w:tc>
          <w:tcPr>
            <w:tcW w:w="1440"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2025</w:t>
            </w:r>
          </w:p>
        </w:tc>
      </w:tr>
      <w:tr>
        <w:trPr/>
        <w:tc>
          <w:tcPr>
            <w:tcW w:w="24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GAAP</w:t>
            </w:r>
          </w:p>
        </w:tc>
        <w:tc>
          <w:tcPr>
            <w:tcW w:w="9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$40,867</w:t>
            </w:r>
          </w:p>
        </w:tc>
        <w:tc>
          <w:tcPr>
            <w:tcW w:w="8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$32,388</w:t>
            </w:r>
          </w:p>
        </w:tc>
        <w:tc>
          <w:tcPr>
            <w:tcW w:w="13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$80,515</w:t>
            </w:r>
          </w:p>
        </w:tc>
        <w:tc>
          <w:tcPr>
            <w:tcW w:w="144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$64,500</w:t>
            </w:r>
          </w:p>
        </w:tc>
      </w:tr>
      <w:tr>
        <w:trPr/>
        <w:tc>
          <w:tcPr>
            <w:tcW w:w="2430"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charges</w:t>
            </w:r>
          </w:p>
        </w:tc>
        <w:tc>
          <w:tcPr>
            <w:tcW w:w="65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21</w:t>
            </w:r>
            <w:r>
              <w:rPr>
                <w:color w:val="000000"/>
              </w:rPr>
              <w:t> </w:t>
            </w:r>
          </w:p>
        </w:tc>
        <w:tc>
          <w:tcPr>
            <w:tcW w:w="333"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21</w:t>
            </w:r>
            <w:r>
              <w:rPr>
                <w:color w:val="000000"/>
              </w:rPr>
              <w:t> </w:t>
            </w:r>
          </w:p>
        </w:tc>
        <w:tc>
          <w:tcPr>
            <w:tcW w:w="466"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(non-GAAP)</w:t>
            </w:r>
          </w:p>
        </w:tc>
        <w:tc>
          <w:tcPr>
            <w:tcW w:w="991"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$40,888</w:t>
            </w:r>
          </w:p>
        </w:tc>
        <w:tc>
          <w:tcPr>
            <w:tcW w:w="886"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$32,388</w:t>
            </w:r>
          </w:p>
        </w:tc>
        <w:tc>
          <w:tcPr>
            <w:tcW w:w="139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$80,536</w:t>
            </w:r>
          </w:p>
        </w:tc>
        <w:tc>
          <w:tcPr>
            <w:tcW w:w="1440"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$64,500</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sans-serif" w:hAnsi="sans-serif"/>
          <w:b/>
          <w:i/>
          <w:color w:val="000000"/>
          <w:sz w:val="32"/>
          <w:u w:val="single"/>
        </w:rPr>
      </w:pPr>
      <w:r>
        <w:rPr>
          <w:rFonts w:ascii="sans-serif" w:hAnsi="sans-serif"/>
          <w:b/>
          <w:i/>
          <w:color w:val="000000"/>
          <w:sz w:val="32"/>
          <w:u w:val="single"/>
        </w:rPr>
        <w:t xml:space="preserve">Operating cost ratio </w:t>
      </w:r>
    </w:p>
    <w:tbl>
      <w:tblPr>
        <w:tblW w:w="8014" w:type="dxa"/>
        <w:jc w:val="center"/>
        <w:tblInd w:w="0" w:type="dxa"/>
        <w:tblLayout w:type="fixed"/>
        <w:tblCellMar>
          <w:top w:w="28" w:type="dxa"/>
          <w:left w:w="28" w:type="dxa"/>
          <w:bottom w:w="28" w:type="dxa"/>
          <w:right w:w="28" w:type="dxa"/>
        </w:tblCellMar>
      </w:tblPr>
      <w:tblGrid>
        <w:gridCol w:w="1070"/>
        <w:gridCol w:w="941"/>
        <w:gridCol w:w="943"/>
        <w:gridCol w:w="313"/>
        <w:gridCol w:w="317"/>
        <w:gridCol w:w="471"/>
        <w:gridCol w:w="293"/>
        <w:gridCol w:w="293"/>
        <w:gridCol w:w="461"/>
        <w:gridCol w:w="323"/>
        <w:gridCol w:w="323"/>
        <w:gridCol w:w="812"/>
        <w:gridCol w:w="293"/>
        <w:gridCol w:w="293"/>
        <w:gridCol w:w="868"/>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left"/>
              <w:rPr>
                <w:rFonts w:ascii="sans-serif" w:hAnsi="sans-serif"/>
                <w:b/>
                <w:color w:val="FFFFFF"/>
                <w:sz w:val="24"/>
              </w:rPr>
            </w:pPr>
            <w:r>
              <w:rPr>
                <w:rFonts w:ascii="sans-serif" w:hAnsi="sans-serif"/>
                <w:b/>
                <w:color w:val="FFFFFF"/>
                <w:sz w:val="24"/>
              </w:rPr>
              <w:t>CONSOLIDATED</w:t>
              <w:br/>
              <w:t xml:space="preserve">Operating cost ratio </w:t>
            </w:r>
          </w:p>
        </w:tc>
        <w:tc>
          <w:tcPr>
            <w:tcW w:w="110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2Q26</w:t>
            </w:r>
          </w:p>
        </w:tc>
        <w:tc>
          <w:tcPr>
            <w:tcW w:w="1047"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2Q25</w:t>
            </w:r>
          </w:p>
        </w:tc>
        <w:tc>
          <w:tcPr>
            <w:tcW w:w="1458"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2026</w:t>
            </w:r>
          </w:p>
        </w:tc>
        <w:tc>
          <w:tcPr>
            <w:tcW w:w="1454"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2025</w:t>
            </w:r>
          </w:p>
        </w:tc>
      </w:tr>
      <w:tr>
        <w:trPr/>
        <w:tc>
          <w:tcPr>
            <w:tcW w:w="2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GAAP</w:t>
            </w:r>
          </w:p>
        </w:tc>
        <w:tc>
          <w:tcPr>
            <w:tcW w:w="630"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9.8</w:t>
            </w:r>
            <w:r>
              <w:rPr>
                <w:color w:val="000000"/>
              </w:rPr>
              <w:t> </w:t>
            </w:r>
          </w:p>
        </w:tc>
        <w:tc>
          <w:tcPr>
            <w:tcW w:w="4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4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10.0</w:t>
            </w:r>
            <w:r>
              <w:rPr>
                <w:color w:val="000000"/>
              </w:rPr>
              <w:t> </w:t>
            </w:r>
          </w:p>
        </w:tc>
        <w:tc>
          <w:tcPr>
            <w:tcW w:w="8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868"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5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Value creation initiatives</w:t>
            </w:r>
          </w:p>
        </w:tc>
        <w:tc>
          <w:tcPr>
            <w:tcW w:w="630"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(0.1)</w:t>
            </w:r>
          </w:p>
        </w:tc>
        <w:tc>
          <w:tcPr>
            <w:tcW w:w="471"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(0.2)</w:t>
            </w:r>
          </w:p>
        </w:tc>
        <w:tc>
          <w:tcPr>
            <w:tcW w:w="812"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w:t>
            </w:r>
          </w:p>
        </w:tc>
        <w:tc>
          <w:tcPr>
            <w:tcW w:w="868"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 charges</w:t>
            </w:r>
          </w:p>
        </w:tc>
        <w:tc>
          <w:tcPr>
            <w:tcW w:w="630"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8"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54"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(non-GAAP)</w:t>
            </w:r>
          </w:p>
        </w:tc>
        <w:tc>
          <w:tcPr>
            <w:tcW w:w="630"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9.7</w:t>
            </w:r>
            <w:r>
              <w:rPr>
                <w:color w:val="000000"/>
              </w:rPr>
              <w:t> </w:t>
            </w:r>
          </w:p>
        </w:tc>
        <w:tc>
          <w:tcPr>
            <w:tcW w:w="471"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461"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9.8</w:t>
            </w:r>
            <w:r>
              <w:rPr>
                <w:color w:val="000000"/>
              </w:rPr>
              <w:t> </w:t>
            </w:r>
          </w:p>
        </w:tc>
        <w:tc>
          <w:tcPr>
            <w:tcW w:w="812" w:type="dxa"/>
            <w:tcBorders>
              <w:top w:val="single" w:sz="8" w:space="0" w:color="000000"/>
              <w:bottom w:val="single" w:sz="8" w:space="0" w:color="000000"/>
            </w:tcBorders>
            <w:shd w:fill="DEF3C0"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868" w:type="dxa"/>
            <w:tcBorders>
              <w:top w:val="single" w:sz="8" w:space="0" w:color="000000"/>
              <w:bottom w:val="single" w:sz="8" w:space="0" w:color="000000"/>
              <w:right w:val="single" w:sz="8" w:space="0" w:color="000000"/>
            </w:tcBorders>
            <w:shd w:fill="DEF3C0" w:val="clear"/>
            <w:tcMar>
              <w:top w:w="52" w:type="dxa"/>
              <w:left w:w="0" w:type="dxa"/>
              <w:bottom w:w="3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0"/>
        <w:ind w:left="0" w:right="0" w:firstLine="90"/>
        <w:jc w:val="center"/>
        <w:rPr/>
      </w:pPr>
      <w:r>
        <w:rPr/>
      </w:r>
    </w:p>
    <w:p>
      <w:pPr>
        <w:pStyle w:val="TextBody"/>
        <w:bidi w:val="0"/>
        <w:spacing w:lineRule="auto" w:line="288" w:before="0" w:after="0"/>
        <w:ind w:left="0" w:right="0" w:hanging="360"/>
        <w:jc w:val="both"/>
        <w:rPr>
          <w:rFonts w:ascii="sans-serif" w:hAnsi="sans-serif"/>
          <w:b/>
          <w:i/>
          <w:color w:val="000000"/>
          <w:sz w:val="32"/>
          <w:u w:val="single"/>
        </w:rPr>
      </w:pPr>
      <w:r>
        <w:rPr>
          <w:rFonts w:ascii="sans-serif" w:hAnsi="sans-serif"/>
          <w:b/>
          <w:i/>
          <w:color w:val="000000"/>
          <w:sz w:val="32"/>
          <w:u w:val="single"/>
        </w:rPr>
        <w:t>Insurance Segment - Income from operations</w:t>
      </w:r>
    </w:p>
    <w:tbl>
      <w:tblPr>
        <w:tblW w:w="9721" w:type="dxa"/>
        <w:jc w:val="center"/>
        <w:tblInd w:w="0" w:type="dxa"/>
        <w:tblLayout w:type="fixed"/>
        <w:tblCellMar>
          <w:top w:w="28" w:type="dxa"/>
          <w:left w:w="28" w:type="dxa"/>
          <w:bottom w:w="28" w:type="dxa"/>
          <w:right w:w="28" w:type="dxa"/>
        </w:tblCellMar>
      </w:tblPr>
      <w:tblGrid>
        <w:gridCol w:w="1907"/>
        <w:gridCol w:w="1676"/>
        <w:gridCol w:w="1682"/>
        <w:gridCol w:w="270"/>
        <w:gridCol w:w="270"/>
        <w:gridCol w:w="271"/>
        <w:gridCol w:w="270"/>
        <w:gridCol w:w="270"/>
        <w:gridCol w:w="271"/>
        <w:gridCol w:w="464"/>
        <w:gridCol w:w="464"/>
        <w:gridCol w:w="466"/>
        <w:gridCol w:w="421"/>
        <w:gridCol w:w="421"/>
        <w:gridCol w:w="598"/>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INSURANCE SEGMENT</w:t>
            </w:r>
          </w:p>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 xml:space="preserve">Income from operations </w:t>
            </w:r>
          </w:p>
          <w:p>
            <w:pPr>
              <w:pStyle w:val="TableContents"/>
              <w:bidi w:val="0"/>
              <w:spacing w:lineRule="auto" w:line="240" w:before="0" w:after="0"/>
              <w:jc w:val="left"/>
              <w:rPr>
                <w:rFonts w:ascii="sans-serif" w:hAnsi="sans-serif"/>
                <w:b w:val="false"/>
                <w:i/>
                <w:color w:val="FFFFFF"/>
                <w:sz w:val="24"/>
              </w:rPr>
            </w:pPr>
            <w:r>
              <w:rPr>
                <w:rFonts w:ascii="sans-serif" w:hAnsi="sans-serif"/>
                <w:b w:val="false"/>
                <w:i/>
                <w:color w:val="FFFFFF"/>
                <w:sz w:val="24"/>
              </w:rPr>
              <w:t>(in millions)</w:t>
            </w:r>
          </w:p>
        </w:tc>
        <w:tc>
          <w:tcPr>
            <w:tcW w:w="81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2Q26</w:t>
            </w:r>
          </w:p>
        </w:tc>
        <w:tc>
          <w:tcPr>
            <w:tcW w:w="811"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2Q25</w:t>
            </w:r>
          </w:p>
        </w:tc>
        <w:tc>
          <w:tcPr>
            <w:tcW w:w="139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2026</w:t>
            </w:r>
          </w:p>
        </w:tc>
        <w:tc>
          <w:tcPr>
            <w:tcW w:w="1440"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2025</w:t>
            </w:r>
          </w:p>
        </w:tc>
      </w:tr>
      <w:tr>
        <w:trPr/>
        <w:tc>
          <w:tcPr>
            <w:tcW w:w="52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GAAP</w:t>
            </w:r>
          </w:p>
        </w:tc>
        <w:tc>
          <w:tcPr>
            <w:tcW w:w="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$820</w:t>
            </w:r>
          </w:p>
        </w:tc>
        <w:tc>
          <w:tcPr>
            <w:tcW w:w="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w:t>
            </w:r>
          </w:p>
        </w:tc>
        <w:tc>
          <w:tcPr>
            <w:tcW w:w="13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$2,255</w:t>
            </w:r>
          </w:p>
        </w:tc>
        <w:tc>
          <w:tcPr>
            <w:tcW w:w="144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$2,340</w:t>
            </w:r>
          </w:p>
        </w:tc>
      </w:tr>
      <w:tr>
        <w:trPr/>
        <w:tc>
          <w:tcPr>
            <w:tcW w:w="526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associated with identifiable intangibles</w:t>
            </w:r>
          </w:p>
        </w:tc>
        <w:tc>
          <w:tcPr>
            <w:tcW w:w="811"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w:t>
            </w:r>
          </w:p>
        </w:tc>
        <w:tc>
          <w:tcPr>
            <w:tcW w:w="811"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139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w:t>
            </w:r>
          </w:p>
        </w:tc>
        <w:tc>
          <w:tcPr>
            <w:tcW w:w="1440"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r>
      <w:tr>
        <w:trPr/>
        <w:tc>
          <w:tcPr>
            <w:tcW w:w="5265"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(non-GAAP)</w:t>
            </w:r>
          </w:p>
        </w:tc>
        <w:tc>
          <w:tcPr>
            <w:tcW w:w="811"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$824</w:t>
            </w:r>
          </w:p>
        </w:tc>
        <w:tc>
          <w:tcPr>
            <w:tcW w:w="811"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w:t>
            </w:r>
          </w:p>
        </w:tc>
        <w:tc>
          <w:tcPr>
            <w:tcW w:w="139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$2,263</w:t>
            </w:r>
          </w:p>
        </w:tc>
        <w:tc>
          <w:tcPr>
            <w:tcW w:w="1440"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$2,349</w:t>
            </w:r>
          </w:p>
        </w:tc>
      </w:tr>
    </w:tbl>
    <w:p>
      <w:pPr>
        <w:pStyle w:val="TextBody"/>
        <w:bidi w:val="0"/>
        <w:spacing w:before="0" w:after="0"/>
        <w:ind w:left="0" w:right="0" w:hanging="360"/>
        <w:jc w:val="center"/>
        <w:rPr/>
      </w:pPr>
      <w:r>
        <w:rPr/>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 xml:space="preserve">(b) FY 2026 GAAP EPS guidance and FY 2026 Adjusted (non-GAAP) EPS guidance exclude the impact of future value changes to items that have not yet been recognized and cannot currently be reasonably estimated at this time. </w:t>
      </w:r>
    </w:p>
    <w:p>
      <w:pPr>
        <w:pStyle w:val="TextBody"/>
        <w:bidi w:val="0"/>
        <w:spacing w:before="0" w:after="0"/>
        <w:jc w:val="both"/>
        <w:rPr/>
      </w:pPr>
      <w:r>
        <w:rPr/>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(c) Parent company cash and short-term investments as of June 30, 2026 were favorably impacted by the timing of an approximately $1.05 billion Medicaid state-directed payment that settled shortly after 2Q26.</w:t>
      </w:r>
    </w:p>
    <w:p>
      <w:pPr>
        <w:pStyle w:val="TextBody"/>
        <w:bidi w:val="0"/>
        <w:spacing w:before="0" w:after="0"/>
        <w:jc w:val="both"/>
        <w:rPr/>
      </w:pPr>
      <w:r>
        <w:rPr/>
      </w:r>
    </w:p>
    <w:p>
      <w:pPr>
        <w:pStyle w:val="TextBody"/>
        <w:bidi w:val="0"/>
        <w:spacing w:lineRule="auto" w:line="256" w:before="0" w:after="60"/>
        <w:jc w:val="left"/>
        <w:rPr>
          <w:rFonts w:ascii="sans-serif" w:hAnsi="sans-serif"/>
          <w:b w:val="false"/>
          <w:color w:val="000000"/>
          <w:sz w:val="20"/>
        </w:rPr>
      </w:pPr>
      <w:r>
        <w:rPr>
          <w:rFonts w:ascii="sans-serif" w:hAnsi="sans-serif"/>
          <w:b w:val="false"/>
          <w:color w:val="000000"/>
          <w:sz w:val="20"/>
        </w:rPr>
        <w:t xml:space="preserve">(d) The CenterWell segment non-GAAP (Adjusted) income from operations includes an adjustment to add back depreciation and amortization expense to the segment's GAAP income from operations since such an adjustment is commonly utilized for valuation purposes within the healthcare delivery industry. </w:t>
      </w:r>
    </w:p>
    <w:p>
      <w:pPr>
        <w:pStyle w:val="TextBody"/>
        <w:bidi w:val="0"/>
        <w:spacing w:before="0" w:after="0"/>
        <w:jc w:val="center"/>
        <w:rPr/>
      </w:pPr>
      <w:r>
        <w:rPr/>
      </w:r>
    </w:p>
    <w:tbl>
      <w:tblPr>
        <w:tblW w:w="8703" w:type="dxa"/>
        <w:jc w:val="center"/>
        <w:tblInd w:w="0" w:type="dxa"/>
        <w:tblLayout w:type="fixed"/>
        <w:tblCellMar>
          <w:top w:w="28" w:type="dxa"/>
          <w:left w:w="28" w:type="dxa"/>
          <w:bottom w:w="28" w:type="dxa"/>
          <w:right w:w="28" w:type="dxa"/>
        </w:tblCellMar>
      </w:tblPr>
      <w:tblGrid>
        <w:gridCol w:w="1441"/>
        <w:gridCol w:w="1266"/>
        <w:gridCol w:w="1268"/>
        <w:gridCol w:w="353"/>
        <w:gridCol w:w="353"/>
        <w:gridCol w:w="271"/>
        <w:gridCol w:w="323"/>
        <w:gridCol w:w="323"/>
        <w:gridCol w:w="271"/>
        <w:gridCol w:w="464"/>
        <w:gridCol w:w="464"/>
        <w:gridCol w:w="466"/>
        <w:gridCol w:w="421"/>
        <w:gridCol w:w="421"/>
        <w:gridCol w:w="598"/>
      </w:tblGrid>
      <w:tr>
        <w:trPr/>
        <w:tc>
          <w:tcPr>
            <w:tcW w:w="144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 xml:space="preserve">CENTERWELL SEGMENT </w:t>
            </w:r>
          </w:p>
          <w:p>
            <w:pPr>
              <w:pStyle w:val="TableContents"/>
              <w:bidi w:val="0"/>
              <w:spacing w:lineRule="auto" w:line="240" w:before="0" w:after="0"/>
              <w:jc w:val="left"/>
              <w:rPr>
                <w:rFonts w:ascii="sans-serif" w:hAnsi="sans-serif"/>
                <w:b/>
                <w:color w:val="FFFFFF"/>
                <w:sz w:val="24"/>
              </w:rPr>
            </w:pPr>
            <w:r>
              <w:rPr>
                <w:rFonts w:ascii="sans-serif" w:hAnsi="sans-serif"/>
                <w:b/>
                <w:color w:val="FFFFFF"/>
                <w:sz w:val="24"/>
              </w:rPr>
              <w:t xml:space="preserve">Income from operations </w:t>
            </w:r>
          </w:p>
          <w:p>
            <w:pPr>
              <w:pStyle w:val="TableContents"/>
              <w:bidi w:val="0"/>
              <w:spacing w:lineRule="auto" w:line="240" w:before="0" w:after="0"/>
              <w:jc w:val="left"/>
              <w:rPr>
                <w:rFonts w:ascii="sans-serif" w:hAnsi="sans-serif"/>
                <w:b w:val="false"/>
                <w:i/>
                <w:color w:val="FFFFFF"/>
                <w:sz w:val="24"/>
              </w:rPr>
            </w:pPr>
            <w:r>
              <w:rPr>
                <w:rFonts w:ascii="sans-serif" w:hAnsi="sans-serif"/>
                <w:b w:val="false"/>
                <w:i/>
                <w:color w:val="FFFFFF"/>
                <w:sz w:val="24"/>
              </w:rPr>
              <w:t>(in millions)</w:t>
            </w:r>
          </w:p>
        </w:tc>
        <w:tc>
          <w:tcPr>
            <w:tcW w:w="977"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2Q26</w:t>
            </w:r>
          </w:p>
        </w:tc>
        <w:tc>
          <w:tcPr>
            <w:tcW w:w="917"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2Q25</w:t>
            </w:r>
          </w:p>
        </w:tc>
        <w:tc>
          <w:tcPr>
            <w:tcW w:w="1394"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2026</w:t>
            </w:r>
          </w:p>
        </w:tc>
        <w:tc>
          <w:tcPr>
            <w:tcW w:w="1440" w:type="dxa"/>
            <w:gridSpan w:val="3"/>
            <w:tcBorders>
              <w:top w:val="single" w:sz="8" w:space="0" w:color="000000"/>
              <w:left w:val="single" w:sz="8" w:space="0" w:color="000000"/>
              <w:right w:val="single" w:sz="8" w:space="0" w:color="000000"/>
            </w:tcBorders>
            <w:shd w:fill="5C9A1B" w:val="clear"/>
            <w:tcMar>
              <w:top w:w="52" w:type="dxa"/>
              <w:bottom w:w="0" w:type="dxa"/>
            </w:tcMar>
            <w:vAlign w:val="center"/>
          </w:tcPr>
          <w:p>
            <w:pPr>
              <w:pStyle w:val="TableContents"/>
              <w:bidi w:val="0"/>
              <w:spacing w:lineRule="auto" w:line="240" w:before="0" w:after="283"/>
              <w:jc w:val="center"/>
              <w:rPr>
                <w:rFonts w:ascii="sans-serif" w:hAnsi="sans-serif"/>
                <w:b/>
                <w:color w:val="FFFFFF"/>
                <w:sz w:val="24"/>
              </w:rPr>
            </w:pPr>
            <w:r>
              <w:rPr>
                <w:rFonts w:ascii="sans-serif" w:hAnsi="sans-serif"/>
                <w:b/>
                <w:color w:val="FFFFFF"/>
                <w:sz w:val="24"/>
              </w:rPr>
              <w:t>YTD 2025</w:t>
            </w:r>
          </w:p>
        </w:tc>
      </w:tr>
      <w:tr>
        <w:trPr/>
        <w:tc>
          <w:tcPr>
            <w:tcW w:w="39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GAAP</w:t>
            </w:r>
          </w:p>
        </w:tc>
        <w:tc>
          <w:tcPr>
            <w:tcW w:w="97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$466</w:t>
            </w:r>
          </w:p>
        </w:tc>
        <w:tc>
          <w:tcPr>
            <w:tcW w:w="91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w:t>
            </w:r>
          </w:p>
        </w:tc>
        <w:tc>
          <w:tcPr>
            <w:tcW w:w="13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$755</w:t>
            </w:r>
          </w:p>
        </w:tc>
        <w:tc>
          <w:tcPr>
            <w:tcW w:w="144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$736</w:t>
            </w:r>
          </w:p>
        </w:tc>
      </w:tr>
      <w:tr>
        <w:trPr/>
        <w:tc>
          <w:tcPr>
            <w:tcW w:w="397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 expense</w:t>
            </w:r>
          </w:p>
        </w:tc>
        <w:tc>
          <w:tcPr>
            <w:tcW w:w="70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48</w:t>
            </w:r>
            <w:r>
              <w:rPr>
                <w:color w:val="000000"/>
              </w:rPr>
              <w:t> </w:t>
            </w:r>
          </w:p>
        </w:tc>
        <w:tc>
          <w:tcPr>
            <w:tcW w:w="271"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60 </w:t>
            </w:r>
          </w:p>
        </w:tc>
        <w:tc>
          <w:tcPr>
            <w:tcW w:w="271"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97</w:t>
            </w:r>
            <w:r>
              <w:rPr>
                <w:color w:val="000000"/>
              </w:rPr>
              <w:t> </w:t>
            </w:r>
          </w:p>
        </w:tc>
        <w:tc>
          <w:tcPr>
            <w:tcW w:w="466" w:type="dxa"/>
            <w:tcBorders>
              <w:top w:val="single" w:sz="8" w:space="0" w:color="000000"/>
            </w:tcBorders>
            <w:shd w:fill="DEF3C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119 </w:t>
            </w:r>
          </w:p>
        </w:tc>
        <w:tc>
          <w:tcPr>
            <w:tcW w:w="598"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(non-GAAP)</w:t>
            </w:r>
          </w:p>
        </w:tc>
        <w:tc>
          <w:tcPr>
            <w:tcW w:w="706"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$514</w:t>
            </w:r>
            <w:r>
              <w:rPr>
                <w:color w:val="000000"/>
              </w:rPr>
              <w:t>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$404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$852</w:t>
            </w:r>
            <w:r>
              <w:rPr>
                <w:color w:val="000000"/>
              </w:rPr>
              <w:t> </w:t>
            </w:r>
          </w:p>
        </w:tc>
        <w:tc>
          <w:tcPr>
            <w:tcW w:w="4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$855 </w:t>
            </w:r>
          </w:p>
        </w:tc>
        <w:tc>
          <w:tcPr>
            <w:tcW w:w="598" w:type="dxa"/>
            <w:tcBorders>
              <w:top w:val="single" w:sz="8" w:space="0" w:color="000000"/>
              <w:bottom w:val="single" w:sz="8" w:space="0" w:color="000000"/>
              <w:right w:val="single" w:sz="8" w:space="0" w:color="000000"/>
            </w:tcBorders>
            <w:shd w:fill="FFFF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sans-serif" w:hAnsi="sans-serif"/>
          <w:b/>
          <w:color w:val="000000"/>
          <w:sz w:val="22"/>
          <w:u w:val="single"/>
        </w:rPr>
      </w:pPr>
      <w:r>
        <w:rPr>
          <w:rFonts w:ascii="sans-serif" w:hAnsi="sans-serif"/>
          <w:b/>
          <w:color w:val="000000"/>
          <w:sz w:val="22"/>
          <w:u w:val="single"/>
        </w:rPr>
        <w:t>Cautionary Statement</w:t>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 xml:space="preserve">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“assumes,” “intends,” “likely will result,” “estimates,” “projects” or variations of such words and similar expressions are intended to identify such forward-looking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1"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involve extensive judgment, and have considerable inherent variability because they are extremely sensitive to changes in claim payment patterns and medical cost trends. Accordingly, Humana's reserves may be insufficient.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If Humana fails to effectively implement its operational and strategic initiatives, including its Medicare initiatives, which are of particular importance given the concentration of the company's revenues in these products, state-based contract strategy, the growth of its CenterWell business, and its integrated care delivery model, the company’s business may be materially adversely affected.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The number of Humana’s Medicare Advantage plans rated 4-star or higher significantly declined in 2025. Humana filed a lawsuit seeking to set aside and vacate the 2025 Star Ratings of its Medicare Advantage plans, and on October 14, 2025, the Court issued a decision rejecting Humana's challenge. Although the company has appealed that decision, there can be no assurances that it will ultimately prevail in the lawsuit. If the company is not successful, the decline in Star Ratings will negatively impact its 2026 quality bonus payments from CMS and may also significantly adversely affect the company’s revenues, operating results, and cash flows. In addition, there can be no assurances the company will be successful in maintaining or improving its Star Ratings in future years.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If Humana, or the third-party service providers on which it relies, fails to properly maintain the integrity of its data, to strategically maintain existing or implement new information systems (including systems powered by or incorporating artificial intelligence (AI) or machine learning (ML)), or to protect Humana’s proprietary rights to its systems, or to defend against cyber-security attacks, contain such attacks when they occur, or prevent other privacy or data security incidents that result in security breaches that disrupt the company's operations or in the unintentional dissemination of sensitive personal information or proprietary or confidential information, the company’s business may be materially adversely affected.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 </w:t>
      </w:r>
    </w:p>
    <w:p>
      <w:pPr>
        <w:pStyle w:val="TextBody"/>
        <w:bidi w:val="0"/>
        <w:spacing w:lineRule="auto" w:line="288"/>
        <w:ind w:left="0" w:right="0" w:hanging="360"/>
        <w:jc w:val="both"/>
        <w:rPr/>
      </w:pPr>
      <w:r>
        <w:rPr>
          <w:color w:val="000000"/>
        </w:rPr>
        <w:t>•</w:t>
      </w:r>
      <w:r>
        <w:rPr>
          <w:rFonts w:ascii="sans-serif" w:hAnsi="sans-serif"/>
          <w:b w:val="false"/>
          <w:color w:val="000000"/>
          <w:sz w:val="22"/>
        </w:rPr>
        <w:t xml:space="preserve">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plans or retrospective recovery by CMS of previously paid premiums as a result of the final rule related to the risk adjustment data validation audit methodology published by CMS on January 30, 2023 (Final RADV Rule), which Humana believes fails to address adequately the statutory requirement of actuarial equivalence and violates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2"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Procedure Act due to its failure to include a "Fee for Service Adjuster" could have a material adverse effect on the company's operating results, financial position and cash flows.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Humana’s failure to manage acquisitions, divestitures and other significant transactions successfully may have a material adverse effect on the company’s results of operations, financial position, and cash flows.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If Humana fails to develop and maintain satisfactory relationships with the providers of care to its members, the company’s business may be adversely affected. </w:t>
      </w:r>
    </w:p>
    <w:p>
      <w:pPr>
        <w:pStyle w:val="TextBody"/>
        <w:bidi w:val="0"/>
        <w:spacing w:lineRule="auto" w:line="256" w:before="0" w:after="0"/>
        <w:ind w:left="0" w:right="0" w:hanging="360"/>
        <w:jc w:val="both"/>
        <w:rPr/>
      </w:pPr>
      <w:r>
        <w:rPr>
          <w:color w:val="000000"/>
        </w:rPr>
        <w:t>•</w:t>
      </w:r>
      <w:r>
        <w:rPr>
          <w:rFonts w:ascii="sans-serif" w:hAnsi="sans-serif"/>
          <w:b w:val="false"/>
          <w:color w:val="000000"/>
          <w:sz w:val="22"/>
        </w:rPr>
        <w:t>Humana faces significant competition in attracting and retaining talented employees. Further, managing succession for, and retention of, key executives is critical to the Company’s success, and its failure to do so could adversely affect the Company’s businesses, operating results and/or future performance.</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Humana’s pharmacy business is highly competitive and subjects it to regulations and supply chain risks in addition to those the company faces with its core health benefits businesses.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Changes in the prescription drug industry pricing benchmarks may adversely affect Humana’s financial performance.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Humana’s ability to obtain funds from certain of its licensed subsidiaries is restricted by state insurance regulations.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Downgrades in Humana’s debt ratings, should they occur, may adversely affect its business, results of operations, and financial condition.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Volatility or disruption in the securities and credit markets may significantly and adversely affect the value of our investment portfolio and the investment income that we derive from this portfolio.</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 </w:t>
      </w:r>
    </w:p>
    <w:p>
      <w:pPr>
        <w:pStyle w:val="TextBody"/>
        <w:bidi w:val="0"/>
        <w:spacing w:lineRule="auto" w:line="288" w:before="240" w:after="283"/>
        <w:jc w:val="left"/>
        <w:rPr>
          <w:rFonts w:ascii="sans-serif" w:hAnsi="sans-serif"/>
          <w:b w:val="false"/>
          <w:color w:val="000000"/>
          <w:sz w:val="22"/>
        </w:rPr>
      </w:pPr>
      <w:r>
        <w:rPr>
          <w:rFonts w:ascii="sans-serif" w:hAnsi="sans-serif"/>
          <w:b w:val="false"/>
          <w:color w:val="000000"/>
          <w:sz w:val="22"/>
        </w:rPr>
        <w:t xml:space="preserve">Humana advises investors to read the following documents as filed by the company with the SEC for further discussion both of the risks it faces and its historical performance: </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2"/>
        </w:rPr>
        <w:t xml:space="preserve">Form 10-K for the year ended December 31, 2025; </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2"/>
        </w:rPr>
        <w:t>Form 10-Q for the quarter ended March 31, 2026; and</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2"/>
        </w:rPr>
        <w:t>Form 8-Ks filed during 2026.</w:t>
      </w:r>
    </w:p>
    <w:p>
      <w:pPr>
        <w:pStyle w:val="TextBody"/>
        <w:bidi w:val="0"/>
        <w:spacing w:lineRule="auto" w:line="288" w:before="240" w:after="283"/>
        <w:jc w:val="left"/>
        <w:rPr>
          <w:rFonts w:ascii="sans-serif" w:hAnsi="sans-serif"/>
          <w:b/>
          <w:i/>
          <w:color w:val="000000"/>
          <w:sz w:val="32"/>
          <w:u w:val="single"/>
        </w:rPr>
      </w:pPr>
      <w:r>
        <w:rPr>
          <w:rFonts w:ascii="sans-serif" w:hAnsi="sans-serif"/>
          <w:b/>
          <w:i/>
          <w:color w:val="000000"/>
          <w:sz w:val="32"/>
          <w:u w:val="single"/>
        </w:rPr>
        <w:t xml:space="preserve">About Humana </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 xml:space="preserve">Humana (NYSE: HUM) is a leading U.S. healthcare company. Through our Humana insurance services and our CenterWell health care services, we make it easier for the millions of people we serve to achieve their best health – delivering the care and service they need, when they need it. These efforts are leading to a better quality of life for people with Medicare and Medicaid, families, individuals, military service personnel, and communities at large. Learn more about what we offer at Humana.com and at CenterWell.com.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3"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81"/>
        <w:gridCol w:w="540"/>
        <w:gridCol w:w="540"/>
        <w:gridCol w:w="1297"/>
        <w:gridCol w:w="547"/>
        <w:gridCol w:w="453"/>
        <w:gridCol w:w="1907"/>
        <w:gridCol w:w="1367"/>
        <w:gridCol w:w="1973"/>
      </w:tblGrid>
      <w:tr>
        <w:trPr/>
        <w:tc>
          <w:tcPr>
            <w:tcW w:w="158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8"/>
                <w:u w:val="single"/>
              </w:rPr>
            </w:pPr>
            <w:r>
              <w:rPr>
                <w:rFonts w:ascii="sans-serif" w:hAnsi="sans-serif"/>
                <w:b/>
                <w:color w:val="000000"/>
                <w:sz w:val="28"/>
                <w:u w:val="single"/>
              </w:rPr>
              <w:t>Humana Inc. FY 2026 Guidance - As of July 29, 2026</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i/>
                <w:color w:val="000000"/>
                <w:sz w:val="20"/>
              </w:rPr>
            </w:pPr>
            <w:r>
              <w:rPr>
                <w:rFonts w:ascii="sans-serif" w:hAnsi="sans-serif"/>
                <w:b/>
                <w:i/>
                <w:color w:val="000000"/>
                <w:sz w:val="20"/>
              </w:rPr>
              <w:t>no changes from initial FY 2026 guidance provided as of February 11, 2026, with the exception of GAAP EPS</w:t>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5247"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u w:val="single"/>
              </w:rPr>
            </w:pPr>
            <w:r>
              <w:rPr>
                <w:rFonts w:ascii="sans-serif" w:hAnsi="sans-serif"/>
                <w:b/>
                <w:color w:val="000000"/>
                <w:sz w:val="22"/>
                <w:u w:val="single"/>
              </w:rPr>
              <w:t>Diluted earnings per common share (EPS)</w:t>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2"/>
              </w:rPr>
              <w:t>GAAP:</w:t>
            </w:r>
            <w:r>
              <w:rPr>
                <w:color w:val="000000"/>
              </w:rPr>
              <w:t xml:space="preserve"> </w:t>
            </w:r>
            <w:r>
              <w:rPr>
                <w:rFonts w:ascii="sans-serif" w:hAnsi="sans-serif"/>
                <w:b w:val="false"/>
                <w:color w:val="000000"/>
                <w:sz w:val="22"/>
              </w:rPr>
              <w:t>'at least $6.52'</w:t>
            </w:r>
          </w:p>
          <w:p>
            <w:pPr>
              <w:pStyle w:val="TableContents"/>
              <w:bidi w:val="0"/>
              <w:spacing w:lineRule="auto" w:line="240" w:before="0" w:after="0"/>
              <w:jc w:val="center"/>
              <w:rPr>
                <w:rFonts w:ascii="sans-serif" w:hAnsi="sans-serif"/>
                <w:b w:val="false"/>
                <w:i/>
                <w:color w:val="000000"/>
                <w:sz w:val="22"/>
              </w:rPr>
            </w:pPr>
            <w:r>
              <w:rPr>
                <w:rFonts w:ascii="sans-serif" w:hAnsi="sans-serif"/>
                <w:b w:val="false"/>
                <w:i/>
                <w:color w:val="000000"/>
                <w:sz w:val="22"/>
              </w:rPr>
              <w:t>(previously 'at least $8.36')</w:t>
            </w:r>
          </w:p>
        </w:tc>
        <w:tc>
          <w:tcPr>
            <w:tcW w:w="5247" w:type="dxa"/>
            <w:gridSpan w:val="3"/>
            <w:vMerge w:val="restart"/>
            <w:tcBorders/>
            <w:tcMar>
              <w:top w:w="0" w:type="dxa"/>
              <w:left w:w="0" w:type="dxa"/>
              <w:bottom w:w="0" w:type="dxa"/>
              <w:right w:w="0" w:type="dxa"/>
            </w:tcMar>
            <w:vAlign w:val="center"/>
          </w:tcPr>
          <w:p>
            <w:pPr>
              <w:pStyle w:val="TableContents"/>
              <w:bidi w:val="0"/>
              <w:spacing w:lineRule="auto" w:line="276" w:before="0" w:after="0"/>
              <w:jc w:val="both"/>
              <w:rPr>
                <w:rFonts w:ascii="sans-serif" w:hAnsi="sans-serif"/>
                <w:b w:val="false"/>
                <w:color w:val="000000"/>
                <w:sz w:val="16"/>
              </w:rPr>
            </w:pPr>
            <w:r>
              <w:rPr>
                <w:rFonts w:ascii="sans-serif" w:hAnsi="sans-serif"/>
                <w:b w:val="false"/>
                <w:color w:val="000000"/>
                <w:sz w:val="16"/>
              </w:rPr>
              <w:t xml:space="preserve">FY 2026 GAAP EPS guidance and FY 2026 Adjusted (non-GAAP) EPS guidance exclude the impact of future value changes to items that have not yet been recognized and cannot currently be reasonably estimated at this time. </w:t>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2"/>
              </w:rPr>
              <w:t>Non-GAAP:</w:t>
            </w:r>
            <w:r>
              <w:rPr>
                <w:color w:val="000000"/>
              </w:rPr>
              <w:t xml:space="preserve"> </w:t>
            </w:r>
            <w:r>
              <w:rPr>
                <w:rFonts w:ascii="sans-serif" w:hAnsi="sans-serif"/>
                <w:b w:val="false"/>
                <w:color w:val="000000"/>
                <w:sz w:val="22"/>
              </w:rPr>
              <w:t>'at least $9.00'</w:t>
            </w:r>
          </w:p>
        </w:tc>
        <w:tc>
          <w:tcPr>
            <w:tcW w:w="52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u w:val="single"/>
              </w:rPr>
            </w:pPr>
            <w:r>
              <w:rPr>
                <w:rFonts w:ascii="sans-serif" w:hAnsi="sans-serif"/>
                <w:b/>
                <w:color w:val="000000"/>
                <w:sz w:val="22"/>
                <w:u w:val="single"/>
              </w:rPr>
              <w:t>Total Revenues</w:t>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Consolidated</w:t>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At least $160 billion</w:t>
            </w:r>
          </w:p>
        </w:tc>
        <w:tc>
          <w:tcPr>
            <w:tcW w:w="52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6"/>
              </w:rPr>
            </w:pPr>
            <w:r>
              <w:rPr>
                <w:rFonts w:ascii="sans-serif" w:hAnsi="sans-serif"/>
                <w:b w:val="false"/>
                <w:color w:val="000000"/>
                <w:sz w:val="16"/>
              </w:rPr>
              <w:t>Consolidated and segment level revenue projections include expected net investment income.</w:t>
              <w:br/>
              <w:t>Segment level revenues include amounts that eliminate in consolidation.</w:t>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Insurance segment</w:t>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At least $155 billion</w:t>
            </w:r>
          </w:p>
        </w:tc>
        <w:tc>
          <w:tcPr>
            <w:tcW w:w="52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CenterWell segment</w:t>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At least $25 billion</w:t>
            </w:r>
          </w:p>
        </w:tc>
        <w:tc>
          <w:tcPr>
            <w:tcW w:w="52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u w:val="single"/>
              </w:rPr>
            </w:pPr>
            <w:r>
              <w:rPr>
                <w:rFonts w:ascii="sans-serif" w:hAnsi="sans-serif"/>
                <w:b/>
                <w:color w:val="000000"/>
                <w:sz w:val="22"/>
                <w:u w:val="single"/>
              </w:rPr>
              <w:t>Change in year-end medical membership from prior year-end</w:t>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Individual Medicare Advantage</w:t>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growth of approximately 25 percent</w:t>
            </w:r>
          </w:p>
        </w:tc>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Group Medicare Advantage</w:t>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growth of approximately 150,000</w:t>
            </w:r>
          </w:p>
        </w:tc>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Individual Medicare stand-alone PDP</w:t>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growth of approximately 1,000,000</w:t>
            </w:r>
          </w:p>
        </w:tc>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State-based contracts</w:t>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growth of 25,000 to 100,000</w:t>
            </w:r>
          </w:p>
        </w:tc>
        <w:tc>
          <w:tcPr>
            <w:tcW w:w="5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6"/>
              </w:rPr>
            </w:pPr>
            <w:r>
              <w:rPr>
                <w:rFonts w:ascii="sans-serif" w:hAnsi="sans-serif"/>
                <w:b w:val="false"/>
                <w:color w:val="000000"/>
                <w:sz w:val="16"/>
              </w:rPr>
              <w:t>State-based contracts guidance includes membership in Florida, Illinois, Indiana, Kentucky, Louisiana, Michigan, Ohio, Oklahoma, South Carolina, Virginia, and Wisconsin.</w:t>
            </w:r>
          </w:p>
        </w:tc>
      </w:tr>
      <w:tr>
        <w:trPr/>
        <w:tc>
          <w:tcPr>
            <w:tcW w:w="2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 xml:space="preserve">Benefit Ratio </w:t>
            </w:r>
          </w:p>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Insurance segment</w:t>
            </w:r>
          </w:p>
        </w:tc>
        <w:tc>
          <w:tcPr>
            <w:tcW w:w="2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2"/>
              </w:rPr>
              <w:t>GAAP:</w:t>
            </w:r>
            <w:r>
              <w:rPr>
                <w:color w:val="000000"/>
              </w:rPr>
              <w:t xml:space="preserve"> </w:t>
            </w:r>
            <w:r>
              <w:rPr>
                <w:rFonts w:ascii="sans-serif" w:hAnsi="sans-serif"/>
                <w:b w:val="false"/>
                <w:color w:val="000000"/>
                <w:sz w:val="22"/>
              </w:rPr>
              <w:t>92.75% +/- 25 bps</w:t>
            </w:r>
          </w:p>
        </w:tc>
        <w:tc>
          <w:tcPr>
            <w:tcW w:w="5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6"/>
              </w:rPr>
            </w:pPr>
            <w:r>
              <w:rPr>
                <w:rFonts w:ascii="sans-serif" w:hAnsi="sans-serif"/>
                <w:b w:val="false"/>
                <w:color w:val="000000"/>
                <w:sz w:val="16"/>
              </w:rPr>
              <w:t>Ratio calculation: benefits expense as a percent of premiums revenues.</w:t>
            </w:r>
          </w:p>
        </w:tc>
      </w:tr>
      <w:tr>
        <w:trPr/>
        <w:tc>
          <w:tcPr>
            <w:tcW w:w="2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7544" w:type="dxa"/>
            <w:gridSpan w:val="6"/>
            <w:tcBorders/>
          </w:tcPr>
          <w:p>
            <w:pPr>
              <w:pStyle w:val="TableContents"/>
              <w:bidi w:val="0"/>
              <w:spacing w:before="0" w:after="283"/>
              <w:jc w:val="left"/>
              <w:rPr>
                <w:sz w:val="4"/>
                <w:szCs w:val="4"/>
              </w:rPr>
            </w:pPr>
            <w:r>
              <w:rPr>
                <w:sz w:val="4"/>
                <w:szCs w:val="4"/>
              </w:rPr>
            </w:r>
          </w:p>
        </w:tc>
      </w:tr>
      <w:tr>
        <w:trPr/>
        <w:tc>
          <w:tcPr>
            <w:tcW w:w="2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2"/>
              </w:rPr>
              <w:t>Operating Cost Ratio</w:t>
            </w:r>
            <w:r>
              <w:rPr>
                <w:color w:val="000000"/>
              </w:rPr>
              <w:t xml:space="preserve"> </w:t>
            </w:r>
            <w:r>
              <w:rPr>
                <w:rFonts w:ascii="sans-serif" w:hAnsi="sans-serif"/>
                <w:b w:val="false"/>
                <w:color w:val="000000"/>
                <w:sz w:val="22"/>
              </w:rPr>
              <w:t>Consolidated</w:t>
            </w:r>
          </w:p>
        </w:tc>
        <w:tc>
          <w:tcPr>
            <w:tcW w:w="2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2"/>
              </w:rPr>
              <w:t xml:space="preserve">GAAP: </w:t>
            </w:r>
            <w:r>
              <w:rPr>
                <w:rFonts w:ascii="sans-serif" w:hAnsi="sans-serif"/>
                <w:b w:val="false"/>
                <w:color w:val="000000"/>
                <w:sz w:val="22"/>
              </w:rPr>
              <w:t>10.0% +/- 25 bps</w:t>
            </w:r>
          </w:p>
        </w:tc>
        <w:tc>
          <w:tcPr>
            <w:tcW w:w="5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6"/>
              </w:rPr>
            </w:pPr>
            <w:r>
              <w:rPr>
                <w:rFonts w:ascii="sans-serif" w:hAnsi="sans-serif"/>
                <w:b w:val="false"/>
                <w:color w:val="000000"/>
                <w:sz w:val="16"/>
              </w:rPr>
              <w:t>Ratio calculation: operating costs excluding depreciation and amortization as a percent of revenues excluding net investment income.</w:t>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2297" w:type="dxa"/>
            <w:gridSpan w:val="3"/>
            <w:tcBorders/>
            <w:vAlign w:val="center"/>
          </w:tcPr>
          <w:p>
            <w:pPr>
              <w:pStyle w:val="TableContents"/>
              <w:bidi w:val="0"/>
              <w:spacing w:before="0" w:after="283"/>
              <w:jc w:val="left"/>
              <w:rPr>
                <w:sz w:val="4"/>
                <w:szCs w:val="4"/>
              </w:rPr>
            </w:pPr>
            <w:r>
              <w:rPr>
                <w:sz w:val="4"/>
                <w:szCs w:val="4"/>
              </w:rPr>
            </w:r>
          </w:p>
        </w:tc>
        <w:tc>
          <w:tcPr>
            <w:tcW w:w="5247"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u w:val="single"/>
              </w:rPr>
            </w:pPr>
            <w:r>
              <w:rPr>
                <w:rFonts w:ascii="sans-serif" w:hAnsi="sans-serif"/>
                <w:b/>
                <w:color w:val="000000"/>
                <w:sz w:val="22"/>
                <w:u w:val="single"/>
              </w:rPr>
              <w:t>Segment Results</w:t>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Insurance segment income from operations</w:t>
            </w:r>
          </w:p>
        </w:tc>
        <w:tc>
          <w:tcPr>
            <w:tcW w:w="22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2"/>
              </w:rPr>
              <w:t xml:space="preserve">GAAP: </w:t>
            </w:r>
            <w:r>
              <w:rPr>
                <w:rFonts w:ascii="sans-serif" w:hAnsi="sans-serif"/>
                <w:b w:val="false"/>
                <w:color w:val="242424"/>
                <w:sz w:val="22"/>
              </w:rPr>
              <w:t>approximately breakeven</w:t>
            </w:r>
          </w:p>
        </w:tc>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CenterWell segment income from operations</w:t>
            </w:r>
          </w:p>
        </w:tc>
        <w:tc>
          <w:tcPr>
            <w:tcW w:w="2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2"/>
              </w:rPr>
              <w:t>GAAP:</w:t>
            </w:r>
            <w:r>
              <w:rPr>
                <w:color w:val="000000"/>
              </w:rPr>
              <w:t xml:space="preserve"> </w:t>
            </w:r>
            <w:r>
              <w:rPr>
                <w:rFonts w:ascii="sans-serif" w:hAnsi="sans-serif"/>
                <w:b w:val="false"/>
                <w:color w:val="000000"/>
                <w:sz w:val="22"/>
              </w:rPr>
              <w:t>$1.3B to $1.8B</w:t>
            </w:r>
          </w:p>
          <w:p>
            <w:pPr>
              <w:pStyle w:val="TableContents"/>
              <w:bidi w:val="0"/>
              <w:spacing w:lineRule="auto" w:line="240" w:before="0" w:after="0"/>
              <w:jc w:val="center"/>
              <w:rPr/>
            </w:pPr>
            <w:r>
              <w:rPr>
                <w:rFonts w:ascii="sans-serif" w:hAnsi="sans-serif"/>
                <w:b/>
                <w:color w:val="000000"/>
                <w:sz w:val="22"/>
              </w:rPr>
              <w:t xml:space="preserve">Non-GAAP: </w:t>
            </w:r>
            <w:r>
              <w:rPr>
                <w:rFonts w:ascii="sans-serif" w:hAnsi="sans-serif"/>
                <w:b w:val="false"/>
                <w:color w:val="000000"/>
                <w:sz w:val="22"/>
              </w:rPr>
              <w:t>$1.5B to $2.0B</w:t>
            </w:r>
          </w:p>
        </w:tc>
        <w:tc>
          <w:tcPr>
            <w:tcW w:w="5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CenterWell segment Non-GAAP income from operations excludes the projected impact of segment depreciation and amortization.</w:t>
            </w:r>
          </w:p>
        </w:tc>
      </w:tr>
      <w:tr>
        <w:trPr/>
        <w:tc>
          <w:tcPr>
            <w:tcW w:w="2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Effective Tax Rate</w:t>
            </w:r>
          </w:p>
        </w:tc>
        <w:tc>
          <w:tcPr>
            <w:tcW w:w="2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2"/>
              </w:rPr>
              <w:t xml:space="preserve">GAAP: </w:t>
            </w:r>
            <w:r>
              <w:rPr>
                <w:rFonts w:ascii="sans-serif" w:hAnsi="sans-serif"/>
                <w:b w:val="false"/>
                <w:color w:val="000000"/>
                <w:sz w:val="22"/>
              </w:rPr>
              <w:t>approximately 25.5%</w:t>
            </w:r>
          </w:p>
        </w:tc>
        <w:tc>
          <w:tcPr>
            <w:tcW w:w="5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Weighted Avg. Share Count for Diluted EPS</w:t>
            </w:r>
          </w:p>
        </w:tc>
        <w:tc>
          <w:tcPr>
            <w:tcW w:w="2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approximately 121 million</w:t>
            </w:r>
          </w:p>
        </w:tc>
        <w:tc>
          <w:tcPr>
            <w:tcW w:w="5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Cash flows from operations</w:t>
            </w:r>
          </w:p>
        </w:tc>
        <w:tc>
          <w:tcPr>
            <w:tcW w:w="2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242424"/>
                <w:sz w:val="22"/>
              </w:rPr>
              <w:t xml:space="preserve">GAAP: </w:t>
            </w:r>
            <w:r>
              <w:rPr>
                <w:rFonts w:ascii="sans-serif" w:hAnsi="sans-serif"/>
                <w:b w:val="false"/>
                <w:color w:val="242424"/>
                <w:sz w:val="22"/>
              </w:rPr>
              <w:t>$2.5 billion to $2.9 billion</w:t>
            </w:r>
          </w:p>
        </w:tc>
        <w:tc>
          <w:tcPr>
            <w:tcW w:w="5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Capital expenditures</w:t>
            </w:r>
          </w:p>
        </w:tc>
        <w:tc>
          <w:tcPr>
            <w:tcW w:w="22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approximately $650 million</w:t>
            </w:r>
          </w:p>
        </w:tc>
        <w:tc>
          <w:tcPr>
            <w:tcW w:w="524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4"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80"/>
        </w:rPr>
      </w:pPr>
      <w:r>
        <w:rPr>
          <w:rFonts w:ascii="Arial;sans-serif" w:hAnsi="Arial;sans-serif"/>
          <w:b w:val="false"/>
          <w:color w:val="000000"/>
          <w:sz w:val="80"/>
        </w:rPr>
        <w:t>Humana Inc.</w:t>
      </w:r>
    </w:p>
    <w:p>
      <w:pPr>
        <w:pStyle w:val="TextBody"/>
        <w:bidi w:val="0"/>
        <w:spacing w:lineRule="auto" w:line="288" w:before="0" w:after="0"/>
        <w:jc w:val="center"/>
        <w:rPr>
          <w:rFonts w:ascii="Arial;sans-serif" w:hAnsi="Arial;sans-serif"/>
          <w:b w:val="false"/>
          <w:color w:val="000000"/>
          <w:sz w:val="80"/>
        </w:rPr>
      </w:pPr>
      <w:r>
        <w:rPr>
          <w:rFonts w:ascii="Arial;sans-serif" w:hAnsi="Arial;sans-serif"/>
          <w:b w:val="false"/>
          <w:color w:val="000000"/>
          <w:sz w:val="80"/>
        </w:rPr>
        <w:t>Statistical Schedules</w:t>
      </w:r>
    </w:p>
    <w:p>
      <w:pPr>
        <w:pStyle w:val="TextBody"/>
        <w:bidi w:val="0"/>
        <w:spacing w:lineRule="auto" w:line="288" w:before="0" w:after="0"/>
        <w:jc w:val="center"/>
        <w:rPr>
          <w:rFonts w:ascii="Arial;sans-serif" w:hAnsi="Arial;sans-serif"/>
          <w:b w:val="false"/>
          <w:color w:val="000000"/>
          <w:sz w:val="80"/>
        </w:rPr>
      </w:pPr>
      <w:r>
        <w:rPr>
          <w:rFonts w:ascii="Arial;sans-serif" w:hAnsi="Arial;sans-serif"/>
          <w:b w:val="false"/>
          <w:color w:val="000000"/>
          <w:sz w:val="80"/>
        </w:rPr>
        <w:t>and</w:t>
      </w:r>
    </w:p>
    <w:p>
      <w:pPr>
        <w:pStyle w:val="TextBody"/>
        <w:bidi w:val="0"/>
        <w:spacing w:lineRule="auto" w:line="288" w:before="0" w:after="0"/>
        <w:jc w:val="center"/>
        <w:rPr>
          <w:rFonts w:ascii="Arial;sans-serif" w:hAnsi="Arial;sans-serif"/>
          <w:b w:val="false"/>
          <w:color w:val="000000"/>
          <w:sz w:val="80"/>
        </w:rPr>
      </w:pPr>
      <w:r>
        <w:rPr>
          <w:rFonts w:ascii="Arial;sans-serif" w:hAnsi="Arial;sans-serif"/>
          <w:b w:val="false"/>
          <w:color w:val="000000"/>
          <w:sz w:val="80"/>
        </w:rPr>
        <w:t>Supplementary Information</w:t>
      </w:r>
    </w:p>
    <w:p>
      <w:pPr>
        <w:pStyle w:val="TextBody"/>
        <w:bidi w:val="0"/>
        <w:spacing w:lineRule="auto" w:line="288" w:before="0" w:after="0"/>
        <w:jc w:val="center"/>
        <w:rPr>
          <w:rFonts w:ascii="Arial;sans-serif" w:hAnsi="Arial;sans-serif"/>
          <w:b w:val="false"/>
          <w:color w:val="000000"/>
          <w:sz w:val="80"/>
        </w:rPr>
      </w:pPr>
      <w:r>
        <w:rPr>
          <w:rFonts w:ascii="Arial;sans-serif" w:hAnsi="Arial;sans-serif"/>
          <w:b w:val="false"/>
          <w:color w:val="000000"/>
          <w:sz w:val="80"/>
        </w:rPr>
        <w:t>2Q26 Earnings Release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2560"/>
                <wp:effectExtent l="0" t="0" r="0" b="0"/>
                <wp:wrapNone/>
                <wp:docPr id="25" name="Frame2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w:t>
                      </w:r>
                    </w:p>
                  </w:txbxContent>
                </v:textbox>
                <w10:wrap type="none"/>
              </v:rect>
            </w:pict>
          </mc:Fallback>
        </mc:AlternateContent>
      </w:r>
    </w:p>
    <w:p>
      <w:pPr>
        <w:pStyle w:val="TextBody"/>
        <w:bidi w:val="0"/>
        <w:spacing w:before="0" w:after="0"/>
        <w:ind w:left="0" w:right="0" w:hanging="720"/>
        <w:jc w:val="center"/>
        <w:rPr/>
      </w:pPr>
      <w:r>
        <w:rPr/>
      </w:r>
    </w:p>
    <w:p>
      <w:pPr>
        <w:pStyle w:val="TextBody"/>
        <w:bidi w:val="0"/>
        <w:spacing w:before="0" w:after="0"/>
        <w:ind w:left="0" w:right="0" w:hanging="720"/>
        <w:jc w:val="center"/>
        <w:rPr/>
      </w:pPr>
      <w:r>
        <w:rPr/>
      </w:r>
    </w:p>
    <w:p>
      <w:pPr>
        <w:pStyle w:val="TextBody"/>
        <w:bidi w:val="0"/>
        <w:spacing w:before="0" w:after="0"/>
        <w:ind w:left="0" w:right="0" w:hanging="720"/>
        <w:jc w:val="center"/>
        <w:rPr/>
      </w:pPr>
      <w:r>
        <w:rPr/>
      </w:r>
    </w:p>
    <w:p>
      <w:pPr>
        <w:pStyle w:val="TextBody"/>
        <w:bidi w:val="0"/>
        <w:spacing w:before="0" w:after="0"/>
        <w:ind w:left="0" w:right="0" w:hanging="720"/>
        <w:jc w:val="center"/>
        <w:rPr/>
      </w:pPr>
      <w:r>
        <w:rPr/>
      </w:r>
    </w:p>
    <w:p>
      <w:pPr>
        <w:pStyle w:val="TextBody"/>
        <w:bidi w:val="0"/>
        <w:spacing w:before="0" w:after="0"/>
        <w:ind w:left="0" w:right="0" w:hanging="720"/>
        <w:jc w:val="center"/>
        <w:rPr/>
      </w:pPr>
      <w:r>
        <w:rPr/>
      </w:r>
    </w:p>
    <w:tbl>
      <w:tblPr>
        <w:tblW w:w="10205" w:type="dxa"/>
        <w:jc w:val="center"/>
        <w:tblInd w:w="0" w:type="dxa"/>
        <w:tblLayout w:type="fixed"/>
        <w:tblCellMar>
          <w:top w:w="28" w:type="dxa"/>
          <w:left w:w="28" w:type="dxa"/>
          <w:bottom w:w="28" w:type="dxa"/>
          <w:right w:w="28" w:type="dxa"/>
        </w:tblCellMar>
      </w:tblPr>
      <w:tblGrid>
        <w:gridCol w:w="1155"/>
        <w:gridCol w:w="1017"/>
        <w:gridCol w:w="1017"/>
        <w:gridCol w:w="2120"/>
        <w:gridCol w:w="2024"/>
        <w:gridCol w:w="2872"/>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Humana Inc.</w:t>
              <w:br/>
              <w:t xml:space="preserve">Statistical Schedules and Supplementary Information </w:t>
              <w:br/>
              <w:t xml:space="preserve">2Q26 Earnings Release </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(S-3)</w:t>
            </w:r>
          </w:p>
        </w:tc>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Summary of Results - Consolidated and Segments - Quarter &amp; YTD</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(S-4)</w:t>
            </w:r>
          </w:p>
        </w:tc>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Consolidated Statements of Income - Quarter &amp; YTD</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(S-5)</w:t>
            </w:r>
          </w:p>
        </w:tc>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Consolidated Balance Sheets</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(S-6)</w:t>
            </w:r>
          </w:p>
        </w:tc>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Consolidated Statements of Cash Flows - YTD</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(S-7) - (S-8)</w:t>
            </w:r>
          </w:p>
        </w:tc>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Consolidating Statements of Income - Quarter</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(S-9) - (S-10)</w:t>
            </w:r>
          </w:p>
        </w:tc>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Consolidating Statements of Income - YTD</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 xml:space="preserve">(S-11) </w:t>
            </w:r>
          </w:p>
        </w:tc>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Membership Detail</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(S-12)</w:t>
            </w:r>
          </w:p>
        </w:tc>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Premiums and Services Revenue Detail</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(S-13) - (S-14)</w:t>
            </w:r>
          </w:p>
        </w:tc>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CenterWell Segment - Pharmacy &amp; Home Solutions and Primary Care</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(S-15)</w:t>
            </w:r>
          </w:p>
        </w:tc>
        <w:tc>
          <w:tcPr>
            <w:tcW w:w="7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Footnotes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2560"/>
                <wp:effectExtent l="0" t="0" r="0" b="0"/>
                <wp:wrapNone/>
                <wp:docPr id="26" name="Frame2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63"/>
        <w:gridCol w:w="1514"/>
        <w:gridCol w:w="1518"/>
        <w:gridCol w:w="323"/>
        <w:gridCol w:w="323"/>
        <w:gridCol w:w="610"/>
        <w:gridCol w:w="293"/>
        <w:gridCol w:w="293"/>
        <w:gridCol w:w="580"/>
        <w:gridCol w:w="323"/>
        <w:gridCol w:w="323"/>
        <w:gridCol w:w="828"/>
        <w:gridCol w:w="315"/>
        <w:gridCol w:w="309"/>
        <w:gridCol w:w="890"/>
      </w:tblGrid>
      <w:tr>
        <w:trPr/>
        <w:tc>
          <w:tcPr>
            <w:tcW w:w="176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8" w:space="0" w:color="000000"/>
              <w:left w:val="single" w:sz="8" w:space="0" w:color="000000"/>
            </w:tcBorders>
            <w:shd w:fill="5C9A1B" w:val="clear"/>
            <w:tcMar>
              <w:top w:w="52" w:type="dxa"/>
              <w:bottom w:w="0" w:type="dxa"/>
              <w:right w:w="0" w:type="dxa"/>
            </w:tcMar>
            <w:vAlign w:val="center"/>
          </w:tcPr>
          <w:p>
            <w:pPr>
              <w:pStyle w:val="TableContents"/>
              <w:bidi w:val="0"/>
              <w:spacing w:lineRule="auto" w:line="240" w:before="0" w:after="0"/>
              <w:jc w:val="left"/>
              <w:rPr/>
            </w:pPr>
            <w:r>
              <w:rPr>
                <w:rFonts w:ascii="sans-serif" w:hAnsi="sans-serif"/>
                <w:b/>
                <w:color w:val="FFFFFF"/>
                <w:sz w:val="20"/>
              </w:rPr>
              <w:t>Humana Inc. Summary of Results</w:t>
              <w:br/>
            </w:r>
            <w:r>
              <w:rPr>
                <w:rFonts w:ascii="sans-serif" w:hAnsi="sans-serif"/>
                <w:b w:val="false"/>
                <w:i/>
                <w:color w:val="FFFFFF"/>
                <w:sz w:val="20"/>
              </w:rPr>
              <w:t>($ in millions, except per share amounts)</w:t>
            </w:r>
          </w:p>
        </w:tc>
        <w:tc>
          <w:tcPr>
            <w:tcW w:w="1256" w:type="dxa"/>
            <w:gridSpan w:val="3"/>
            <w:tcBorders>
              <w:top w:val="single" w:sz="8" w:space="0" w:color="000000"/>
              <w:left w:val="single" w:sz="8" w:space="0" w:color="000000"/>
              <w:bottom w:val="single" w:sz="8" w:space="0" w:color="000000"/>
            </w:tcBorders>
            <w:shd w:fill="5C9A1B" w:val="clear"/>
            <w:tcMar>
              <w:top w:w="52" w:type="dxa"/>
              <w:bottom w:w="3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2Q26 (a)</w:t>
            </w:r>
          </w:p>
        </w:tc>
        <w:tc>
          <w:tcPr>
            <w:tcW w:w="1166" w:type="dxa"/>
            <w:gridSpan w:val="3"/>
            <w:tcBorders>
              <w:top w:val="single" w:sz="8" w:space="0" w:color="000000"/>
              <w:left w:val="single" w:sz="8" w:space="0" w:color="000000"/>
              <w:bottom w:val="single" w:sz="8" w:space="0" w:color="000000"/>
            </w:tcBorders>
            <w:shd w:fill="5C9A1B" w:val="clear"/>
            <w:tcMar>
              <w:top w:w="52" w:type="dxa"/>
              <w:bottom w:w="3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2Q25 (a)</w:t>
            </w:r>
          </w:p>
        </w:tc>
        <w:tc>
          <w:tcPr>
            <w:tcW w:w="1474" w:type="dxa"/>
            <w:gridSpan w:val="3"/>
            <w:tcBorders>
              <w:top w:val="single" w:sz="8" w:space="0" w:color="000000"/>
              <w:left w:val="single" w:sz="8" w:space="0" w:color="000000"/>
              <w:bottom w:val="single" w:sz="8" w:space="0" w:color="000000"/>
            </w:tcBorders>
            <w:shd w:fill="5C9A1B" w:val="clear"/>
            <w:tcMar>
              <w:top w:w="52" w:type="dxa"/>
              <w:bottom w:w="3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YTD 2026 (a)</w:t>
            </w:r>
          </w:p>
        </w:tc>
        <w:tc>
          <w:tcPr>
            <w:tcW w:w="1514" w:type="dxa"/>
            <w:gridSpan w:val="3"/>
            <w:tcBorders>
              <w:top w:val="single" w:sz="8" w:space="0" w:color="000000"/>
              <w:left w:val="single" w:sz="8" w:space="0" w:color="000000"/>
              <w:bottom w:val="single" w:sz="8" w:space="0" w:color="000000"/>
              <w:right w:val="single" w:sz="8" w:space="0" w:color="000000"/>
            </w:tcBorders>
            <w:shd w:fill="5C9A1B" w:val="clear"/>
            <w:tcMar>
              <w:top w:w="52" w:type="dxa"/>
              <w:bottom w:w="3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YTD 2025 (a)</w:t>
            </w:r>
          </w:p>
        </w:tc>
      </w:tr>
      <w:tr>
        <w:trPr/>
        <w:tc>
          <w:tcPr>
            <w:tcW w:w="10205"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CONSOLIDATED</w:t>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25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$40,867</w:t>
            </w:r>
          </w:p>
        </w:tc>
        <w:tc>
          <w:tcPr>
            <w:tcW w:w="116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$32,388</w:t>
            </w:r>
          </w:p>
        </w:tc>
        <w:tc>
          <w:tcPr>
            <w:tcW w:w="147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$80,515</w:t>
            </w:r>
          </w:p>
        </w:tc>
        <w:tc>
          <w:tcPr>
            <w:tcW w:w="1514"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$64,500</w:t>
            </w:r>
          </w:p>
        </w:tc>
      </w:tr>
      <w:tr>
        <w:trPr/>
        <w:tc>
          <w:tcPr>
            <w:tcW w:w="479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 - Adjusted (non-GAAP)</w:t>
            </w:r>
          </w:p>
        </w:tc>
        <w:tc>
          <w:tcPr>
            <w:tcW w:w="125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$40,888</w:t>
            </w:r>
          </w:p>
        </w:tc>
        <w:tc>
          <w:tcPr>
            <w:tcW w:w="116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$32,388</w:t>
            </w:r>
          </w:p>
        </w:tc>
        <w:tc>
          <w:tcPr>
            <w:tcW w:w="147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$80,536</w:t>
            </w:r>
          </w:p>
        </w:tc>
        <w:tc>
          <w:tcPr>
            <w:tcW w:w="1514"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$64,500</w:t>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Pretax results</w:t>
            </w:r>
          </w:p>
        </w:tc>
        <w:tc>
          <w:tcPr>
            <w:tcW w:w="125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$952</w:t>
            </w:r>
          </w:p>
        </w:tc>
        <w:tc>
          <w:tcPr>
            <w:tcW w:w="116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$741</w:t>
            </w:r>
          </w:p>
        </w:tc>
        <w:tc>
          <w:tcPr>
            <w:tcW w:w="147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$2,547</w:t>
            </w:r>
          </w:p>
        </w:tc>
        <w:tc>
          <w:tcPr>
            <w:tcW w:w="1514"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$2,432</w:t>
            </w:r>
          </w:p>
        </w:tc>
      </w:tr>
      <w:tr>
        <w:trPr/>
        <w:tc>
          <w:tcPr>
            <w:tcW w:w="479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Pretax results - Adjusted (non-GAAP)</w:t>
            </w:r>
          </w:p>
        </w:tc>
        <w:tc>
          <w:tcPr>
            <w:tcW w:w="125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$1,248</w:t>
            </w:r>
          </w:p>
        </w:tc>
        <w:tc>
          <w:tcPr>
            <w:tcW w:w="116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$1,017</w:t>
            </w:r>
          </w:p>
        </w:tc>
        <w:tc>
          <w:tcPr>
            <w:tcW w:w="147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$2,918</w:t>
            </w:r>
          </w:p>
        </w:tc>
        <w:tc>
          <w:tcPr>
            <w:tcW w:w="1514"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$2,910</w:t>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EPS</w:t>
            </w:r>
          </w:p>
        </w:tc>
        <w:tc>
          <w:tcPr>
            <w:tcW w:w="125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$5.73</w:t>
            </w:r>
          </w:p>
        </w:tc>
        <w:tc>
          <w:tcPr>
            <w:tcW w:w="116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w:t>
            </w:r>
          </w:p>
        </w:tc>
        <w:tc>
          <w:tcPr>
            <w:tcW w:w="147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$15.55</w:t>
            </w:r>
          </w:p>
        </w:tc>
        <w:tc>
          <w:tcPr>
            <w:tcW w:w="1514"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$14.81</w:t>
            </w:r>
          </w:p>
        </w:tc>
      </w:tr>
      <w:tr>
        <w:trPr/>
        <w:tc>
          <w:tcPr>
            <w:tcW w:w="479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EPS - Adjusted (non-GAAP)</w:t>
            </w:r>
          </w:p>
        </w:tc>
        <w:tc>
          <w:tcPr>
            <w:tcW w:w="125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$7.61</w:t>
            </w:r>
          </w:p>
        </w:tc>
        <w:tc>
          <w:tcPr>
            <w:tcW w:w="116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$6.27</w:t>
            </w:r>
          </w:p>
        </w:tc>
        <w:tc>
          <w:tcPr>
            <w:tcW w:w="147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$17.91</w:t>
            </w:r>
          </w:p>
        </w:tc>
        <w:tc>
          <w:tcPr>
            <w:tcW w:w="1514"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$17.85</w:t>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ratio</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91.1</w:t>
            </w:r>
            <w:r>
              <w:rPr>
                <w:color w:val="000000"/>
              </w:rPr>
              <w:t> </w:t>
            </w:r>
          </w:p>
        </w:tc>
        <w:tc>
          <w:tcPr>
            <w:tcW w:w="610"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89.7 </w:t>
            </w:r>
          </w:p>
        </w:tc>
        <w:tc>
          <w:tcPr>
            <w:tcW w:w="580"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90.2</w:t>
            </w:r>
            <w:r>
              <w:rPr>
                <w:color w:val="000000"/>
              </w:rPr>
              <w:t> </w:t>
            </w:r>
          </w:p>
        </w:tc>
        <w:tc>
          <w:tcPr>
            <w:tcW w:w="828"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2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88.4 </w:t>
            </w:r>
          </w:p>
        </w:tc>
        <w:tc>
          <w:tcPr>
            <w:tcW w:w="89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9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 ratio</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9.8</w:t>
            </w:r>
            <w:r>
              <w:rPr>
                <w:color w:val="000000"/>
              </w:rPr>
              <w:t> </w:t>
            </w:r>
          </w:p>
        </w:tc>
        <w:tc>
          <w:tcPr>
            <w:tcW w:w="6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5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10.0</w:t>
            </w:r>
            <w:r>
              <w:rPr>
                <w:color w:val="000000"/>
              </w:rPr>
              <w:t> </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2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89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 ratio - Adjusted (non-GAAP)</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9.7</w:t>
            </w:r>
            <w:r>
              <w:rPr>
                <w:color w:val="000000"/>
              </w:rPr>
              <w:t> </w:t>
            </w:r>
          </w:p>
        </w:tc>
        <w:tc>
          <w:tcPr>
            <w:tcW w:w="610"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580"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9.8</w:t>
            </w:r>
            <w:r>
              <w:rPr>
                <w:color w:val="000000"/>
              </w:rPr>
              <w:t> </w:t>
            </w:r>
          </w:p>
        </w:tc>
        <w:tc>
          <w:tcPr>
            <w:tcW w:w="828"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2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89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9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cash flows</w:t>
            </w:r>
          </w:p>
        </w:tc>
        <w:tc>
          <w:tcPr>
            <w:tcW w:w="12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$3,220</w:t>
            </w:r>
          </w:p>
        </w:tc>
        <w:tc>
          <w:tcPr>
            <w:tcW w:w="1514"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$1,602</w:t>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Parent company cash and short-term investments (c)</w:t>
            </w:r>
          </w:p>
        </w:tc>
        <w:tc>
          <w:tcPr>
            <w:tcW w:w="1256" w:type="dxa"/>
            <w:gridSpan w:val="3"/>
            <w:tcBorders>
              <w:top w:val="single" w:sz="8" w:space="0" w:color="000000"/>
              <w:left w:val="single" w:sz="8" w:space="0" w:color="000000"/>
            </w:tcBorders>
            <w:shd w:fill="DEF3C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left w:val="single" w:sz="8" w:space="0" w:color="000000"/>
            </w:tcBorders>
            <w:shd w:fill="DEF3C0"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$1,590</w:t>
            </w:r>
          </w:p>
        </w:tc>
        <w:tc>
          <w:tcPr>
            <w:tcW w:w="1514"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$1,334</w:t>
            </w:r>
          </w:p>
        </w:tc>
      </w:tr>
      <w:tr>
        <w:trPr/>
        <w:tc>
          <w:tcPr>
            <w:tcW w:w="479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Debt-to-total capitalization</w:t>
            </w:r>
          </w:p>
        </w:tc>
        <w:tc>
          <w:tcPr>
            <w:tcW w:w="12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42.7</w:t>
            </w:r>
            <w:r>
              <w:rPr>
                <w:color w:val="000000"/>
              </w:rPr>
              <w:t> </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2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40.7 </w:t>
            </w:r>
          </w:p>
        </w:tc>
        <w:tc>
          <w:tcPr>
            <w:tcW w:w="89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Days in Claims Payable (DCP)</w:t>
            </w:r>
          </w:p>
        </w:tc>
        <w:tc>
          <w:tcPr>
            <w:tcW w:w="1256"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33.1</w:t>
            </w:r>
          </w:p>
        </w:tc>
        <w:tc>
          <w:tcPr>
            <w:tcW w:w="1166"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36.5</w:t>
            </w:r>
          </w:p>
        </w:tc>
        <w:tc>
          <w:tcPr>
            <w:tcW w:w="1474" w:type="dxa"/>
            <w:gridSpan w:val="3"/>
            <w:tcBorders>
              <w:top w:val="single" w:sz="8" w:space="0" w:color="000000"/>
              <w:left w:val="single" w:sz="8" w:space="0" w:color="000000"/>
              <w:bottom w:val="single" w:sz="8" w:space="0" w:color="000000"/>
            </w:tcBorders>
            <w:shd w:fill="DEF3C0" w:val="clear"/>
            <w:tcMar>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left w:val="single" w:sz="8" w:space="0" w:color="000000"/>
              <w:bottom w:val="single" w:sz="8" w:space="0" w:color="000000"/>
              <w:right w:val="single" w:sz="8" w:space="0" w:color="000000"/>
            </w:tcBorders>
            <w:shd w:fill="DEF3C0" w:val="cle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INSURANCE SEGMENT</w:t>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25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$39,140</w:t>
            </w:r>
          </w:p>
        </w:tc>
        <w:tc>
          <w:tcPr>
            <w:tcW w:w="116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$31,094</w:t>
            </w:r>
          </w:p>
        </w:tc>
        <w:tc>
          <w:tcPr>
            <w:tcW w:w="147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$77,199</w:t>
            </w:r>
          </w:p>
        </w:tc>
        <w:tc>
          <w:tcPr>
            <w:tcW w:w="1514"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$62,031</w:t>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ratio</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91.2</w:t>
            </w:r>
            <w:r>
              <w:rPr>
                <w:color w:val="000000"/>
              </w:rPr>
              <w:t> </w:t>
            </w:r>
          </w:p>
        </w:tc>
        <w:tc>
          <w:tcPr>
            <w:tcW w:w="6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89.9 </w:t>
            </w:r>
          </w:p>
        </w:tc>
        <w:tc>
          <w:tcPr>
            <w:tcW w:w="5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90.3</w:t>
            </w:r>
            <w:r>
              <w:rPr>
                <w:color w:val="000000"/>
              </w:rPr>
              <w:t> </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2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88.7 </w:t>
            </w:r>
          </w:p>
        </w:tc>
        <w:tc>
          <w:tcPr>
            <w:tcW w:w="89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 ratio</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7.1</w:t>
            </w:r>
            <w:r>
              <w:rPr>
                <w:color w:val="000000"/>
              </w:rPr>
              <w:t> </w:t>
            </w:r>
          </w:p>
        </w:tc>
        <w:tc>
          <w:tcPr>
            <w:tcW w:w="610"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580"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7.2</w:t>
            </w:r>
            <w:r>
              <w:rPr>
                <w:color w:val="000000"/>
              </w:rPr>
              <w:t> </w:t>
            </w:r>
          </w:p>
        </w:tc>
        <w:tc>
          <w:tcPr>
            <w:tcW w:w="828" w:type="dxa"/>
            <w:tcBorders>
              <w:top w:val="single" w:sz="8" w:space="0" w:color="000000"/>
            </w:tcBorders>
            <w:shd w:fill="DEF3C0"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24" w:type="dxa"/>
            <w:gridSpan w:val="2"/>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890" w:type="dxa"/>
            <w:tcBorders>
              <w:top w:val="single" w:sz="8" w:space="0" w:color="000000"/>
              <w:right w:val="single" w:sz="8" w:space="0" w:color="000000"/>
            </w:tcBorders>
            <w:shd w:fill="DEF3C0"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from operations</w:t>
            </w:r>
          </w:p>
        </w:tc>
        <w:tc>
          <w:tcPr>
            <w:tcW w:w="125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$820</w:t>
            </w:r>
          </w:p>
        </w:tc>
        <w:tc>
          <w:tcPr>
            <w:tcW w:w="116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w:t>
            </w:r>
          </w:p>
        </w:tc>
        <w:tc>
          <w:tcPr>
            <w:tcW w:w="147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$2,255</w:t>
            </w:r>
          </w:p>
        </w:tc>
        <w:tc>
          <w:tcPr>
            <w:tcW w:w="1514"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$2,340</w:t>
            </w:r>
          </w:p>
        </w:tc>
      </w:tr>
      <w:tr>
        <w:trPr/>
        <w:tc>
          <w:tcPr>
            <w:tcW w:w="4795"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from operations - Adjusted (non-GAAP)</w:t>
            </w:r>
          </w:p>
        </w:tc>
        <w:tc>
          <w:tcPr>
            <w:tcW w:w="1256"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$824</w:t>
            </w:r>
          </w:p>
        </w:tc>
        <w:tc>
          <w:tcPr>
            <w:tcW w:w="1166"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w:t>
            </w:r>
          </w:p>
        </w:tc>
        <w:tc>
          <w:tcPr>
            <w:tcW w:w="1474" w:type="dxa"/>
            <w:gridSpan w:val="3"/>
            <w:tcBorders>
              <w:top w:val="single" w:sz="8" w:space="0" w:color="000000"/>
              <w:left w:val="single" w:sz="8" w:space="0" w:color="000000"/>
              <w:bottom w:val="single" w:sz="8" w:space="0" w:color="000000"/>
            </w:tcBorders>
            <w:shd w:fill="DEF3C0"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$2,263</w:t>
            </w:r>
          </w:p>
        </w:tc>
        <w:tc>
          <w:tcPr>
            <w:tcW w:w="1514" w:type="dxa"/>
            <w:gridSpan w:val="3"/>
            <w:tcBorders>
              <w:top w:val="single" w:sz="8" w:space="0" w:color="000000"/>
              <w:left w:val="single" w:sz="8" w:space="0" w:color="000000"/>
              <w:bottom w:val="single" w:sz="8" w:space="0" w:color="000000"/>
              <w:right w:val="single" w:sz="8" w:space="0" w:color="000000"/>
            </w:tcBorders>
            <w:shd w:fill="DEF3C0" w:val="clear"/>
            <w:tcMar>
              <w:top w:w="52" w:type="dxa"/>
              <w:bottom w:w="3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$2,349</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CENTERWELL SEGMENT</w:t>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25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$6,790</w:t>
            </w:r>
          </w:p>
        </w:tc>
        <w:tc>
          <w:tcPr>
            <w:tcW w:w="116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$5,537</w:t>
            </w:r>
          </w:p>
        </w:tc>
        <w:tc>
          <w:tcPr>
            <w:tcW w:w="147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$12,890</w:t>
            </w:r>
          </w:p>
        </w:tc>
        <w:tc>
          <w:tcPr>
            <w:tcW w:w="1514"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$10,632</w:t>
            </w:r>
          </w:p>
        </w:tc>
      </w:tr>
      <w:tr>
        <w:trPr/>
        <w:tc>
          <w:tcPr>
            <w:tcW w:w="479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 ratio</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92.4</w:t>
            </w:r>
            <w:r>
              <w:rPr>
                <w:color w:val="000000"/>
              </w:rPr>
              <w:t> </w:t>
            </w:r>
          </w:p>
        </w:tc>
        <w:tc>
          <w:tcPr>
            <w:tcW w:w="6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58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92.7 </w:t>
            </w:r>
          </w:p>
        </w:tc>
        <w:tc>
          <w:tcPr>
            <w:tcW w:w="5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6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93.4</w:t>
            </w:r>
            <w:r>
              <w:rPr>
                <w:color w:val="000000"/>
              </w:rPr>
              <w:t> </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624"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92.0 </w:t>
            </w:r>
          </w:p>
        </w:tc>
        <w:tc>
          <w:tcPr>
            <w:tcW w:w="890"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95"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from operations</w:t>
            </w:r>
          </w:p>
        </w:tc>
        <w:tc>
          <w:tcPr>
            <w:tcW w:w="125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$466</w:t>
            </w:r>
          </w:p>
        </w:tc>
        <w:tc>
          <w:tcPr>
            <w:tcW w:w="1166"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w:t>
            </w:r>
          </w:p>
        </w:tc>
        <w:tc>
          <w:tcPr>
            <w:tcW w:w="1474" w:type="dxa"/>
            <w:gridSpan w:val="3"/>
            <w:tcBorders>
              <w:top w:val="single" w:sz="8" w:space="0" w:color="000000"/>
              <w:left w:val="single" w:sz="8" w:space="0" w:color="000000"/>
            </w:tcBorders>
            <w:shd w:fill="DEF3C0" w:val="clear"/>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$755</w:t>
            </w:r>
          </w:p>
        </w:tc>
        <w:tc>
          <w:tcPr>
            <w:tcW w:w="1514" w:type="dxa"/>
            <w:gridSpan w:val="3"/>
            <w:tcBorders>
              <w:top w:val="single" w:sz="8" w:space="0" w:color="000000"/>
              <w:left w:val="single" w:sz="8" w:space="0" w:color="000000"/>
              <w:right w:val="single" w:sz="8" w:space="0" w:color="000000"/>
            </w:tcBorders>
            <w:shd w:fill="DEF3C0" w:val="clear"/>
            <w:tcMar>
              <w:top w:w="52" w:type="dxa"/>
              <w:bottom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$736</w:t>
            </w:r>
          </w:p>
        </w:tc>
      </w:tr>
      <w:tr>
        <w:trPr/>
        <w:tc>
          <w:tcPr>
            <w:tcW w:w="4795"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from operations - Adjusted (non-GAAP) (d)</w:t>
            </w:r>
          </w:p>
        </w:tc>
        <w:tc>
          <w:tcPr>
            <w:tcW w:w="1256"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$514</w:t>
            </w:r>
          </w:p>
        </w:tc>
        <w:tc>
          <w:tcPr>
            <w:tcW w:w="1166"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$404</w:t>
            </w:r>
          </w:p>
        </w:tc>
        <w:tc>
          <w:tcPr>
            <w:tcW w:w="147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$852</w:t>
            </w:r>
          </w:p>
        </w:tc>
        <w:tc>
          <w:tcPr>
            <w:tcW w:w="1514"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$855</w:t>
            </w:r>
          </w:p>
        </w:tc>
      </w:tr>
    </w:tbl>
    <w:p>
      <w:pPr>
        <w:pStyle w:val="TextBody"/>
        <w:bidi w:val="0"/>
        <w:spacing w:lineRule="auto" w:line="288" w:before="0" w:after="0"/>
        <w:jc w:val="both"/>
        <w:rPr/>
      </w:pPr>
      <w:r>
        <w:rPr>
          <w:rFonts w:ascii="sans-serif" w:hAnsi="sans-serif"/>
          <w:b w:val="false"/>
          <w:i/>
          <w:color w:val="000000"/>
          <w:sz w:val="18"/>
        </w:rPr>
        <w:t>Refer to the "Footnotes" section included in the previous narrative portion of this release (beginning on page 7)</w:t>
      </w:r>
      <w:r>
        <w:rPr>
          <w:color w:val="EE2724"/>
        </w:rPr>
        <w:t xml:space="preserve"> </w:t>
      </w:r>
      <w:r>
        <w:rPr>
          <w:rFonts w:ascii="sans-serif" w:hAnsi="sans-serif"/>
          <w:b w:val="false"/>
          <w:i/>
          <w:color w:val="000000"/>
          <w:sz w:val="18"/>
        </w:rPr>
        <w:t xml:space="preserve">for further explanation of disclosures for </w:t>
      </w:r>
    </w:p>
    <w:p>
      <w:pPr>
        <w:pStyle w:val="TextBody"/>
        <w:bidi w:val="0"/>
        <w:spacing w:lineRule="auto" w:line="288" w:before="0" w:after="0"/>
        <w:jc w:val="both"/>
        <w:rPr>
          <w:rFonts w:ascii="sans-serif" w:hAnsi="sans-serif"/>
          <w:b w:val="false"/>
          <w:i/>
          <w:color w:val="000000"/>
          <w:sz w:val="18"/>
        </w:rPr>
      </w:pPr>
      <w:r>
        <w:rPr>
          <w:rFonts w:ascii="sans-serif" w:hAnsi="sans-serif"/>
          <w:b w:val="false"/>
          <w:i/>
          <w:color w:val="000000"/>
          <w:sz w:val="18"/>
        </w:rPr>
        <w:t>Adjusted (non-GAAP) financial measures, as well as reconciliations.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2560"/>
                <wp:effectExtent l="0" t="0" r="0" b="0"/>
                <wp:wrapNone/>
                <wp:docPr id="27" name="Frame2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Humana Inc.</w:t>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Consolidated Statements of Income (Unaudited)</w:t>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Dollars in millions, except per common share results</w:t>
      </w:r>
    </w:p>
    <w:tbl>
      <w:tblPr>
        <w:tblW w:w="10205" w:type="dxa"/>
        <w:jc w:val="center"/>
        <w:tblInd w:w="0" w:type="dxa"/>
        <w:tblLayout w:type="fixed"/>
        <w:tblCellMar>
          <w:top w:w="28" w:type="dxa"/>
          <w:left w:w="28" w:type="dxa"/>
          <w:bottom w:w="28" w:type="dxa"/>
          <w:right w:w="28" w:type="dxa"/>
        </w:tblCellMar>
      </w:tblPr>
      <w:tblGrid>
        <w:gridCol w:w="1344"/>
        <w:gridCol w:w="912"/>
        <w:gridCol w:w="912"/>
        <w:gridCol w:w="348"/>
        <w:gridCol w:w="1370"/>
        <w:gridCol w:w="148"/>
        <w:gridCol w:w="348"/>
        <w:gridCol w:w="1370"/>
        <w:gridCol w:w="152"/>
        <w:gridCol w:w="109"/>
        <w:gridCol w:w="109"/>
        <w:gridCol w:w="109"/>
        <w:gridCol w:w="273"/>
        <w:gridCol w:w="1073"/>
        <w:gridCol w:w="116"/>
        <w:gridCol w:w="273"/>
        <w:gridCol w:w="1073"/>
        <w:gridCol w:w="166"/>
      </w:tblGrid>
      <w:tr>
        <w:trPr/>
        <w:tc>
          <w:tcPr>
            <w:tcW w:w="134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 the three months ended </w:t>
              <w:br/>
              <w:t>June 30,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 xml:space="preserve">For the six months ended </w:t>
              <w:br/>
              <w:t>June 30,</w:t>
            </w:r>
          </w:p>
        </w:tc>
      </w:tr>
      <w:tr>
        <w:trPr/>
        <w:tc>
          <w:tcPr>
            <w:tcW w:w="3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2026</w:t>
            </w:r>
          </w:p>
        </w:tc>
        <w:tc>
          <w:tcPr>
            <w:tcW w:w="18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2026</w:t>
            </w:r>
          </w:p>
        </w:tc>
        <w:tc>
          <w:tcPr>
            <w:tcW w:w="15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2025</w:t>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Revenues:</w:t>
            </w:r>
          </w:p>
        </w:tc>
        <w:tc>
          <w:tcPr>
            <w:tcW w:w="18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Premiums</w:t>
            </w:r>
          </w:p>
        </w:tc>
        <w:tc>
          <w:tcPr>
            <w:tcW w:w="348"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w:t>
            </w:r>
          </w:p>
        </w:tc>
        <w:tc>
          <w:tcPr>
            <w:tcW w:w="137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38,834</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30,716 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76,543</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61,230 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Services</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1,780</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1,400 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3,457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2,734 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Net investment income</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253</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272 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515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Total revenues</w:t>
            </w:r>
          </w:p>
        </w:tc>
        <w:tc>
          <w:tcPr>
            <w:tcW w:w="171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40,867</w:t>
            </w:r>
            <w:r>
              <w:rPr>
                <w:color w:val="000000"/>
              </w:rPr>
              <w:t>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32,388 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80,515</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64,500 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Operating expenses:</w:t>
            </w:r>
          </w:p>
        </w:tc>
        <w:tc>
          <w:tcPr>
            <w:tcW w:w="18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Benefits</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35,370</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27,565 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69,077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54,100 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Operating costs</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3,978</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3,547 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8,002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6,927 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Depreciation and amortization</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159</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178 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322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Total operating expenses</w:t>
            </w:r>
          </w:p>
        </w:tc>
        <w:tc>
          <w:tcPr>
            <w:tcW w:w="171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39,507</w:t>
            </w:r>
            <w:r>
              <w:rPr>
                <w:color w:val="000000"/>
              </w:rPr>
              <w:t>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31,290 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77,401</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61,388 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Income from operations</w:t>
            </w:r>
          </w:p>
        </w:tc>
        <w:tc>
          <w:tcPr>
            <w:tcW w:w="171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1,360</w:t>
            </w:r>
            <w:r>
              <w:rPr>
                <w:color w:val="000000"/>
              </w:rPr>
              <w:t>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1,098 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3,114</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3,112 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Interest expense</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197</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390</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Other expense, net</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211</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177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Income before income taxes and equity in net losses</w:t>
            </w:r>
          </w:p>
        </w:tc>
        <w:tc>
          <w:tcPr>
            <w:tcW w:w="171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952</w:t>
            </w:r>
            <w:r>
              <w:rPr>
                <w:color w:val="000000"/>
              </w:rPr>
              <w:t>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741 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2,547</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2,432 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Provision for income taxes</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238</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633</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Equity in net losses (A)</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(21)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(37)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Net income</w:t>
            </w:r>
          </w:p>
        </w:tc>
        <w:tc>
          <w:tcPr>
            <w:tcW w:w="171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693</w:t>
            </w:r>
            <w:r>
              <w:rPr>
                <w:color w:val="000000"/>
              </w:rPr>
              <w:t>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543 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1,877</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1,785 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Net loss attributable to noncontrolling interests</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3</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Net income attributable to Humana</w:t>
            </w:r>
          </w:p>
        </w:tc>
        <w:tc>
          <w:tcPr>
            <w:tcW w:w="348"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w:t>
            </w:r>
          </w:p>
        </w:tc>
        <w:tc>
          <w:tcPr>
            <w:tcW w:w="1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694</w:t>
            </w:r>
            <w:r>
              <w:rPr>
                <w:color w:val="000000"/>
              </w:rPr>
              <w:t>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545 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w:t>
            </w:r>
          </w:p>
        </w:tc>
        <w:tc>
          <w:tcPr>
            <w:tcW w:w="10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1,880</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1,789 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Basic earnings per common share</w:t>
            </w:r>
          </w:p>
        </w:tc>
        <w:tc>
          <w:tcPr>
            <w:tcW w:w="348" w:type="dxa"/>
            <w:tcBorders>
              <w:top w:val="doub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w:t>
            </w:r>
          </w:p>
        </w:tc>
        <w:tc>
          <w:tcPr>
            <w:tcW w:w="137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5.78</w:t>
            </w:r>
            <w:r>
              <w:rPr>
                <w:color w:val="000000"/>
              </w:rPr>
              <w:t> </w:t>
            </w:r>
          </w:p>
        </w:tc>
        <w:tc>
          <w:tcPr>
            <w:tcW w:w="14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3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4.52 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w:t>
            </w:r>
          </w:p>
        </w:tc>
        <w:tc>
          <w:tcPr>
            <w:tcW w:w="107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15.64</w:t>
            </w:r>
            <w:r>
              <w:rPr>
                <w:color w:val="000000"/>
              </w:rPr>
              <w:t> </w:t>
            </w:r>
          </w:p>
        </w:tc>
        <w:tc>
          <w:tcPr>
            <w:tcW w:w="11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14.83 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Diluted earnings per common share</w:t>
            </w:r>
          </w:p>
        </w:tc>
        <w:tc>
          <w:tcPr>
            <w:tcW w:w="348"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w:t>
            </w:r>
          </w:p>
        </w:tc>
        <w:tc>
          <w:tcPr>
            <w:tcW w:w="137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5.73</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4.51 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15.55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14.81 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Shares used in computing basic earnings per common share (000’s)</w:t>
            </w:r>
          </w:p>
        </w:tc>
        <w:tc>
          <w:tcPr>
            <w:tcW w:w="171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120,066</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120,539 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120,199</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120,602 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Shares used in computing diluted earnings per common share (000’s)</w:t>
            </w:r>
          </w:p>
        </w:tc>
        <w:tc>
          <w:tcPr>
            <w:tcW w:w="1718"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121,135</w:t>
            </w:r>
            <w:r>
              <w:rPr>
                <w:color w:val="000000"/>
              </w:rPr>
              <w:t> </w:t>
            </w:r>
          </w:p>
        </w:tc>
        <w:tc>
          <w:tcPr>
            <w:tcW w:w="1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120,745 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120,893</w:t>
            </w:r>
            <w:r>
              <w:rPr>
                <w:color w:val="000000"/>
              </w:rPr>
              <w:t> </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120,794 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2560"/>
                <wp:effectExtent l="0" t="0" r="0" b="0"/>
                <wp:wrapNone/>
                <wp:docPr id="28" name="Frame2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S-4</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Humana Inc.</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Consolidated Balance Sheets (Unaudited)</w:t>
      </w:r>
    </w:p>
    <w:p>
      <w:pPr>
        <w:pStyle w:val="TextBody"/>
        <w:bidi w:val="0"/>
        <w:spacing w:lineRule="auto" w:line="288" w:before="0" w:after="0"/>
        <w:jc w:val="left"/>
        <w:rPr>
          <w:rFonts w:ascii="sans-serif" w:hAnsi="sans-serif"/>
          <w:b w:val="false"/>
          <w:i/>
          <w:color w:val="000000"/>
          <w:sz w:val="16"/>
        </w:rPr>
      </w:pPr>
      <w:r>
        <w:rPr>
          <w:rFonts w:ascii="sans-serif" w:hAnsi="sans-serif"/>
          <w:b w:val="false"/>
          <w:i/>
          <w:color w:val="000000"/>
          <w:sz w:val="16"/>
        </w:rPr>
        <w:t>Dollars in millions, except share amounts</w:t>
      </w:r>
    </w:p>
    <w:tbl>
      <w:tblPr>
        <w:tblW w:w="10205" w:type="dxa"/>
        <w:jc w:val="center"/>
        <w:tblInd w:w="0" w:type="dxa"/>
        <w:tblLayout w:type="fixed"/>
        <w:tblCellMar>
          <w:top w:w="28" w:type="dxa"/>
          <w:left w:w="28" w:type="dxa"/>
          <w:bottom w:w="28" w:type="dxa"/>
          <w:right w:w="28" w:type="dxa"/>
        </w:tblCellMar>
      </w:tblPr>
      <w:tblGrid>
        <w:gridCol w:w="2675"/>
        <w:gridCol w:w="2276"/>
        <w:gridCol w:w="2290"/>
        <w:gridCol w:w="226"/>
        <w:gridCol w:w="826"/>
        <w:gridCol w:w="271"/>
        <w:gridCol w:w="223"/>
        <w:gridCol w:w="769"/>
        <w:gridCol w:w="273"/>
        <w:gridCol w:w="109"/>
        <w:gridCol w:w="109"/>
        <w:gridCol w:w="158"/>
      </w:tblGrid>
      <w:tr>
        <w:trPr/>
        <w:tc>
          <w:tcPr>
            <w:tcW w:w="2675"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w:t>
            </w:r>
          </w:p>
        </w:tc>
        <w:tc>
          <w:tcPr>
            <w:tcW w:w="12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12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u w:val="single"/>
              </w:rPr>
            </w:pPr>
            <w:r>
              <w:rPr>
                <w:rFonts w:ascii="sans-serif" w:hAnsi="sans-serif"/>
                <w:b/>
                <w:color w:val="000000"/>
                <w:sz w:val="16"/>
                <w:u w:val="single"/>
              </w:rPr>
              <w:t>Assets</w:t>
            </w:r>
          </w:p>
        </w:tc>
        <w:tc>
          <w:tcPr>
            <w:tcW w:w="132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Current assets:</w:t>
            </w:r>
          </w:p>
        </w:tc>
        <w:tc>
          <w:tcPr>
            <w:tcW w:w="13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and cash equivalents</w:t>
            </w:r>
          </w:p>
        </w:tc>
        <w:tc>
          <w:tcPr>
            <w:tcW w:w="22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6,893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Investment securities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16,978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15,703 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Receivables, net</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5,695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3,270 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current assets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10,520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9,560 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current assets</w:t>
            </w:r>
          </w:p>
        </w:tc>
        <w:tc>
          <w:tcPr>
            <w:tcW w:w="105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40,086</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32,733 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Property and equipment, net</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2,098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2,231 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Long-term investment securities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650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Equity method investments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627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Goodwill</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10,485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9,686 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long-term assets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3,250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3,128 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Total assets</w:t>
            </w:r>
          </w:p>
        </w:tc>
        <w:tc>
          <w:tcPr>
            <w:tcW w:w="226"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57,196</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48,909 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u w:val="single"/>
              </w:rPr>
            </w:pPr>
            <w:r>
              <w:rPr>
                <w:rFonts w:ascii="sans-serif" w:hAnsi="sans-serif"/>
                <w:b/>
                <w:color w:val="000000"/>
                <w:sz w:val="16"/>
                <w:u w:val="single"/>
              </w:rPr>
              <w:t>Liabilities and Stockholders’ Equity</w:t>
            </w:r>
          </w:p>
        </w:tc>
        <w:tc>
          <w:tcPr>
            <w:tcW w:w="1323"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Current liabilities:</w:t>
            </w:r>
          </w:p>
        </w:tc>
        <w:tc>
          <w:tcPr>
            <w:tcW w:w="13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Benefits payable</w:t>
            </w:r>
          </w:p>
        </w:tc>
        <w:tc>
          <w:tcPr>
            <w:tcW w:w="22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12,876</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9,967 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Trade accounts payable and accrued expenses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7,263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5,717 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Book overdraft</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351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Unearned revenues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Short-term debt</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2,268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current liabilities</w:t>
            </w:r>
          </w:p>
        </w:tc>
        <w:tc>
          <w:tcPr>
            <w:tcW w:w="105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23,007</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16,346 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Long-term debt</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11,979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12,369 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long-term liabilities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2,933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2,457 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Total liabilities</w:t>
            </w:r>
          </w:p>
        </w:tc>
        <w:tc>
          <w:tcPr>
            <w:tcW w:w="105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37,919</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31,172 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Commitments and contingencies</w:t>
            </w:r>
          </w:p>
        </w:tc>
        <w:tc>
          <w:tcPr>
            <w:tcW w:w="132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Stockholders’ equity:</w:t>
            </w:r>
          </w:p>
        </w:tc>
        <w:tc>
          <w:tcPr>
            <w:tcW w:w="13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Preferred stock, $1 par; 10,000,000 shares authorized, none issued</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Common stock, $0.16 2/3 par; 300,000,000 shares authorized; 198,719,832 issued at June 30, 2026</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Capital in excess of par value</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3,701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Retained earnings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30,741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29,075 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Accumulated other comprehensive loss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(751)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Treasury stock, at cost, 78,639,524 shares at June 30, 2026</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(14,511)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(14,418)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Total stockholders’ equity</w:t>
            </w:r>
          </w:p>
        </w:tc>
        <w:tc>
          <w:tcPr>
            <w:tcW w:w="105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19,213</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17,657 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Noncontrolling interests</w:t>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Total equity</w:t>
            </w:r>
          </w:p>
        </w:tc>
        <w:tc>
          <w:tcPr>
            <w:tcW w:w="105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19,277</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17,737 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Total liabilities and equity</w:t>
            </w:r>
          </w:p>
        </w:tc>
        <w:tc>
          <w:tcPr>
            <w:tcW w:w="226"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57,196</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48,909 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Debt-to-total capitalization ratio</w:t>
            </w:r>
          </w:p>
        </w:tc>
        <w:tc>
          <w:tcPr>
            <w:tcW w:w="1052" w:type="dxa"/>
            <w:gridSpan w:val="2"/>
            <w:tcBorders>
              <w:top w:val="doub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42.7</w:t>
            </w:r>
            <w:r>
              <w:rPr>
                <w:color w:val="000000"/>
              </w:rPr>
              <w:t> </w:t>
            </w:r>
          </w:p>
        </w:tc>
        <w:tc>
          <w:tcPr>
            <w:tcW w:w="271" w:type="dxa"/>
            <w:tcBorders>
              <w:top w:val="doub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992" w:type="dxa"/>
            <w:gridSpan w:val="2"/>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41.1 </w:t>
            </w:r>
          </w:p>
        </w:tc>
        <w:tc>
          <w:tcPr>
            <w:tcW w:w="2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2560"/>
                <wp:effectExtent l="0" t="0" r="0" b="0"/>
                <wp:wrapNone/>
                <wp:docPr id="29" name="Frame2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S-5</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Humana Inc. </w:t>
      </w:r>
    </w:p>
    <w:p>
      <w:pPr>
        <w:pStyle w:val="TextBody"/>
        <w:bidi w:val="0"/>
        <w:spacing w:lineRule="auto" w:line="288" w:before="0" w:after="0"/>
        <w:jc w:val="left"/>
        <w:rPr/>
      </w:pPr>
      <w:r>
        <w:rPr>
          <w:rFonts w:ascii="sans-serif" w:hAnsi="sans-serif"/>
          <w:b w:val="false"/>
          <w:color w:val="000000"/>
          <w:sz w:val="20"/>
        </w:rPr>
        <w:t xml:space="preserve">Consolidated Statements of Cash Flows (Unaudited) </w:t>
      </w:r>
      <w:r>
        <w:rPr>
          <w:rFonts w:ascii="sans-serif" w:hAnsi="sans-serif"/>
          <w:b w:val="false"/>
          <w:i/>
          <w:color w:val="000000"/>
          <w:sz w:val="14"/>
        </w:rPr>
        <w:t xml:space="preserve">Dollars in millions </w:t>
      </w:r>
    </w:p>
    <w:tbl>
      <w:tblPr>
        <w:tblW w:w="10205" w:type="dxa"/>
        <w:jc w:val="center"/>
        <w:tblInd w:w="0" w:type="dxa"/>
        <w:tblLayout w:type="fixed"/>
        <w:tblCellMar>
          <w:top w:w="28" w:type="dxa"/>
          <w:left w:w="28" w:type="dxa"/>
          <w:bottom w:w="28" w:type="dxa"/>
          <w:right w:w="28" w:type="dxa"/>
        </w:tblCellMar>
      </w:tblPr>
      <w:tblGrid>
        <w:gridCol w:w="2483"/>
        <w:gridCol w:w="2126"/>
        <w:gridCol w:w="2135"/>
        <w:gridCol w:w="352"/>
        <w:gridCol w:w="1103"/>
        <w:gridCol w:w="169"/>
        <w:gridCol w:w="329"/>
        <w:gridCol w:w="962"/>
        <w:gridCol w:w="169"/>
        <w:gridCol w:w="109"/>
        <w:gridCol w:w="109"/>
        <w:gridCol w:w="159"/>
      </w:tblGrid>
      <w:tr>
        <w:trPr/>
        <w:tc>
          <w:tcPr>
            <w:tcW w:w="248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from operating activities</w:t>
            </w:r>
          </w:p>
        </w:tc>
        <w:tc>
          <w:tcPr>
            <w:tcW w:w="1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w:t>
            </w:r>
          </w:p>
        </w:tc>
        <w:tc>
          <w:tcPr>
            <w:tcW w:w="352"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1,877</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Adjustments to reconcile net income to net cash provided by operating activities:</w:t>
            </w:r>
          </w:p>
        </w:tc>
        <w:tc>
          <w:tcPr>
            <w:tcW w:w="162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Losses (gains) on investment securities, net</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Equity in net losses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116</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363</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Amortization</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Impairment of property and equipment</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Impairment of indefinite-lived intangible assets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Changes in operating assets and liabilities, net of effect of businesses acquired and disposed:</w:t>
            </w:r>
          </w:p>
        </w:tc>
        <w:tc>
          <w:tcPr>
            <w:tcW w:w="162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Receivables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(2,392)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(1,800)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assets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(902)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Benefits payable</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2,909</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liabilities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1,241</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1,010 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Unearned revenues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net</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cash provided by operating activities</w:t>
            </w:r>
          </w:p>
        </w:tc>
        <w:tc>
          <w:tcPr>
            <w:tcW w:w="14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3,220</w:t>
            </w:r>
            <w:r>
              <w:rPr>
                <w:color w:val="000000"/>
              </w:rPr>
              <w:t>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1,602 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from investing activities</w:t>
            </w:r>
          </w:p>
        </w:tc>
        <w:tc>
          <w:tcPr>
            <w:tcW w:w="1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Acquisitions, net of cash acquired</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(930)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sale of business, net</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Purchases of property and equipment, net</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(253)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Changes in securities lending collateral receivable</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Purchases of investment securities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(4,230)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(1,941)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maturities of investment securities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1,561</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sales of investment securities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1,050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cash (used in) provided by investing activities</w:t>
            </w:r>
          </w:p>
        </w:tc>
        <w:tc>
          <w:tcPr>
            <w:tcW w:w="14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(2,826)</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661 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from financing activities</w:t>
            </w:r>
          </w:p>
        </w:tc>
        <w:tc>
          <w:tcPr>
            <w:tcW w:w="1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Receipts (payments) from contract deposits, net</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547</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issuance of notes, net</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990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Repayments of notes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(281)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(repayments) from issuance of commercial paper, net</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1,300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Debt issue costs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(16)</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book overdraft</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Common stock repurchases</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(108)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Dividends paid</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(214)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securities lending payable</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rebate factor payable</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cash provided by (used in) financing activities</w:t>
            </w:r>
          </w:p>
        </w:tc>
        <w:tc>
          <w:tcPr>
            <w:tcW w:w="14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2,299</w:t>
            </w:r>
            <w:r>
              <w:rPr>
                <w:color w:val="000000"/>
              </w:rPr>
              <w:t>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(444)</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Increase in cash and cash equivalents</w:t>
            </w:r>
          </w:p>
        </w:tc>
        <w:tc>
          <w:tcPr>
            <w:tcW w:w="14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2,693</w:t>
            </w:r>
            <w:r>
              <w:rPr>
                <w:color w:val="000000"/>
              </w:rPr>
              <w:t>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1,819 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and cash equivalents at beginning of period</w:t>
            </w:r>
          </w:p>
        </w:tc>
        <w:tc>
          <w:tcPr>
            <w:tcW w:w="1455"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4,200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2,221 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Cash and cash equivalents at end of period </w:t>
            </w:r>
          </w:p>
        </w:tc>
        <w:tc>
          <w:tcPr>
            <w:tcW w:w="352" w:type="dxa"/>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6,893</w:t>
            </w:r>
            <w:r>
              <w:rPr>
                <w:color w:val="000000"/>
              </w:rPr>
              <w:t> </w:t>
            </w:r>
          </w:p>
        </w:tc>
        <w:tc>
          <w:tcPr>
            <w:tcW w:w="1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4,040 </w:t>
            </w:r>
          </w:p>
        </w:tc>
        <w:tc>
          <w:tcPr>
            <w:tcW w:w="1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2560"/>
                <wp:effectExtent l="0" t="0" r="0" b="0"/>
                <wp:wrapNone/>
                <wp:docPr id="30" name="Frame2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S-6</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Humana Inc.</w:t>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Consolidating Statements of Income—For the three months ended June 30, 2026 (Unaudited)</w:t>
      </w:r>
    </w:p>
    <w:p>
      <w:pPr>
        <w:pStyle w:val="TextBody"/>
        <w:bidi w:val="0"/>
        <w:spacing w:lineRule="auto" w:line="288" w:before="0" w:after="0"/>
        <w:jc w:val="left"/>
        <w:rPr>
          <w:rFonts w:ascii="sans-serif" w:hAnsi="sans-serif"/>
          <w:b w:val="false"/>
          <w:i/>
          <w:color w:val="000000"/>
          <w:sz w:val="20"/>
        </w:rPr>
      </w:pPr>
      <w:r>
        <w:rPr>
          <w:rFonts w:ascii="sans-serif" w:hAnsi="sans-serif"/>
          <w:b w:val="false"/>
          <w:i/>
          <w:color w:val="000000"/>
          <w:sz w:val="20"/>
        </w:rPr>
        <w:t xml:space="preserve">In millions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73"/>
        <w:gridCol w:w="1106"/>
        <w:gridCol w:w="1108"/>
        <w:gridCol w:w="226"/>
        <w:gridCol w:w="826"/>
        <w:gridCol w:w="286"/>
        <w:gridCol w:w="109"/>
        <w:gridCol w:w="109"/>
        <w:gridCol w:w="109"/>
        <w:gridCol w:w="284"/>
        <w:gridCol w:w="661"/>
        <w:gridCol w:w="361"/>
        <w:gridCol w:w="109"/>
        <w:gridCol w:w="109"/>
        <w:gridCol w:w="109"/>
        <w:gridCol w:w="462"/>
        <w:gridCol w:w="830"/>
        <w:gridCol w:w="224"/>
        <w:gridCol w:w="109"/>
        <w:gridCol w:w="109"/>
        <w:gridCol w:w="109"/>
        <w:gridCol w:w="257"/>
        <w:gridCol w:w="941"/>
        <w:gridCol w:w="379"/>
      </w:tblGrid>
      <w:tr>
        <w:trPr/>
        <w:tc>
          <w:tcPr>
            <w:tcW w:w="12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CenterWell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Eliminations/</w:t>
              <w:b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Consolidated</w:t>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Revenues—external customers premiums:</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Individual Medicare Advantage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28,875 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28,875 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Group Medicare Advantage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2,851 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Medicare stand-alone PDP</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2,995 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Medicare</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34,721 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34,721 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State-based contracts and other</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3,501 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Specialty benefits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Medicare Supplement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premiums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38,834 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38,834 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Services revenue:</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Home solutions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Primary care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839 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Pharmacy solutions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Military services and other</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services revenue</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1,581 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1,780 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revenues—external customers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39,033 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1,581 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40,614 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Intersegment revenues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5,209 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(5,211)</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investment income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39,140 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6,790 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(5,063)</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40,867 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expenses:</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35,423 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35,370 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6,276 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3,978 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operating expenses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38,320 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6,324 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(5,137)</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39,507 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Income from operations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466 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1,360 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Benefit ratio</w:t>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91.2 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91.1 </w:t>
            </w:r>
          </w:p>
        </w:tc>
        <w:tc>
          <w:tcPr>
            <w:tcW w:w="37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cost ratio</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92.4 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9.8 </w:t>
            </w:r>
          </w:p>
        </w:tc>
        <w:tc>
          <w:tcPr>
            <w:tcW w:w="37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
        <w:jc w:val="left"/>
        <w:rPr>
          <w:rFonts w:ascii="sans-serif" w:hAnsi="sans-serif"/>
          <w:b w:val="false"/>
          <w:color w:val="000000"/>
          <w:sz w:val="16"/>
        </w:rPr>
      </w:pPr>
      <w:r>
        <w:rPr>
          <w:rFonts w:ascii="sans-serif" w:hAnsi="sans-serif"/>
          <w:b w:val="false"/>
          <w:color w:val="000000"/>
          <w:sz w:val="16"/>
        </w:rPr>
        <w:t>Benefit ratio represents benefits expense as a percentage of premiums revenue.</w:t>
      </w:r>
    </w:p>
    <w:p>
      <w:pPr>
        <w:pStyle w:val="TextBody"/>
        <w:bidi w:val="0"/>
        <w:spacing w:lineRule="auto" w:line="288" w:before="0" w:after="20"/>
        <w:jc w:val="left"/>
        <w:rPr>
          <w:rFonts w:ascii="sans-serif" w:hAnsi="sans-serif"/>
          <w:b w:val="false"/>
          <w:color w:val="000000"/>
          <w:sz w:val="16"/>
        </w:rPr>
      </w:pPr>
      <w:r>
        <w:rPr>
          <w:rFonts w:ascii="sans-serif" w:hAnsi="sans-serif"/>
          <w:b w:val="false"/>
          <w:color w:val="000000"/>
          <w:sz w:val="16"/>
        </w:rPr>
        <w:t xml:space="preserve">Operating cost ratio represents operating costs, excluding depreciation and amortization, as a percentage of total revenues less net investment income.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2560"/>
                <wp:effectExtent l="0" t="0" r="0" b="0"/>
                <wp:wrapNone/>
                <wp:docPr id="31" name="Frame2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S-7</w:t>
                      </w:r>
                    </w:p>
                  </w:txbxContent>
                </v:textbox>
                <w10:wrap type="none"/>
              </v:rect>
            </w:pict>
          </mc:Fallback>
        </mc:AlternateContent>
      </w:r>
    </w:p>
    <w:p>
      <w:pPr>
        <w:pStyle w:val="TextBody"/>
        <w:bidi w:val="0"/>
        <w:spacing w:lineRule="auto" w:line="288" w:before="0" w:after="20"/>
        <w:jc w:val="left"/>
        <w:rPr>
          <w:rFonts w:ascii="sans-serif" w:hAnsi="sans-serif"/>
          <w:b w:val="false"/>
          <w:color w:val="000000"/>
          <w:sz w:val="28"/>
        </w:rPr>
      </w:pPr>
      <w:r>
        <w:rPr>
          <w:rFonts w:ascii="sans-serif" w:hAnsi="sans-serif"/>
          <w:b w:val="false"/>
          <w:color w:val="000000"/>
          <w:sz w:val="28"/>
        </w:rPr>
        <w:t>Humana Inc.</w:t>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Consolidating Statements of Income—For the three months ended June 30, 2025 (Unaudited)</w:t>
      </w:r>
    </w:p>
    <w:p>
      <w:pPr>
        <w:pStyle w:val="TextBody"/>
        <w:bidi w:val="0"/>
        <w:spacing w:lineRule="auto" w:line="288" w:before="0" w:after="0"/>
        <w:jc w:val="left"/>
        <w:rPr>
          <w:rFonts w:ascii="sans-serif" w:hAnsi="sans-serif"/>
          <w:b w:val="false"/>
          <w:i/>
          <w:color w:val="000000"/>
          <w:sz w:val="20"/>
        </w:rPr>
      </w:pPr>
      <w:r>
        <w:rPr>
          <w:rFonts w:ascii="sans-serif" w:hAnsi="sans-serif"/>
          <w:b w:val="false"/>
          <w:i/>
          <w:color w:val="000000"/>
          <w:sz w:val="20"/>
        </w:rPr>
        <w:t>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73"/>
        <w:gridCol w:w="1106"/>
        <w:gridCol w:w="1108"/>
        <w:gridCol w:w="226"/>
        <w:gridCol w:w="826"/>
        <w:gridCol w:w="286"/>
        <w:gridCol w:w="109"/>
        <w:gridCol w:w="109"/>
        <w:gridCol w:w="109"/>
        <w:gridCol w:w="284"/>
        <w:gridCol w:w="661"/>
        <w:gridCol w:w="361"/>
        <w:gridCol w:w="109"/>
        <w:gridCol w:w="109"/>
        <w:gridCol w:w="109"/>
        <w:gridCol w:w="453"/>
        <w:gridCol w:w="844"/>
        <w:gridCol w:w="219"/>
        <w:gridCol w:w="109"/>
        <w:gridCol w:w="109"/>
        <w:gridCol w:w="109"/>
        <w:gridCol w:w="257"/>
        <w:gridCol w:w="941"/>
        <w:gridCol w:w="379"/>
      </w:tblGrid>
      <w:tr>
        <w:trPr/>
        <w:tc>
          <w:tcPr>
            <w:tcW w:w="12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CenterWell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Eliminations/</w:t>
              <w:b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Consolidated</w:t>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Revenues—external customers premiums:</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Individual Medicare Advantage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22,764 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Group Medicare Advantage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Medicare stand-alone PDP</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1,721 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Medicare</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26,745 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26,745 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State-based contracts and other </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3,460 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Specialty 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 </w:t>
            </w:r>
            <w:r>
              <w:rPr>
                <w:rFonts w:ascii="sans-serif" w:hAnsi="sans-serif"/>
                <w:b w:val="false"/>
                <w:color w:val="000000"/>
                <w:sz w:val="20"/>
              </w:rPr>
              <w:t>Medicare Supplement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premiums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30,716 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30,716 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Services revenue:</w:t>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Home solutions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Primary care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Pharmacy solutions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Military services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services revenue</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1,194 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1,400 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revenues—external customers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30,922 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1,194 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32,116 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Intersegment revenues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4,343 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(4,344)</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investment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31,094 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5,537 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(4,243)</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32,388 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expenses:</w:t>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27,565 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3,547 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operating expenses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30,328 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5,193 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(4,231)</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31,290 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Income (loss) from operations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1,098 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Benefit ratio</w:t>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89.9 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89.7 </w:t>
            </w:r>
          </w:p>
        </w:tc>
        <w:tc>
          <w:tcPr>
            <w:tcW w:w="3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cost ratio</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92.7 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
        <w:jc w:val="left"/>
        <w:rPr>
          <w:rFonts w:ascii="sans-serif" w:hAnsi="sans-serif"/>
          <w:b w:val="false"/>
          <w:color w:val="000000"/>
          <w:sz w:val="16"/>
        </w:rPr>
      </w:pPr>
      <w:r>
        <w:rPr>
          <w:rFonts w:ascii="sans-serif" w:hAnsi="sans-serif"/>
          <w:b w:val="false"/>
          <w:color w:val="000000"/>
          <w:sz w:val="16"/>
        </w:rPr>
        <w:t>Benefit ratio represents benefits expense as a percentage of premiums revenue.</w:t>
      </w:r>
    </w:p>
    <w:p>
      <w:pPr>
        <w:pStyle w:val="TextBody"/>
        <w:bidi w:val="0"/>
        <w:spacing w:lineRule="auto" w:line="288" w:before="0" w:after="20"/>
        <w:jc w:val="left"/>
        <w:rPr>
          <w:rFonts w:ascii="sans-serif" w:hAnsi="sans-serif"/>
          <w:b w:val="false"/>
          <w:color w:val="000000"/>
          <w:sz w:val="16"/>
        </w:rPr>
      </w:pPr>
      <w:r>
        <w:rPr>
          <w:rFonts w:ascii="sans-serif" w:hAnsi="sans-serif"/>
          <w:b w:val="false"/>
          <w:color w:val="000000"/>
          <w:sz w:val="16"/>
        </w:rPr>
        <w:t>Operating cost ratio represents operating costs, excluding depreciation and amortization, as a percentage of total revenues less net investment income.</w:t>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2560"/>
                <wp:effectExtent l="0" t="0" r="0" b="0"/>
                <wp:wrapNone/>
                <wp:docPr id="32" name="Frame3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S-8</w:t>
                      </w:r>
                    </w:p>
                  </w:txbxContent>
                </v:textbox>
                <w10:wrap type="none"/>
              </v:rect>
            </w:pict>
          </mc:Fallback>
        </mc:AlternateContent>
      </w:r>
    </w:p>
    <w:p>
      <w:pPr>
        <w:pStyle w:val="TextBody"/>
        <w:bidi w:val="0"/>
        <w:spacing w:before="0" w:after="20"/>
        <w:jc w:val="center"/>
        <w:rPr/>
      </w:pPr>
      <w:r>
        <w:rPr/>
      </w:r>
    </w:p>
    <w:p>
      <w:pPr>
        <w:pStyle w:val="TextBody"/>
        <w:bidi w:val="0"/>
        <w:spacing w:lineRule="auto" w:line="288" w:before="0" w:after="20"/>
        <w:jc w:val="left"/>
        <w:rPr>
          <w:rFonts w:ascii="sans-serif" w:hAnsi="sans-serif"/>
          <w:b w:val="false"/>
          <w:color w:val="000000"/>
          <w:sz w:val="28"/>
        </w:rPr>
      </w:pPr>
      <w:r>
        <w:rPr>
          <w:rFonts w:ascii="sans-serif" w:hAnsi="sans-serif"/>
          <w:b w:val="false"/>
          <w:color w:val="000000"/>
          <w:sz w:val="28"/>
        </w:rPr>
        <w:t>Humana Inc.</w:t>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Consolidating Statements of Income—For the six months ended June 30, 2026 (Unaudited)</w:t>
      </w:r>
    </w:p>
    <w:p>
      <w:pPr>
        <w:pStyle w:val="TextBody"/>
        <w:bidi w:val="0"/>
        <w:spacing w:lineRule="auto" w:line="288" w:before="0" w:after="0"/>
        <w:jc w:val="left"/>
        <w:rPr>
          <w:rFonts w:ascii="sans-serif" w:hAnsi="sans-serif"/>
          <w:b w:val="false"/>
          <w:i/>
          <w:color w:val="000000"/>
          <w:sz w:val="20"/>
        </w:rPr>
      </w:pPr>
      <w:r>
        <w:rPr>
          <w:rFonts w:ascii="sans-serif" w:hAnsi="sans-serif"/>
          <w:b w:val="false"/>
          <w:i/>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273"/>
        <w:gridCol w:w="1106"/>
        <w:gridCol w:w="1108"/>
        <w:gridCol w:w="226"/>
        <w:gridCol w:w="826"/>
        <w:gridCol w:w="286"/>
        <w:gridCol w:w="109"/>
        <w:gridCol w:w="109"/>
        <w:gridCol w:w="109"/>
        <w:gridCol w:w="284"/>
        <w:gridCol w:w="661"/>
        <w:gridCol w:w="361"/>
        <w:gridCol w:w="109"/>
        <w:gridCol w:w="109"/>
        <w:gridCol w:w="109"/>
        <w:gridCol w:w="397"/>
        <w:gridCol w:w="926"/>
        <w:gridCol w:w="193"/>
        <w:gridCol w:w="109"/>
        <w:gridCol w:w="109"/>
        <w:gridCol w:w="109"/>
        <w:gridCol w:w="257"/>
        <w:gridCol w:w="941"/>
        <w:gridCol w:w="379"/>
      </w:tblGrid>
      <w:tr>
        <w:trPr/>
        <w:tc>
          <w:tcPr>
            <w:tcW w:w="12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CenterWell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Eliminations/</w:t>
              <w:b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Consolidated</w:t>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Revenues—external customers premiums:</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Individual Medicare Advantage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57,127 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57,127 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Group Medicare Advantage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5,762 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5,762 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Medicare stand-alone PDP</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5,612 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Medicare</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68,501 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68,501 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State-based contracts and other</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6,833 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6,833 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Specialty benefits </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Medicare Supplement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673 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premiums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76,543 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76,543 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Services revenue:</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Home solutions </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Primary care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1,627 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Pharmacy solutions </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Military services and other</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services revenue</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3,009 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3,457 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revenues—external customers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76,989 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3,009 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80,000 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Intersegment revenues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9,881 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(9,884)</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investment income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77,199 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12,890 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(9,574)</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80,515 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expenses:</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69,121 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69,077 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5,542 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12,038 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(9,578)</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8,002 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operating expenses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74,944 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12,135 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(9,678)</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77,401 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Income from operations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755 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3,114 </w:t>
            </w:r>
          </w:p>
        </w:tc>
        <w:tc>
          <w:tcPr>
            <w:tcW w:w="3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Benefit ratio</w:t>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90.3 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90.2 </w:t>
            </w:r>
          </w:p>
        </w:tc>
        <w:tc>
          <w:tcPr>
            <w:tcW w:w="3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cost ratio</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93.4 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
        <w:ind w:left="0" w:right="0" w:hanging="630"/>
        <w:jc w:val="left"/>
        <w:rPr>
          <w:rFonts w:ascii="sans-serif" w:hAnsi="sans-serif"/>
          <w:b w:val="false"/>
          <w:color w:val="000000"/>
          <w:sz w:val="16"/>
        </w:rPr>
      </w:pPr>
      <w:r>
        <w:rPr>
          <w:rFonts w:ascii="sans-serif" w:hAnsi="sans-serif"/>
          <w:b w:val="false"/>
          <w:color w:val="000000"/>
          <w:sz w:val="16"/>
        </w:rPr>
        <w:t>Benefit ratio represents benefits expense as a percentage of premiums revenue.</w:t>
      </w:r>
    </w:p>
    <w:p>
      <w:pPr>
        <w:pStyle w:val="TextBody"/>
        <w:bidi w:val="0"/>
        <w:spacing w:lineRule="auto" w:line="288" w:before="0" w:after="20"/>
        <w:jc w:val="left"/>
        <w:rPr>
          <w:rFonts w:ascii="sans-serif" w:hAnsi="sans-serif"/>
          <w:b w:val="false"/>
          <w:color w:val="000000"/>
          <w:sz w:val="16"/>
        </w:rPr>
      </w:pPr>
      <w:r>
        <w:rPr>
          <w:rFonts w:ascii="sans-serif" w:hAnsi="sans-serif"/>
          <w:b w:val="false"/>
          <w:color w:val="000000"/>
          <w:sz w:val="16"/>
        </w:rPr>
        <w:t>Operating cost ratio represents operating costs, excluding depreciation and amortization, as a percentage of total revenues less net investment income.</w:t>
      </w:r>
    </w:p>
    <w:p>
      <w:pPr>
        <w:pStyle w:val="TextBody"/>
        <w:bidi w:val="0"/>
        <w:spacing w:before="0" w:after="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2560"/>
                <wp:effectExtent l="0" t="0" r="0" b="0"/>
                <wp:wrapNone/>
                <wp:docPr id="33" name="Frame3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S-9</w:t>
                      </w:r>
                    </w:p>
                  </w:txbxContent>
                </v:textbox>
                <w10:wrap type="none"/>
              </v:rect>
            </w:pict>
          </mc:Fallback>
        </mc:AlternateContent>
      </w:r>
    </w:p>
    <w:p>
      <w:pPr>
        <w:pStyle w:val="TextBody"/>
        <w:bidi w:val="0"/>
        <w:spacing w:lineRule="auto" w:line="288" w:before="0" w:after="20"/>
        <w:jc w:val="left"/>
        <w:rPr>
          <w:rFonts w:ascii="sans-serif" w:hAnsi="sans-serif"/>
          <w:b w:val="false"/>
          <w:color w:val="000000"/>
          <w:sz w:val="28"/>
        </w:rPr>
      </w:pPr>
      <w:r>
        <w:rPr>
          <w:rFonts w:ascii="sans-serif" w:hAnsi="sans-serif"/>
          <w:b w:val="false"/>
          <w:color w:val="000000"/>
          <w:sz w:val="28"/>
        </w:rPr>
        <w:t>Humana Inc.</w:t>
      </w:r>
    </w:p>
    <w:p>
      <w:pPr>
        <w:pStyle w:val="TextBody"/>
        <w:bidi w:val="0"/>
        <w:spacing w:lineRule="auto" w:line="288" w:before="0" w:after="20"/>
        <w:jc w:val="left"/>
        <w:rPr>
          <w:rFonts w:ascii="sans-serif" w:hAnsi="sans-serif"/>
          <w:b w:val="false"/>
          <w:color w:val="000000"/>
          <w:sz w:val="28"/>
        </w:rPr>
      </w:pPr>
      <w:r>
        <w:rPr>
          <w:rFonts w:ascii="sans-serif" w:hAnsi="sans-serif"/>
          <w:b w:val="false"/>
          <w:color w:val="000000"/>
          <w:sz w:val="28"/>
        </w:rPr>
        <w:t>Consolidating Statements of Income—For the six months ended June 30, 2025 (Unaudited)</w:t>
      </w:r>
    </w:p>
    <w:p>
      <w:pPr>
        <w:pStyle w:val="TextBody"/>
        <w:bidi w:val="0"/>
        <w:spacing w:lineRule="auto" w:line="288" w:before="0" w:after="0"/>
        <w:jc w:val="left"/>
        <w:rPr>
          <w:rFonts w:ascii="sans-serif" w:hAnsi="sans-serif"/>
          <w:b w:val="false"/>
          <w:i/>
          <w:color w:val="000000"/>
          <w:sz w:val="20"/>
        </w:rPr>
      </w:pPr>
      <w:r>
        <w:rPr>
          <w:rFonts w:ascii="sans-serif" w:hAnsi="sans-serif"/>
          <w:b w:val="false"/>
          <w:i/>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042"/>
        <w:gridCol w:w="894"/>
        <w:gridCol w:w="896"/>
        <w:gridCol w:w="226"/>
        <w:gridCol w:w="826"/>
        <w:gridCol w:w="286"/>
        <w:gridCol w:w="109"/>
        <w:gridCol w:w="109"/>
        <w:gridCol w:w="109"/>
        <w:gridCol w:w="284"/>
        <w:gridCol w:w="661"/>
        <w:gridCol w:w="361"/>
        <w:gridCol w:w="109"/>
        <w:gridCol w:w="109"/>
        <w:gridCol w:w="109"/>
        <w:gridCol w:w="109"/>
        <w:gridCol w:w="109"/>
        <w:gridCol w:w="109"/>
        <w:gridCol w:w="109"/>
        <w:gridCol w:w="109"/>
        <w:gridCol w:w="109"/>
        <w:gridCol w:w="462"/>
        <w:gridCol w:w="830"/>
        <w:gridCol w:w="224"/>
        <w:gridCol w:w="109"/>
        <w:gridCol w:w="109"/>
        <w:gridCol w:w="109"/>
        <w:gridCol w:w="257"/>
        <w:gridCol w:w="941"/>
        <w:gridCol w:w="380"/>
      </w:tblGrid>
      <w:tr>
        <w:trPr/>
        <w:tc>
          <w:tcPr>
            <w:tcW w:w="104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CenterWell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Eliminations/</w:t>
              <w:b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Consolidated</w:t>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Revenues—external customers premiums:</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Individual Medicare Advantage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45,445 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45,445 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Group Medicare Advantage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4,582 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Medicare stand-alone PDP</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3,169 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Medicare</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53,196 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53,196 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State-based contracts and other</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7,028 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Specialty benefits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Medicare Supplement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516 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premiums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61,230 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61,230 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Services revenue:</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Home solutions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695 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Primary care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982 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Pharmacy solutions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Military services and other</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services revenue</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2,276 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2,734 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revenues—external customers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61,688 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2,276 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63,964 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Intersegment revenues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8,356 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(8,358)</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investment income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62,031 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10,632 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(8,163)</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64,500 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expenses:</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54,296 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54,100 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5,092 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(7,942)</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6,927 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operating expenses</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59,691 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9,896 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(8,199)</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61,388 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Income from operations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736 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3,112 </w:t>
            </w:r>
          </w:p>
        </w:tc>
        <w:tc>
          <w:tcPr>
            <w:tcW w:w="3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Benefit ratio</w:t>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88.4 </w:t>
            </w:r>
          </w:p>
        </w:tc>
        <w:tc>
          <w:tcPr>
            <w:tcW w:w="38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cost ratio</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92.0 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
        <w:jc w:val="left"/>
        <w:rPr>
          <w:rFonts w:ascii="sans-serif" w:hAnsi="sans-serif"/>
          <w:b w:val="false"/>
          <w:color w:val="000000"/>
          <w:sz w:val="16"/>
        </w:rPr>
      </w:pPr>
      <w:r>
        <w:rPr>
          <w:rFonts w:ascii="sans-serif" w:hAnsi="sans-serif"/>
          <w:b w:val="false"/>
          <w:color w:val="000000"/>
          <w:sz w:val="16"/>
        </w:rPr>
        <w:t>Benefit ratio represents benefits expense as a percentage of premiums revenue.</w:t>
      </w:r>
    </w:p>
    <w:p>
      <w:pPr>
        <w:pStyle w:val="TextBody"/>
        <w:bidi w:val="0"/>
        <w:spacing w:lineRule="auto" w:line="288" w:before="0" w:after="20"/>
        <w:jc w:val="left"/>
        <w:rPr>
          <w:rFonts w:ascii="sans-serif" w:hAnsi="sans-serif"/>
          <w:b w:val="false"/>
          <w:color w:val="000000"/>
          <w:sz w:val="16"/>
        </w:rPr>
      </w:pPr>
      <w:r>
        <w:rPr>
          <w:rFonts w:ascii="sans-serif" w:hAnsi="sans-serif"/>
          <w:b w:val="false"/>
          <w:color w:val="000000"/>
          <w:sz w:val="16"/>
        </w:rPr>
        <w:t>Operating cost ratio represents operating costs, excluding depreciation and amortization, as a percentage of total revenues less net investment income.</w:t>
      </w:r>
    </w:p>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2560"/>
                <wp:effectExtent l="0" t="0" r="0" b="0"/>
                <wp:wrapNone/>
                <wp:docPr id="34" name="Frame3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S-10</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Humana Inc.</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Membership Detail (Unaudited) </w:t>
      </w:r>
    </w:p>
    <w:p>
      <w:pPr>
        <w:pStyle w:val="TextBody"/>
        <w:bidi w:val="0"/>
        <w:spacing w:lineRule="auto" w:line="288" w:before="0" w:after="0"/>
        <w:jc w:val="left"/>
        <w:rPr>
          <w:rFonts w:ascii="sans-serif" w:hAnsi="sans-serif"/>
          <w:b w:val="false"/>
          <w:i/>
          <w:color w:val="000000"/>
          <w:sz w:val="18"/>
        </w:rPr>
      </w:pPr>
      <w:r>
        <w:rPr>
          <w:rFonts w:ascii="sans-serif" w:hAnsi="sans-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1011"/>
        <w:gridCol w:w="889"/>
        <w:gridCol w:w="846"/>
        <w:gridCol w:w="533"/>
        <w:gridCol w:w="473"/>
        <w:gridCol w:w="291"/>
        <w:gridCol w:w="651"/>
        <w:gridCol w:w="392"/>
        <w:gridCol w:w="675"/>
        <w:gridCol w:w="271"/>
        <w:gridCol w:w="271"/>
        <w:gridCol w:w="271"/>
        <w:gridCol w:w="488"/>
        <w:gridCol w:w="406"/>
        <w:gridCol w:w="271"/>
        <w:gridCol w:w="271"/>
        <w:gridCol w:w="271"/>
        <w:gridCol w:w="271"/>
        <w:gridCol w:w="488"/>
        <w:gridCol w:w="406"/>
        <w:gridCol w:w="759"/>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8"/>
              </w:rPr>
            </w:pPr>
            <w:r>
              <w:rPr>
                <w:rFonts w:ascii="sans-serif" w:hAnsi="sans-serif"/>
                <w:b w:val="false"/>
                <w:i/>
                <w:color w:val="000000"/>
                <w:sz w:val="18"/>
              </w:rPr>
              <w:t xml:space="preserve">Members may not be unique to each product since members have the ability to enroll in more than one product. </w:t>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171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Average 2Q26</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June 30, 2025</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December 31, 2025</w:t>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Medical Membership:</w:t>
            </w:r>
          </w:p>
        </w:tc>
        <w:tc>
          <w:tcPr>
            <w:tcW w:w="129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Individual Medicare Advantage*</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6,453.7</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6,446.3</w:t>
            </w:r>
            <w:r>
              <w:rPr>
                <w:color w:val="000000"/>
              </w:rPr>
              <w:t>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5,229.3 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5,249.3 </w:t>
            </w:r>
          </w:p>
        </w:tc>
        <w:tc>
          <w:tcPr>
            <w:tcW w:w="7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Group Medicare Advantage (B)</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727.2</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727.4</w:t>
            </w:r>
            <w:r>
              <w:rPr>
                <w:color w:val="000000"/>
              </w:rPr>
              <w:t>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568.4 </w:t>
            </w:r>
          </w:p>
        </w:tc>
        <w:tc>
          <w:tcPr>
            <w:tcW w:w="7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 Medicare Advantage</w:t>
            </w:r>
          </w:p>
        </w:tc>
        <w:tc>
          <w:tcPr>
            <w:tcW w:w="10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7,180.9</w:t>
            </w: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7,173.7</w:t>
            </w:r>
            <w:r>
              <w:rPr>
                <w:color w:val="000000"/>
              </w:rPr>
              <w:t> </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5,799.3 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5,817.7 </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Medicare stand-alone PDP (B)</w:t>
            </w:r>
          </w:p>
        </w:tc>
        <w:tc>
          <w:tcPr>
            <w:tcW w:w="10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3,946.4</w:t>
            </w: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3,913.5</w:t>
            </w:r>
            <w:r>
              <w:rPr>
                <w:color w:val="000000"/>
              </w:rPr>
              <w:t> </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2,427.1 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2,462.6 </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 Medicare</w:t>
            </w:r>
          </w:p>
        </w:tc>
        <w:tc>
          <w:tcPr>
            <w:tcW w:w="10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11,127.3</w:t>
            </w: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11,087.2</w:t>
            </w:r>
            <w:r>
              <w:rPr>
                <w:color w:val="000000"/>
              </w:rPr>
              <w:t> </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8,226.4 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8,280.3 </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Medicare Supplement</w:t>
            </w:r>
          </w:p>
        </w:tc>
        <w:tc>
          <w:tcPr>
            <w:tcW w:w="10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551.5</w:t>
            </w: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546.4</w:t>
            </w:r>
            <w:r>
              <w:rPr>
                <w:color w:val="000000"/>
              </w:rPr>
              <w:t> </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444.1 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498.4 </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State-based contracts and other (C)</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1,603.2</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1,610.3</w:t>
            </w:r>
            <w:r>
              <w:rPr>
                <w:color w:val="000000"/>
              </w:rPr>
              <w:t>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1,582.9 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1,615.6 </w:t>
            </w:r>
          </w:p>
        </w:tc>
        <w:tc>
          <w:tcPr>
            <w:tcW w:w="7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Military services</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4,630.2</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4,630.2</w:t>
            </w:r>
            <w:r>
              <w:rPr>
                <w:color w:val="000000"/>
              </w:rPr>
              <w:t>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4,588.8 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4,605.4 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Total Medical Membership</w:t>
            </w:r>
          </w:p>
        </w:tc>
        <w:tc>
          <w:tcPr>
            <w:tcW w:w="10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17,912.2</w:t>
            </w: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17,874.1</w:t>
            </w:r>
            <w:r>
              <w:rPr>
                <w:color w:val="000000"/>
              </w:rPr>
              <w:t> </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14,842.2 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14,999.7 </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Specialty Membership:</w:t>
            </w:r>
          </w:p>
        </w:tc>
        <w:tc>
          <w:tcPr>
            <w:tcW w:w="1297"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Dental—fully-insured (D)</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2,192.5</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2,197.6</w:t>
            </w:r>
            <w:r>
              <w:rPr>
                <w:color w:val="000000"/>
              </w:rPr>
              <w:t>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2,107.6 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Dental—ASO</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314.1</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314.4</w:t>
            </w:r>
            <w:r>
              <w:rPr>
                <w:color w:val="000000"/>
              </w:rPr>
              <w:t>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307.5 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 Dental</w:t>
            </w:r>
          </w:p>
        </w:tc>
        <w:tc>
          <w:tcPr>
            <w:tcW w:w="10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2,506.6</w:t>
            </w: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2,512.0</w:t>
            </w:r>
            <w:r>
              <w:rPr>
                <w:color w:val="000000"/>
              </w:rPr>
              <w:t> </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2,406.2 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2,415.1 </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Vision</w:t>
            </w:r>
          </w:p>
        </w:tc>
        <w:tc>
          <w:tcPr>
            <w:tcW w:w="10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1,969.4</w:t>
            </w: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1,969.0</w:t>
            </w:r>
            <w:r>
              <w:rPr>
                <w:color w:val="000000"/>
              </w:rPr>
              <w:t> </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1,909.7 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1,926.2 </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Other supplemental benefits</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422.8</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422.1</w:t>
            </w:r>
            <w:r>
              <w:rPr>
                <w:color w:val="000000"/>
              </w:rPr>
              <w:t> </w:t>
            </w:r>
          </w:p>
        </w:tc>
        <w:tc>
          <w:tcPr>
            <w:tcW w:w="6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401.3 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Total Specialty Membership</w:t>
            </w:r>
          </w:p>
        </w:tc>
        <w:tc>
          <w:tcPr>
            <w:tcW w:w="10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4,898.8</w:t>
            </w: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4,903.1</w:t>
            </w:r>
            <w:r>
              <w:rPr>
                <w:color w:val="000000"/>
              </w:rPr>
              <w:t> </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4,700.1 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4,742.6 </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171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Member Mix</w:t>
              <w:br/>
              <w:t>June 30, 2026</w:t>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June 30, 2025</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Member Mix</w:t>
              <w:br/>
              <w:t>June 30, 2025</w:t>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u w:val="single"/>
              </w:rPr>
            </w:pPr>
            <w:r>
              <w:rPr>
                <w:rFonts w:ascii="sans-serif" w:hAnsi="sans-serif"/>
                <w:b/>
                <w:color w:val="000000"/>
                <w:sz w:val="16"/>
                <w:u w:val="single"/>
              </w:rPr>
              <w:t>Individual Medicare Advantage Membership</w:t>
            </w:r>
          </w:p>
        </w:tc>
        <w:tc>
          <w:tcPr>
            <w:tcW w:w="129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HMO</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3,213.8</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50</w:t>
            </w:r>
            <w:r>
              <w:rPr>
                <w:color w:val="000000"/>
              </w:rPr>
              <w:t> </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2,644.8 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51 </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PPO/PFFS</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3,239.9</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50</w:t>
            </w:r>
            <w:r>
              <w:rPr>
                <w:color w:val="000000"/>
              </w:rPr>
              <w:t> </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2,584.5 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49 </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16"/>
              </w:rPr>
              <w:t>Total Individual Medicare Advantage</w:t>
            </w:r>
            <w:r>
              <w:rPr>
                <w:color w:val="000000"/>
              </w:rPr>
              <w:t xml:space="preserve"> </w:t>
            </w:r>
          </w:p>
        </w:tc>
        <w:tc>
          <w:tcPr>
            <w:tcW w:w="10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6,453.7</w:t>
            </w: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100</w:t>
            </w:r>
            <w:r>
              <w:rPr>
                <w:color w:val="000000"/>
              </w:rPr>
              <w:t> </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5,229.3 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u w:val="single"/>
              </w:rPr>
            </w:pPr>
            <w:r>
              <w:rPr>
                <w:rFonts w:ascii="sans-serif" w:hAnsi="sans-serif"/>
                <w:b/>
                <w:color w:val="000000"/>
                <w:sz w:val="16"/>
                <w:u w:val="single"/>
              </w:rPr>
              <w:t>Individual Medicare Advantage Membership</w:t>
            </w:r>
          </w:p>
        </w:tc>
        <w:tc>
          <w:tcPr>
            <w:tcW w:w="1297"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Shared Risk (E)</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2,093.1</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w:t>
            </w:r>
            <w:r>
              <w:rPr>
                <w:color w:val="000000"/>
              </w:rPr>
              <w:t> </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1,947.4 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37 </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Path to Risk (F)</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2,025.6</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w:t>
            </w:r>
            <w:r>
              <w:rPr>
                <w:color w:val="000000"/>
              </w:rPr>
              <w:t> </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31 </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Total Value-based</w:t>
            </w:r>
          </w:p>
        </w:tc>
        <w:tc>
          <w:tcPr>
            <w:tcW w:w="100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4,118.7</w:t>
            </w: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64</w:t>
            </w:r>
            <w:r>
              <w:rPr>
                <w:color w:val="000000"/>
              </w:rPr>
              <w:t> </w:t>
            </w:r>
          </w:p>
        </w:tc>
        <w:tc>
          <w:tcPr>
            <w:tcW w:w="6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3,542.3 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68 </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Other</w:t>
            </w:r>
          </w:p>
        </w:tc>
        <w:tc>
          <w:tcPr>
            <w:tcW w:w="100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2,335.0</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36</w:t>
            </w:r>
            <w:r>
              <w:rPr>
                <w:color w:val="000000"/>
              </w:rPr>
              <w:t> </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1,687.0 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32 </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Total Individual Medicare Advantage</w:t>
            </w:r>
          </w:p>
        </w:tc>
        <w:tc>
          <w:tcPr>
            <w:tcW w:w="1006" w:type="dxa"/>
            <w:gridSpan w:val="2"/>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6,453.7</w:t>
            </w:r>
            <w:r>
              <w:rPr>
                <w:color w:val="000000"/>
              </w:rPr>
              <w:t> </w:t>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100</w:t>
            </w:r>
            <w:r>
              <w:rPr>
                <w:color w:val="000000"/>
              </w:rPr>
              <w:t> </w:t>
            </w:r>
          </w:p>
        </w:tc>
        <w:tc>
          <w:tcPr>
            <w:tcW w:w="6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w:t>
            </w:r>
          </w:p>
        </w:tc>
        <w:tc>
          <w:tcPr>
            <w:tcW w:w="81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5,229.3 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bl>
    <w:p>
      <w:pPr>
        <w:pStyle w:val="TextBody"/>
        <w:bidi w:val="0"/>
        <w:spacing w:lineRule="auto" w:line="288" w:before="0" w:after="20"/>
        <w:jc w:val="left"/>
        <w:rPr/>
      </w:pPr>
      <w:r>
        <w:rPr>
          <w:rFonts w:ascii="sans-serif" w:hAnsi="sans-serif"/>
          <w:b w:val="false"/>
          <w:color w:val="000000"/>
          <w:sz w:val="16"/>
        </w:rPr>
        <w:t>*</w:t>
      </w:r>
      <w:r>
        <w:rPr>
          <w:rFonts w:ascii="sans-serif" w:hAnsi="sans-serif"/>
          <w:b w:val="false"/>
          <w:color w:val="000000"/>
          <w:sz w:val="16"/>
          <w:shd w:fill="FFFFFF" w:val="clear"/>
        </w:rPr>
        <w:t>Individual Medicare Advantage membership includes</w:t>
      </w:r>
      <w:r>
        <w:rPr>
          <w:color w:val="000000"/>
        </w:rPr>
        <w:t xml:space="preserve"> </w:t>
      </w:r>
      <w:r>
        <w:rPr>
          <w:rFonts w:ascii="sans-serif" w:hAnsi="sans-serif"/>
          <w:b w:val="false"/>
          <w:color w:val="000000"/>
          <w:sz w:val="16"/>
        </w:rPr>
        <w:t xml:space="preserve">959,900 </w:t>
      </w:r>
      <w:r>
        <w:rPr>
          <w:rFonts w:ascii="sans-serif" w:hAnsi="sans-serif"/>
          <w:b w:val="false"/>
          <w:color w:val="000000"/>
          <w:sz w:val="16"/>
          <w:shd w:fill="FFFFFF" w:val="clear"/>
        </w:rPr>
        <w:t xml:space="preserve">Dual Eligible Special Need Plan (D-SNP) members as of June 30, 2026, a net increase of 173,900, or 22 percent, from 786,000 as of June 30, 2025, and up 199,400, or </w:t>
      </w:r>
      <w:r>
        <w:rPr>
          <w:rFonts w:ascii="sans-serif" w:hAnsi="sans-serif"/>
          <w:b w:val="false"/>
          <w:color w:val="000000"/>
          <w:sz w:val="16"/>
        </w:rPr>
        <w:t>26 percent</w:t>
      </w:r>
      <w:r>
        <w:rPr>
          <w:rFonts w:ascii="sans-serif" w:hAnsi="sans-serif"/>
          <w:b w:val="false"/>
          <w:color w:val="000000"/>
          <w:sz w:val="16"/>
          <w:shd w:fill="FFFFFF" w:val="clear"/>
        </w:rPr>
        <w:t>, from 760,500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2560"/>
                <wp:effectExtent l="0" t="0" r="0" b="0"/>
                <wp:wrapNone/>
                <wp:docPr id="35" name="Frame3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S-11</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 xml:space="preserve">Humana Inc. </w:t>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Premiums and Services Revenue Detail (Unaudited)</w:t>
      </w:r>
    </w:p>
    <w:p>
      <w:pPr>
        <w:pStyle w:val="TextBody"/>
        <w:bidi w:val="0"/>
        <w:spacing w:lineRule="auto" w:line="288" w:before="0" w:after="0"/>
        <w:jc w:val="left"/>
        <w:rPr>
          <w:rFonts w:ascii="sans-serif" w:hAnsi="sans-serif"/>
          <w:b w:val="false"/>
          <w:i/>
          <w:color w:val="000000"/>
          <w:sz w:val="20"/>
        </w:rPr>
      </w:pPr>
      <w:r>
        <w:rPr>
          <w:rFonts w:ascii="sans-serif" w:hAnsi="sans-serif"/>
          <w:b w:val="false"/>
          <w:i/>
          <w:color w:val="000000"/>
          <w:sz w:val="20"/>
        </w:rPr>
        <w:t xml:space="preserve">Dollars in millions, except per member per month; includes intersegment revenues </w:t>
      </w:r>
    </w:p>
    <w:p>
      <w:pPr>
        <w:pStyle w:val="TextBody"/>
        <w:bidi w:val="0"/>
        <w:spacing w:before="0" w:after="0"/>
        <w:jc w:val="left"/>
        <w:rPr/>
      </w:pPr>
      <w:r>
        <w:rPr/>
      </w:r>
    </w:p>
    <w:tbl>
      <w:tblPr>
        <w:tblW w:w="13870" w:type="dxa"/>
        <w:jc w:val="center"/>
        <w:tblInd w:w="0" w:type="dxa"/>
        <w:tblLayout w:type="fixed"/>
        <w:tblCellMar>
          <w:top w:w="28" w:type="dxa"/>
          <w:left w:w="28" w:type="dxa"/>
          <w:bottom w:w="28" w:type="dxa"/>
          <w:right w:w="28" w:type="dxa"/>
        </w:tblCellMar>
      </w:tblPr>
      <w:tblGrid>
        <w:gridCol w:w="635"/>
        <w:gridCol w:w="440"/>
        <w:gridCol w:w="441"/>
        <w:gridCol w:w="296"/>
        <w:gridCol w:w="1101"/>
        <w:gridCol w:w="142"/>
        <w:gridCol w:w="296"/>
        <w:gridCol w:w="1081"/>
        <w:gridCol w:w="145"/>
        <w:gridCol w:w="109"/>
        <w:gridCol w:w="109"/>
        <w:gridCol w:w="109"/>
        <w:gridCol w:w="226"/>
        <w:gridCol w:w="841"/>
        <w:gridCol w:w="109"/>
        <w:gridCol w:w="226"/>
        <w:gridCol w:w="826"/>
        <w:gridCol w:w="109"/>
        <w:gridCol w:w="109"/>
        <w:gridCol w:w="109"/>
        <w:gridCol w:w="109"/>
        <w:gridCol w:w="378"/>
        <w:gridCol w:w="1207"/>
        <w:gridCol w:w="182"/>
        <w:gridCol w:w="378"/>
        <w:gridCol w:w="1182"/>
        <w:gridCol w:w="184"/>
        <w:gridCol w:w="294"/>
        <w:gridCol w:w="939"/>
        <w:gridCol w:w="142"/>
        <w:gridCol w:w="294"/>
        <w:gridCol w:w="919"/>
        <w:gridCol w:w="203"/>
      </w:tblGrid>
      <w:tr>
        <w:trPr/>
        <w:tc>
          <w:tcPr>
            <w:tcW w:w="63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For the 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Per Member per Month (J)</w:t>
              <w:br/>
              <w:t>For the three months ended June 30,</w:t>
            </w:r>
          </w:p>
        </w:tc>
        <w:tc>
          <w:tcPr>
            <w:tcW w:w="27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Per Member per Month (J)</w:t>
              <w:br/>
              <w:t>For the six months ended June 30,</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152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116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2025</w:t>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Insurance</w:t>
            </w:r>
          </w:p>
        </w:tc>
        <w:tc>
          <w:tcPr>
            <w:tcW w:w="15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Individual Medicare Advantage</w:t>
            </w:r>
          </w:p>
        </w:tc>
        <w:tc>
          <w:tcPr>
            <w:tcW w:w="29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28,875</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22,764 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57,127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2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1,493</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3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1,488</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Group Medicare Advantage</w:t>
            </w:r>
          </w:p>
        </w:tc>
        <w:tc>
          <w:tcPr>
            <w:tcW w:w="13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2,851</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1,306</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1,318</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Medicare stand-alone PDP</w:t>
            </w:r>
          </w:p>
        </w:tc>
        <w:tc>
          <w:tcPr>
            <w:tcW w:w="13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2,995</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255</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241</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State-based contracts and other (G)</w:t>
            </w:r>
          </w:p>
        </w:tc>
        <w:tc>
          <w:tcPr>
            <w:tcW w:w="13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3,501</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6,833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715</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706</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Specialty benefits (H)</w:t>
            </w:r>
          </w:p>
        </w:tc>
        <w:tc>
          <w:tcPr>
            <w:tcW w:w="13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268</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Medicare Supplement</w:t>
            </w:r>
          </w:p>
        </w:tc>
        <w:tc>
          <w:tcPr>
            <w:tcW w:w="13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344</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210</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208</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Military and other (I)</w:t>
            </w:r>
          </w:p>
        </w:tc>
        <w:tc>
          <w:tcPr>
            <w:tcW w:w="13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201</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 xml:space="preserve">Total </w:t>
            </w:r>
          </w:p>
        </w:tc>
        <w:tc>
          <w:tcPr>
            <w:tcW w:w="139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39,035</w:t>
            </w: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30,923 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76,992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61,690 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CenterWell</w:t>
            </w:r>
          </w:p>
        </w:tc>
        <w:tc>
          <w:tcPr>
            <w:tcW w:w="15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Pharmacy solutions</w:t>
            </w:r>
          </w:p>
        </w:tc>
        <w:tc>
          <w:tcPr>
            <w:tcW w:w="13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3,793</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6,945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Primary care</w:t>
            </w:r>
          </w:p>
        </w:tc>
        <w:tc>
          <w:tcPr>
            <w:tcW w:w="13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2,008</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Home solutions </w:t>
            </w:r>
          </w:p>
        </w:tc>
        <w:tc>
          <w:tcPr>
            <w:tcW w:w="13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989</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w:t>
            </w:r>
          </w:p>
        </w:tc>
        <w:tc>
          <w:tcPr>
            <w:tcW w:w="1397"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6,790</w:t>
            </w:r>
            <w:r>
              <w:rPr>
                <w:color w:val="000000"/>
              </w:rPr>
              <w:t> </w:t>
            </w:r>
          </w:p>
        </w:tc>
        <w:tc>
          <w:tcPr>
            <w:tcW w:w="14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5,537 </w:t>
            </w:r>
          </w:p>
        </w:tc>
        <w:tc>
          <w:tcPr>
            <w:tcW w:w="1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12,890</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10,632 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2560"/>
                <wp:effectExtent l="0" t="0" r="0" b="0"/>
                <wp:wrapNone/>
                <wp:docPr id="36" name="Frame3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S-12</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Humana Inc.</w:t>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CenterWell Segment - Pharmacy &amp; Home Solutions (Unaudited)</w:t>
      </w:r>
    </w:p>
    <w:p>
      <w:pPr>
        <w:pStyle w:val="TextBody"/>
        <w:bidi w:val="0"/>
        <w:spacing w:before="0" w:after="0"/>
        <w:jc w:val="left"/>
        <w:rPr/>
      </w:pPr>
      <w:r>
        <w:rPr/>
      </w:r>
    </w:p>
    <w:p>
      <w:pPr>
        <w:pStyle w:val="TextBody"/>
        <w:bidi w:val="0"/>
        <w:spacing w:lineRule="auto" w:line="288" w:before="0" w:after="0"/>
        <w:jc w:val="left"/>
        <w:rPr>
          <w:rFonts w:ascii="sans-serif" w:hAnsi="sans-serif"/>
          <w:b/>
          <w:i/>
          <w:color w:val="000000"/>
          <w:sz w:val="28"/>
          <w:u w:val="single"/>
        </w:rPr>
      </w:pPr>
      <w:r>
        <w:rPr>
          <w:rFonts w:ascii="sans-serif" w:hAnsi="sans-serif"/>
          <w:b/>
          <w:i/>
          <w:color w:val="000000"/>
          <w:sz w:val="28"/>
          <w:u w:val="single"/>
        </w:rPr>
        <w:t>Pharmacy Solutions</w:t>
      </w:r>
    </w:p>
    <w:tbl>
      <w:tblPr>
        <w:tblW w:w="13731" w:type="dxa"/>
        <w:jc w:val="center"/>
        <w:tblInd w:w="0" w:type="dxa"/>
        <w:tblLayout w:type="fixed"/>
        <w:tblCellMar>
          <w:top w:w="28" w:type="dxa"/>
          <w:left w:w="28" w:type="dxa"/>
          <w:bottom w:w="28" w:type="dxa"/>
          <w:right w:w="28" w:type="dxa"/>
        </w:tblCellMar>
      </w:tblPr>
      <w:tblGrid>
        <w:gridCol w:w="792"/>
        <w:gridCol w:w="406"/>
        <w:gridCol w:w="408"/>
        <w:gridCol w:w="569"/>
        <w:gridCol w:w="569"/>
        <w:gridCol w:w="1728"/>
        <w:gridCol w:w="506"/>
        <w:gridCol w:w="506"/>
        <w:gridCol w:w="1539"/>
        <w:gridCol w:w="517"/>
        <w:gridCol w:w="517"/>
        <w:gridCol w:w="1502"/>
        <w:gridCol w:w="428"/>
        <w:gridCol w:w="278"/>
        <w:gridCol w:w="810"/>
        <w:gridCol w:w="500"/>
        <w:gridCol w:w="500"/>
        <w:gridCol w:w="1656"/>
      </w:tblGrid>
      <w:tr>
        <w:trPr/>
        <w:tc>
          <w:tcPr>
            <w:tcW w:w="7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 the three months </w:t>
              <w:br/>
              <w:t>ended June 30, 2026</w:t>
            </w:r>
          </w:p>
        </w:tc>
        <w:tc>
          <w:tcPr>
            <w:tcW w:w="25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 the six months </w:t>
              <w:br/>
              <w:t>ended June 30, 2026</w:t>
            </w:r>
          </w:p>
        </w:tc>
        <w:tc>
          <w:tcPr>
            <w:tcW w:w="25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For the three months ended June 30, 2025</w:t>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For the six months</w:t>
              <w:br/>
              <w:t> ended June 30, 2025</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For the three months </w:t>
              <w:br/>
              <w:t>ended March 31, 2026</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u w:val="single"/>
              </w:rPr>
            </w:pPr>
            <w:r>
              <w:rPr>
                <w:rFonts w:ascii="sans-serif" w:hAnsi="sans-serif"/>
                <w:b/>
                <w:color w:val="000000"/>
                <w:sz w:val="22"/>
                <w:u w:val="single"/>
              </w:rPr>
              <w:t>Generic Dispense Rate</w:t>
            </w:r>
          </w:p>
        </w:tc>
        <w:tc>
          <w:tcPr>
            <w:tcW w:w="28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Total Medicare</w:t>
            </w:r>
          </w:p>
        </w:tc>
        <w:tc>
          <w:tcPr>
            <w:tcW w:w="113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90.6</w:t>
            </w:r>
            <w:r>
              <w:rPr>
                <w:color w:val="000000"/>
              </w:rPr>
              <w:t> </w:t>
            </w:r>
          </w:p>
        </w:tc>
        <w:tc>
          <w:tcPr>
            <w:tcW w:w="172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w:t>
            </w:r>
          </w:p>
        </w:tc>
        <w:tc>
          <w:tcPr>
            <w:tcW w:w="101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90.8</w:t>
            </w:r>
            <w:r>
              <w:rPr>
                <w:color w:val="000000"/>
              </w:rPr>
              <w:t> </w:t>
            </w:r>
          </w:p>
        </w:tc>
        <w:tc>
          <w:tcPr>
            <w:tcW w:w="153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w:t>
            </w:r>
          </w:p>
        </w:tc>
        <w:tc>
          <w:tcPr>
            <w:tcW w:w="10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90.7 </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90.8 </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91.0 </w:t>
            </w:r>
          </w:p>
        </w:tc>
        <w:tc>
          <w:tcPr>
            <w:tcW w:w="16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u w:val="single"/>
              </w:rPr>
            </w:pPr>
            <w:r>
              <w:rPr>
                <w:rFonts w:ascii="sans-serif" w:hAnsi="sans-serif"/>
                <w:b/>
                <w:color w:val="000000"/>
                <w:sz w:val="22"/>
                <w:u w:val="single"/>
              </w:rPr>
              <w:t>Mail-Order Penetration</w:t>
            </w:r>
          </w:p>
        </w:tc>
        <w:tc>
          <w:tcPr>
            <w:tcW w:w="28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Total Medicare</w:t>
            </w:r>
          </w:p>
        </w:tc>
        <w:tc>
          <w:tcPr>
            <w:tcW w:w="1138"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23.8</w:t>
            </w:r>
            <w:r>
              <w:rPr>
                <w:color w:val="000000"/>
              </w:rPr>
              <w:t> </w:t>
            </w:r>
          </w:p>
        </w:tc>
        <w:tc>
          <w:tcPr>
            <w:tcW w:w="172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w:t>
            </w:r>
          </w:p>
        </w:tc>
        <w:tc>
          <w:tcPr>
            <w:tcW w:w="101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23.8</w:t>
            </w:r>
            <w:r>
              <w:rPr>
                <w:color w:val="000000"/>
              </w:rPr>
              <w:t> </w:t>
            </w:r>
          </w:p>
        </w:tc>
        <w:tc>
          <w:tcPr>
            <w:tcW w:w="153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w:t>
            </w:r>
          </w:p>
        </w:tc>
        <w:tc>
          <w:tcPr>
            <w:tcW w:w="10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26.0 </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26.0 </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23.8 </w:t>
            </w:r>
          </w:p>
        </w:tc>
        <w:tc>
          <w:tcPr>
            <w:tcW w:w="16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20"/>
        <w:jc w:val="left"/>
        <w:rPr>
          <w:rFonts w:ascii="sans-serif" w:hAnsi="sans-serif"/>
          <w:b/>
          <w:i/>
          <w:color w:val="000000"/>
          <w:sz w:val="28"/>
          <w:u w:val="single"/>
        </w:rPr>
      </w:pPr>
      <w:r>
        <w:rPr>
          <w:rFonts w:ascii="sans-serif" w:hAnsi="sans-serif"/>
          <w:b/>
          <w:i/>
          <w:color w:val="000000"/>
          <w:sz w:val="28"/>
          <w:u w:val="single"/>
        </w:rPr>
        <w:t>Home Solutions</w:t>
      </w:r>
    </w:p>
    <w:tbl>
      <w:tblPr>
        <w:tblW w:w="15148" w:type="dxa"/>
        <w:jc w:val="left"/>
        <w:tblInd w:w="0" w:type="dxa"/>
        <w:tblLayout w:type="fixed"/>
        <w:tblCellMar>
          <w:top w:w="28" w:type="dxa"/>
          <w:left w:w="28" w:type="dxa"/>
          <w:bottom w:w="28" w:type="dxa"/>
          <w:right w:w="28" w:type="dxa"/>
        </w:tblCellMar>
      </w:tblPr>
      <w:tblGrid>
        <w:gridCol w:w="571"/>
        <w:gridCol w:w="502"/>
        <w:gridCol w:w="503"/>
        <w:gridCol w:w="955"/>
        <w:gridCol w:w="955"/>
        <w:gridCol w:w="956"/>
        <w:gridCol w:w="850"/>
        <w:gridCol w:w="850"/>
        <w:gridCol w:w="851"/>
        <w:gridCol w:w="845"/>
        <w:gridCol w:w="845"/>
        <w:gridCol w:w="846"/>
        <w:gridCol w:w="701"/>
        <w:gridCol w:w="455"/>
        <w:gridCol w:w="456"/>
        <w:gridCol w:w="660"/>
        <w:gridCol w:w="660"/>
        <w:gridCol w:w="661"/>
        <w:gridCol w:w="593"/>
        <w:gridCol w:w="593"/>
        <w:gridCol w:w="840"/>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 the three months </w:t>
              <w:br/>
              <w:t>ended June 30, 2026</w:t>
            </w:r>
          </w:p>
        </w:tc>
        <w:tc>
          <w:tcPr>
            <w:tcW w:w="25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 the six months </w:t>
              <w:br/>
              <w:t>ended June 30, 2026</w:t>
            </w:r>
          </w:p>
        </w:tc>
        <w:tc>
          <w:tcPr>
            <w:tcW w:w="25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For the three months ended June 30, 2025</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For the six months</w:t>
              <w:br/>
              <w:t> ended June 30, 2025</w:t>
            </w:r>
          </w:p>
        </w:tc>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Quarterly Year-over-Year Growth</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sans-serif" w:hAnsi="sans-serif"/>
                <w:b/>
                <w:sz w:val="22"/>
              </w:rPr>
              <w:br/>
            </w:r>
            <w:r>
              <w:rPr>
                <w:rFonts w:ascii="sans-serif" w:hAnsi="sans-serif"/>
                <w:b/>
                <w:color w:val="000000"/>
                <w:sz w:val="22"/>
              </w:rPr>
              <w:t>YTD</w:t>
              <w:br/>
              <w:t>Year-over-Year Growth</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Episodic Admissions (K)</w:t>
            </w:r>
          </w:p>
        </w:tc>
        <w:tc>
          <w:tcPr>
            <w:tcW w:w="1910"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83,150</w:t>
            </w:r>
            <w:r>
              <w:rPr>
                <w:color w:val="000000"/>
              </w:rPr>
              <w:t> </w:t>
            </w:r>
          </w:p>
        </w:tc>
        <w:tc>
          <w:tcPr>
            <w:tcW w:w="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168,800</w:t>
            </w:r>
            <w:r>
              <w:rPr>
                <w:color w:val="000000"/>
              </w:rPr>
              <w:t> </w:t>
            </w:r>
          </w:p>
        </w:tc>
        <w:tc>
          <w:tcPr>
            <w:tcW w:w="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78,760 </w:t>
            </w:r>
          </w:p>
        </w:tc>
        <w:tc>
          <w:tcPr>
            <w:tcW w:w="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160,906 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5.6%</w:t>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4.9%</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 xml:space="preserve">Total Admissions - </w:t>
              <w:br/>
              <w:t>Same Store (L)</w:t>
            </w:r>
          </w:p>
        </w:tc>
        <w:tc>
          <w:tcPr>
            <w:tcW w:w="1910"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110,893</w:t>
            </w:r>
            <w:r>
              <w:rPr>
                <w:color w:val="000000"/>
              </w:rPr>
              <w:t> </w:t>
            </w:r>
          </w:p>
        </w:tc>
        <w:tc>
          <w:tcPr>
            <w:tcW w:w="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2"/>
              </w:rPr>
              <w:t>225,398</w:t>
            </w:r>
            <w:r>
              <w:rPr>
                <w:color w:val="000000"/>
              </w:rPr>
              <w:t> </w:t>
            </w:r>
          </w:p>
        </w:tc>
        <w:tc>
          <w:tcPr>
            <w:tcW w:w="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107,620 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218,185 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3.0%</w:t>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3.3%</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before="0" w:after="2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2560"/>
                <wp:effectExtent l="0" t="0" r="0" b="0"/>
                <wp:wrapNone/>
                <wp:docPr id="37" name="Frame3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Humana Inc.</w:t>
      </w:r>
    </w:p>
    <w:p>
      <w:pPr>
        <w:pStyle w:val="TextBody"/>
        <w:bidi w:val="0"/>
        <w:spacing w:lineRule="auto" w:line="288" w:before="0" w:after="0"/>
        <w:jc w:val="left"/>
        <w:rPr>
          <w:rFonts w:ascii="sans-serif" w:hAnsi="sans-serif"/>
          <w:b w:val="false"/>
          <w:color w:val="000000"/>
          <w:sz w:val="28"/>
        </w:rPr>
      </w:pPr>
      <w:r>
        <w:rPr>
          <w:rFonts w:ascii="sans-serif" w:hAnsi="sans-serif"/>
          <w:b w:val="false"/>
          <w:color w:val="000000"/>
          <w:sz w:val="28"/>
        </w:rPr>
        <w:t xml:space="preserve">CenterWell Segment - Primary Care (M) (Unaudited) </w:t>
      </w:r>
    </w:p>
    <w:p>
      <w:pPr>
        <w:pStyle w:val="TextBody"/>
        <w:bidi w:val="0"/>
        <w:spacing w:before="0" w:after="0"/>
        <w:jc w:val="left"/>
        <w:rPr/>
      </w:pPr>
      <w:r>
        <w:rPr/>
      </w:r>
    </w:p>
    <w:tbl>
      <w:tblPr>
        <w:tblW w:w="14352" w:type="dxa"/>
        <w:jc w:val="center"/>
        <w:tblInd w:w="0" w:type="dxa"/>
        <w:tblLayout w:type="fixed"/>
        <w:tblCellMar>
          <w:top w:w="28" w:type="dxa"/>
          <w:left w:w="28" w:type="dxa"/>
          <w:bottom w:w="28" w:type="dxa"/>
          <w:right w:w="28" w:type="dxa"/>
        </w:tblCellMar>
      </w:tblPr>
      <w:tblGrid>
        <w:gridCol w:w="694"/>
        <w:gridCol w:w="610"/>
        <w:gridCol w:w="617"/>
        <w:gridCol w:w="315"/>
        <w:gridCol w:w="316"/>
        <w:gridCol w:w="316"/>
        <w:gridCol w:w="434"/>
        <w:gridCol w:w="434"/>
        <w:gridCol w:w="438"/>
        <w:gridCol w:w="578"/>
        <w:gridCol w:w="578"/>
        <w:gridCol w:w="386"/>
        <w:gridCol w:w="109"/>
        <w:gridCol w:w="109"/>
        <w:gridCol w:w="109"/>
        <w:gridCol w:w="315"/>
        <w:gridCol w:w="316"/>
        <w:gridCol w:w="316"/>
        <w:gridCol w:w="434"/>
        <w:gridCol w:w="434"/>
        <w:gridCol w:w="438"/>
        <w:gridCol w:w="578"/>
        <w:gridCol w:w="578"/>
        <w:gridCol w:w="386"/>
        <w:gridCol w:w="109"/>
        <w:gridCol w:w="109"/>
        <w:gridCol w:w="109"/>
        <w:gridCol w:w="353"/>
        <w:gridCol w:w="353"/>
        <w:gridCol w:w="542"/>
        <w:gridCol w:w="353"/>
        <w:gridCol w:w="353"/>
        <w:gridCol w:w="776"/>
        <w:gridCol w:w="353"/>
        <w:gridCol w:w="353"/>
        <w:gridCol w:w="751"/>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Year-over-Year Change</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Primary</w:t>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Primary</w:t>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Primary</w:t>
            </w:r>
          </w:p>
        </w:tc>
        <w:tc>
          <w:tcPr>
            <w:tcW w:w="1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Center</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Care</w:t>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Patients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Center</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Care</w:t>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Patients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Center</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Care</w:t>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Patients</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Count</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Providers</w:t>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Served (N)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Count</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Providers</w:t>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Served (N)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Count</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Providers</w:t>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Served</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De novo</w:t>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146 </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450</w:t>
            </w:r>
          </w:p>
        </w:tc>
        <w:tc>
          <w:tcPr>
            <w:tcW w:w="11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137,300 </w:t>
            </w:r>
          </w:p>
        </w:tc>
        <w:tc>
          <w:tcPr>
            <w:tcW w:w="3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141 </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375</w:t>
            </w:r>
          </w:p>
        </w:tc>
        <w:tc>
          <w:tcPr>
            <w:tcW w:w="11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99,500 </w:t>
            </w:r>
          </w:p>
        </w:tc>
        <w:tc>
          <w:tcPr>
            <w:tcW w:w="3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3.5 </w:t>
            </w:r>
          </w:p>
        </w:tc>
        <w:tc>
          <w:tcPr>
            <w:tcW w:w="5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20.0 </w:t>
            </w:r>
          </w:p>
        </w:tc>
        <w:tc>
          <w:tcPr>
            <w:tcW w:w="7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38.0 </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Wholly-owned</w:t>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252</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1,028 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374,400 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194</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759</w:t>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257,800 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29.9 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35.4 </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45.2 </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Independent Physician Associations</w:t>
            </w:r>
          </w:p>
        </w:tc>
        <w:tc>
          <w:tcPr>
            <w:tcW w:w="9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110,300 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73,000 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51.1 </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Total</w:t>
            </w:r>
          </w:p>
        </w:tc>
        <w:tc>
          <w:tcPr>
            <w:tcW w:w="9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398</w:t>
            </w:r>
          </w:p>
        </w:tc>
        <w:tc>
          <w:tcPr>
            <w:tcW w:w="868"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1,478 </w:t>
            </w:r>
          </w:p>
        </w:tc>
        <w:tc>
          <w:tcPr>
            <w:tcW w:w="43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622,000 </w:t>
            </w:r>
          </w:p>
        </w:tc>
        <w:tc>
          <w:tcPr>
            <w:tcW w:w="3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335</w:t>
            </w:r>
          </w:p>
        </w:tc>
        <w:tc>
          <w:tcPr>
            <w:tcW w:w="868"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1,134 </w:t>
            </w:r>
          </w:p>
        </w:tc>
        <w:tc>
          <w:tcPr>
            <w:tcW w:w="43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430,300 </w:t>
            </w:r>
          </w:p>
        </w:tc>
        <w:tc>
          <w:tcPr>
            <w:tcW w:w="3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18.8 </w:t>
            </w:r>
          </w:p>
        </w:tc>
        <w:tc>
          <w:tcPr>
            <w:tcW w:w="54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30.3 </w:t>
            </w:r>
          </w:p>
        </w:tc>
        <w:tc>
          <w:tcPr>
            <w:tcW w:w="77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44.6 </w:t>
            </w:r>
          </w:p>
        </w:tc>
        <w:tc>
          <w:tcPr>
            <w:tcW w:w="75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r>
    </w:tbl>
    <w:p>
      <w:pPr>
        <w:pStyle w:val="TextBody"/>
        <w:bidi w:val="0"/>
        <w:spacing w:before="0" w:after="20"/>
        <w:jc w:val="center"/>
        <w:rPr/>
      </w:pPr>
      <w:r>
        <w:rPr/>
      </w:r>
    </w:p>
    <w:p>
      <w:pPr>
        <w:pStyle w:val="TextBody"/>
        <w:bidi w:val="0"/>
        <w:spacing w:before="0" w:after="20"/>
        <w:jc w:val="center"/>
        <w:rPr/>
      </w:pPr>
      <w:r>
        <w:rPr/>
      </w:r>
    </w:p>
    <w:tbl>
      <w:tblPr>
        <w:tblW w:w="11143" w:type="dxa"/>
        <w:jc w:val="center"/>
        <w:tblInd w:w="0" w:type="dxa"/>
        <w:tblLayout w:type="fixed"/>
        <w:tblCellMar>
          <w:top w:w="28" w:type="dxa"/>
          <w:left w:w="28" w:type="dxa"/>
          <w:bottom w:w="28" w:type="dxa"/>
          <w:right w:w="28" w:type="dxa"/>
        </w:tblCellMar>
      </w:tblPr>
      <w:tblGrid>
        <w:gridCol w:w="694"/>
        <w:gridCol w:w="610"/>
        <w:gridCol w:w="617"/>
        <w:gridCol w:w="109"/>
        <w:gridCol w:w="109"/>
        <w:gridCol w:w="197"/>
        <w:gridCol w:w="197"/>
        <w:gridCol w:w="197"/>
        <w:gridCol w:w="197"/>
        <w:gridCol w:w="524"/>
        <w:gridCol w:w="223"/>
        <w:gridCol w:w="199"/>
        <w:gridCol w:w="434"/>
        <w:gridCol w:w="434"/>
        <w:gridCol w:w="438"/>
        <w:gridCol w:w="578"/>
        <w:gridCol w:w="578"/>
        <w:gridCol w:w="386"/>
        <w:gridCol w:w="109"/>
        <w:gridCol w:w="109"/>
        <w:gridCol w:w="109"/>
        <w:gridCol w:w="353"/>
        <w:gridCol w:w="353"/>
        <w:gridCol w:w="452"/>
        <w:gridCol w:w="353"/>
        <w:gridCol w:w="353"/>
        <w:gridCol w:w="776"/>
        <w:gridCol w:w="353"/>
        <w:gridCol w:w="353"/>
        <w:gridCol w:w="749"/>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As of December 31, 2025 (1)</w:t>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Year to Date Change</w:t>
            </w:r>
          </w:p>
        </w:tc>
        <w:tc>
          <w:tcPr>
            <w:tcW w:w="2937" w:type="dxa"/>
            <w:gridSpan w:val="6"/>
            <w:tcBorders/>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Primary</w:t>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Primary</w:t>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Center</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Care</w:t>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Patients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Center</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Patients</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Count</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Providers</w:t>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Served (N)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Count</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Providers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Served</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De novo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146 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445</w:t>
            </w:r>
          </w:p>
        </w:tc>
        <w:tc>
          <w:tcPr>
            <w:tcW w:w="11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111,400 </w:t>
            </w:r>
          </w:p>
        </w:tc>
        <w:tc>
          <w:tcPr>
            <w:tcW w:w="3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1.1 </w:t>
            </w:r>
          </w:p>
        </w:tc>
        <w:tc>
          <w:tcPr>
            <w:tcW w:w="7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23.2 </w:t>
            </w:r>
          </w:p>
        </w:tc>
        <w:tc>
          <w:tcPr>
            <w:tcW w:w="7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Wholly-owned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204</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874</w:t>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304,900 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23.5 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17.6 </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22.8 </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Independent Physician Associations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74,800 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47.5 </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350</w:t>
            </w:r>
          </w:p>
        </w:tc>
        <w:tc>
          <w:tcPr>
            <w:tcW w:w="868"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1,319 </w:t>
            </w:r>
          </w:p>
        </w:tc>
        <w:tc>
          <w:tcPr>
            <w:tcW w:w="43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491,100 </w:t>
            </w:r>
          </w:p>
        </w:tc>
        <w:tc>
          <w:tcPr>
            <w:tcW w:w="3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13.7 </w:t>
            </w:r>
          </w:p>
        </w:tc>
        <w:tc>
          <w:tcPr>
            <w:tcW w:w="45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12.1 </w:t>
            </w:r>
          </w:p>
        </w:tc>
        <w:tc>
          <w:tcPr>
            <w:tcW w:w="77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c>
          <w:tcPr>
            <w:tcW w:w="70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26.7 </w:t>
            </w:r>
          </w:p>
        </w:tc>
        <w:tc>
          <w:tcPr>
            <w:tcW w:w="74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w:t>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lineRule="auto" w:line="288" w:before="0" w:after="20"/>
        <w:jc w:val="left"/>
        <w:rPr>
          <w:rFonts w:ascii="sans-serif" w:hAnsi="sans-serif"/>
          <w:b w:val="false"/>
          <w:color w:val="000000"/>
          <w:sz w:val="22"/>
        </w:rPr>
      </w:pPr>
      <w:r>
        <w:rPr>
          <w:rFonts w:ascii="sans-serif" w:hAnsi="sans-serif"/>
          <w:b w:val="false"/>
          <w:color w:val="000000"/>
          <w:sz w:val="22"/>
        </w:rPr>
        <w:t xml:space="preserve">(1) Includes 8 primary care centers and approximately 32,000 patients associated with the acquisition of The Villages Health, which closed in November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2560"/>
                <wp:effectExtent l="0" t="0" r="0" b="0"/>
                <wp:wrapNone/>
                <wp:docPr id="38" name="Frame3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S-14</w:t>
                      </w:r>
                    </w:p>
                  </w:txbxContent>
                </v:textbox>
                <w10:wrap type="none"/>
              </v:rect>
            </w:pict>
          </mc:Fallback>
        </mc:AlternateConten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Humana Inc.</w: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Footnotes to Statistical Schedules and Supplementary Information</w: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 xml:space="preserve">2Q26 Earnings Release </w:t>
      </w:r>
    </w:p>
    <w:p>
      <w:pPr>
        <w:pStyle w:val="TextBody"/>
        <w:bidi w:val="0"/>
        <w:spacing w:before="0" w:after="0"/>
        <w:jc w:val="left"/>
        <w:rPr/>
      </w:pPr>
      <w:r>
        <w:rPr/>
      </w:r>
    </w:p>
    <w:p>
      <w:pPr>
        <w:pStyle w:val="TextBody"/>
        <w:bidi w:val="0"/>
        <w:spacing w:lineRule="auto" w:line="288" w:before="0" w:after="0"/>
        <w:ind w:left="0" w:right="0" w:hanging="360"/>
        <w:jc w:val="both"/>
        <w:rPr>
          <w:rFonts w:ascii="sans-serif" w:hAnsi="sans-serif"/>
          <w:b w:val="false"/>
          <w:color w:val="000000"/>
          <w:sz w:val="20"/>
        </w:rPr>
      </w:pPr>
      <w:r>
        <w:rPr>
          <w:rFonts w:ascii="sans-serif" w:hAnsi="sans-serif"/>
          <w:b w:val="false"/>
          <w:color w:val="000000"/>
          <w:sz w:val="20"/>
        </w:rPr>
        <w:t>A.Net losses associated with the company's non-consolidated minority interest investments.</w:t>
      </w:r>
    </w:p>
    <w:p>
      <w:pPr>
        <w:pStyle w:val="TextBody"/>
        <w:bidi w:val="0"/>
        <w:spacing w:lineRule="auto" w:line="288" w:before="0" w:after="0"/>
        <w:ind w:left="0" w:right="0" w:hanging="360"/>
        <w:jc w:val="both"/>
        <w:rPr/>
      </w:pPr>
      <w:r>
        <w:rPr>
          <w:rFonts w:ascii="sans-serif" w:hAnsi="sans-serif"/>
          <w:b w:val="false"/>
          <w:color w:val="000000"/>
          <w:sz w:val="20"/>
        </w:rPr>
        <w:t>B.The</w:t>
      </w:r>
      <w:r>
        <w:rPr>
          <w:color w:val="EE2724"/>
        </w:rPr>
        <w:t xml:space="preserve"> </w:t>
      </w:r>
      <w:r>
        <w:rPr>
          <w:rFonts w:ascii="sans-serif" w:hAnsi="sans-serif"/>
          <w:b w:val="false"/>
          <w:color w:val="000000"/>
          <w:sz w:val="20"/>
        </w:rPr>
        <w:t xml:space="preserve">2026 group Medicare Advantage and stand-alone PDP membership totals reflect the impact of certain of the company's group Medicare Advantage contracts decoupling its beneficiaries' Medicare Part D prescription drug coverage from the related medical coverage via the group Medicare Advantage plan. This impacts approximately 350,000 members which appear in both the group Medicare Advantage and stand-alone PDP membership ending medical membership balances as of June 30, 2026. The financial impact for the Part D prescription drug coverage of these members is reflected only in the Medicare stand-alone PDP results while their medical coverage is included within the group Medicare Advantage results. </w:t>
      </w:r>
    </w:p>
    <w:p>
      <w:pPr>
        <w:pStyle w:val="TextBody"/>
        <w:bidi w:val="0"/>
        <w:spacing w:lineRule="auto" w:line="288" w:before="0" w:after="0"/>
        <w:ind w:left="0" w:right="0" w:hanging="360"/>
        <w:jc w:val="both"/>
        <w:rPr>
          <w:rFonts w:ascii="sans-serif" w:hAnsi="sans-serif"/>
          <w:b w:val="false"/>
          <w:color w:val="000000"/>
          <w:sz w:val="20"/>
        </w:rPr>
      </w:pPr>
      <w:r>
        <w:rPr>
          <w:rFonts w:ascii="sans-serif" w:hAnsi="sans-serif"/>
          <w:b w:val="false"/>
          <w:color w:val="000000"/>
          <w:sz w:val="20"/>
        </w:rPr>
        <w:t xml:space="preserve">C.Beginning in 2026, members enrolled in a highly integrated dual eligible (HIDE) or fully integrated dual eligible (FIDE) special needs plan (SNP) are considered aligned dual eligibles, and as such, are simultaneously included in the company's state-based contracts membership, as well as in a dual eligible special need plan (DSNP) which is included as part of the individual Medicare Advantage membership. For these members, Humana receives premium revenue from both the respective states with the HIDE and FIDE SNP contracts and from CMS to cover the distinctly different benefits managed. </w:t>
      </w:r>
    </w:p>
    <w:p>
      <w:pPr>
        <w:pStyle w:val="TextBody"/>
        <w:bidi w:val="0"/>
        <w:spacing w:lineRule="auto" w:line="288" w:before="0" w:after="0"/>
        <w:ind w:left="0" w:right="0" w:hanging="360"/>
        <w:jc w:val="both"/>
        <w:rPr>
          <w:rFonts w:ascii="sans-serif" w:hAnsi="sans-serif"/>
          <w:b w:val="false"/>
          <w:color w:val="000000"/>
          <w:sz w:val="20"/>
        </w:rPr>
      </w:pPr>
      <w:r>
        <w:rPr>
          <w:rFonts w:ascii="sans-serif" w:hAnsi="sans-serif"/>
          <w:b w:val="false"/>
          <w:color w:val="000000"/>
          <w:sz w:val="20"/>
        </w:rPr>
        <w:t xml:space="preserve">D.Fully-insured dental membership as reported does not include Humana members that have a Medicare Advantage plan that includes an embedded dental benefit. </w:t>
      </w:r>
    </w:p>
    <w:p>
      <w:pPr>
        <w:pStyle w:val="TextBody"/>
        <w:bidi w:val="0"/>
        <w:spacing w:lineRule="auto" w:line="268" w:before="0" w:after="0"/>
        <w:ind w:left="0" w:right="0" w:hanging="360"/>
        <w:jc w:val="both"/>
        <w:rPr>
          <w:rFonts w:ascii="sans-serif" w:hAnsi="sans-serif"/>
          <w:b w:val="false"/>
          <w:color w:val="000000"/>
          <w:sz w:val="20"/>
        </w:rPr>
      </w:pPr>
      <w:r>
        <w:rPr>
          <w:rFonts w:ascii="sans-serif" w:hAnsi="sans-serif"/>
          <w:b w:val="false"/>
          <w:color w:val="000000"/>
          <w:sz w:val="20"/>
        </w:rPr>
        <w:t>E.In certain circumstances, the company contracts with providers to accept financial risk for a defined set of Medicare Advantage membership. For these Downside Risk arrangements, the provider is measured against a medical expense ratio target and the company may share savings from reduction to the total cost of care of the defined membership. The result is a high level of engagement on the part of the provider. Under these arrangements, the company may contract with providers to accept partial, full, or global financial risk. In certain instances (capitated shared risk) of these arrangements, the company may choose to prepay these providers a monthly fixed-fee per member to coordinate substantially all of the medical care for their Medicare Advantage members assigned or attributed to their provider panel, including some health benefit administrative functions and claims processing.</w:t>
      </w:r>
    </w:p>
    <w:p>
      <w:pPr>
        <w:pStyle w:val="TextBody"/>
        <w:bidi w:val="0"/>
        <w:spacing w:lineRule="auto" w:line="268" w:before="0" w:after="0"/>
        <w:ind w:left="0" w:right="0" w:hanging="360"/>
        <w:jc w:val="both"/>
        <w:rPr>
          <w:rFonts w:ascii="sans-serif" w:hAnsi="sans-serif"/>
          <w:b w:val="false"/>
          <w:color w:val="000000"/>
          <w:sz w:val="20"/>
        </w:rPr>
      </w:pPr>
      <w:r>
        <w:rPr>
          <w:rFonts w:ascii="sans-serif" w:hAnsi="sans-serif"/>
          <w:b w:val="false"/>
          <w:color w:val="000000"/>
          <w:sz w:val="20"/>
        </w:rPr>
        <w:t>F.A Path to Risk provider is one who has a high level of engagement and has contracted with the company to participate in an Upside Only/Shared Savings total cost of care arrangement and/or in one of Humana’s Quality Bonus programs (Model Practice), through which the company rewards the provider for achieving quality and utilization targets. Providers who are contracted in an Upside Only/Shared Savings arrangement may receive a portion of achieved surpluses when the actual cost of the medical services provided to patients assigned or attributed to their panel is less than the agreed upon medical expense targets. These contracts may also include a Downside Risk trigger (future date or membership threshold) which has not yet been met.</w:t>
      </w:r>
    </w:p>
    <w:p>
      <w:pPr>
        <w:pStyle w:val="TextBody"/>
        <w:bidi w:val="0"/>
        <w:spacing w:lineRule="auto" w:line="288" w:before="0" w:after="0"/>
        <w:ind w:left="0" w:right="0" w:hanging="360"/>
        <w:jc w:val="both"/>
        <w:rPr>
          <w:rFonts w:ascii="sans-serif" w:hAnsi="sans-serif"/>
          <w:b w:val="false"/>
          <w:color w:val="000000"/>
          <w:sz w:val="20"/>
        </w:rPr>
      </w:pPr>
      <w:r>
        <w:rPr>
          <w:rFonts w:ascii="sans-serif" w:hAnsi="sans-serif"/>
          <w:b w:val="false"/>
          <w:color w:val="000000"/>
          <w:sz w:val="20"/>
        </w:rPr>
        <w:t xml:space="preserve">G.Per Member per Month (PMPM) shown reflects only Medicaid premiums and average Medicaid membership for the period. The 2025 periods include the impact of dual eligible demonstration members; all dual eligible demonstration programs sunset at the end of 2025. </w:t>
      </w:r>
    </w:p>
    <w:p>
      <w:pPr>
        <w:pStyle w:val="TextBody"/>
        <w:bidi w:val="0"/>
        <w:spacing w:lineRule="auto" w:line="288" w:before="0" w:after="0"/>
        <w:ind w:left="0" w:right="0" w:hanging="360"/>
        <w:jc w:val="both"/>
        <w:rPr>
          <w:rFonts w:ascii="sans-serif" w:hAnsi="sans-serif"/>
          <w:b w:val="false"/>
          <w:color w:val="000000"/>
          <w:sz w:val="20"/>
        </w:rPr>
      </w:pPr>
      <w:r>
        <w:rPr>
          <w:rFonts w:ascii="sans-serif" w:hAnsi="sans-serif"/>
          <w:b w:val="false"/>
          <w:color w:val="000000"/>
          <w:sz w:val="20"/>
        </w:rPr>
        <w:t xml:space="preserve">H.Specialty per member per month is computed based on reported specialty premiums and average fully-insured specialty membership for the period. </w:t>
      </w:r>
    </w:p>
    <w:p>
      <w:pPr>
        <w:pStyle w:val="TextBody"/>
        <w:bidi w:val="0"/>
        <w:spacing w:lineRule="auto" w:line="288" w:before="0" w:after="0"/>
        <w:ind w:left="0" w:right="0" w:hanging="360"/>
        <w:jc w:val="both"/>
        <w:rPr>
          <w:rFonts w:ascii="sans-serif" w:hAnsi="sans-serif"/>
          <w:b w:val="false"/>
          <w:color w:val="000000"/>
          <w:sz w:val="20"/>
        </w:rPr>
      </w:pPr>
      <w:r>
        <w:rPr>
          <w:rFonts w:ascii="sans-serif" w:hAnsi="sans-serif"/>
          <w:b w:val="false"/>
          <w:color w:val="000000"/>
          <w:sz w:val="20"/>
        </w:rPr>
        <w:t xml:space="preserve">I.The amounts primarily reflect services revenues under the TRICARE East Region contract that generally are contracted on a per-member basis. </w:t>
      </w:r>
    </w:p>
    <w:p>
      <w:pPr>
        <w:pStyle w:val="TextBody"/>
        <w:bidi w:val="0"/>
        <w:spacing w:lineRule="auto" w:line="288" w:before="0" w:after="0"/>
        <w:ind w:left="0" w:right="0" w:hanging="360"/>
        <w:jc w:val="both"/>
        <w:rPr>
          <w:rFonts w:ascii="sans-serif" w:hAnsi="sans-serif"/>
          <w:b w:val="false"/>
          <w:color w:val="000000"/>
          <w:sz w:val="20"/>
        </w:rPr>
      </w:pPr>
      <w:r>
        <w:rPr>
          <w:rFonts w:ascii="sans-serif" w:hAnsi="sans-serif"/>
          <w:b w:val="false"/>
          <w:color w:val="000000"/>
          <w:sz w:val="20"/>
        </w:rPr>
        <w:t>J.Computed based on average membership for the period (i.e. monthly ending membership during the period divided by the number of months in the period).</w:t>
      </w:r>
    </w:p>
    <w:p>
      <w:pPr>
        <w:pStyle w:val="TextBody"/>
        <w:bidi w:val="0"/>
        <w:spacing w:lineRule="auto" w:line="288" w:before="0" w:after="0"/>
        <w:ind w:left="0" w:right="0" w:hanging="360"/>
        <w:jc w:val="both"/>
        <w:rPr>
          <w:rFonts w:ascii="sans-serif" w:hAnsi="sans-serif"/>
          <w:b w:val="false"/>
          <w:color w:val="000000"/>
          <w:sz w:val="20"/>
          <w:shd w:fill="FFFFFF" w:val="clear"/>
        </w:rPr>
      </w:pPr>
      <w:r>
        <w:rPr>
          <w:rFonts w:ascii="sans-serif" w:hAnsi="sans-serif"/>
          <w:b w:val="false"/>
          <w:color w:val="000000"/>
          <w:sz w:val="20"/>
          <w:shd w:fill="FFFFFF" w:val="clear"/>
        </w:rPr>
        <w:t>K.Reflects patient admissions under the Patient Driven Groupings Model (PDGM) payment model.</w:t>
      </w:r>
    </w:p>
    <w:p>
      <w:pPr>
        <w:pStyle w:val="TextBody"/>
        <w:bidi w:val="0"/>
        <w:spacing w:lineRule="auto" w:line="288" w:before="0" w:after="0"/>
        <w:ind w:left="0" w:right="0" w:hanging="360"/>
        <w:jc w:val="both"/>
        <w:rPr/>
      </w:pPr>
      <w:r>
        <w:rPr>
          <w:rFonts w:ascii="sans-serif" w:hAnsi="sans-serif"/>
          <w:b w:val="false"/>
          <w:color w:val="000000"/>
          <w:sz w:val="20"/>
          <w:shd w:fill="FFFFFF" w:val="clear"/>
        </w:rPr>
        <w:t xml:space="preserve">L.Reflects all patient admissions regardless of reimbursement model. </w:t>
      </w:r>
      <w:r>
        <w:rPr>
          <w:rFonts w:ascii="sans-serif" w:hAnsi="sans-serif"/>
          <w:b w:val="false"/>
          <w:i/>
          <w:color w:val="000000"/>
          <w:sz w:val="20"/>
          <w:shd w:fill="FFFFFF" w:val="clear"/>
        </w:rPr>
        <w:t>Same store</w:t>
      </w:r>
      <w:r>
        <w:rPr>
          <w:color w:val="000000"/>
          <w:shd w:fill="FFFFFF" w:val="clear"/>
        </w:rPr>
        <w:t xml:space="preserve"> </w:t>
      </w:r>
      <w:r>
        <w:rPr>
          <w:rFonts w:ascii="sans-serif" w:hAnsi="sans-serif"/>
          <w:b w:val="false"/>
          <w:color w:val="000000"/>
          <w:sz w:val="20"/>
          <w:shd w:fill="FFFFFF" w:val="clear"/>
        </w:rPr>
        <w:t xml:space="preserve">is defined as care centers that have been owned and operated at least the last twelve months and startups that are an expansion of a same store care center, net of the impact of the consolidation of care centers that occurred during the last twelve months. </w:t>
      </w:r>
    </w:p>
    <w:p>
      <w:pPr>
        <w:pStyle w:val="TextBody"/>
        <w:bidi w:val="0"/>
        <w:spacing w:lineRule="auto" w:line="288" w:before="0" w:after="0"/>
        <w:ind w:left="0" w:right="0" w:hanging="360"/>
        <w:jc w:val="both"/>
        <w:rPr/>
      </w:pPr>
      <w:r>
        <w:rPr>
          <w:rFonts w:ascii="sans-serif" w:hAnsi="sans-serif"/>
          <w:b w:val="false"/>
          <w:color w:val="000000"/>
          <w:sz w:val="20"/>
          <w:shd w:fill="FFFFFF" w:val="clear"/>
        </w:rPr>
        <w:t>M.</w:t>
      </w:r>
      <w:r>
        <w:rPr>
          <w:rFonts w:ascii="sans-serif" w:hAnsi="sans-serif"/>
          <w:b w:val="false"/>
          <w:i/>
          <w:color w:val="000000"/>
          <w:sz w:val="20"/>
          <w:shd w:fill="FFFFFF" w:val="clear"/>
        </w:rPr>
        <w:t xml:space="preserve">De novo </w:t>
      </w:r>
      <w:r>
        <w:rPr>
          <w:rFonts w:ascii="sans-serif" w:hAnsi="sans-serif"/>
          <w:b w:val="false"/>
          <w:color w:val="000000"/>
          <w:sz w:val="20"/>
          <w:shd w:fill="FFFFFF" w:val="clear"/>
        </w:rPr>
        <w:t>refers to all new centers opened or acquired since 2020 under a Welsh, Carson, Anderson &amp; Stowe (WCAS) joint venture</w:t>
      </w:r>
      <w:r>
        <w:rPr>
          <w:rFonts w:ascii="sans-serif" w:hAnsi="sans-serif"/>
          <w:b w:val="false"/>
          <w:i/>
          <w:color w:val="000000"/>
          <w:sz w:val="20"/>
          <w:shd w:fill="FFFFFF" w:val="clear"/>
        </w:rPr>
        <w:t xml:space="preserve">. Wholly-owned </w:t>
      </w:r>
      <w:r>
        <w:rPr>
          <w:rFonts w:ascii="sans-serif" w:hAnsi="sans-serif"/>
          <w:b w:val="false"/>
          <w:color w:val="000000"/>
          <w:sz w:val="20"/>
          <w:shd w:fill="FFFFFF" w:val="clear"/>
        </w:rPr>
        <w:t xml:space="preserve">refers to all centers outside a WCAS joint venture. </w:t>
      </w:r>
    </w:p>
    <w:p>
      <w:pPr>
        <w:pStyle w:val="TextBody"/>
        <w:bidi w:val="0"/>
        <w:spacing w:lineRule="auto" w:line="288" w:before="0" w:after="0"/>
        <w:ind w:left="0" w:right="0" w:hanging="36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N.Represents Medicare Advantage (MA) risk, MA path to risk, MA value-based, Direct Contracting Entity, and Accountable Care Organization patients.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pPr>
      <w:r>
        <w:rPr>
          <w:color w:val="FF0000"/>
        </w:rPr>
        <w:t>    </w:t>
      </w:r>
      <w:r>
        <w:rPr>
          <w:rFonts w:ascii="sans-serif" w:hAnsi="sans-serif"/>
          <w:b/>
          <w:color w:val="000000"/>
          <w:sz w:val="22"/>
        </w:rPr>
        <w:t>Exhibit 99.3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2560"/>
                <wp:effectExtent l="0" t="0" r="0" b="0"/>
                <wp:wrapNone/>
                <wp:docPr id="39" name="Frame3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174.2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S-15</w:t>
                      </w:r>
                    </w:p>
                  </w:txbxContent>
                </v:textbox>
                <w10:wrap type="none"/>
              </v:rect>
            </w:pict>
          </mc:Fallback>
        </mc:AlternateContent>
      </w:r>
    </w:p>
    <w:p>
      <w:pPr>
        <w:pStyle w:val="TextBody"/>
        <w:bidi w:val="0"/>
        <w:spacing w:lineRule="auto" w:line="288" w:before="0" w:after="0"/>
        <w:jc w:val="center"/>
        <w:rPr/>
      </w:pPr>
      <w:r>
        <w:rPr>
          <w:rFonts w:ascii="sans-serif" w:hAnsi="sans-serif"/>
          <w:b/>
          <w:color w:val="000000"/>
          <w:sz w:val="22"/>
        </w:rPr>
        <w:t>Humana Inc. Second Quarter 2026 Prepared Management Remarks</w:t>
      </w:r>
      <w:r>
        <w:rPr>
          <w:color w:val="FF0000"/>
        </w:rPr>
        <w:t xml:space="preserve"> </w:t>
      </w:r>
      <w:r>
        <w:rPr>
          <w:rFonts w:ascii="sans-serif" w:hAnsi="sans-serif"/>
          <w:b/>
          <w:color w:val="000000"/>
          <w:sz w:val="22"/>
        </w:rPr>
        <w:t>7/29/2026</w:t>
      </w:r>
    </w:p>
    <w:p>
      <w:pPr>
        <w:pStyle w:val="TextBody"/>
        <w:bidi w:val="0"/>
        <w:spacing w:before="0" w:after="0"/>
        <w:jc w:val="center"/>
        <w:rPr/>
      </w:pPr>
      <w:r>
        <w:rPr/>
        <w:drawing>
          <wp:inline distT="0" distB="0" distL="0" distR="0">
            <wp:extent cx="2266950" cy="685800"/>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4"/>
                    <a:stretch>
                      <a:fillRect/>
                    </a:stretch>
                  </pic:blipFill>
                  <pic:spPr bwMode="auto">
                    <a:xfrm>
                      <a:off x="0" y="0"/>
                      <a:ext cx="2266950" cy="685800"/>
                    </a:xfrm>
                    <a:prstGeom prst="rect">
                      <a:avLst/>
                    </a:prstGeom>
                  </pic:spPr>
                </pic:pic>
              </a:graphicData>
            </a:graphic>
          </wp:inline>
        </w:drawing>
      </w:r>
    </w:p>
    <w:p>
      <w:pPr>
        <w:pStyle w:val="TextBody"/>
        <w:bidi w:val="0"/>
        <w:spacing w:lineRule="auto" w:line="288" w:before="0" w:after="0"/>
        <w:jc w:val="both"/>
        <w:rPr/>
      </w:pPr>
      <w:r>
        <w:rPr>
          <w:rFonts w:ascii="sans-serif" w:hAnsi="sans-serif"/>
          <w:b w:val="false"/>
          <w:color w:val="000000"/>
          <w:sz w:val="22"/>
        </w:rPr>
        <w:t>Please view these remarks in conjunction with our 2Q 2026 earnings release that can be found on our website at www.humana.com under the Investors section, or via the following link: https://humana.gcs-web.com/financial-information/quarterly-results</w:t>
      </w:r>
      <w:r>
        <w:rPr>
          <w:rFonts w:ascii="sans-serif" w:hAnsi="sans-serif"/>
          <w:b w:val="false"/>
          <w:color w:val="000000"/>
          <w:sz w:val="25"/>
        </w:rPr>
        <w:t>.</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We also invite you to listen to our live question and answer webcast with our President and Chief Executive Officer, Jim Rechtin, and Chief Financial Officer, Celeste Mellet, which will begin today at 8:00 a.m. Eastern Time and will be available via the following link: https://humana.gcs-web.com/events-and-presentations/upcoming-events. For those unable to listen to the live event, the archive will be available in the Historical Webcasts and Presentations section of the Investor Relations page via the following link: https://humana.gcs-web.com/events-and-presentations.</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u w:val="single"/>
        </w:rPr>
      </w:pPr>
      <w:r>
        <w:rPr>
          <w:rFonts w:ascii="sans-serif" w:hAnsi="sans-serif"/>
          <w:b/>
          <w:color w:val="000000"/>
          <w:sz w:val="22"/>
          <w:u w:val="single"/>
        </w:rPr>
        <w:t xml:space="preserve">Cautionary Statement </w:t>
      </w:r>
    </w:p>
    <w:p>
      <w:pPr>
        <w:pStyle w:val="TextBody"/>
        <w:bidi w:val="0"/>
        <w:spacing w:lineRule="auto" w:line="288" w:before="0" w:after="100"/>
        <w:ind w:left="0" w:right="0" w:firstLine="432"/>
        <w:jc w:val="both"/>
        <w:rPr>
          <w:rFonts w:ascii="sans-serif" w:hAnsi="sans-serif"/>
          <w:b w:val="false"/>
          <w:color w:val="000000"/>
          <w:sz w:val="22"/>
        </w:rPr>
      </w:pPr>
      <w:r>
        <w:rPr>
          <w:rFonts w:ascii="sans-serif" w:hAnsi="sans-serif"/>
          <w:b w:val="false"/>
          <w:color w:val="000000"/>
          <w:sz w:val="22"/>
        </w:rPr>
        <w:t>Certain of the matters discussed in these prepared remarks are forward-looking and are subject to a number of risks, uncertainties and assumptions. Actual results could differ materially.</w:t>
      </w:r>
    </w:p>
    <w:p>
      <w:pPr>
        <w:pStyle w:val="TextBody"/>
        <w:bidi w:val="0"/>
        <w:spacing w:lineRule="auto" w:line="288" w:before="0" w:after="100"/>
        <w:ind w:left="0" w:right="0" w:firstLine="432"/>
        <w:jc w:val="both"/>
        <w:rPr>
          <w:rFonts w:ascii="sans-serif" w:hAnsi="sans-serif"/>
          <w:b w:val="false"/>
          <w:color w:val="000000"/>
          <w:sz w:val="22"/>
        </w:rPr>
      </w:pPr>
      <w:r>
        <w:rPr>
          <w:rFonts w:ascii="sans-serif" w:hAnsi="sans-serif"/>
          <w:b w:val="false"/>
          <w:color w:val="000000"/>
          <w:sz w:val="22"/>
        </w:rPr>
        <w:t xml:space="preserve">Investors are advised to read the detailed risk factors discussed in our latest Form 10-K, our other filings with the Securities and Exchange Commission, and our 2Q 2026 earnings release as they relate to forward-looking statements along with other risks discussed in our SEC filings. We undertake no obligation to publicly address or update any forward-looking statements in future filings or communications regarding our business or results. </w:t>
      </w:r>
    </w:p>
    <w:p>
      <w:pPr>
        <w:pStyle w:val="TextBody"/>
        <w:bidi w:val="0"/>
        <w:spacing w:lineRule="auto" w:line="288" w:before="0" w:after="100"/>
        <w:ind w:left="0" w:right="0" w:firstLine="432"/>
        <w:jc w:val="both"/>
        <w:rPr>
          <w:rFonts w:ascii="sans-serif" w:hAnsi="sans-serif"/>
          <w:b w:val="false"/>
          <w:color w:val="000000"/>
          <w:sz w:val="22"/>
        </w:rPr>
      </w:pPr>
      <w:r>
        <w:rPr>
          <w:rFonts w:ascii="sans-serif" w:hAnsi="sans-serif"/>
          <w:b w:val="false"/>
          <w:color w:val="000000"/>
          <w:sz w:val="22"/>
        </w:rPr>
        <w:t xml:space="preserve">Today’s release, our historical financial news releases and our filings with the SEC are all also available on our Investor Relations site. </w:t>
      </w:r>
    </w:p>
    <w:p>
      <w:pPr>
        <w:pStyle w:val="TextBody"/>
        <w:bidi w:val="0"/>
        <w:spacing w:lineRule="auto" w:line="288" w:before="0" w:after="100"/>
        <w:ind w:left="0" w:right="0" w:firstLine="432"/>
        <w:jc w:val="both"/>
        <w:rPr>
          <w:rFonts w:ascii="sans-serif" w:hAnsi="sans-serif"/>
          <w:b w:val="false"/>
          <w:color w:val="000000"/>
          <w:sz w:val="22"/>
        </w:rPr>
      </w:pPr>
      <w:r>
        <w:rPr>
          <w:rFonts w:ascii="sans-serif" w:hAnsi="sans-serif"/>
          <w:b w:val="false"/>
          <w:color w:val="000000"/>
          <w:sz w:val="22"/>
        </w:rPr>
        <w:t xml:space="preserve">These remarks include financial measures that are not in accordance with generally accepted accounting principles, or GAAP. </w:t>
      </w:r>
    </w:p>
    <w:p>
      <w:pPr>
        <w:pStyle w:val="TextBody"/>
        <w:bidi w:val="0"/>
        <w:spacing w:lineRule="auto" w:line="288" w:before="0" w:after="100"/>
        <w:ind w:left="0" w:right="0" w:firstLine="432"/>
        <w:jc w:val="both"/>
        <w:rPr>
          <w:rFonts w:ascii="sans-serif" w:hAnsi="sans-serif"/>
          <w:b w:val="false"/>
          <w:color w:val="000000"/>
          <w:sz w:val="22"/>
        </w:rPr>
      </w:pPr>
      <w:r>
        <w:rPr>
          <w:rFonts w:ascii="sans-serif" w:hAnsi="sans-serif"/>
          <w:b w:val="false"/>
          <w:color w:val="000000"/>
          <w:sz w:val="22"/>
        </w:rPr>
        <w:t>Management's explanation for the use of these non-GAAP measures and reconciliations of GAAP to non-GAAP financial measures are included in today’s release which can be found via the following link: https://humana.gcs-web.com/financial-information/quarterly-results.</w:t>
      </w:r>
    </w:p>
    <w:p>
      <w:pPr>
        <w:pStyle w:val="TextBody"/>
        <w:bidi w:val="0"/>
        <w:spacing w:lineRule="auto" w:line="288" w:before="0" w:after="100"/>
        <w:ind w:left="0" w:right="0" w:firstLine="432"/>
        <w:jc w:val="both"/>
        <w:rPr>
          <w:rFonts w:ascii="sans-serif" w:hAnsi="sans-serif"/>
          <w:b w:val="false"/>
          <w:color w:val="000000"/>
          <w:sz w:val="22"/>
        </w:rPr>
      </w:pPr>
      <w:r>
        <w:rPr>
          <w:rFonts w:ascii="sans-serif" w:hAnsi="sans-serif"/>
          <w:b w:val="false"/>
          <w:color w:val="000000"/>
          <w:sz w:val="22"/>
        </w:rPr>
        <w:t xml:space="preserve">Finally, any references to earnings per share or EPS made within these remarks refer to diluted earnings per common share. </w:t>
      </w:r>
    </w:p>
    <w:p>
      <w:pPr>
        <w:pStyle w:val="TextBody"/>
        <w:bidi w:val="0"/>
        <w:spacing w:before="0" w:after="100"/>
        <w:ind w:left="0" w:right="0" w:firstLine="432"/>
        <w:jc w:val="both"/>
        <w:rPr/>
      </w:pPr>
      <w:r>
        <w:rPr/>
      </w:r>
    </w:p>
    <w:p>
      <w:pPr>
        <w:pStyle w:val="TextBody"/>
        <w:bidi w:val="0"/>
        <w:spacing w:before="0" w:after="100"/>
        <w:ind w:left="0" w:right="0" w:firstLine="432"/>
        <w:jc w:val="both"/>
        <w:rPr/>
      </w:pPr>
      <w:r>
        <w:rPr/>
      </w:r>
    </w:p>
    <w:p>
      <w:pPr>
        <w:pStyle w:val="TextBody"/>
        <w:bidi w:val="0"/>
        <w:spacing w:before="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color w:val="FF0000"/>
        </w:rPr>
        <w:t>    </w:t>
      </w:r>
      <w:r>
        <w:rPr>
          <w:rFonts w:ascii="sans-serif" w:hAnsi="sans-serif"/>
          <w:b/>
          <w:color w:val="000000"/>
          <w:sz w:val="22"/>
        </w:rPr>
        <w:t>Exhibit 99.3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70205"/>
                <wp:effectExtent l="0" t="0" r="0" b="0"/>
                <wp:wrapNone/>
                <wp:docPr id="41" name="Frame38"/>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174.2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sans-serif" w:hAnsi="sans-serif"/>
          <w:b/>
          <w:color w:val="000000"/>
          <w:sz w:val="22"/>
        </w:rPr>
        <w:t>Humana Inc. Second Quarter 2026 Prepared Management Remarks</w:t>
      </w:r>
      <w:r>
        <w:rPr>
          <w:color w:val="FF0000"/>
        </w:rPr>
        <w:t xml:space="preserve"> </w:t>
      </w:r>
      <w:r>
        <w:rPr>
          <w:rFonts w:ascii="sans-serif" w:hAnsi="sans-serif"/>
          <w:b/>
          <w:color w:val="000000"/>
          <w:sz w:val="22"/>
        </w:rPr>
        <w:t>7/29/2026</w:t>
      </w:r>
    </w:p>
    <w:p>
      <w:pPr>
        <w:pStyle w:val="TextBody"/>
        <w:bidi w:val="0"/>
        <w:spacing w:before="0" w:after="100"/>
        <w:jc w:val="both"/>
        <w:rPr/>
      </w:pPr>
      <w:r>
        <w:rPr/>
      </w:r>
    </w:p>
    <w:p>
      <w:pPr>
        <w:pStyle w:val="TextBody"/>
        <w:bidi w:val="0"/>
        <w:spacing w:lineRule="auto" w:line="288" w:before="0" w:after="0"/>
        <w:jc w:val="left"/>
        <w:rPr>
          <w:rFonts w:ascii="sans-serif" w:hAnsi="sans-serif"/>
          <w:b/>
          <w:color w:val="000000"/>
          <w:sz w:val="21"/>
          <w:u w:val="single"/>
        </w:rPr>
      </w:pPr>
      <w:r>
        <w:rPr>
          <w:rFonts w:ascii="sans-serif" w:hAnsi="sans-serif"/>
          <w:b/>
          <w:color w:val="000000"/>
          <w:sz w:val="21"/>
          <w:u w:val="single"/>
        </w:rPr>
        <w:t>Executive Summary</w:t>
      </w:r>
    </w:p>
    <w:p>
      <w:pPr>
        <w:pStyle w:val="TextBody"/>
        <w:bidi w:val="0"/>
        <w:spacing w:lineRule="auto" w:line="288" w:before="0" w:after="120"/>
        <w:ind w:left="0" w:right="0" w:hanging="360"/>
        <w:jc w:val="left"/>
        <w:rPr/>
      </w:pPr>
      <w:r>
        <w:rPr>
          <w:color w:val="000000"/>
        </w:rPr>
        <w:t>•</w:t>
      </w:r>
      <w:r>
        <w:rPr>
          <w:rFonts w:ascii="sans-serif" w:hAnsi="sans-serif"/>
          <w:b/>
          <w:color w:val="000000"/>
          <w:sz w:val="21"/>
        </w:rPr>
        <w:t xml:space="preserve">Delivered solid results in the second quarter (2Q26) </w:t>
      </w:r>
      <w:r>
        <w:rPr>
          <w:rFonts w:ascii="sans-serif" w:hAnsi="sans-serif"/>
          <w:b w:val="false"/>
          <w:color w:val="000000"/>
          <w:sz w:val="21"/>
        </w:rPr>
        <w:t xml:space="preserve">and reaffirmed </w:t>
      </w:r>
      <w:r>
        <w:rPr>
          <w:rFonts w:ascii="sans-serif" w:hAnsi="sans-serif"/>
          <w:b/>
          <w:color w:val="000000"/>
          <w:sz w:val="21"/>
        </w:rPr>
        <w:t>our full year (FY) 2026 Adjusted EPS guidance</w:t>
      </w:r>
    </w:p>
    <w:p>
      <w:pPr>
        <w:pStyle w:val="TextBody"/>
        <w:bidi w:val="0"/>
        <w:spacing w:lineRule="auto" w:line="288" w:before="0" w:after="120"/>
        <w:ind w:left="0" w:right="0" w:hanging="360"/>
        <w:jc w:val="left"/>
        <w:rPr/>
      </w:pPr>
      <w:r>
        <w:rPr>
          <w:color w:val="000000"/>
        </w:rPr>
        <w:t>•</w:t>
      </w:r>
      <w:r>
        <w:rPr>
          <w:rFonts w:ascii="sans-serif" w:hAnsi="sans-serif"/>
          <w:b/>
          <w:color w:val="000000"/>
          <w:sz w:val="21"/>
        </w:rPr>
        <w:t>Expect that our approach to 2027 individual MA bids</w:t>
      </w:r>
      <w:r>
        <w:rPr>
          <w:color w:val="000000"/>
        </w:rPr>
        <w:t xml:space="preserve"> </w:t>
      </w:r>
      <w:r>
        <w:rPr>
          <w:rFonts w:ascii="sans-serif" w:hAnsi="sans-serif"/>
          <w:b w:val="false"/>
          <w:color w:val="000000"/>
          <w:sz w:val="21"/>
        </w:rPr>
        <w:t xml:space="preserve">will </w:t>
      </w:r>
      <w:r>
        <w:rPr>
          <w:rFonts w:ascii="sans-serif" w:hAnsi="sans-serif"/>
          <w:b/>
          <w:color w:val="000000"/>
          <w:sz w:val="21"/>
        </w:rPr>
        <w:t>drive meaningful progress against our commitment of returning to a sustainable pre-tax margin of at least 3% in 2028</w:t>
      </w:r>
      <w:r>
        <w:rPr>
          <w:color w:val="000000"/>
        </w:rPr>
        <w:t xml:space="preserve"> </w:t>
      </w:r>
    </w:p>
    <w:p>
      <w:pPr>
        <w:pStyle w:val="TextBody"/>
        <w:bidi w:val="0"/>
        <w:spacing w:lineRule="auto" w:line="288" w:before="0" w:after="120"/>
        <w:ind w:left="0" w:right="0" w:hanging="360"/>
        <w:jc w:val="left"/>
        <w:rPr/>
      </w:pPr>
      <w:r>
        <w:rPr>
          <w:color w:val="000000"/>
        </w:rPr>
        <w:t>•</w:t>
      </w:r>
      <w:r>
        <w:rPr>
          <w:rFonts w:ascii="sans-serif" w:hAnsi="sans-serif"/>
          <w:b/>
          <w:color w:val="000000"/>
          <w:sz w:val="21"/>
        </w:rPr>
        <w:t>Believe we are well positioned to deliver on our commitment of unlocking the earnings potential of the business by 2028</w:t>
      </w:r>
      <w:r>
        <w:rPr>
          <w:color w:val="000000"/>
        </w:rPr>
        <w:t xml:space="preserve"> </w:t>
      </w:r>
      <w:r>
        <w:rPr>
          <w:rFonts w:ascii="sans-serif" w:hAnsi="sans-serif"/>
          <w:b w:val="false"/>
          <w:color w:val="000000"/>
          <w:sz w:val="21"/>
        </w:rPr>
        <w:t xml:space="preserve">as laid out at our 2025 Investor Day, </w:t>
      </w:r>
      <w:r>
        <w:rPr>
          <w:rFonts w:ascii="sans-serif" w:hAnsi="sans-serif"/>
          <w:b/>
          <w:color w:val="000000"/>
          <w:sz w:val="21"/>
        </w:rPr>
        <w:t>supported by our expanded membership base</w:t>
      </w:r>
      <w:r>
        <w:rPr>
          <w:rFonts w:ascii="sans-serif" w:hAnsi="sans-serif"/>
          <w:b w:val="false"/>
          <w:color w:val="000000"/>
          <w:sz w:val="21"/>
        </w:rPr>
        <w:t xml:space="preserve">, relentless focus on </w:t>
      </w:r>
      <w:r>
        <w:rPr>
          <w:rFonts w:ascii="sans-serif" w:hAnsi="sans-serif"/>
          <w:b/>
          <w:color w:val="000000"/>
          <w:sz w:val="21"/>
        </w:rPr>
        <w:t>returning to Top Quartile Stars results</w:t>
      </w:r>
      <w:r>
        <w:rPr>
          <w:rFonts w:ascii="sans-serif" w:hAnsi="sans-serif"/>
          <w:b w:val="false"/>
          <w:color w:val="000000"/>
          <w:sz w:val="21"/>
        </w:rPr>
        <w:t xml:space="preserve">, and </w:t>
      </w:r>
      <w:r>
        <w:rPr>
          <w:rFonts w:ascii="sans-serif" w:hAnsi="sans-serif"/>
          <w:b/>
          <w:color w:val="000000"/>
          <w:sz w:val="21"/>
        </w:rPr>
        <w:t>continued discipline across pricing, clinical excellence, operating efficiencies and capital allocation</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1"/>
        </w:rPr>
        <w:t xml:space="preserve">Will hold a </w:t>
      </w:r>
      <w:r>
        <w:rPr>
          <w:rFonts w:ascii="sans-serif" w:hAnsi="sans-serif"/>
          <w:b/>
          <w:color w:val="000000"/>
          <w:sz w:val="21"/>
        </w:rPr>
        <w:t>virtual investor update on December 10</w:t>
      </w:r>
      <w:r>
        <w:rPr>
          <w:rFonts w:ascii="sans-serif" w:hAnsi="sans-serif"/>
          <w:b/>
          <w:color w:val="000000"/>
          <w:sz w:val="14"/>
        </w:rPr>
        <w:t>th</w:t>
      </w:r>
      <w:r>
        <w:rPr>
          <w:rFonts w:ascii="sans-serif" w:hAnsi="sans-serif"/>
          <w:b/>
          <w:color w:val="000000"/>
          <w:sz w:val="21"/>
        </w:rPr>
        <w:t>, 2026</w:t>
      </w:r>
      <w:r>
        <w:rPr>
          <w:rFonts w:ascii="sans-serif" w:hAnsi="sans-serif"/>
          <w:b w:val="false"/>
          <w:color w:val="000000"/>
          <w:sz w:val="21"/>
        </w:rPr>
        <w:t xml:space="preserve">, to provide a </w:t>
      </w:r>
      <w:r>
        <w:rPr>
          <w:rFonts w:ascii="sans-serif" w:hAnsi="sans-serif"/>
          <w:b/>
          <w:color w:val="000000"/>
          <w:sz w:val="21"/>
        </w:rPr>
        <w:t>mark to market against the framework laid out at our 2025 Investor Day</w:t>
      </w:r>
      <w:r>
        <w:rPr>
          <w:rFonts w:ascii="sans-serif" w:hAnsi="sans-serif"/>
          <w:b w:val="false"/>
          <w:color w:val="000000"/>
          <w:sz w:val="21"/>
        </w:rPr>
        <w:t>, including the initiatives expected to support earnings growth through 2028</w:t>
      </w:r>
    </w:p>
    <w:p>
      <w:pPr>
        <w:pStyle w:val="TextBody"/>
        <w:bidi w:val="0"/>
        <w:spacing w:lineRule="auto" w:line="288" w:before="0" w:after="0"/>
        <w:jc w:val="left"/>
        <w:rPr>
          <w:rFonts w:ascii="sans-serif" w:hAnsi="sans-serif"/>
          <w:b/>
          <w:color w:val="000000"/>
          <w:sz w:val="21"/>
          <w:u w:val="single"/>
        </w:rPr>
      </w:pPr>
      <w:r>
        <w:rPr>
          <w:rFonts w:ascii="sans-serif" w:hAnsi="sans-serif"/>
          <w:b/>
          <w:color w:val="000000"/>
          <w:sz w:val="21"/>
          <w:u w:val="single"/>
        </w:rPr>
        <w:t>Expanded Key Messages</w:t>
      </w:r>
    </w:p>
    <w:p>
      <w:pPr>
        <w:pStyle w:val="TextBody"/>
        <w:bidi w:val="0"/>
        <w:spacing w:lineRule="auto" w:line="288" w:before="0" w:after="120"/>
        <w:ind w:left="0" w:right="0" w:hanging="360"/>
        <w:jc w:val="both"/>
        <w:rPr/>
      </w:pPr>
      <w:r>
        <w:rPr>
          <w:color w:val="000000"/>
        </w:rPr>
        <w:t>•</w:t>
      </w:r>
      <w:r>
        <w:rPr>
          <w:rFonts w:ascii="sans-serif" w:hAnsi="sans-serif"/>
          <w:b/>
          <w:color w:val="000000"/>
          <w:sz w:val="21"/>
        </w:rPr>
        <w:t>Delivered solid 2Q26 results</w:t>
      </w:r>
      <w:r>
        <w:rPr>
          <w:rFonts w:ascii="sans-serif" w:hAnsi="sans-serif"/>
          <w:b w:val="false"/>
          <w:color w:val="000000"/>
          <w:sz w:val="21"/>
        </w:rPr>
        <w:t>:</w:t>
      </w:r>
    </w:p>
    <w:p>
      <w:pPr>
        <w:pStyle w:val="TextBody"/>
        <w:bidi w:val="0"/>
        <w:spacing w:lineRule="auto" w:line="288" w:before="0" w:after="120"/>
        <w:ind w:left="0" w:right="0" w:hanging="360"/>
        <w:jc w:val="both"/>
        <w:rPr/>
      </w:pPr>
      <w:r>
        <w:rPr>
          <w:rFonts w:ascii="Courier New;serif" w:hAnsi="Courier New;serif"/>
          <w:b w:val="false"/>
          <w:color w:val="000000"/>
          <w:sz w:val="21"/>
        </w:rPr>
        <w:t>o</w:t>
      </w:r>
      <w:r>
        <w:rPr>
          <w:rFonts w:ascii="sans-serif" w:hAnsi="sans-serif"/>
          <w:b/>
          <w:color w:val="000000"/>
          <w:sz w:val="21"/>
        </w:rPr>
        <w:t xml:space="preserve">2Q26 Adjusted EPS of $7.61 is at the high end of our guidance expectations </w:t>
      </w:r>
      <w:r>
        <w:rPr>
          <w:rFonts w:ascii="sans-serif" w:hAnsi="sans-serif"/>
          <w:b w:val="false"/>
          <w:color w:val="000000"/>
          <w:sz w:val="21"/>
        </w:rPr>
        <w:t xml:space="preserve">of 80% to 85% of FY earnings, supported by </w:t>
      </w:r>
      <w:r>
        <w:rPr>
          <w:rFonts w:ascii="sans-serif" w:hAnsi="sans-serif"/>
          <w:b/>
          <w:color w:val="000000"/>
          <w:sz w:val="21"/>
        </w:rPr>
        <w:t>solid performance across our Insurance and CenterWell segments</w:t>
      </w:r>
      <w:r>
        <w:rPr>
          <w:color w:val="000000"/>
        </w:rPr>
        <w:t xml:space="preserve"> </w:t>
      </w:r>
    </w:p>
    <w:p>
      <w:pPr>
        <w:pStyle w:val="TextBody"/>
        <w:bidi w:val="0"/>
        <w:spacing w:lineRule="auto" w:line="288" w:before="0" w:after="120"/>
        <w:ind w:left="0" w:right="0" w:hanging="360"/>
        <w:jc w:val="both"/>
        <w:rPr/>
      </w:pPr>
      <w:r>
        <w:rPr>
          <w:rFonts w:ascii="Courier New;serif" w:hAnsi="Courier New;serif"/>
          <w:b w:val="false"/>
          <w:color w:val="000000"/>
          <w:sz w:val="21"/>
        </w:rPr>
        <w:t>o</w:t>
      </w:r>
      <w:r>
        <w:rPr>
          <w:rFonts w:ascii="sans-serif" w:hAnsi="sans-serif"/>
          <w:b/>
          <w:color w:val="000000"/>
          <w:sz w:val="21"/>
        </w:rPr>
        <w:t>Insurance segment benefit ratio</w:t>
      </w:r>
      <w:r>
        <w:rPr>
          <w:color w:val="000000"/>
        </w:rPr>
        <w:t xml:space="preserve"> </w:t>
      </w:r>
      <w:r>
        <w:rPr>
          <w:rFonts w:ascii="sans-serif" w:hAnsi="sans-serif"/>
          <w:b w:val="false"/>
          <w:color w:val="000000"/>
          <w:sz w:val="21"/>
        </w:rPr>
        <w:t xml:space="preserve">of 91.2%, </w:t>
      </w:r>
      <w:r>
        <w:rPr>
          <w:rFonts w:ascii="sans-serif" w:hAnsi="sans-serif"/>
          <w:b/>
          <w:color w:val="000000"/>
          <w:sz w:val="21"/>
        </w:rPr>
        <w:t>consistent with our expectations</w:t>
      </w:r>
      <w:r>
        <w:rPr>
          <w:color w:val="000000"/>
        </w:rPr>
        <w:t xml:space="preserve"> </w:t>
      </w:r>
      <w:r>
        <w:rPr>
          <w:rFonts w:ascii="sans-serif" w:hAnsi="sans-serif"/>
          <w:b w:val="false"/>
          <w:color w:val="000000"/>
          <w:sz w:val="21"/>
        </w:rPr>
        <w:t>of ‘slightly above 91%’</w:t>
      </w:r>
    </w:p>
    <w:p>
      <w:pPr>
        <w:pStyle w:val="TextBody"/>
        <w:bidi w:val="0"/>
        <w:spacing w:lineRule="auto" w:line="288" w:before="0" w:after="120"/>
        <w:ind w:left="0" w:right="0" w:hanging="360"/>
        <w:jc w:val="left"/>
        <w:rPr>
          <w:rFonts w:ascii="sans-serif" w:hAnsi="sans-serif"/>
          <w:b w:val="false"/>
          <w:color w:val="000000"/>
          <w:sz w:val="21"/>
        </w:rPr>
      </w:pPr>
      <w:r>
        <w:rPr>
          <w:rFonts w:ascii="sans-serif" w:hAnsi="sans-serif"/>
          <w:b w:val="false"/>
          <w:color w:val="000000"/>
          <w:sz w:val="21"/>
        </w:rPr>
        <w:t>Based on information available to date, medical and pharmacy cost trends are in line with our expectations of ‘high single digit’ trend, across both new and existing membership</w:t>
      </w:r>
    </w:p>
    <w:p>
      <w:pPr>
        <w:pStyle w:val="TextBody"/>
        <w:bidi w:val="0"/>
        <w:spacing w:lineRule="auto" w:line="288" w:before="0" w:after="120"/>
        <w:ind w:left="0" w:right="0" w:hanging="360"/>
        <w:jc w:val="both"/>
        <w:rPr>
          <w:rFonts w:ascii="sans-serif" w:hAnsi="sans-serif"/>
          <w:b w:val="false"/>
          <w:color w:val="000000"/>
          <w:sz w:val="21"/>
        </w:rPr>
      </w:pPr>
      <w:r>
        <w:rPr>
          <w:rFonts w:ascii="sans-serif" w:hAnsi="sans-serif"/>
          <w:b w:val="false"/>
          <w:color w:val="000000"/>
          <w:sz w:val="21"/>
        </w:rPr>
        <w:t>There are certain areas where we have seen slight favorability, particularly in the inpatient space, with favorability more heavily concentrated in members engaged with value-based providers</w:t>
      </w:r>
    </w:p>
    <w:p>
      <w:pPr>
        <w:pStyle w:val="TextBody"/>
        <w:bidi w:val="0"/>
        <w:spacing w:lineRule="auto" w:line="288" w:before="0" w:after="120"/>
        <w:ind w:left="0" w:right="0" w:hanging="360"/>
        <w:jc w:val="both"/>
        <w:rPr/>
      </w:pPr>
      <w:r>
        <w:rPr>
          <w:rFonts w:ascii="Courier New;serif" w:hAnsi="Courier New;serif"/>
          <w:b w:val="false"/>
          <w:color w:val="000000"/>
          <w:sz w:val="21"/>
        </w:rPr>
        <w:t>o</w:t>
      </w:r>
      <w:r>
        <w:rPr>
          <w:rFonts w:ascii="sans-serif" w:hAnsi="sans-serif"/>
          <w:b/>
          <w:color w:val="000000"/>
          <w:sz w:val="21"/>
        </w:rPr>
        <w:t>2Q26 Adjusted consolidated operating cost ratio of 9.7% and Insurance segment operating cost ratio of 7.1%,</w:t>
      </w:r>
      <w:r>
        <w:rPr>
          <w:color w:val="000000"/>
        </w:rPr>
        <w:t xml:space="preserve"> </w:t>
      </w:r>
      <w:r>
        <w:rPr>
          <w:rFonts w:ascii="sans-serif" w:hAnsi="sans-serif"/>
          <w:b w:val="false"/>
          <w:color w:val="000000"/>
          <w:sz w:val="21"/>
        </w:rPr>
        <w:t xml:space="preserve">each </w:t>
      </w:r>
      <w:r>
        <w:rPr>
          <w:rFonts w:ascii="sans-serif" w:hAnsi="sans-serif"/>
          <w:b/>
          <w:color w:val="000000"/>
          <w:sz w:val="21"/>
        </w:rPr>
        <w:t>representing a 120-basis point (bps) reduction year over year</w:t>
      </w:r>
    </w:p>
    <w:p>
      <w:pPr>
        <w:pStyle w:val="TextBody"/>
        <w:bidi w:val="0"/>
        <w:spacing w:lineRule="auto" w:line="288" w:before="0" w:after="120"/>
        <w:ind w:left="0" w:right="0" w:hanging="360"/>
        <w:jc w:val="both"/>
        <w:rPr>
          <w:rFonts w:ascii="sans-serif" w:hAnsi="sans-serif"/>
          <w:b w:val="false"/>
          <w:color w:val="000000"/>
          <w:sz w:val="21"/>
        </w:rPr>
      </w:pPr>
      <w:r>
        <w:rPr>
          <w:rFonts w:ascii="sans-serif" w:hAnsi="sans-serif"/>
          <w:b w:val="false"/>
          <w:color w:val="000000"/>
          <w:sz w:val="21"/>
        </w:rPr>
        <w:t>Reduction driven by operating leverage from membership and revenue growth, along with tactical cost cutting and transformation efforts, which remain on track</w:t>
      </w:r>
    </w:p>
    <w:p>
      <w:pPr>
        <w:pStyle w:val="TextBody"/>
        <w:bidi w:val="0"/>
        <w:spacing w:lineRule="auto" w:line="288" w:before="0" w:after="120"/>
        <w:ind w:left="0" w:right="0" w:hanging="360"/>
        <w:jc w:val="both"/>
        <w:rPr/>
      </w:pPr>
      <w:r>
        <w:rPr>
          <w:color w:val="000000"/>
        </w:rPr>
        <w:t>•</w:t>
      </w:r>
      <w:r>
        <w:rPr>
          <w:rFonts w:ascii="sans-serif" w:hAnsi="sans-serif"/>
          <w:b/>
          <w:color w:val="000000"/>
          <w:sz w:val="21"/>
        </w:rPr>
        <w:t>Affirmed our FY 2026 guidance, including:</w:t>
      </w:r>
    </w:p>
    <w:p>
      <w:pPr>
        <w:pStyle w:val="TextBody"/>
        <w:bidi w:val="0"/>
        <w:spacing w:lineRule="auto" w:line="288" w:before="0" w:after="120"/>
        <w:ind w:left="0" w:right="0" w:hanging="360"/>
        <w:jc w:val="both"/>
        <w:rPr/>
      </w:pPr>
      <w:r>
        <w:rPr>
          <w:rFonts w:ascii="Courier New;serif" w:hAnsi="Courier New;serif"/>
          <w:b w:val="false"/>
          <w:color w:val="000000"/>
          <w:sz w:val="21"/>
        </w:rPr>
        <w:t>o</w:t>
      </w:r>
      <w:r>
        <w:rPr>
          <w:rFonts w:ascii="sans-serif" w:hAnsi="sans-serif"/>
          <w:b w:val="false"/>
          <w:color w:val="000000"/>
          <w:sz w:val="21"/>
        </w:rPr>
        <w:t>Adjusted EPS outlook of ‘at least $9.00’ and segment level income from operations</w:t>
      </w:r>
    </w:p>
    <w:p>
      <w:pPr>
        <w:pStyle w:val="TextBody"/>
        <w:bidi w:val="0"/>
        <w:spacing w:lineRule="auto" w:line="288" w:before="0" w:after="120"/>
        <w:ind w:left="0" w:right="0" w:hanging="360"/>
        <w:jc w:val="both"/>
        <w:rPr/>
      </w:pPr>
      <w:r>
        <w:rPr>
          <w:rFonts w:ascii="Courier New;serif" w:hAnsi="Courier New;serif"/>
          <w:b w:val="false"/>
          <w:color w:val="000000"/>
          <w:sz w:val="21"/>
        </w:rPr>
        <w:t>o</w:t>
      </w:r>
      <w:r>
        <w:rPr>
          <w:rFonts w:ascii="sans-serif" w:hAnsi="sans-serif"/>
          <w:b w:val="false"/>
          <w:color w:val="000000"/>
          <w:sz w:val="21"/>
        </w:rPr>
        <w:t>Insurance segment benefit ratio guidance of 92.75%, plus or minus 25 bps, and consolidated operating cost ratio of 10.0%, plus or minus 25 bps</w:t>
      </w:r>
    </w:p>
    <w:p>
      <w:pPr>
        <w:pStyle w:val="TextBody"/>
        <w:bidi w:val="0"/>
        <w:spacing w:lineRule="auto" w:line="288" w:before="0" w:after="120"/>
        <w:ind w:left="0" w:right="0" w:hanging="360"/>
        <w:jc w:val="both"/>
        <w:rPr/>
      </w:pPr>
      <w:r>
        <w:rPr>
          <w:rFonts w:ascii="Courier New;serif" w:hAnsi="Courier New;serif"/>
          <w:b w:val="false"/>
          <w:color w:val="000000"/>
          <w:sz w:val="21"/>
        </w:rPr>
        <w:t>o</w:t>
      </w:r>
      <w:r>
        <w:rPr>
          <w:rFonts w:ascii="sans-serif" w:hAnsi="sans-serif"/>
          <w:b w:val="false"/>
          <w:color w:val="000000"/>
          <w:sz w:val="21"/>
        </w:rPr>
        <w:t>Medicare and Medicaid membership growth expectations</w:t>
      </w:r>
    </w:p>
    <w:p>
      <w:pPr>
        <w:pStyle w:val="TextBody"/>
        <w:bidi w:val="0"/>
        <w:spacing w:lineRule="auto" w:line="288" w:before="0" w:after="120"/>
        <w:ind w:left="0" w:right="0" w:hanging="360"/>
        <w:jc w:val="both"/>
        <w:rPr/>
      </w:pPr>
      <w:r>
        <w:rPr>
          <w:color w:val="000000"/>
        </w:rPr>
        <w:t>•</w:t>
      </w:r>
      <w:r>
        <w:rPr>
          <w:rFonts w:ascii="sans-serif" w:hAnsi="sans-serif"/>
          <w:b/>
          <w:color w:val="000000"/>
          <w:sz w:val="21"/>
        </w:rPr>
        <w:t>Continue to strategically expand our CenterWell and Medicaid platforms, including:</w:t>
      </w:r>
    </w:p>
    <w:p>
      <w:pPr>
        <w:pStyle w:val="TextBody"/>
        <w:bidi w:val="0"/>
        <w:spacing w:lineRule="auto" w:line="288" w:before="0" w:after="120"/>
        <w:ind w:left="0" w:right="0" w:hanging="360"/>
        <w:jc w:val="left"/>
        <w:rPr/>
      </w:pPr>
      <w:r>
        <w:rPr>
          <w:rFonts w:ascii="Courier New;serif" w:hAnsi="Courier New;serif"/>
          <w:b w:val="false"/>
          <w:color w:val="000000"/>
          <w:sz w:val="21"/>
        </w:rPr>
        <w:t>o</w:t>
      </w:r>
      <w:r>
        <w:rPr>
          <w:rFonts w:ascii="sans-serif" w:hAnsi="sans-serif"/>
          <w:b w:val="false"/>
          <w:color w:val="000000"/>
          <w:sz w:val="21"/>
        </w:rPr>
        <w:t>2Q26 year to date (YTD) patient growth of approximately 130,900, or 27%, in CenterWell Primary Care</w:t>
      </w:r>
    </w:p>
    <w:p>
      <w:pPr>
        <w:pStyle w:val="TextBody"/>
        <w:bidi w:val="0"/>
        <w:spacing w:lineRule="auto" w:line="288" w:before="0" w:after="120"/>
        <w:ind w:left="0" w:right="0" w:hanging="360"/>
        <w:jc w:val="left"/>
        <w:rPr>
          <w:rFonts w:ascii="sans-serif" w:hAnsi="sans-serif"/>
          <w:b w:val="false"/>
          <w:color w:val="000000"/>
          <w:sz w:val="21"/>
        </w:rPr>
      </w:pPr>
      <w:r>
        <w:rPr>
          <w:rFonts w:ascii="sans-serif" w:hAnsi="sans-serif"/>
          <w:b w:val="false"/>
          <w:color w:val="000000"/>
          <w:sz w:val="21"/>
        </w:rPr>
        <w:t>Integration of the recently completed MaxHealth acquisition is progressing in line with expectations</w:t>
      </w:r>
    </w:p>
    <w:p>
      <w:pPr>
        <w:pStyle w:val="TextBody"/>
        <w:bidi w:val="0"/>
        <w:spacing w:lineRule="auto" w:line="288" w:before="0" w:after="120"/>
        <w:ind w:left="0" w:right="0" w:hanging="360"/>
        <w:jc w:val="left"/>
        <w:rPr/>
      </w:pPr>
      <w:r>
        <w:rPr>
          <w:rFonts w:ascii="Courier New;serif" w:hAnsi="Courier New;serif"/>
          <w:b w:val="false"/>
          <w:color w:val="000000"/>
          <w:sz w:val="21"/>
        </w:rPr>
        <w:t>o</w:t>
      </w:r>
      <w:r>
        <w:rPr>
          <w:rFonts w:ascii="sans-serif" w:hAnsi="sans-serif"/>
          <w:b w:val="false"/>
          <w:color w:val="000000"/>
          <w:sz w:val="21"/>
        </w:rPr>
        <w:t>2Q26 YTD Medicaid member growth of approximately 93,000, largely driven by the start of programs in Michigan, Illinois and South Carolina</w:t>
      </w:r>
    </w:p>
    <w:p>
      <w:pPr>
        <w:pStyle w:val="TextBody"/>
        <w:bidi w:val="0"/>
        <w:spacing w:lineRule="auto" w:line="288" w:before="0" w:after="120"/>
        <w:ind w:left="0" w:right="0" w:hanging="360"/>
        <w:jc w:val="left"/>
        <w:rPr>
          <w:rFonts w:ascii="sans-serif" w:hAnsi="sans-serif"/>
          <w:b w:val="false"/>
          <w:color w:val="000000"/>
          <w:sz w:val="21"/>
        </w:rPr>
      </w:pPr>
      <w:r>
        <w:rPr>
          <w:rFonts w:ascii="sans-serif" w:hAnsi="sans-serif"/>
          <w:b w:val="false"/>
          <w:color w:val="000000"/>
          <w:sz w:val="21"/>
        </w:rPr>
        <w:t>In addition, Humana was recently awarded a statewide Illinois HealthChoice Medicaid managed care contract, expected to begin operations in January 2027</w:t>
      </w:r>
    </w:p>
    <w:p>
      <w:pPr>
        <w:pStyle w:val="TextBody"/>
        <w:bidi w:val="0"/>
        <w:spacing w:lineRule="auto" w:line="288" w:before="0" w:after="120"/>
        <w:ind w:left="0" w:right="0" w:hanging="360"/>
        <w:jc w:val="both"/>
        <w:rPr/>
      </w:pPr>
      <w:r>
        <w:rPr>
          <w:color w:val="000000"/>
        </w:rPr>
        <w:t>•</w:t>
      </w:r>
      <w:r>
        <w:rPr>
          <w:rFonts w:ascii="sans-serif" w:hAnsi="sans-serif"/>
          <w:b/>
          <w:color w:val="000000"/>
          <w:sz w:val="21"/>
        </w:rPr>
        <w:t>Efforts to strengthen our Stars program have progressed as anticipated</w:t>
      </w:r>
      <w:r>
        <w:rPr>
          <w:color w:val="000000"/>
        </w:rPr>
        <w:t xml:space="preserve"> </w:t>
      </w:r>
      <w:r>
        <w:rPr>
          <w:rFonts w:ascii="sans-serif" w:hAnsi="sans-serif"/>
          <w:b w:val="false"/>
          <w:color w:val="000000"/>
          <w:sz w:val="21"/>
        </w:rPr>
        <w:t xml:space="preserve">as we </w:t>
      </w:r>
      <w:r>
        <w:rPr>
          <w:rFonts w:ascii="sans-serif" w:hAnsi="sans-serif"/>
          <w:b/>
          <w:color w:val="000000"/>
          <w:sz w:val="21"/>
        </w:rPr>
        <w:t>focus on achieving Top Quartile Stars</w:t>
      </w:r>
      <w:r>
        <w:rPr>
          <w:color w:val="000000"/>
        </w:rPr>
        <w:t xml:space="preserve"> </w:t>
      </w:r>
      <w:r>
        <w:rPr>
          <w:rFonts w:ascii="sans-serif" w:hAnsi="sans-serif"/>
          <w:b w:val="false"/>
          <w:color w:val="000000"/>
          <w:sz w:val="21"/>
        </w:rPr>
        <w:t>results in</w:t>
      </w:r>
      <w:r>
        <w:rPr>
          <w:color w:val="000000"/>
        </w:rPr>
        <w:t xml:space="preserve"> </w:t>
      </w:r>
      <w:r>
        <w:rPr>
          <w:rFonts w:ascii="sans-serif" w:hAnsi="sans-serif"/>
          <w:b/>
          <w:color w:val="000000"/>
          <w:sz w:val="21"/>
        </w:rPr>
        <w:t>Bonus Year (BY) 2028</w:t>
      </w:r>
    </w:p>
    <w:p>
      <w:pPr>
        <w:pStyle w:val="TextBody"/>
        <w:bidi w:val="0"/>
        <w:spacing w:lineRule="auto" w:line="288" w:before="0" w:after="120"/>
        <w:ind w:left="0" w:right="0" w:hanging="360"/>
        <w:jc w:val="both"/>
        <w:rPr/>
      </w:pPr>
      <w:r>
        <w:rPr>
          <w:rFonts w:ascii="Courier New;serif" w:hAnsi="Courier New;serif"/>
          <w:b w:val="false"/>
          <w:color w:val="000000"/>
          <w:sz w:val="21"/>
        </w:rPr>
        <w:t>o</w:t>
      </w:r>
      <w:r>
        <w:rPr>
          <w:rFonts w:ascii="sans-serif" w:hAnsi="sans-serif"/>
          <w:b w:val="false"/>
          <w:color w:val="000000"/>
          <w:sz w:val="21"/>
        </w:rPr>
        <w:t xml:space="preserve">See Appendix A for a BY2028 performance update which highlights a </w:t>
      </w:r>
      <w:r>
        <w:rPr>
          <w:rFonts w:ascii="sans-serif" w:hAnsi="sans-serif"/>
          <w:b/>
          <w:i/>
          <w:color w:val="000000"/>
          <w:sz w:val="21"/>
        </w:rPr>
        <w:t>BY2028 rate of improvement that outpaced the 4-year historical compound annual growth rate (CAGR) across 11 of the 12 selected HEDIS and Patient Safety measures</w:t>
      </w:r>
    </w:p>
    <w:p>
      <w:pPr>
        <w:pStyle w:val="TextBody"/>
        <w:bidi w:val="0"/>
        <w:spacing w:before="0" w:after="0"/>
        <w:jc w:val="left"/>
        <w:rPr/>
      </w:pPr>
      <w:r>
        <w:rPr/>
      </w:r>
    </w:p>
    <w:p>
      <w:pPr>
        <w:pStyle w:val="TextBody"/>
        <w:bidi w:val="0"/>
        <w:jc w:val="left"/>
        <w:rPr/>
      </w:pPr>
      <w:r>
        <w:rPr/>
      </w:r>
    </w:p>
    <w:p>
      <w:pPr>
        <w:pStyle w:val="TextBody"/>
        <w:bidi w:val="0"/>
        <w:spacing w:lineRule="auto" w:line="288" w:before="0" w:after="0"/>
        <w:jc w:val="center"/>
        <w:rPr/>
      </w:pPr>
      <w:r>
        <w:rPr>
          <w:color w:val="FF0000"/>
        </w:rPr>
        <w:t>    </w:t>
      </w:r>
      <w:r>
        <w:rPr>
          <w:rFonts w:ascii="sans-serif" w:hAnsi="sans-serif"/>
          <w:b/>
          <w:color w:val="000000"/>
          <w:sz w:val="22"/>
        </w:rPr>
        <w:t>Exhibit 99.3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70205"/>
                <wp:effectExtent l="0" t="0" r="0" b="0"/>
                <wp:wrapNone/>
                <wp:docPr id="42" name="Frame39"/>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174.2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sans-serif" w:hAnsi="sans-serif"/>
          <w:b/>
          <w:color w:val="000000"/>
          <w:sz w:val="22"/>
        </w:rPr>
        <w:t>Humana Inc. Second Quarter 2026 Prepared Management Remarks</w:t>
      </w:r>
      <w:r>
        <w:rPr>
          <w:color w:val="FF0000"/>
        </w:rPr>
        <w:t xml:space="preserve"> </w:t>
      </w:r>
      <w:r>
        <w:rPr>
          <w:rFonts w:ascii="sans-serif" w:hAnsi="sans-serif"/>
          <w:b/>
          <w:color w:val="000000"/>
          <w:sz w:val="22"/>
        </w:rPr>
        <w:t>7/29/2026</w:t>
      </w:r>
    </w:p>
    <w:p>
      <w:pPr>
        <w:pStyle w:val="TextBody"/>
        <w:bidi w:val="0"/>
        <w:spacing w:lineRule="auto" w:line="288" w:before="0" w:after="144"/>
        <w:jc w:val="both"/>
        <w:rPr>
          <w:rFonts w:ascii="sans-serif" w:hAnsi="sans-serif"/>
          <w:b/>
          <w:i/>
          <w:color w:val="000000"/>
          <w:sz w:val="24"/>
        </w:rPr>
      </w:pPr>
      <w:r>
        <w:rPr>
          <w:rFonts w:ascii="sans-serif" w:hAnsi="sans-serif"/>
          <w:b/>
          <w:i/>
          <w:color w:val="000000"/>
          <w:sz w:val="24"/>
        </w:rPr>
        <w:t>Detailed Discussion:</w:t>
      </w:r>
    </w:p>
    <w:p>
      <w:pPr>
        <w:pStyle w:val="TextBody"/>
        <w:bidi w:val="0"/>
        <w:spacing w:lineRule="auto" w:line="288" w:before="0" w:after="144"/>
        <w:jc w:val="both"/>
        <w:rPr>
          <w:rFonts w:ascii="sans-serif" w:hAnsi="sans-serif"/>
          <w:b/>
          <w:color w:val="000000"/>
          <w:sz w:val="24"/>
        </w:rPr>
      </w:pPr>
      <w:r>
        <w:rPr>
          <w:rFonts w:ascii="sans-serif" w:hAnsi="sans-serif"/>
          <w:b/>
          <w:color w:val="000000"/>
          <w:sz w:val="24"/>
        </w:rPr>
        <w:t>Insurance</w:t>
      </w:r>
    </w:p>
    <w:p>
      <w:pPr>
        <w:pStyle w:val="TextBody"/>
        <w:bidi w:val="0"/>
        <w:spacing w:lineRule="auto" w:line="288" w:before="0" w:after="144"/>
        <w:jc w:val="both"/>
        <w:rPr/>
      </w:pPr>
      <w:r>
        <w:rPr>
          <w:rFonts w:ascii="sans-serif" w:hAnsi="sans-serif"/>
          <w:b w:val="false"/>
          <w:color w:val="000000"/>
          <w:sz w:val="24"/>
        </w:rPr>
        <w:t>Delivered solid 2Q26 Insurance segment results with membership and revenue, including member risk scores, tracking in line with expectations and Insurance segment benefit ratio of 91.2%, consistent with our expectations of ‘slightly above 91%’. Based on information available to date, medical and pharmacy cost trends are in line with our expectations of ‘high single digit’ trend, across both new and existing membership. There are certain areas where we have seen slight favorability, particularly in the inpatient space</w:t>
      </w:r>
      <w:r>
        <w:rPr>
          <w:rFonts w:ascii="sans-serif" w:hAnsi="sans-serif"/>
          <w:b w:val="false"/>
          <w:color w:val="000000"/>
          <w:sz w:val="22"/>
        </w:rPr>
        <w:t xml:space="preserve">, </w:t>
      </w:r>
      <w:r>
        <w:rPr>
          <w:rFonts w:ascii="sans-serif" w:hAnsi="sans-serif"/>
          <w:b w:val="false"/>
          <w:color w:val="000000"/>
          <w:sz w:val="24"/>
        </w:rPr>
        <w:t>with favorability more heavily concentrated in members engaged with value-based providers.</w:t>
      </w:r>
    </w:p>
    <w:p>
      <w:pPr>
        <w:pStyle w:val="TextBody"/>
        <w:bidi w:val="0"/>
        <w:spacing w:lineRule="auto" w:line="288" w:before="0" w:after="144"/>
        <w:ind w:left="0" w:right="0" w:firstLine="360"/>
        <w:jc w:val="both"/>
        <w:rPr>
          <w:rFonts w:ascii="sans-serif" w:hAnsi="sans-serif"/>
          <w:b w:val="false"/>
          <w:i/>
          <w:color w:val="000000"/>
          <w:sz w:val="24"/>
          <w:u w:val="single"/>
        </w:rPr>
      </w:pPr>
      <w:r>
        <w:rPr>
          <w:rFonts w:ascii="sans-serif" w:hAnsi="sans-serif"/>
          <w:b w:val="false"/>
          <w:i/>
          <w:color w:val="000000"/>
          <w:sz w:val="24"/>
          <w:u w:val="single"/>
        </w:rPr>
        <w:t xml:space="preserve">Individual MA </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2Q26 YTD membership increase of approximately 1,204,000, or 23%, is tracking in line with our FY 2026 expectation of approximately 25% membership growth</w:t>
      </w:r>
    </w:p>
    <w:p>
      <w:pPr>
        <w:pStyle w:val="TextBody"/>
        <w:bidi w:val="0"/>
        <w:spacing w:lineRule="auto" w:line="288" w:before="0" w:after="144"/>
        <w:ind w:left="0" w:right="0" w:hanging="360"/>
        <w:jc w:val="both"/>
        <w:rPr/>
      </w:pPr>
      <w:r>
        <w:rPr>
          <w:rFonts w:ascii="Courier New;serif" w:hAnsi="Courier New;serif"/>
          <w:b w:val="false"/>
          <w:color w:val="000000"/>
          <w:sz w:val="24"/>
        </w:rPr>
        <w:t>o</w:t>
      </w:r>
      <w:r>
        <w:rPr>
          <w:rFonts w:ascii="sans-serif" w:hAnsi="sans-serif"/>
          <w:b w:val="false"/>
          <w:color w:val="000000"/>
          <w:sz w:val="24"/>
        </w:rPr>
        <w:t>Membership growth expected to further fuel our ability to unlock the earnings potential of the business by 2028 as laid out at our 2025 Investor Day</w:t>
      </w:r>
    </w:p>
    <w:p>
      <w:pPr>
        <w:pStyle w:val="TextBody"/>
        <w:bidi w:val="0"/>
        <w:spacing w:lineRule="auto" w:line="288" w:before="0" w:after="144"/>
        <w:ind w:left="0" w:right="0" w:firstLine="360"/>
        <w:jc w:val="both"/>
        <w:rPr>
          <w:rFonts w:ascii="sans-serif" w:hAnsi="sans-serif"/>
          <w:b w:val="false"/>
          <w:i/>
          <w:color w:val="000000"/>
          <w:sz w:val="24"/>
          <w:u w:val="single"/>
        </w:rPr>
      </w:pPr>
      <w:r>
        <w:rPr>
          <w:rFonts w:ascii="sans-serif" w:hAnsi="sans-serif"/>
          <w:b w:val="false"/>
          <w:i/>
          <w:color w:val="000000"/>
          <w:sz w:val="24"/>
          <w:u w:val="single"/>
        </w:rPr>
        <w:t>Group MA</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4"/>
        </w:rPr>
        <w:t>2Q26 YTD membership growth of approximately 159,000, or 28%, is in line with expectations of growth of approximately 150,000 members in FY 2026</w:t>
      </w:r>
    </w:p>
    <w:p>
      <w:pPr>
        <w:pStyle w:val="TextBody"/>
        <w:bidi w:val="0"/>
        <w:spacing w:before="0" w:after="120"/>
        <w:jc w:val="left"/>
        <w:rPr/>
      </w:pPr>
      <w:r>
        <w:rPr/>
      </w:r>
    </w:p>
    <w:p>
      <w:pPr>
        <w:pStyle w:val="TextBody"/>
        <w:bidi w:val="0"/>
        <w:spacing w:lineRule="auto" w:line="288" w:before="0" w:after="144"/>
        <w:ind w:left="0" w:right="0" w:firstLine="360"/>
        <w:jc w:val="both"/>
        <w:rPr>
          <w:rFonts w:ascii="sans-serif" w:hAnsi="sans-serif"/>
          <w:b w:val="false"/>
          <w:i/>
          <w:color w:val="000000"/>
          <w:sz w:val="24"/>
          <w:u w:val="single"/>
        </w:rPr>
      </w:pPr>
      <w:r>
        <w:rPr>
          <w:rFonts w:ascii="sans-serif" w:hAnsi="sans-serif"/>
          <w:b w:val="false"/>
          <w:i/>
          <w:color w:val="000000"/>
          <w:sz w:val="24"/>
          <w:u w:val="single"/>
        </w:rPr>
        <w:t>Individual Stand-Alone Part D (PDP)</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2Q26 YTD membership growth of approximately 1,139,000, or 50%, which is largely concentrated in our Basic and Value PDP plans, is tracking in line with our FY 2026 expectation of approximately 1 million member growth</w:t>
      </w:r>
    </w:p>
    <w:p>
      <w:pPr>
        <w:pStyle w:val="TextBody"/>
        <w:bidi w:val="0"/>
        <w:spacing w:lineRule="auto" w:line="288" w:before="0" w:after="144"/>
        <w:ind w:left="0" w:right="0" w:firstLine="360"/>
        <w:jc w:val="both"/>
        <w:rPr>
          <w:rFonts w:ascii="sans-serif" w:hAnsi="sans-serif"/>
          <w:b w:val="false"/>
          <w:i/>
          <w:color w:val="000000"/>
          <w:sz w:val="24"/>
          <w:u w:val="single"/>
        </w:rPr>
      </w:pPr>
      <w:r>
        <w:rPr>
          <w:rFonts w:ascii="sans-serif" w:hAnsi="sans-serif"/>
          <w:b w:val="false"/>
          <w:i/>
          <w:color w:val="000000"/>
          <w:sz w:val="24"/>
          <w:u w:val="single"/>
        </w:rPr>
        <w:t>Medicaid</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4"/>
        </w:rPr>
        <w:t>2Q26 YTD membership growth of approximately 93,000 is in line with expectations; we continue to anticipate 25,000 to 100,000 member growth for FY 2026, representing an increase of approximately 4% for the year at the midpoint, largely driven by new contract starts on January 1</w:t>
      </w:r>
      <w:r>
        <w:rPr>
          <w:rFonts w:ascii="sans-serif" w:hAnsi="sans-serif"/>
          <w:b w:val="false"/>
          <w:color w:val="000000"/>
          <w:sz w:val="16"/>
        </w:rPr>
        <w:t>st</w:t>
      </w:r>
      <w:r>
        <w:rPr>
          <w:color w:val="000000"/>
        </w:rPr>
        <w:t xml:space="preserve"> </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4"/>
        </w:rPr>
        <w:t>We were pleased with the recent award of a statewide Illinois HealthChoice Medicaid managed care contract, expected to begin operations in January 2027</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4"/>
        </w:rPr>
        <w:t>Our contract in Florida, our largest Medicaid state, was recently extended for an additional 4 years (through January 31, 2035)</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4"/>
        </w:rPr>
        <w:t>We continue to navigate procurement challenges related to our recent awards in Texas and Georgia. We remain bullish on these awards and our ability to win new business and successfully deliver value for our members and state partners</w:t>
      </w:r>
    </w:p>
    <w:p>
      <w:pPr>
        <w:pStyle w:val="TextBody"/>
        <w:bidi w:val="0"/>
        <w:spacing w:before="0" w:after="0"/>
        <w:jc w:val="left"/>
        <w:rPr/>
      </w:pPr>
      <w:r>
        <w:rPr/>
      </w:r>
    </w:p>
    <w:p>
      <w:pPr>
        <w:pStyle w:val="TextBody"/>
        <w:bidi w:val="0"/>
        <w:spacing w:lineRule="auto" w:line="288" w:before="0" w:after="144"/>
        <w:jc w:val="both"/>
        <w:rPr>
          <w:rFonts w:ascii="sans-serif" w:hAnsi="sans-serif"/>
          <w:b/>
          <w:color w:val="000000"/>
          <w:sz w:val="24"/>
        </w:rPr>
      </w:pPr>
      <w:r>
        <w:rPr>
          <w:rFonts w:ascii="sans-serif" w:hAnsi="sans-serif"/>
          <w:b/>
          <w:color w:val="000000"/>
          <w:sz w:val="24"/>
        </w:rPr>
        <w:t>CenterWell</w:t>
      </w:r>
    </w:p>
    <w:p>
      <w:pPr>
        <w:pStyle w:val="TextBody"/>
        <w:bidi w:val="0"/>
        <w:spacing w:lineRule="auto" w:line="288" w:before="0" w:after="144"/>
        <w:jc w:val="both"/>
        <w:rPr>
          <w:rFonts w:ascii="sans-serif" w:hAnsi="sans-serif"/>
          <w:b w:val="false"/>
          <w:color w:val="000000"/>
          <w:sz w:val="24"/>
        </w:rPr>
      </w:pPr>
      <w:r>
        <w:rPr>
          <w:rFonts w:ascii="sans-serif" w:hAnsi="sans-serif"/>
          <w:b w:val="false"/>
          <w:color w:val="000000"/>
          <w:sz w:val="24"/>
        </w:rPr>
        <w:t xml:space="preserve">2Q26 CenterWell results reflect solid growth across each line of business driven by Humana membership growth and continued agnostic expansion. </w:t>
      </w:r>
    </w:p>
    <w:p>
      <w:pPr>
        <w:pStyle w:val="TextBody"/>
        <w:bidi w:val="0"/>
        <w:spacing w:before="0" w:after="144"/>
        <w:jc w:val="both"/>
        <w:rPr/>
      </w:pPr>
      <w:r>
        <w:rPr/>
      </w:r>
    </w:p>
    <w:p>
      <w:pPr>
        <w:pStyle w:val="TextBody"/>
        <w:bidi w:val="0"/>
        <w:spacing w:before="0" w:after="144"/>
        <w:jc w:val="both"/>
        <w:rPr/>
      </w:pPr>
      <w:r>
        <w:rPr/>
      </w:r>
    </w:p>
    <w:p>
      <w:pPr>
        <w:pStyle w:val="TextBody"/>
        <w:bidi w:val="0"/>
        <w:spacing w:lineRule="auto" w:line="288" w:before="0" w:after="0"/>
        <w:jc w:val="center"/>
        <w:rPr/>
      </w:pPr>
      <w:r>
        <w:rPr>
          <w:color w:val="FF0000"/>
        </w:rPr>
        <w:t>    </w:t>
      </w:r>
      <w:r>
        <w:rPr>
          <w:rFonts w:ascii="sans-serif" w:hAnsi="sans-serif"/>
          <w:b/>
          <w:color w:val="000000"/>
          <w:sz w:val="22"/>
        </w:rPr>
        <w:t>Exhibit 99.3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70205"/>
                <wp:effectExtent l="0" t="0" r="0" b="0"/>
                <wp:wrapNone/>
                <wp:docPr id="43" name="Frame40"/>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174.2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sans-serif" w:hAnsi="sans-serif"/>
          <w:b/>
          <w:color w:val="000000"/>
          <w:sz w:val="22"/>
        </w:rPr>
        <w:t>Humana Inc. Second Quarter 2026 Prepared Management Remarks</w:t>
      </w:r>
      <w:r>
        <w:rPr>
          <w:color w:val="FF0000"/>
        </w:rPr>
        <w:t xml:space="preserve"> </w:t>
      </w:r>
      <w:r>
        <w:rPr>
          <w:rFonts w:ascii="sans-serif" w:hAnsi="sans-serif"/>
          <w:b/>
          <w:color w:val="000000"/>
          <w:sz w:val="22"/>
        </w:rPr>
        <w:t>7/29/2026</w:t>
      </w:r>
    </w:p>
    <w:p>
      <w:pPr>
        <w:pStyle w:val="TextBody"/>
        <w:bidi w:val="0"/>
        <w:spacing w:lineRule="auto" w:line="417" w:before="0" w:after="144"/>
        <w:ind w:left="0" w:right="0" w:firstLine="360"/>
        <w:jc w:val="both"/>
        <w:rPr>
          <w:rFonts w:ascii="sans-serif" w:hAnsi="sans-serif"/>
          <w:b w:val="false"/>
          <w:i/>
          <w:color w:val="000000"/>
          <w:sz w:val="24"/>
          <w:u w:val="single"/>
        </w:rPr>
      </w:pPr>
      <w:r>
        <w:rPr>
          <w:rFonts w:ascii="sans-serif" w:hAnsi="sans-serif"/>
          <w:b w:val="false"/>
          <w:i/>
          <w:color w:val="000000"/>
          <w:sz w:val="24"/>
          <w:u w:val="single"/>
        </w:rPr>
        <w:t>Primary Care</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Serving approximately 622,000 patients as of June 30, 2026, an increase of 130,900 patients, or 27%, from December 31, 2025. 2Q26 YTD patient growth includes:</w:t>
      </w:r>
    </w:p>
    <w:p>
      <w:pPr>
        <w:pStyle w:val="TextBody"/>
        <w:bidi w:val="0"/>
        <w:spacing w:lineRule="auto" w:line="288" w:before="0" w:after="144"/>
        <w:ind w:left="0" w:right="0" w:hanging="360"/>
        <w:jc w:val="both"/>
        <w:rPr/>
      </w:pPr>
      <w:r>
        <w:rPr>
          <w:rFonts w:ascii="Courier New;serif" w:hAnsi="Courier New;serif"/>
          <w:b w:val="false"/>
          <w:color w:val="000000"/>
          <w:sz w:val="24"/>
        </w:rPr>
        <w:t>o</w:t>
      </w:r>
      <w:r>
        <w:rPr>
          <w:rFonts w:ascii="sans-serif" w:hAnsi="sans-serif"/>
          <w:b w:val="false"/>
          <w:color w:val="000000"/>
          <w:sz w:val="24"/>
        </w:rPr>
        <w:t>25,900 patients, or 23% growth, in our de novo centers</w:t>
      </w:r>
    </w:p>
    <w:p>
      <w:pPr>
        <w:pStyle w:val="TextBody"/>
        <w:bidi w:val="0"/>
        <w:spacing w:lineRule="auto" w:line="288" w:before="0" w:after="144"/>
        <w:ind w:left="0" w:right="0" w:hanging="360"/>
        <w:jc w:val="both"/>
        <w:rPr/>
      </w:pPr>
      <w:r>
        <w:rPr>
          <w:rFonts w:ascii="Courier New;serif" w:hAnsi="Courier New;serif"/>
          <w:b w:val="false"/>
          <w:color w:val="000000"/>
          <w:sz w:val="24"/>
        </w:rPr>
        <w:t>o</w:t>
      </w:r>
      <w:r>
        <w:rPr>
          <w:rFonts w:ascii="sans-serif" w:hAnsi="sans-serif"/>
          <w:b w:val="false"/>
          <w:color w:val="000000"/>
          <w:sz w:val="24"/>
        </w:rPr>
        <w:t>69,500 patients, or 23% growth, in our more mature wholly-owned centers; and</w:t>
      </w:r>
    </w:p>
    <w:p>
      <w:pPr>
        <w:pStyle w:val="TextBody"/>
        <w:bidi w:val="0"/>
        <w:spacing w:lineRule="auto" w:line="288" w:before="0" w:after="144"/>
        <w:ind w:left="0" w:right="0" w:hanging="360"/>
        <w:jc w:val="both"/>
        <w:rPr/>
      </w:pPr>
      <w:r>
        <w:rPr>
          <w:rFonts w:ascii="Courier New;serif" w:hAnsi="Courier New;serif"/>
          <w:b w:val="false"/>
          <w:color w:val="000000"/>
          <w:sz w:val="24"/>
        </w:rPr>
        <w:t>o</w:t>
      </w:r>
      <w:r>
        <w:rPr>
          <w:rFonts w:ascii="sans-serif" w:hAnsi="sans-serif"/>
          <w:b w:val="false"/>
          <w:color w:val="000000"/>
          <w:sz w:val="24"/>
        </w:rPr>
        <w:t>35,500 patients, or 47% growth, in our Independent Physician Associations (IPA) business</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Our robust patient growth is supported by a 40-basis point year over year improvement in our already strong retention rate, which together with a 200-basis point year over year improvement in Net Promoter Score (NPS), demonstrate increased patient satisfaction and engagement    </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Operating 398 centers as of June 30, 2026, representing growth of 63 centers, or 19%, year over year, while representing an increase of 48 centers, or 14%, from December 31, 2025</w:t>
      </w:r>
    </w:p>
    <w:p>
      <w:pPr>
        <w:pStyle w:val="TextBody"/>
        <w:bidi w:val="0"/>
        <w:spacing w:lineRule="auto" w:line="288" w:before="0" w:after="144"/>
        <w:ind w:left="0" w:right="0" w:hanging="360"/>
        <w:jc w:val="both"/>
        <w:rPr/>
      </w:pPr>
      <w:r>
        <w:rPr>
          <w:rFonts w:ascii="Courier New;serif" w:hAnsi="Courier New;serif"/>
          <w:b w:val="false"/>
          <w:color w:val="000000"/>
          <w:sz w:val="24"/>
        </w:rPr>
        <w:t>o</w:t>
      </w:r>
      <w:r>
        <w:rPr>
          <w:rFonts w:ascii="sans-serif" w:hAnsi="sans-serif"/>
          <w:b w:val="false"/>
          <w:color w:val="000000"/>
          <w:sz w:val="24"/>
        </w:rPr>
        <w:t>The year over year and sequential increase in centers is largely driven by recently completed acquisitions, including The Villages Health (4Q25) and MaxHealth (1Q26)</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We still anticipate we will mitigate the ultimate impact of the v28 risk model changes over the three-year phase in through a multi-pronged plan including numerous operational efficiencies such as centralizing and streamlining administrative functions, standardizing the clinic operating model, and improving clinician productivity to increase capacity</w:t>
      </w:r>
    </w:p>
    <w:p>
      <w:pPr>
        <w:pStyle w:val="TextBody"/>
        <w:bidi w:val="0"/>
        <w:spacing w:lineRule="auto" w:line="288" w:before="0" w:after="144"/>
        <w:ind w:left="0" w:right="0" w:hanging="360"/>
        <w:jc w:val="both"/>
        <w:rPr/>
      </w:pPr>
      <w:r>
        <w:rPr>
          <w:rFonts w:ascii="Courier New;serif" w:hAnsi="Courier New;serif"/>
          <w:b w:val="false"/>
          <w:color w:val="000000"/>
          <w:sz w:val="24"/>
        </w:rPr>
        <w:t>o</w:t>
      </w:r>
      <w:r>
        <w:rPr>
          <w:rFonts w:ascii="sans-serif" w:hAnsi="sans-serif"/>
          <w:b w:val="false"/>
          <w:color w:val="000000"/>
          <w:sz w:val="24"/>
        </w:rPr>
        <w:t>The impact of v28 and our related mitigation efforts are tracking in line with expectations to date</w:t>
      </w:r>
    </w:p>
    <w:p>
      <w:pPr>
        <w:pStyle w:val="TextBody"/>
        <w:bidi w:val="0"/>
        <w:spacing w:lineRule="auto" w:line="417" w:before="0" w:after="144"/>
        <w:jc w:val="both"/>
        <w:rPr>
          <w:rFonts w:ascii="sans-serif" w:hAnsi="sans-serif"/>
          <w:b w:val="false"/>
          <w:i/>
          <w:color w:val="000000"/>
          <w:sz w:val="24"/>
          <w:u w:val="single"/>
        </w:rPr>
      </w:pPr>
      <w:r>
        <w:rPr>
          <w:rFonts w:ascii="sans-serif" w:hAnsi="sans-serif"/>
          <w:b w:val="false"/>
          <w:i/>
          <w:color w:val="000000"/>
          <w:sz w:val="24"/>
          <w:u w:val="single"/>
        </w:rPr>
        <w:t>Home</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 xml:space="preserve">Within our CenterWell Home Health fee-for-service business, 2Q26 YTD same store admissions grew just over 3% year over year, with solid growth partially offset by efforts to optimize our payer mix </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Our comprehensive initiative to drive productivity and efficiency within our home operating model to offset reimbursement and other pressures is driving the intended results</w:t>
      </w:r>
    </w:p>
    <w:p>
      <w:pPr>
        <w:pStyle w:val="TextBody"/>
        <w:bidi w:val="0"/>
        <w:spacing w:before="0" w:after="144"/>
        <w:jc w:val="both"/>
        <w:rPr/>
      </w:pPr>
      <w:r>
        <w:rPr/>
      </w:r>
    </w:p>
    <w:p>
      <w:pPr>
        <w:pStyle w:val="TextBody"/>
        <w:bidi w:val="0"/>
        <w:spacing w:lineRule="auto" w:line="417" w:before="0" w:after="144"/>
        <w:ind w:left="0" w:right="0" w:firstLine="360"/>
        <w:jc w:val="both"/>
        <w:rPr>
          <w:rFonts w:ascii="sans-serif" w:hAnsi="sans-serif"/>
          <w:b w:val="false"/>
          <w:i/>
          <w:color w:val="000000"/>
          <w:sz w:val="24"/>
          <w:u w:val="single"/>
        </w:rPr>
      </w:pPr>
      <w:r>
        <w:rPr>
          <w:rFonts w:ascii="sans-serif" w:hAnsi="sans-serif"/>
          <w:b w:val="false"/>
          <w:i/>
          <w:color w:val="000000"/>
          <w:sz w:val="24"/>
          <w:u w:val="single"/>
        </w:rPr>
        <w:t>Pharmacy</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 xml:space="preserve">CenterWell Pharmacy has driven strong results 2Q26 YTD with increased year over year volumes driven by: </w:t>
      </w:r>
    </w:p>
    <w:p>
      <w:pPr>
        <w:pStyle w:val="TextBody"/>
        <w:bidi w:val="0"/>
        <w:spacing w:lineRule="auto" w:line="288" w:before="0" w:after="144"/>
        <w:ind w:left="0" w:right="0" w:hanging="360"/>
        <w:jc w:val="both"/>
        <w:rPr/>
      </w:pPr>
      <w:r>
        <w:rPr>
          <w:rFonts w:ascii="Courier New;serif" w:hAnsi="Courier New;serif"/>
          <w:b w:val="false"/>
          <w:color w:val="000000"/>
          <w:sz w:val="24"/>
        </w:rPr>
        <w:t>o</w:t>
      </w:r>
      <w:r>
        <w:rPr>
          <w:rFonts w:ascii="sans-serif" w:hAnsi="sans-serif"/>
          <w:b w:val="false"/>
          <w:color w:val="000000"/>
          <w:sz w:val="24"/>
        </w:rPr>
        <w:t xml:space="preserve">Humana’s membership growth and continued industry leading mail order penetration </w:t>
      </w:r>
    </w:p>
    <w:p>
      <w:pPr>
        <w:pStyle w:val="TextBody"/>
        <w:bidi w:val="0"/>
        <w:spacing w:lineRule="auto" w:line="288" w:before="0" w:after="144"/>
        <w:ind w:left="0" w:right="0" w:hanging="360"/>
        <w:jc w:val="both"/>
        <w:rPr/>
      </w:pPr>
      <w:r>
        <w:rPr>
          <w:rFonts w:ascii="Courier New;serif" w:hAnsi="Courier New;serif"/>
          <w:b w:val="false"/>
          <w:color w:val="000000"/>
          <w:sz w:val="24"/>
        </w:rPr>
        <w:t>o</w:t>
      </w:r>
      <w:r>
        <w:rPr>
          <w:rFonts w:ascii="sans-serif" w:hAnsi="sans-serif"/>
          <w:b w:val="false"/>
          <w:color w:val="000000"/>
          <w:sz w:val="24"/>
        </w:rPr>
        <w:t>Continued expansion of our agnostic client base with a significant year over year increase in Specialty, Direct to Consumer, and Direct to Employer volumes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CenterWell Specialty Pharmacy has been honored with the MMIT Specialty Pharmacy Patient Choice Award for the 8th time in 9 years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center"/>
        <w:rPr/>
      </w:pPr>
      <w:r>
        <w:rPr>
          <w:color w:val="FF0000"/>
        </w:rPr>
        <w:t>    </w:t>
      </w:r>
      <w:r>
        <w:rPr>
          <w:rFonts w:ascii="sans-serif" w:hAnsi="sans-serif"/>
          <w:b/>
          <w:color w:val="000000"/>
          <w:sz w:val="22"/>
        </w:rPr>
        <w:t>Exhibit 99.3     </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70205"/>
                <wp:effectExtent l="0" t="0" r="0" b="0"/>
                <wp:wrapNone/>
                <wp:docPr id="44" name="Frame41"/>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174.2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sans-serif" w:hAnsi="sans-serif"/>
          <w:b/>
          <w:color w:val="000000"/>
          <w:sz w:val="22"/>
        </w:rPr>
        <w:t>Humana Inc. Second Quarter 2026 Prepared Management Remarks</w:t>
      </w:r>
      <w:r>
        <w:rPr>
          <w:color w:val="FF0000"/>
        </w:rPr>
        <w:t xml:space="preserve"> </w:t>
      </w:r>
      <w:r>
        <w:rPr>
          <w:rFonts w:ascii="sans-serif" w:hAnsi="sans-serif"/>
          <w:b/>
          <w:color w:val="000000"/>
          <w:sz w:val="22"/>
        </w:rPr>
        <w:t>7/29/2026</w:t>
      </w:r>
    </w:p>
    <w:p>
      <w:pPr>
        <w:pStyle w:val="TextBody"/>
        <w:bidi w:val="0"/>
        <w:spacing w:lineRule="auto" w:line="288" w:before="0" w:after="144"/>
        <w:jc w:val="both"/>
        <w:rPr>
          <w:rFonts w:ascii="sans-serif" w:hAnsi="sans-serif"/>
          <w:b/>
          <w:color w:val="000000"/>
          <w:sz w:val="24"/>
        </w:rPr>
      </w:pPr>
      <w:r>
        <w:rPr>
          <w:rFonts w:ascii="sans-serif" w:hAnsi="sans-serif"/>
          <w:b/>
          <w:color w:val="000000"/>
          <w:sz w:val="24"/>
        </w:rPr>
        <w:t>Earnings Seasonality</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We expect third quarter Adjusted EPS to be approximately ($1.00) or just over negative 10% of FY Adjusted EPS</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Third quarter Insurance segment benefit ratio expected to be slightly above 94%</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Finally, we expect that the third quarter consolidated benefit ratio will be slightly above the Insurance segment benefit ratio</w:t>
      </w:r>
    </w:p>
    <w:p>
      <w:pPr>
        <w:pStyle w:val="TextBody"/>
        <w:bidi w:val="0"/>
        <w:spacing w:before="0" w:after="144"/>
        <w:jc w:val="both"/>
        <w:rPr/>
      </w:pPr>
      <w:r>
        <w:rPr/>
      </w:r>
    </w:p>
    <w:p>
      <w:pPr>
        <w:pStyle w:val="TextBody"/>
        <w:bidi w:val="0"/>
        <w:spacing w:lineRule="auto" w:line="288" w:before="0" w:after="144"/>
        <w:jc w:val="both"/>
        <w:rPr>
          <w:rFonts w:ascii="sans-serif" w:hAnsi="sans-serif"/>
          <w:b/>
          <w:color w:val="000000"/>
          <w:sz w:val="24"/>
        </w:rPr>
      </w:pPr>
      <w:r>
        <w:rPr>
          <w:rFonts w:ascii="sans-serif" w:hAnsi="sans-serif"/>
          <w:b/>
          <w:color w:val="000000"/>
          <w:sz w:val="24"/>
        </w:rPr>
        <w:t>Capital Deployment &amp; Balance Sheet</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4"/>
        </w:rPr>
        <w:t>We have continued our efforts to increase the efficiency of our balance sheet and fortify our foundation, including the establishment of $1.5 billion in contingent capital facilities utilizing pre-capitalized trust securities (P-Caps) in May 2026</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4"/>
        </w:rPr>
        <w:t>We have also maintained a prudent capital deployment approach, including:</w:t>
      </w:r>
    </w:p>
    <w:p>
      <w:pPr>
        <w:pStyle w:val="TextBody"/>
        <w:bidi w:val="0"/>
        <w:spacing w:lineRule="auto" w:line="288" w:before="0" w:after="120"/>
        <w:ind w:left="0" w:right="0" w:hanging="360"/>
        <w:jc w:val="both"/>
        <w:rPr/>
      </w:pPr>
      <w:r>
        <w:rPr>
          <w:rFonts w:ascii="Courier New;serif" w:hAnsi="Courier New;serif"/>
          <w:b w:val="false"/>
          <w:color w:val="000000"/>
          <w:sz w:val="24"/>
        </w:rPr>
        <w:t>o</w:t>
      </w:r>
      <w:r>
        <w:rPr>
          <w:rFonts w:ascii="sans-serif" w:hAnsi="sans-serif"/>
          <w:b w:val="false"/>
          <w:color w:val="000000"/>
          <w:sz w:val="24"/>
        </w:rPr>
        <w:t>Pursuing non-core asset divestitures, as evidenced by our recently announced agreement to divest all or substantially all of our minority interest in Gentiva, which is valued at approximately $900 million</w:t>
      </w:r>
    </w:p>
    <w:p>
      <w:pPr>
        <w:pStyle w:val="TextBody"/>
        <w:bidi w:val="0"/>
        <w:spacing w:lineRule="auto" w:line="288" w:before="0" w:after="120"/>
        <w:ind w:left="0" w:right="0" w:hanging="360"/>
        <w:jc w:val="both"/>
        <w:rPr/>
      </w:pPr>
      <w:r>
        <w:rPr>
          <w:rFonts w:ascii="Courier New;serif" w:hAnsi="Courier New;serif"/>
          <w:b w:val="false"/>
          <w:color w:val="000000"/>
          <w:sz w:val="24"/>
        </w:rPr>
        <w:t>o</w:t>
      </w:r>
      <w:r>
        <w:rPr>
          <w:rFonts w:ascii="sans-serif" w:hAnsi="sans-serif"/>
          <w:b w:val="false"/>
          <w:color w:val="000000"/>
          <w:sz w:val="24"/>
        </w:rPr>
        <w:t>Maintaining our debt to capitalization ratio near our long-term target of approximately 40%</w:t>
      </w:r>
    </w:p>
    <w:p>
      <w:pPr>
        <w:pStyle w:val="TextBody"/>
        <w:bidi w:val="0"/>
        <w:spacing w:lineRule="auto" w:line="288" w:before="0" w:after="120"/>
        <w:ind w:left="0" w:right="0" w:hanging="360"/>
        <w:jc w:val="both"/>
        <w:rPr/>
      </w:pPr>
      <w:r>
        <w:rPr>
          <w:rFonts w:ascii="sans-serif" w:hAnsi="sans-serif"/>
          <w:b w:val="false"/>
          <w:color w:val="000000"/>
          <w:sz w:val="24"/>
        </w:rPr>
        <w:t>As of June 30, 2026, our debt to capitalization ratio is 42.7%, down</w:t>
      </w:r>
      <w:r>
        <w:rPr>
          <w:color w:val="FF0000"/>
        </w:rPr>
        <w:t xml:space="preserve"> </w:t>
      </w:r>
      <w:r>
        <w:rPr>
          <w:rFonts w:ascii="sans-serif" w:hAnsi="sans-serif"/>
          <w:b w:val="false"/>
          <w:color w:val="000000"/>
          <w:sz w:val="24"/>
        </w:rPr>
        <w:t xml:space="preserve">30 bps from 43.0% at March 31, 2026 reflective of the impact of 2Q26 net earnings partially offset by commercial paper issuance </w:t>
      </w:r>
    </w:p>
    <w:p>
      <w:pPr>
        <w:pStyle w:val="TextBody"/>
        <w:bidi w:val="0"/>
        <w:spacing w:lineRule="auto" w:line="288" w:before="0" w:after="144"/>
        <w:ind w:left="0" w:right="0" w:hanging="360"/>
        <w:jc w:val="both"/>
        <w:rPr/>
      </w:pPr>
      <w:r>
        <w:rPr>
          <w:color w:val="000000"/>
        </w:rPr>
        <w:t>•</w:t>
      </w:r>
      <w:r>
        <w:rPr>
          <w:rFonts w:ascii="sans-serif" w:hAnsi="sans-serif"/>
          <w:b w:val="false"/>
          <w:color w:val="000000"/>
          <w:sz w:val="24"/>
        </w:rPr>
        <w:t>All in, our capital efficiency efforts are delivering results, and our capital levels provide a prudent buffer above regulatory and rating agency requirements</w:t>
      </w:r>
    </w:p>
    <w:p>
      <w:pPr>
        <w:pStyle w:val="TextBody"/>
        <w:bidi w:val="0"/>
        <w:spacing w:lineRule="auto" w:line="288" w:before="0" w:after="144"/>
        <w:ind w:left="0" w:right="0" w:hanging="360"/>
        <w:jc w:val="both"/>
        <w:rPr/>
      </w:pPr>
      <w:r>
        <w:rPr>
          <w:rFonts w:ascii="Courier New;serif" w:hAnsi="Courier New;serif"/>
          <w:b w:val="false"/>
          <w:color w:val="000000"/>
          <w:sz w:val="22"/>
        </w:rPr>
        <w:t>o</w:t>
      </w:r>
      <w:r>
        <w:rPr>
          <w:rFonts w:ascii="sans-serif" w:hAnsi="sans-serif"/>
          <w:b w:val="false"/>
          <w:color w:val="000000"/>
          <w:sz w:val="24"/>
        </w:rPr>
        <w:t>Consistent with this disciplined approach, we continue to evaluate a pipeline of initiatives to further strengthen the balance sheet</w:t>
      </w:r>
    </w:p>
    <w:p>
      <w:pPr>
        <w:pStyle w:val="TextBody"/>
        <w:bidi w:val="0"/>
        <w:spacing w:lineRule="auto" w:line="288" w:before="0" w:after="144"/>
        <w:jc w:val="both"/>
        <w:rPr>
          <w:rFonts w:ascii="sans-serif" w:hAnsi="sans-serif"/>
          <w:b/>
          <w:color w:val="000000"/>
          <w:sz w:val="24"/>
        </w:rPr>
      </w:pPr>
      <w:r>
        <w:rPr>
          <w:rFonts w:ascii="sans-serif" w:hAnsi="sans-serif"/>
          <w:b/>
          <w:color w:val="000000"/>
          <w:sz w:val="24"/>
        </w:rPr>
        <w:t>Conclusion</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4"/>
        </w:rPr>
        <w:t>We have delivered solid YTD results and affirmed our FY 2026 guidance</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4"/>
        </w:rPr>
        <w:t xml:space="preserve">We expect that our approach to 2027 individual MA bids will drive meaningful progress against our commitment of returning to a sustainable pre-tax margin of at least 3% in 2028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4"/>
        </w:rPr>
        <w:t>We believe we are well positioned to deliver on our commitment of unlocking the earnings potential of the business by 2028 as laid out at our 2025 Investor Day, supported by our expanded membership base, relentless focus on returning to Top Quartile Stars results, and continued discipline across pricing, clinical excellence, operating efficiencies and capital allocation</w:t>
      </w:r>
    </w:p>
    <w:p>
      <w:pPr>
        <w:pStyle w:val="TextBody"/>
        <w:bidi w:val="0"/>
        <w:spacing w:before="0" w:after="144"/>
        <w:jc w:val="both"/>
        <w:rPr/>
      </w:pPr>
      <w:r>
        <w:rPr/>
      </w:r>
    </w:p>
    <w:p>
      <w:pPr>
        <w:pStyle w:val="TextBody"/>
        <w:bidi w:val="0"/>
        <w:spacing w:before="0" w:after="144"/>
        <w:jc w:val="both"/>
        <w:rPr/>
      </w:pPr>
      <w:r>
        <w:rPr/>
      </w:r>
    </w:p>
    <w:p>
      <w:pPr>
        <w:pStyle w:val="TextBody"/>
        <w:bidi w:val="0"/>
        <w:spacing w:before="0" w:after="144"/>
        <w:jc w:val="both"/>
        <w:rPr/>
      </w:pPr>
      <w:r>
        <w:rPr/>
      </w:r>
    </w:p>
    <w:p>
      <w:pPr>
        <w:pStyle w:val="TextBody"/>
        <w:bidi w:val="0"/>
        <w:spacing w:before="0" w:after="0"/>
        <w:jc w:val="both"/>
        <w:rPr/>
      </w:pPr>
      <w:r>
        <w:rPr/>
      </w:r>
    </w:p>
    <w:p>
      <w:pPr>
        <w:pStyle w:val="TextBody"/>
        <w:bidi w:val="0"/>
        <w:spacing w:before="0" w:after="144"/>
        <w:jc w:val="both"/>
        <w:rPr/>
      </w:pPr>
      <w:r>
        <w:rPr/>
      </w:r>
    </w:p>
    <w:p>
      <w:pPr>
        <w:pStyle w:val="TextBody"/>
        <w:bidi w:val="0"/>
        <w:spacing w:lineRule="auto" w:line="288" w:before="0" w:after="0"/>
        <w:jc w:val="center"/>
        <w:rPr/>
      </w:pPr>
      <w:r>
        <w:rPr>
          <w:color w:val="FF0000"/>
        </w:rPr>
        <w:t>    </w:t>
      </w:r>
      <w:r>
        <w:rPr>
          <w:rFonts w:ascii="sans-serif" w:hAnsi="sans-serif"/>
          <w:b/>
          <w:color w:val="000000"/>
          <w:sz w:val="22"/>
        </w:rPr>
        <w:t>Exhibit 99.3     </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70205"/>
                <wp:effectExtent l="0" t="0" r="0" b="0"/>
                <wp:wrapNone/>
                <wp:docPr id="45" name="Frame42"/>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174.2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sans-serif" w:hAnsi="sans-serif"/>
          <w:b/>
          <w:color w:val="000000"/>
          <w:sz w:val="22"/>
        </w:rPr>
        <w:t>Humana Inc. Second Quarter 2026 Prepared Management Remarks</w:t>
      </w:r>
      <w:r>
        <w:rPr>
          <w:color w:val="FF0000"/>
        </w:rPr>
        <w:t xml:space="preserve"> </w:t>
      </w:r>
      <w:r>
        <w:rPr>
          <w:rFonts w:ascii="sans-serif" w:hAnsi="sans-serif"/>
          <w:b/>
          <w:color w:val="000000"/>
          <w:sz w:val="22"/>
        </w:rPr>
        <w:t>7/29/2026</w:t>
      </w:r>
    </w:p>
    <w:p>
      <w:pPr>
        <w:pStyle w:val="TextBody"/>
        <w:bidi w:val="0"/>
        <w:spacing w:lineRule="auto" w:line="417" w:before="0" w:after="144"/>
        <w:jc w:val="both"/>
        <w:rPr>
          <w:rFonts w:ascii="sans-serif" w:hAnsi="sans-serif"/>
          <w:b/>
          <w:color w:val="000000"/>
          <w:sz w:val="36"/>
        </w:rPr>
      </w:pPr>
      <w:r>
        <w:rPr>
          <w:rFonts w:ascii="sans-serif" w:hAnsi="sans-serif"/>
          <w:b/>
          <w:color w:val="000000"/>
          <w:sz w:val="36"/>
        </w:rPr>
        <w:t>Appendix A</w:t>
      </w:r>
    </w:p>
    <w:p>
      <w:pPr>
        <w:pStyle w:val="TextBody"/>
        <w:bidi w:val="0"/>
        <w:spacing w:before="0" w:after="144"/>
        <w:jc w:val="both"/>
        <w:rPr/>
      </w:pPr>
      <w:r>
        <w:rPr/>
        <w:drawing>
          <wp:inline distT="0" distB="0" distL="0" distR="0">
            <wp:extent cx="6858000" cy="3933825"/>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5"/>
                    <a:stretch>
                      <a:fillRect/>
                    </a:stretch>
                  </pic:blipFill>
                  <pic:spPr bwMode="auto">
                    <a:xfrm>
                      <a:off x="0" y="0"/>
                      <a:ext cx="6858000" cy="3933825"/>
                    </a:xfrm>
                    <a:prstGeom prst="rect">
                      <a:avLst/>
                    </a:prstGeom>
                  </pic:spPr>
                </pic:pic>
              </a:graphicData>
            </a:graphic>
          </wp:inline>
        </w:drawing>
      </w:r>
    </w:p>
    <w:p>
      <w:pPr>
        <w:pStyle w:val="TextBody"/>
        <w:bidi w:val="0"/>
        <w:spacing w:before="0" w:after="144"/>
        <w:jc w:val="both"/>
        <w:rPr/>
      </w:pPr>
      <w:r>
        <w:rPr/>
      </w:r>
    </w:p>
    <w:p>
      <w:pPr>
        <w:pStyle w:val="TextBody"/>
        <w:bidi w:val="0"/>
        <w:spacing w:before="0" w:after="144"/>
        <w:jc w:val="both"/>
        <w:rPr/>
      </w:pPr>
      <w:r>
        <w:rPr/>
      </w:r>
    </w:p>
    <w:p>
      <w:pPr>
        <w:pStyle w:val="TextBody"/>
        <w:bidi w:val="0"/>
        <w:spacing w:before="0" w:after="144"/>
        <w:jc w:val="both"/>
        <w:rPr/>
      </w:pPr>
      <w:r>
        <w:rPr/>
      </w:r>
    </w:p>
    <w:p>
      <w:pPr>
        <w:pStyle w:val="TextBody"/>
        <w:bidi w:val="0"/>
        <w:spacing w:before="0" w:after="144"/>
        <w:jc w:val="both"/>
        <w:rPr/>
      </w:pPr>
      <w:r>
        <w:rPr/>
      </w:r>
    </w:p>
    <w:p>
      <w:pPr>
        <w:pStyle w:val="TextBody"/>
        <w:bidi w:val="0"/>
        <w:spacing w:before="0" w:after="144"/>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70205"/>
                <wp:effectExtent l="0" t="0" r="0" b="0"/>
                <wp:wrapNone/>
                <wp:docPr id="47" name="Frame43"/>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ptos">
    <w:altName w:val="sans-serif"/>
    <w:charset w:val="01"/>
    <w:family w:val="auto"/>
    <w:pitch w:val="default"/>
  </w:font>
  <w:font w:name="Arial">
    <w:altName w:val="sans-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14813</Words>
  <Characters>84818</Characters>
  <CharactersWithSpaces>98408</CharactersWithSpaces>
  <Paragraphs>2645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