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960" w:right="1820" w:hanging="3925"/>
        <w:spacing w:after="0" w:line="321" w:lineRule="auto"/>
        <w:tabs>
          <w:tab w:leader="none" w:pos="388"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3" w:lineRule="exact"/>
        <w:rPr>
          <w:rFonts w:ascii="MS PGothic" w:cs="MS PGothic" w:eastAsia="MS PGothic" w:hAnsi="MS PGothic"/>
          <w:sz w:val="22"/>
          <w:szCs w:val="22"/>
          <w:color w:val="auto"/>
        </w:rPr>
      </w:pPr>
    </w:p>
    <w:p>
      <w:pPr>
        <w:ind w:left="45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1-5975</w:t>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HUMANA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60"/>
          </w:cols>
          <w:pgMar w:left="240" w:top="215" w:right="299" w:bottom="1440" w:gutter="0" w:footer="0" w:header="0"/>
        </w:sectPr>
      </w:pPr>
    </w:p>
    <w:p>
      <w:pPr>
        <w:spacing w:after="0" w:line="152"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61-0647538</w:t>
      </w:r>
    </w:p>
    <w:p>
      <w:pPr>
        <w:spacing w:after="0" w:line="86" w:lineRule="exact"/>
        <w:rPr>
          <w:sz w:val="24"/>
          <w:szCs w:val="24"/>
          <w:color w:val="auto"/>
        </w:rPr>
      </w:pPr>
    </w:p>
    <w:p>
      <w:pPr>
        <w:sectPr>
          <w:pgSz w:w="11900" w:h="16838" w:orient="portrait"/>
          <w:cols w:equalWidth="0" w:num="2">
            <w:col w:w="7640" w:space="720"/>
            <w:col w:w="3000"/>
          </w:cols>
          <w:pgMar w:left="240" w:top="215" w:right="29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(State or other jurisdiction of incorporation of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7040" w:space="720"/>
            <w:col w:w="3600"/>
          </w:cols>
          <w:pgMar w:left="240" w:top="215" w:right="299" w:bottom="1440" w:gutter="0" w:footer="0" w:header="0"/>
          <w:type w:val="continuous"/>
        </w:sectPr>
      </w:pP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500 West Main Street, Louisville, Kentucky 40202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and zip code)</w:t>
      </w:r>
    </w:p>
    <w:p>
      <w:pPr>
        <w:spacing w:after="0" w:line="97"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(502) 580-1000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0"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2420" w:type="dxa"/>
            <w:vAlign w:val="bottom"/>
          </w:tcPr>
          <w:p>
            <w:pPr>
              <w:spacing w:after="0"/>
              <w:rPr>
                <w:sz w:val="14"/>
                <w:szCs w:val="14"/>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4"/>
                <w:szCs w:val="14"/>
                <w:color w:val="auto"/>
                <w:w w:val="95"/>
              </w:rPr>
              <w:t>Trading Symbol</w:t>
            </w:r>
          </w:p>
        </w:tc>
        <w:tc>
          <w:tcPr>
            <w:tcW w:w="3140" w:type="dxa"/>
            <w:vAlign w:val="bottom"/>
            <w:gridSpan w:val="2"/>
          </w:tcPr>
          <w:p>
            <w:pPr>
              <w:jc w:val="center"/>
              <w:ind w:left="828"/>
              <w:spacing w:after="0"/>
              <w:rPr>
                <w:sz w:val="20"/>
                <w:szCs w:val="20"/>
                <w:color w:val="auto"/>
              </w:rPr>
            </w:pPr>
            <w:r>
              <w:rPr>
                <w:rFonts w:ascii="Arial" w:cs="Arial" w:eastAsia="Arial" w:hAnsi="Arial"/>
                <w:sz w:val="14"/>
                <w:szCs w:val="14"/>
                <w:color w:val="auto"/>
                <w:w w:val="92"/>
              </w:rPr>
              <w:t>Name of exchange on which registered</w:t>
            </w:r>
          </w:p>
        </w:tc>
      </w:tr>
      <w:tr>
        <w:trPr>
          <w:trHeight w:val="20"/>
        </w:trPr>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264"/>
        </w:trPr>
        <w:tc>
          <w:tcPr>
            <w:tcW w:w="43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0"/>
              </w:rPr>
              <w:t>Common stock, $0.16 2/3 par value</w:t>
            </w:r>
          </w:p>
        </w:tc>
        <w:tc>
          <w:tcPr>
            <w:tcW w:w="18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rPr>
              <w:t>HUM</w:t>
            </w:r>
          </w:p>
        </w:tc>
        <w:tc>
          <w:tcPr>
            <w:tcW w:w="90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84" w:lineRule="exact"/>
        <w:rPr>
          <w:sz w:val="24"/>
          <w:szCs w:val="24"/>
          <w:color w:val="auto"/>
        </w:rPr>
      </w:pPr>
    </w:p>
    <w:p>
      <w:pPr>
        <w:ind w:right="17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4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2019 was $35,478,894,483 calculated using the average price on June 30, 2019 of $263.21.</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January 31, 2020 was 132,106,497.</w:t>
      </w:r>
    </w:p>
    <w:p>
      <w:pPr>
        <w:spacing w:after="0" w:line="16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Parts II and III incorporate herein by reference portions of the Registrant’s Proxy Statement to be filed pursuant to Regulation 14A with respect to the Annual Meeting of Stockholders scheduled to be held on April 23, 2020.</w:t>
      </w:r>
    </w:p>
    <w:p>
      <w:pPr>
        <w:sectPr>
          <w:pgSz w:w="11900" w:h="16838" w:orient="portrait"/>
          <w:cols w:equalWidth="0" w:num="1">
            <w:col w:w="11360"/>
          </w:cols>
          <w:pgMar w:left="240" w:top="215"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rPr>
              <w:t>HUMANA INC.</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20" w:type="dxa"/>
            <w:vAlign w:val="bottom"/>
            <w:gridSpan w:val="11"/>
          </w:tcPr>
          <w:p>
            <w:pPr>
              <w:jc w:val="center"/>
              <w:ind w:right="1220"/>
              <w:spacing w:after="0"/>
              <w:rPr>
                <w:sz w:val="20"/>
                <w:szCs w:val="20"/>
                <w:color w:val="auto"/>
              </w:rPr>
            </w:pPr>
            <w:r>
              <w:rPr>
                <w:rFonts w:ascii="Arial" w:cs="Arial" w:eastAsia="Arial" w:hAnsi="Arial"/>
                <w:sz w:val="18"/>
                <w:szCs w:val="18"/>
                <w:b w:val="1"/>
                <w:bCs w:val="1"/>
                <w:color w:val="auto"/>
              </w:rPr>
              <w:t>INDEX TO ANNUAL REPORT ON FORM 10-K</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9"/>
          </w:tcPr>
          <w:p>
            <w:pPr>
              <w:jc w:val="center"/>
              <w:ind w:right="204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3"/>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rPr>
              <w:t>Part I</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4"/>
              </w:rPr>
              <w:t>Business</w:t>
            </w:r>
          </w:p>
        </w:tc>
        <w:tc>
          <w:tcPr>
            <w:tcW w:w="7760" w:type="dxa"/>
            <w:vAlign w:val="bottom"/>
            <w:gridSpan w:val="20"/>
          </w:tcPr>
          <w:p>
            <w:pPr>
              <w:spacing w:after="0"/>
              <w:rPr>
                <w:sz w:val="24"/>
                <w:szCs w:val="24"/>
                <w:color w:val="auto"/>
              </w:rPr>
            </w:pPr>
          </w:p>
        </w:tc>
        <w:tc>
          <w:tcPr>
            <w:tcW w:w="182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0000EE"/>
                <w:w w:val="87"/>
              </w:rPr>
              <w:t>Risk Factors</w:t>
            </w:r>
          </w:p>
        </w:tc>
        <w:tc>
          <w:tcPr>
            <w:tcW w:w="7500" w:type="dxa"/>
            <w:vAlign w:val="bottom"/>
            <w:gridSpan w:val="18"/>
          </w:tcPr>
          <w:p>
            <w:pPr>
              <w:spacing w:after="0"/>
              <w:rPr>
                <w:sz w:val="24"/>
                <w:szCs w:val="24"/>
                <w:color w:val="auto"/>
              </w:rPr>
            </w:pPr>
          </w:p>
        </w:tc>
        <w:tc>
          <w:tcPr>
            <w:tcW w:w="1940" w:type="dxa"/>
            <w:vAlign w:val="bottom"/>
            <w:gridSpan w:val="5"/>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8400" w:type="dxa"/>
            <w:vAlign w:val="bottom"/>
            <w:gridSpan w:val="21"/>
          </w:tcPr>
          <w:p>
            <w:pPr>
              <w:spacing w:after="0"/>
              <w:rPr>
                <w:sz w:val="20"/>
                <w:szCs w:val="20"/>
                <w:color w:val="auto"/>
              </w:rPr>
            </w:pPr>
            <w:r>
              <w:rPr>
                <w:rFonts w:ascii="Arial" w:cs="Arial" w:eastAsia="Arial" w:hAnsi="Arial"/>
                <w:sz w:val="18"/>
                <w:szCs w:val="18"/>
                <w:color w:val="0000EE"/>
              </w:rPr>
              <w:t>Unresolved Staff Comments</w:t>
            </w:r>
          </w:p>
        </w:tc>
        <w:tc>
          <w:tcPr>
            <w:tcW w:w="194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sz w:val="20"/>
                <w:szCs w:val="20"/>
                <w:color w:val="auto"/>
              </w:rPr>
            </w:pPr>
            <w:r>
              <w:rPr>
                <w:rFonts w:ascii="Arial" w:cs="Arial" w:eastAsia="Arial" w:hAnsi="Arial"/>
                <w:sz w:val="18"/>
                <w:szCs w:val="18"/>
                <w:color w:val="0000EE"/>
              </w:rPr>
              <w:t>Properties</w:t>
            </w:r>
          </w:p>
        </w:tc>
        <w:tc>
          <w:tcPr>
            <w:tcW w:w="6360" w:type="dxa"/>
            <w:vAlign w:val="bottom"/>
            <w:gridSpan w:val="12"/>
          </w:tcPr>
          <w:p>
            <w:pPr>
              <w:spacing w:after="0"/>
              <w:rPr>
                <w:sz w:val="24"/>
                <w:szCs w:val="24"/>
                <w:color w:val="auto"/>
              </w:rPr>
            </w:pPr>
          </w:p>
        </w:tc>
        <w:tc>
          <w:tcPr>
            <w:tcW w:w="194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840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194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8400" w:type="dxa"/>
            <w:vAlign w:val="bottom"/>
            <w:gridSpan w:val="21"/>
          </w:tcPr>
          <w:p>
            <w:pPr>
              <w:spacing w:after="0"/>
              <w:rPr>
                <w:sz w:val="20"/>
                <w:szCs w:val="20"/>
                <w:color w:val="auto"/>
              </w:rPr>
            </w:pPr>
            <w:r>
              <w:rPr>
                <w:rFonts w:ascii="Arial" w:cs="Arial" w:eastAsia="Arial" w:hAnsi="Arial"/>
                <w:sz w:val="18"/>
                <w:szCs w:val="18"/>
                <w:color w:val="0000EE"/>
              </w:rPr>
              <w:t>Mine Safety Disclosures</w:t>
            </w:r>
          </w:p>
        </w:tc>
        <w:tc>
          <w:tcPr>
            <w:tcW w:w="194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1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rPr>
              <w:t>Part II</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340" w:type="dxa"/>
            <w:vAlign w:val="bottom"/>
            <w:gridSpan w:val="20"/>
          </w:tcPr>
          <w:p>
            <w:pPr>
              <w:spacing w:after="0"/>
              <w:rPr>
                <w:sz w:val="20"/>
                <w:szCs w:val="20"/>
                <w:color w:val="auto"/>
              </w:rPr>
            </w:pPr>
            <w:r>
              <w:rPr>
                <w:rFonts w:ascii="Arial" w:cs="Arial" w:eastAsia="Arial" w:hAnsi="Arial"/>
                <w:sz w:val="18"/>
                <w:szCs w:val="18"/>
                <w:color w:val="0000EE"/>
                <w:w w:val="90"/>
              </w:rPr>
              <w:t>Market for the Registrant’s Common Equity, Related Stockholder Matters and Issuer Purchases of Equity Securities</w:t>
            </w:r>
          </w:p>
        </w:tc>
        <w:tc>
          <w:tcPr>
            <w:tcW w:w="60" w:type="dxa"/>
            <w:vAlign w:val="bottom"/>
          </w:tcPr>
          <w:p>
            <w:pPr>
              <w:spacing w:after="0"/>
              <w:rPr>
                <w:sz w:val="24"/>
                <w:szCs w:val="24"/>
                <w:color w:val="auto"/>
              </w:rPr>
            </w:pPr>
          </w:p>
        </w:tc>
        <w:tc>
          <w:tcPr>
            <w:tcW w:w="1940" w:type="dxa"/>
            <w:vAlign w:val="bottom"/>
            <w:gridSpan w:val="5"/>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20"/>
          </w:tcPr>
          <w:p>
            <w:pPr>
              <w:spacing w:after="0"/>
              <w:rPr>
                <w:sz w:val="20"/>
                <w:szCs w:val="20"/>
                <w:color w:val="auto"/>
              </w:rPr>
            </w:pPr>
            <w:r>
              <w:rPr>
                <w:rFonts w:ascii="Arial" w:cs="Arial" w:eastAsia="Arial" w:hAnsi="Arial"/>
                <w:sz w:val="18"/>
                <w:szCs w:val="18"/>
                <w:color w:val="0000EE"/>
              </w:rPr>
              <w:t>Selected Financial Data</w:t>
            </w:r>
          </w:p>
        </w:tc>
        <w:tc>
          <w:tcPr>
            <w:tcW w:w="60" w:type="dxa"/>
            <w:vAlign w:val="bottom"/>
          </w:tcPr>
          <w:p>
            <w:pPr>
              <w:spacing w:after="0"/>
              <w:rPr>
                <w:sz w:val="24"/>
                <w:szCs w:val="24"/>
                <w:color w:val="auto"/>
              </w:rPr>
            </w:pPr>
          </w:p>
        </w:tc>
        <w:tc>
          <w:tcPr>
            <w:tcW w:w="1940" w:type="dxa"/>
            <w:vAlign w:val="bottom"/>
            <w:gridSpan w:val="5"/>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940" w:type="dxa"/>
            <w:vAlign w:val="bottom"/>
            <w:gridSpan w:val="4"/>
          </w:tcPr>
          <w:p>
            <w:pPr>
              <w:spacing w:after="0"/>
              <w:rPr>
                <w:sz w:val="24"/>
                <w:szCs w:val="24"/>
                <w:color w:val="auto"/>
              </w:rPr>
            </w:pPr>
          </w:p>
        </w:tc>
        <w:tc>
          <w:tcPr>
            <w:tcW w:w="194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940" w:type="dxa"/>
            <w:vAlign w:val="bottom"/>
            <w:gridSpan w:val="4"/>
          </w:tcPr>
          <w:p>
            <w:pPr>
              <w:spacing w:after="0"/>
              <w:rPr>
                <w:sz w:val="24"/>
                <w:szCs w:val="24"/>
                <w:color w:val="auto"/>
              </w:rPr>
            </w:pPr>
          </w:p>
        </w:tc>
        <w:tc>
          <w:tcPr>
            <w:tcW w:w="1940" w:type="dxa"/>
            <w:vAlign w:val="bottom"/>
            <w:gridSpan w:val="5"/>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rPr>
                <w:sz w:val="20"/>
                <w:szCs w:val="20"/>
                <w:color w:val="auto"/>
              </w:rPr>
            </w:pPr>
            <w:r>
              <w:rPr>
                <w:rFonts w:ascii="Arial" w:cs="Arial" w:eastAsia="Arial" w:hAnsi="Arial"/>
                <w:sz w:val="18"/>
                <w:szCs w:val="18"/>
                <w:color w:val="0000EE"/>
              </w:rPr>
              <w:t>Financial Statements and Supplementary Data</w:t>
            </w:r>
          </w:p>
        </w:tc>
        <w:tc>
          <w:tcPr>
            <w:tcW w:w="4100" w:type="dxa"/>
            <w:vAlign w:val="bottom"/>
            <w:gridSpan w:val="6"/>
          </w:tcPr>
          <w:p>
            <w:pPr>
              <w:spacing w:after="0"/>
              <w:rPr>
                <w:sz w:val="24"/>
                <w:szCs w:val="24"/>
                <w:color w:val="auto"/>
              </w:rPr>
            </w:pPr>
          </w:p>
        </w:tc>
        <w:tc>
          <w:tcPr>
            <w:tcW w:w="1940" w:type="dxa"/>
            <w:vAlign w:val="bottom"/>
            <w:gridSpan w:val="5"/>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192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8400" w:type="dxa"/>
            <w:vAlign w:val="bottom"/>
            <w:gridSpan w:val="21"/>
          </w:tcPr>
          <w:p>
            <w:pPr>
              <w:spacing w:after="0"/>
              <w:rPr>
                <w:sz w:val="20"/>
                <w:szCs w:val="20"/>
                <w:color w:val="auto"/>
              </w:rPr>
            </w:pPr>
            <w:r>
              <w:rPr>
                <w:rFonts w:ascii="Arial" w:cs="Arial" w:eastAsia="Arial" w:hAnsi="Arial"/>
                <w:sz w:val="18"/>
                <w:szCs w:val="18"/>
                <w:color w:val="0000EE"/>
              </w:rPr>
              <w:t>Controls and Procedures</w:t>
            </w:r>
          </w:p>
        </w:tc>
        <w:tc>
          <w:tcPr>
            <w:tcW w:w="1940" w:type="dxa"/>
            <w:vAlign w:val="bottom"/>
            <w:gridSpan w:val="5"/>
          </w:tcPr>
          <w:p>
            <w:pPr>
              <w:jc w:val="right"/>
              <w:ind w:right="20"/>
              <w:spacing w:after="0"/>
              <w:rPr>
                <w:rFonts w:ascii="Arial" w:cs="Arial" w:eastAsia="Arial" w:hAnsi="Arial"/>
                <w:sz w:val="18"/>
                <w:szCs w:val="18"/>
                <w:color w:val="0000EE"/>
              </w:rPr>
            </w:pPr>
            <w:hyperlink w:anchor="page124">
              <w:r>
                <w:rPr>
                  <w:rFonts w:ascii="Arial" w:cs="Arial" w:eastAsia="Arial" w:hAnsi="Arial"/>
                  <w:sz w:val="18"/>
                  <w:szCs w:val="18"/>
                  <w:color w:val="0000EE"/>
                </w:rPr>
                <w:t>124</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6640" w:type="dxa"/>
            <w:vAlign w:val="bottom"/>
            <w:gridSpan w:val="14"/>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125</w:t>
              </w:r>
            </w:hyperlink>
          </w:p>
        </w:tc>
        <w:tc>
          <w:tcPr>
            <w:tcW w:w="20" w:type="dxa"/>
            <w:vAlign w:val="bottom"/>
          </w:tcPr>
          <w:p>
            <w:pPr>
              <w:spacing w:after="0"/>
              <w:rPr>
                <w:sz w:val="24"/>
                <w:szCs w:val="24"/>
                <w:color w:val="auto"/>
              </w:rPr>
            </w:pPr>
          </w:p>
        </w:tc>
      </w:tr>
      <w:tr>
        <w:trPr>
          <w:trHeight w:val="41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rPr>
              <w:t>Part III</w:t>
            </w:r>
          </w:p>
        </w:tc>
        <w:tc>
          <w:tcPr>
            <w:tcW w:w="1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8400" w:type="dxa"/>
            <w:vAlign w:val="bottom"/>
            <w:gridSpan w:val="21"/>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1940" w:type="dxa"/>
            <w:vAlign w:val="bottom"/>
            <w:gridSpan w:val="5"/>
          </w:tcPr>
          <w:p>
            <w:pPr>
              <w:jc w:val="right"/>
              <w:ind w:right="20"/>
              <w:spacing w:after="0"/>
              <w:rPr>
                <w:rFonts w:ascii="Arial" w:cs="Arial" w:eastAsia="Arial" w:hAnsi="Arial"/>
                <w:sz w:val="18"/>
                <w:szCs w:val="18"/>
                <w:color w:val="0000EE"/>
              </w:rPr>
            </w:pPr>
            <w:hyperlink w:anchor="page126">
              <w:r>
                <w:rPr>
                  <w:rFonts w:ascii="Arial" w:cs="Arial" w:eastAsia="Arial" w:hAnsi="Arial"/>
                  <w:sz w:val="18"/>
                  <w:szCs w:val="18"/>
                  <w:color w:val="0000EE"/>
                </w:rPr>
                <w:t>126</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9"/>
              </w:rPr>
              <w:t>Executive Compensation</w:t>
            </w:r>
          </w:p>
        </w:tc>
        <w:tc>
          <w:tcPr>
            <w:tcW w:w="2280" w:type="dxa"/>
            <w:vAlign w:val="bottom"/>
            <w:tcBorders>
              <w:top w:val="single" w:sz="8" w:color="0000EE"/>
            </w:tcBorders>
            <w:gridSpan w:val="6"/>
          </w:tcPr>
          <w:p>
            <w:pPr>
              <w:spacing w:after="0"/>
              <w:rPr>
                <w:sz w:val="24"/>
                <w:szCs w:val="24"/>
                <w:color w:val="auto"/>
              </w:rPr>
            </w:pPr>
          </w:p>
        </w:tc>
        <w:tc>
          <w:tcPr>
            <w:tcW w:w="432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8400" w:type="dxa"/>
            <w:vAlign w:val="bottom"/>
            <w:gridSpan w:val="21"/>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940" w:type="dxa"/>
            <w:vAlign w:val="bottom"/>
            <w:gridSpan w:val="5"/>
          </w:tcPr>
          <w:p>
            <w:pPr>
              <w:jc w:val="right"/>
              <w:ind w:right="20"/>
              <w:spacing w:after="0"/>
              <w:rPr>
                <w:rFonts w:ascii="Arial" w:cs="Arial" w:eastAsia="Arial" w:hAnsi="Arial"/>
                <w:sz w:val="18"/>
                <w:szCs w:val="18"/>
                <w:color w:val="0000EE"/>
              </w:rPr>
            </w:pPr>
            <w:hyperlink w:anchor="page127">
              <w:r>
                <w:rPr>
                  <w:rFonts w:ascii="Arial" w:cs="Arial" w:eastAsia="Arial" w:hAnsi="Arial"/>
                  <w:sz w:val="18"/>
                  <w:szCs w:val="18"/>
                  <w:color w:val="0000EE"/>
                </w:rPr>
                <w:t>127</w:t>
              </w:r>
            </w:hyperlink>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12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128</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Principal Accounting Fees and Services</w:t>
            </w:r>
          </w:p>
        </w:tc>
        <w:tc>
          <w:tcPr>
            <w:tcW w:w="296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128</w:t>
              </w:r>
            </w:hyperlink>
          </w:p>
        </w:tc>
        <w:tc>
          <w:tcPr>
            <w:tcW w:w="20" w:type="dxa"/>
            <w:vAlign w:val="bottom"/>
          </w:tcPr>
          <w:p>
            <w:pPr>
              <w:spacing w:after="0"/>
              <w:rPr>
                <w:sz w:val="24"/>
                <w:szCs w:val="24"/>
                <w:color w:val="auto"/>
              </w:rPr>
            </w:pPr>
          </w:p>
        </w:tc>
      </w:tr>
      <w:tr>
        <w:trPr>
          <w:trHeight w:val="41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rPr>
              <w:t>Part IV</w:t>
            </w:r>
          </w:p>
        </w:tc>
        <w:tc>
          <w:tcPr>
            <w:tcW w:w="1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Exhibits, Financial Statement Schedules</w:t>
            </w:r>
          </w:p>
        </w:tc>
        <w:tc>
          <w:tcPr>
            <w:tcW w:w="550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129</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8400" w:type="dxa"/>
            <w:vAlign w:val="bottom"/>
            <w:gridSpan w:val="2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Form 10-K Summary</w:t>
              </w:r>
            </w:hyperlink>
          </w:p>
        </w:tc>
        <w:tc>
          <w:tcPr>
            <w:tcW w:w="1940" w:type="dxa"/>
            <w:vAlign w:val="bottom"/>
            <w:gridSpan w:val="5"/>
          </w:tcPr>
          <w:p>
            <w:pPr>
              <w:jc w:val="right"/>
              <w:ind w:right="20"/>
              <w:spacing w:after="0"/>
              <w:rPr>
                <w:rFonts w:ascii="Arial" w:cs="Arial" w:eastAsia="Arial" w:hAnsi="Arial"/>
                <w:sz w:val="18"/>
                <w:szCs w:val="18"/>
                <w:color w:val="0000EE"/>
              </w:rPr>
            </w:pPr>
            <w:hyperlink w:anchor="page141">
              <w:r>
                <w:rPr>
                  <w:rFonts w:ascii="Arial" w:cs="Arial" w:eastAsia="Arial" w:hAnsi="Arial"/>
                  <w:sz w:val="18"/>
                  <w:szCs w:val="18"/>
                  <w:color w:val="0000EE"/>
                </w:rPr>
                <w:t>141</w:t>
              </w:r>
            </w:hyperlink>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32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Arial" w:cs="Arial" w:eastAsia="Arial" w:hAnsi="Arial"/>
                <w:sz w:val="18"/>
                <w:szCs w:val="18"/>
                <w:color w:val="0000EE"/>
              </w:rPr>
              <w:t>Signatures and Certifications</w:t>
            </w:r>
          </w:p>
        </w:tc>
        <w:tc>
          <w:tcPr>
            <w:tcW w:w="1940" w:type="dxa"/>
            <w:vAlign w:val="bottom"/>
            <w:gridSpan w:val="5"/>
          </w:tcPr>
          <w:p>
            <w:pPr>
              <w:jc w:val="right"/>
              <w:ind w:right="20"/>
              <w:spacing w:after="0"/>
              <w:rPr>
                <w:rFonts w:ascii="Arial" w:cs="Arial" w:eastAsia="Arial" w:hAnsi="Arial"/>
                <w:sz w:val="18"/>
                <w:szCs w:val="18"/>
                <w:color w:val="0000EE"/>
              </w:rPr>
            </w:pPr>
            <w:hyperlink w:anchor="page142">
              <w:r>
                <w:rPr>
                  <w:rFonts w:ascii="Arial" w:cs="Arial" w:eastAsia="Arial" w:hAnsi="Arial"/>
                  <w:sz w:val="18"/>
                  <w:szCs w:val="18"/>
                  <w:color w:val="0000EE"/>
                </w:rPr>
                <w:t>142</w:t>
              </w:r>
            </w:hyperlink>
          </w:p>
        </w:tc>
      </w:tr>
      <w:tr>
        <w:trPr>
          <w:trHeight w:val="858"/>
        </w:trPr>
        <w:tc>
          <w:tcPr>
            <w:tcW w:w="1040" w:type="dxa"/>
            <w:vAlign w:val="bottom"/>
          </w:tcPr>
          <w:p>
            <w:pPr>
              <w:spacing w:after="0"/>
              <w:rPr>
                <w:sz w:val="24"/>
                <w:szCs w:val="24"/>
                <w:color w:val="auto"/>
              </w:rPr>
            </w:pPr>
          </w:p>
        </w:tc>
        <w:tc>
          <w:tcPr>
            <w:tcW w:w="2080" w:type="dxa"/>
            <w:vAlign w:val="bottom"/>
            <w:tcBorders>
              <w:top w:val="single" w:sz="8" w:color="0000EE"/>
            </w:tcBorders>
            <w:gridSpan w:val="10"/>
          </w:tcPr>
          <w:p>
            <w:pPr>
              <w:spacing w:after="0"/>
              <w:rPr>
                <w:sz w:val="24"/>
                <w:szCs w:val="24"/>
                <w:color w:val="auto"/>
              </w:rPr>
            </w:pPr>
          </w:p>
        </w:tc>
        <w:tc>
          <w:tcPr>
            <w:tcW w:w="3360" w:type="dxa"/>
            <w:vAlign w:val="bottom"/>
            <w:gridSpan w:val="6"/>
          </w:tcPr>
          <w:p>
            <w:pPr>
              <w:jc w:val="center"/>
              <w:ind w:left="165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Some of the statements under “Business,” “Management’s Discussion and Analysis of Financial Condition and Results of Operations,” and elsewhere in this report may contain forward-looking statements which reflect our current views with respect to future events and financial performance. These forward-looking statements are made within the meaning of Section 27A of the Securities Act of 1933 and Section 21E of the Securities Exchange Act of 1934, or the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We have based these forward-looking statements on our current expectations and projections about future events, trends and uncertainties. These forward-looking statements are not guarantees of future performance and are subject to risks, uncertainties and assumptions, including the information discussed under the section entitled “Risk Factors” in this report. In making these statements, we are not undertaking to address or update them in future filings or communications regarding our business or results. Our business is highly complicated, regulated and competitive with many different factors affecting results.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Headquartered in Louisville, Kentucky, Humana Inc. and its subsidiaries, referred to throughout this document as “we,” “us,” “our,” the “Company” or “Humana,” is a leading health and well-being company committed to helping our millions of medical and specialty members achieve their best health. Our successful history in care delivery and health plan administration is helping us create a new kind of integrated care with the power to improve health and well</w:t>
      </w:r>
      <w:r>
        <w:rPr>
          <w:rFonts w:ascii="MS PGothic" w:cs="MS PGothic" w:eastAsia="MS PGothic" w:hAnsi="MS PGothic"/>
          <w:sz w:val="16"/>
          <w:szCs w:val="16"/>
          <w:color w:val="auto"/>
        </w:rPr>
        <w:t>‐</w:t>
      </w:r>
      <w:r>
        <w:rPr>
          <w:rFonts w:ascii="Arial" w:cs="Arial" w:eastAsia="Arial" w:hAnsi="Arial"/>
          <w:sz w:val="16"/>
          <w:szCs w:val="16"/>
          <w:color w:val="auto"/>
        </w:rPr>
        <w:t xml:space="preserve"> being and lower costs. Our efforts are leading to a better quality of life for people with Medicare, families, individuals, military service personnel, and communities at large. To accomplish that, we support physicians and other health care professionals as they work to deliver the right care in the right place for their patients, our members. Our range of clinical capabilities, resources and tools, such as in</w:t>
      </w:r>
      <w:r>
        <w:rPr>
          <w:rFonts w:ascii="MS PGothic" w:cs="MS PGothic" w:eastAsia="MS PGothic" w:hAnsi="MS PGothic"/>
          <w:sz w:val="16"/>
          <w:szCs w:val="16"/>
          <w:color w:val="auto"/>
        </w:rPr>
        <w:t>‐</w:t>
      </w:r>
      <w:r>
        <w:rPr>
          <w:rFonts w:ascii="Arial" w:cs="Arial" w:eastAsia="Arial" w:hAnsi="Arial"/>
          <w:sz w:val="16"/>
          <w:szCs w:val="16"/>
          <w:color w:val="auto"/>
        </w:rPr>
        <w:t>home care, behavioral health, pharmacy services, data analytics and wellness solutions, combine to produce a simplified experience that makes health care easier to navigate and more effective.</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we had approximately 17 million members in our medical benefit plans, as well as approximately 5 million members in our specialty products. During 2019, 82% of our total premiums and services revenue were derived from contracts with the federal government, including 15% derived from our individual Medicare Advantage contracts in Florida with the Centers for Medicare and Medicaid Services, or CMS, under which we provide health insurance coverage to approximately 701,400 members as of December 31, 2019.</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Humana Inc. was organized as a Delaware corporation in 1964. Our principal executive offices are located at 500 West Main Street, Louisville, Kentucky 40202, the telephone number at that address is (502) 580-1000, and our website address is www.humana.com. We have made available free of charge through the Investor Relations section of our web site our annual reports on Form 10-K, quarterly reports on Form 10-Q, current reports on Form 8-K, proxy statements, and, if applicable, amendments to those reports filed or furnished pursuant to Section 13(a) of the Exchange Act, as soon as reasonably practicable after we electronically file such material with, or furnish it to, the Securities and Exchange Commission.</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Annual Report on Form 10-K, or 2019 Form 10-K, contains both historical and forward-looking information. See Item 1A. – Risk Factors in this 2019 Form 10-K for a description of a number of factors that may adversely affect our results or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 xml:space="preserve">We manage our business with three </w:t>
      </w:r>
      <w:r>
        <w:rPr>
          <w:rFonts w:ascii="Arial" w:cs="Arial" w:eastAsia="Arial" w:hAnsi="Arial"/>
          <w:sz w:val="21"/>
          <w:szCs w:val="21"/>
          <w:color w:val="auto"/>
        </w:rPr>
        <w:t>reportable segments: Retail, Group and Specialty, and Healthcare Services. Beginning January 1,</w:t>
      </w:r>
      <w:r>
        <w:rPr>
          <w:rFonts w:ascii="Arial" w:cs="Arial" w:eastAsia="Arial" w:hAnsi="Arial"/>
          <w:sz w:val="18"/>
          <w:szCs w:val="18"/>
          <w:color w:val="auto"/>
        </w:rPr>
        <w:t xml:space="preserve"> </w:t>
      </w:r>
      <w:r>
        <w:rPr>
          <w:rFonts w:ascii="Arial" w:cs="Arial" w:eastAsia="Arial" w:hAnsi="Arial"/>
          <w:sz w:val="21"/>
          <w:szCs w:val="21"/>
          <w:color w:val="auto"/>
        </w:rPr>
        <w:t>2018, we exited the individual commercial fully-insured medical health insurance business, as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7"/>
          <w:szCs w:val="17"/>
          <w:color w:val="auto"/>
        </w:rPr>
        <w:t>well as certain other business in 2018, and therefore no longer report separately the Individual Commercial segment and the Other Businesses category in the current year. Previously, the Other Businesses category included businesses that were not individually reportable because they did not meet the quantitative thresholds required by generally accepted accounting principles, primarily our closed-block of commercial long-term care insurance policies which were sold in 2018.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 See Note 18 to the consolidated financial statements included in Item 8. - Financial Statements and Supplementary Data for segment financial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medical and specialty insurance products allow members to access health care services primarily through our networks of health care providers with whom we have contracted. These products may vary in the degree to which members have coverage. Health maintenance organizations, or HMOs, include comprehensive managed care benefits generally through a participating network of physicians, hospitals, and other providers. Preferred provider organizations, or PPOs, provide members the freedom to choose any health care provider. However PPOs generally require the member to pay a greater portion of the provider’s fee in the event the member chooses not to use a provider participating in the PPO’s network. Point of Service, or POS, plans combine the advantages of HMO plans with the flexibility of PPO plans. In general, POS plans allow members to choose, at the time medical services are needed, to seek care from a provider within the plan’s network or outside the network. In addition, we offer services to our health plan members as well as to third parties that promote health and wellness, including pharmacy solutions, provider, and clinical programs, as well as services and capabilities to advance population health. At the core of our strategy is our integrated care delivery model, which unites quality care, high member engagement, and sophisticated data analytics. Three core elements of the model are to improve the consumer experience by simplifying the interaction with us, engaging members in clinical programs, and offering assistance to providers in transitioning from a fee-for-service to a value-based arrangement. Our approach to primary, physician-directed care for our members aims to provide quality care that is consistent, integrated, cost-effective, and member-focused. The model is designed to improve health outcomes and affordability for individuals and for the health system as a whole, while offering our members a simple, seamless healthcare experience. The discussion that follows describes the products offered by each of our segments.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Retail Segment Products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This segment is comprised of products sold on a retail basis to individuals including medical and supplemental benefit plans described in the discussion that follows. The following table presents our premiums and services revenue for the Retail segment by product for the year ended December 31,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40" w:type="dxa"/>
            <w:vAlign w:val="bottom"/>
            <w:vMerge w:val="restart"/>
          </w:tcPr>
          <w:p>
            <w:pPr>
              <w:jc w:val="center"/>
              <w:ind w:left="564"/>
              <w:spacing w:after="0"/>
              <w:rPr>
                <w:sz w:val="20"/>
                <w:szCs w:val="20"/>
                <w:color w:val="auto"/>
              </w:rPr>
            </w:pPr>
            <w:r>
              <w:rPr>
                <w:rFonts w:ascii="Arial" w:cs="Arial" w:eastAsia="Arial" w:hAnsi="Arial"/>
                <w:sz w:val="14"/>
                <w:szCs w:val="14"/>
                <w:b w:val="1"/>
                <w:bCs w:val="1"/>
                <w:color w:val="auto"/>
                <w:w w:val="92"/>
              </w:rPr>
              <w:t>Retail Segment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jc w:val="center"/>
              <w:ind w:right="556"/>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tcPr>
          <w:p>
            <w:pPr>
              <w:jc w:val="center"/>
              <w:ind w:right="576"/>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40" w:type="dxa"/>
            <w:vAlign w:val="bottom"/>
          </w:tcPr>
          <w:p>
            <w:pPr>
              <w:jc w:val="center"/>
              <w:ind w:left="564"/>
              <w:spacing w:after="0" w:line="149" w:lineRule="exact"/>
              <w:rPr>
                <w:sz w:val="20"/>
                <w:szCs w:val="20"/>
                <w:color w:val="auto"/>
              </w:rPr>
            </w:pPr>
            <w:r>
              <w:rPr>
                <w:rFonts w:ascii="Arial" w:cs="Arial" w:eastAsia="Arial" w:hAnsi="Arial"/>
                <w:sz w:val="14"/>
                <w:szCs w:val="14"/>
                <w:b w:val="1"/>
                <w:bCs w:val="1"/>
                <w:color w:val="auto"/>
                <w:w w:val="93"/>
              </w:rPr>
              <w:t>Premiums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tcPr>
          <w:p>
            <w:pPr>
              <w:jc w:val="center"/>
              <w:ind w:right="556"/>
              <w:spacing w:after="0" w:line="149" w:lineRule="exact"/>
              <w:rPr>
                <w:sz w:val="20"/>
                <w:szCs w:val="20"/>
                <w:color w:val="auto"/>
              </w:rPr>
            </w:pPr>
            <w:r>
              <w:rPr>
                <w:rFonts w:ascii="Arial" w:cs="Arial" w:eastAsia="Arial" w:hAnsi="Arial"/>
                <w:sz w:val="14"/>
                <w:szCs w:val="14"/>
                <w:b w:val="1"/>
                <w:bCs w:val="1"/>
                <w:color w:val="auto"/>
                <w:w w:val="97"/>
              </w:rPr>
              <w:t>Premiums and</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40" w:type="dxa"/>
            <w:vAlign w:val="bottom"/>
            <w:tcBorders>
              <w:bottom w:val="single" w:sz="8" w:color="auto"/>
            </w:tcBorders>
          </w:tcPr>
          <w:p>
            <w:pPr>
              <w:jc w:val="center"/>
              <w:ind w:left="564"/>
              <w:spacing w:after="0"/>
              <w:rPr>
                <w:sz w:val="20"/>
                <w:szCs w:val="20"/>
                <w:color w:val="auto"/>
              </w:rPr>
            </w:pPr>
            <w:r>
              <w:rPr>
                <w:rFonts w:ascii="Arial" w:cs="Arial" w:eastAsia="Arial" w:hAnsi="Arial"/>
                <w:sz w:val="14"/>
                <w:szCs w:val="14"/>
                <w:b w:val="1"/>
                <w:bCs w:val="1"/>
                <w:color w:val="auto"/>
                <w:w w:val="88"/>
              </w:rPr>
              <w:t>Services Revenue</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556"/>
              <w:spacing w:after="0"/>
              <w:rPr>
                <w:sz w:val="20"/>
                <w:szCs w:val="20"/>
                <w:color w:val="auto"/>
              </w:rPr>
            </w:pPr>
            <w:r>
              <w:rPr>
                <w:rFonts w:ascii="Arial" w:cs="Arial" w:eastAsia="Arial" w:hAnsi="Arial"/>
                <w:sz w:val="14"/>
                <w:szCs w:val="14"/>
                <w:b w:val="1"/>
                <w:bCs w:val="1"/>
                <w:color w:val="auto"/>
                <w:w w:val="88"/>
              </w:rPr>
              <w:t>Services Revenue</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w w:val="96"/>
              </w:rPr>
              <w:t>(dollars in millions)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w:t>
            </w:r>
          </w:p>
        </w:tc>
        <w:tc>
          <w:tcPr>
            <w:tcW w:w="19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Individual Medicare Advantage</w:t>
            </w:r>
          </w:p>
        </w:tc>
        <w:tc>
          <w:tcPr>
            <w:tcW w:w="3680" w:type="dxa"/>
            <w:vAlign w:val="bottom"/>
            <w:gridSpan w:val="2"/>
          </w:tcPr>
          <w:p>
            <w:pPr>
              <w:jc w:val="right"/>
              <w:ind w:right="1564"/>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43,128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Group Medicare Advantage</w:t>
            </w:r>
          </w:p>
        </w:tc>
        <w:tc>
          <w:tcPr>
            <w:tcW w:w="19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Medicare stand-alone PDP</w:t>
            </w:r>
          </w:p>
        </w:tc>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Retail Medicare</w:t>
            </w:r>
          </w:p>
        </w:tc>
        <w:tc>
          <w:tcPr>
            <w:tcW w:w="19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52,768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State-based Medicaid</w:t>
            </w:r>
          </w:p>
        </w:tc>
        <w:tc>
          <w:tcPr>
            <w:tcW w:w="1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Medicare Supplement</w:t>
            </w:r>
          </w:p>
        </w:tc>
        <w:tc>
          <w:tcPr>
            <w:tcW w:w="19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520" w:type="dxa"/>
            <w:vAlign w:val="bottom"/>
          </w:tcPr>
          <w:p>
            <w:pPr>
              <w:ind w:left="720"/>
              <w:spacing w:after="0"/>
              <w:rPr>
                <w:sz w:val="20"/>
                <w:szCs w:val="20"/>
                <w:color w:val="auto"/>
              </w:rPr>
            </w:pPr>
            <w:r>
              <w:rPr>
                <w:rFonts w:ascii="Arial" w:cs="Arial" w:eastAsia="Arial" w:hAnsi="Arial"/>
                <w:sz w:val="18"/>
                <w:szCs w:val="18"/>
                <w:color w:val="auto"/>
              </w:rPr>
              <w:t>Total premiums</w:t>
            </w:r>
          </w:p>
        </w:tc>
        <w:tc>
          <w:tcPr>
            <w:tcW w:w="194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4"/>
              </w:rPr>
              <w:t>56,254</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9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Pr>
          <w:p>
            <w:pPr>
              <w:ind w:left="720"/>
              <w:spacing w:after="0"/>
              <w:rPr>
                <w:sz w:val="20"/>
                <w:szCs w:val="20"/>
                <w:color w:val="auto"/>
              </w:rPr>
            </w:pPr>
            <w:r>
              <w:rPr>
                <w:rFonts w:ascii="Arial" w:cs="Arial" w:eastAsia="Arial" w:hAnsi="Arial"/>
                <w:sz w:val="18"/>
                <w:szCs w:val="18"/>
                <w:color w:val="auto"/>
              </w:rPr>
              <w:t>Total premiums and services revenue</w:t>
            </w:r>
          </w:p>
        </w:tc>
        <w:tc>
          <w:tcPr>
            <w:tcW w:w="1940" w:type="dxa"/>
            <w:vAlign w:val="bottom"/>
          </w:tcPr>
          <w:p>
            <w:pPr>
              <w:spacing w:after="0"/>
              <w:rPr>
                <w:sz w:val="20"/>
                <w:szCs w:val="20"/>
                <w:color w:val="auto"/>
              </w:rPr>
            </w:pPr>
          </w:p>
        </w:tc>
        <w:tc>
          <w:tcPr>
            <w:tcW w:w="1740" w:type="dxa"/>
            <w:vAlign w:val="bottom"/>
            <w:tcBorders>
              <w:top w:val="single" w:sz="8" w:color="auto"/>
            </w:tcBorders>
          </w:tcPr>
          <w:p>
            <w:pPr>
              <w:jc w:val="right"/>
              <w:ind w:right="156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4"/>
              </w:rPr>
              <w:t>56,271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940" w:type="dxa"/>
            <w:vAlign w:val="bottom"/>
            <w:vMerge w:val="restart"/>
          </w:tcPr>
          <w:p>
            <w:pPr>
              <w:jc w:val="right"/>
              <w:ind w:right="610"/>
              <w:spacing w:after="0"/>
              <w:rPr>
                <w:sz w:val="20"/>
                <w:szCs w:val="20"/>
                <w:color w:val="auto"/>
              </w:rPr>
            </w:pPr>
            <w:r>
              <w:rPr>
                <w:rFonts w:ascii="Arial" w:cs="Arial" w:eastAsia="Arial" w:hAnsi="Arial"/>
                <w:sz w:val="18"/>
                <w:szCs w:val="18"/>
                <w:color w:val="auto"/>
              </w:rPr>
              <w:t>4</w:t>
            </w: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b w:val="1"/>
          <w:bCs w:val="1"/>
          <w:i w:val="1"/>
          <w:iCs w:val="1"/>
          <w:color w:val="auto"/>
        </w:rPr>
        <w:t>Medicare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participated in the Medicare program for private health plans for over 30 years and have established a national presence, offering at least one type of Medicare plan in all 50 states. We have a geographically diverse membership base that we believe provides us with greater ability to expand our network of PPO and HMO providers. We employ strategies including health assessments and clinical guidance programs such as lifestyle and fitness programs for seniors to guide Medicare beneficiaries in making cost-effective decisions with respect to their health care. We believe these strategies result in cost savings that occur from making positive behavior changes.</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Medicare is a federal program that provides persons age 65 and over and some disabled persons under the age of 65 certain hospital and medical insurance benefits. CMS, an agency of the United States Department of Health and Human Services, administers the Medicare program. Hospitalization benefits are provided under Part A, without the payment of any premium, for up to 90 days per incident of illness plus a lifetime reserve aggregating 60 days. Eligible beneficiaries are required to pay an annually adjusted premium to the federal government to be eligible for physician care and other services under Part B. Beneficiaries eligible for Part A and Part B coverage under traditional fee-for-service Medicare are still required to pay out-of-pocket deductibles and coinsurance. Throughout this document this program is referred to as Medicare FFS. As an alternative to Medicare FFS, in geographic areas where a managed care organization has contracted with CMS pursuant to the Medicare Advantage program, Medicare beneficiaries may choose to receive benefits from a Medicare Advantage organization under Medicare Part C. Pursuant to Medicare Part C, Medicare Advantage organizations contract with CMS to offer Medicare Advantage plans to provide benefits at least comparable to those offered under Medicare FFS. Our Medicare Advantage, or MA, plans are discussed more fully below. Prescription drug benefits are provided under Part 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Individual Medicare Advantage Products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contract with CMS under the Medicare Advantage program to provide a comprehensive array of health insurance benefits, including wellness programs, chronic care management, and care coordination, to Medicare eligible persons under HMO, PPO, and Private Fee-For-Service, or PFFS, plans in exchange for contractual payments received from CMS, usually a fixed payment per member per month. With each of these products, the beneficiary receives benefits in excess of Medicare FFS, typically including reduced cost sharing, enhanced prescription drug benefits, care coordination, data analysis techniques to help identify member needs, complex case management, tools to guide members in their health care decisions, care management programs, wellness and prevention programs and, in some instances, a reduced monthly Part B premium. Most Medicare Advantage plans offer the prescription drug benefit under Part D as part of the basic plan, subject to cost sharing and other limitations. Accordingly, all of the provisions of the Medicare Part D program described in connection with our stand-alone prescription drug plans in the following section also are applicable to most of our Medicare Advantage plans. Medicare Advantage plans may charge beneficiaries monthly premiums and other copayments for Medicare-covered services or for certain extra benefits. Generally, Medicare-eligible individuals enroll in one of our plan choices between October 15 and December 7 for coverage that begins on the following January 1.</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Medicare HMO and PPO plans, which cover Medicare-eligible individuals residing in certain counties, may eliminate or reduce coinsurance or the level of deductibles on many other medical services while seeking care from participating in-network providers or in emergency situations. Except in emergency situations or as specified by the plan, most HMO plans provide no out-of-network benefits. PPO plans carry an out-of network benefit that is subject to higher member cost-sharing. In some cases, these beneficiaries are required to pay a monthly premium to the HMO or PPO plan in addition to the monthly Part B premium they are required to pay the Medicare program.</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Most of our Medicare PFFS plans are network-based products with in and out of network benefits due to a requirement that Medicare Advantage organizations establish adequate provider networks, except in geographic areas that CMS determines have fewer than two network-based Medicare Advantage plans. In these areas, we offer Medicare PFFS plans that have no preferred network. Individuals in these plans pay us a monthly premium to receive typical Medicare Advantage benefits along with the freedom to choose any health care provider that accepts individuals at rates equivalent to Medicare FFS payment 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5" w:name="page6"/>
    <w:bookmarkEnd w:id="5"/>
    <w:p>
      <w:pPr>
        <w:jc w:val="both"/>
        <w:ind w:firstLine="324"/>
        <w:spacing w:after="0" w:line="287" w:lineRule="auto"/>
        <w:rPr>
          <w:sz w:val="20"/>
          <w:szCs w:val="20"/>
          <w:color w:val="auto"/>
        </w:rPr>
      </w:pPr>
      <w:r>
        <w:rPr>
          <w:rFonts w:ascii="Arial" w:cs="Arial" w:eastAsia="Arial" w:hAnsi="Arial"/>
          <w:sz w:val="16"/>
          <w:szCs w:val="16"/>
          <w:color w:val="auto"/>
        </w:rPr>
        <w:t>CMS uses monthly rates per person for each county to determine the fixed monthly payments per member to pay to health benefit plans. These rates are adjusted under CMS’s risk-adjustment model which uses health status indicators, or risk scores, to improve the accuracy of payment. The risk-adjustment model, which CMS implemented pursuant to the Balanced Budget Act of 1997 (BBA) and the Benefits Improvement and Protection Act of 2000 (BIPA), generally pays more for members with predictably higher costs and uses principal hospital inpatient diagnoses as well as diagnosis data from ambulatory treatment settings (hospital outpatient department and physician visits) to establish the risk-adjustment payments. Under the risk-adjustment methodology, all health benefit organizations must collect from providers and submit the necessary diagnosis code information to CMS within prescribed deadlines. CMS is phasing-in the process of calculating risk scores using diagnoses data from the Risk Adjustment Processing System, or RAPS, to diagnoses data from the Encounter Data System, or EDS. The RAPS process requires MA plans to apply a filter logic based on CMS guidelines and only submit diagnoses that satisfy those guidelines. For submissions through EDS, CMS requires MA plans to submit all the encounter data and CMS will apply the risk adjustment filtering logic to determine the risk scores. For 2019, 25% of the risk score was calculated from claims data submitted through EDS. CMS will increase that percentage to 50% in 2020 and has proposed to increase that percentage to 75% in 2021. For more information refer to Note 17 to the consolidated financial statements included in Item 8. – Financial Statements and Supplementary Data and Item 1A. - Risk Factors.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2019, we provided health insurance coverage under CMS contracts to approximately 3,587,200 individual Medicare Advantage members, including approximately 701,400 members in Florida. These Florida contracts accounted for premiums revenue of approximately $9.5 billion, which represented approximately 22.0% of our individual Medicare Advantage premiums revenue, or 15.0% of our consolidated premiums and services revenue for the year ended December 31, 2019.</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HMO, PPO, and PFFS products covered under Medicare Advantage contracts with CMS are renewed generally for a calendar year term unless CMS notifies us of its decision not to renew by May 1 of the calendar year in which the contract would end, or we notify CMS of our decision not to renew by the first Monday in June of the calendar year in which the contract would end. All material contracts between Humana and CMS relating to our Medicare Advantage products have been renewed for 2020, and all of our product offerings filed with CMS for 2020 have been approved.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Individual Medicare Stand-Alone Prescription Drug Products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offer stand-alone prescription drug plans, or PDPs, under Medicare Part D, including a PDP offering co-branded with Wal-Mart Stores, Inc., or the Humana-Walmart plan. Generally, Medicare-eligible individuals enroll in one of our plan choices between October 15 and December 7 for coverage that begins on the following January 1. Our stand-alone PDP offerings consist of plans offering basic coverage with benefits mandated by Congress, as well as plans providing enhanced coverage with varying degrees of out-of-pocket costs for premiums, deductibles, and co-insurance. Our revenues from CMS and the beneficiary are determined from our PDP bids submitted annually to CMS. These revenues also reflect the health status of the beneficiary and risk sharing provisions as more fully described in Note 2 to the consolidated financial statements included in Item 8. – Financial Statements and Supplementary Data, titled “Medicare Part D.” Our stand-alone PDP contracts with CMS are renewed generally for a calendar year term unless CMS notifies us of its decision not to renew by May 1 of the calendar year in which the contract would end, or we notify CMS of our decision not to renew by the first Monday in June of the calendar year in which the contract would end. All material contracts between Humana and CMS relating to our Medicare stand-alone PDP products have been renewed for 2020, and all of our product offerings filed with CMS for 2020 have been approved.</w:t>
      </w:r>
    </w:p>
    <w:p>
      <w:pPr>
        <w:spacing w:after="0" w:line="1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administered CMS’s Limited Income Newly Eligible Transition, or LI-NET, prescription drug plan program since 2010. This program allows individuals who receive Medicare’s low-income subsidy to also receive immediate prescription drug coverage at the point of sale if they are not already enrolled in a Medicare Part D plan. CMS temporarily enrolls newly identified individuals with both Medicare and Medicaid into the LI-NET prescription drug plan program, and subsequently transitions each member into a Medicare Part D plan that may or may not be a Humana Medicare plan.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i w:val="1"/>
          <w:iCs w:val="1"/>
          <w:color w:val="auto"/>
        </w:rPr>
        <w:t>Group Medicare Advantage and Medicare stand-alone PDP</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offer products that enable employers that provide post-retirement health care benefits to replace Medicare wrap or Medicare supplement products with Medicare Advantage or stand-alone PDPs from Humana. These products offer the same types of benefits and services available to members in our individual Medicare plans discussed previously and can be tailored to closely match an employer’s post-retirement benefit structure.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State-based Medicaid Contracts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state-based contracts allow us to serve members enrolled in state-based Medicaid programs including Temporary Assistance to Needy Families, or TANF, Aged, Blind, and Disabled, or ABD, Long-Term Support Services, or LTSS, and the CMS Financial Alignment dual eligible demonstration programs. TANF and ABD programs are traditional Medicaid programs that are state and federally funded and provide cash assistance and supportive services to assist qualifying aged, blind, or disabled individuals, as well as families with children under age 18, helping them achieve economic self-sufficiency. LTSS is a state and federally funded program that offers states a broad and flexible set of program design options and refers to the delivery of long-term support services for our members who receive home and community or institution-based services for long-term care. Our contracts are generally for three to five year terms.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contracts to serve Medicaid eligible members in Florida and Kentucky under traditional programs, as well as contracts in Florida under the LTSS program. Prior to January 1, 2020, our Kentucky Medicaid contract was subject to a 100% coinsurance contract with CareSource Management Group Company, ceding all the risk to CareSource. Effective January 1, 2020, we terminated the reinsurance agreement with CareSource and assumed full administration of our Kentucky Medicaid contract.</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Medicare beneficiaries who also qualify for Medicaid due to low income or special needs are known as dual eligible beneficiaries, or dual eligibles. The dual eligible population represents a disproportionate share of Medicaid and Medicare costs. States require special coordinating contracts for plans to offer Medicare Advantage dual eligible special needs plans, or D-SNPs. These largely operate separate from traditional Medicaid and LTSS programs. Some states are moving to support the dual eligible population by linking D-SNP participation to enrollment in a plan that also participates in a state-based Medicaid program to coordinate and integrate both Medicare and Medicaid benefits. Beginning in 2021, based on new federal requirements, states are expected to strengthen Medicaid-Medicare integration requirements for D-SNPs.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serve dual eligible members under the CMS stand-alone dual eligible demonstration program in Illinois, and continue to serve other dual eligible members enrolled in our Medicare Advantage and stand-alone prescription drug plans.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Group and Specialty Segment Products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Group and Specialty segment consists of employer group commercial fully-insured medical and specialty health insurance benefits marketed to individuals and employer groups, including dental, vision and life insurance benefits, as well as administrative services only, or ASO products as described in the discussion that follows. The following table presents our premiums and services revenue for the Group and Specialty segment by product for the year ended December 31,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Group and Specialty</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jc w:val="center"/>
              <w:ind w:right="557"/>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860" w:type="dxa"/>
            <w:vAlign w:val="bottom"/>
          </w:tcPr>
          <w:p>
            <w:pPr>
              <w:jc w:val="center"/>
              <w:ind w:left="420"/>
              <w:spacing w:after="0" w:line="149" w:lineRule="exact"/>
              <w:rPr>
                <w:sz w:val="20"/>
                <w:szCs w:val="20"/>
                <w:color w:val="auto"/>
              </w:rPr>
            </w:pPr>
            <w:r>
              <w:rPr>
                <w:rFonts w:ascii="Arial" w:cs="Arial" w:eastAsia="Arial" w:hAnsi="Arial"/>
                <w:sz w:val="14"/>
                <w:szCs w:val="14"/>
                <w:b w:val="1"/>
                <w:bCs w:val="1"/>
                <w:color w:val="auto"/>
                <w:w w:val="87"/>
              </w:rPr>
              <w:t>Segment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tcPr>
          <w:p>
            <w:pPr>
              <w:jc w:val="center"/>
              <w:ind w:right="577"/>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860" w:type="dxa"/>
            <w:vAlign w:val="bottom"/>
          </w:tcPr>
          <w:p>
            <w:pPr>
              <w:jc w:val="center"/>
              <w:ind w:left="440"/>
              <w:spacing w:after="0" w:line="149" w:lineRule="exact"/>
              <w:rPr>
                <w:sz w:val="20"/>
                <w:szCs w:val="20"/>
                <w:color w:val="auto"/>
              </w:rPr>
            </w:pPr>
            <w:r>
              <w:rPr>
                <w:rFonts w:ascii="Arial" w:cs="Arial" w:eastAsia="Arial" w:hAnsi="Arial"/>
                <w:sz w:val="14"/>
                <w:szCs w:val="14"/>
                <w:b w:val="1"/>
                <w:bCs w:val="1"/>
                <w:color w:val="auto"/>
                <w:w w:val="93"/>
              </w:rPr>
              <w:t>Premiums and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tcPr>
          <w:p>
            <w:pPr>
              <w:jc w:val="center"/>
              <w:ind w:right="557"/>
              <w:spacing w:after="0" w:line="149" w:lineRule="exact"/>
              <w:rPr>
                <w:sz w:val="20"/>
                <w:szCs w:val="20"/>
                <w:color w:val="auto"/>
              </w:rPr>
            </w:pPr>
            <w:r>
              <w:rPr>
                <w:rFonts w:ascii="Arial" w:cs="Arial" w:eastAsia="Arial" w:hAnsi="Arial"/>
                <w:sz w:val="14"/>
                <w:szCs w:val="14"/>
                <w:b w:val="1"/>
                <w:bCs w:val="1"/>
                <w:color w:val="auto"/>
                <w:w w:val="97"/>
              </w:rPr>
              <w:t>Premiums and</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860" w:type="dxa"/>
            <w:vAlign w:val="bottom"/>
            <w:tcBorders>
              <w:bottom w:val="single" w:sz="8" w:color="auto"/>
            </w:tcBorders>
          </w:tcPr>
          <w:p>
            <w:pPr>
              <w:jc w:val="center"/>
              <w:ind w:left="440"/>
              <w:spacing w:after="0"/>
              <w:rPr>
                <w:sz w:val="20"/>
                <w:szCs w:val="20"/>
                <w:color w:val="auto"/>
              </w:rPr>
            </w:pPr>
            <w:r>
              <w:rPr>
                <w:rFonts w:ascii="Arial" w:cs="Arial" w:eastAsia="Arial" w:hAnsi="Arial"/>
                <w:sz w:val="14"/>
                <w:szCs w:val="14"/>
                <w:b w:val="1"/>
                <w:bCs w:val="1"/>
                <w:color w:val="auto"/>
                <w:w w:val="88"/>
              </w:rPr>
              <w:t>Services Revenue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557"/>
              <w:spacing w:after="0"/>
              <w:rPr>
                <w:sz w:val="20"/>
                <w:szCs w:val="20"/>
                <w:color w:val="auto"/>
              </w:rPr>
            </w:pPr>
            <w:r>
              <w:rPr>
                <w:rFonts w:ascii="Arial" w:cs="Arial" w:eastAsia="Arial" w:hAnsi="Arial"/>
                <w:sz w:val="14"/>
                <w:szCs w:val="14"/>
                <w:b w:val="1"/>
                <w:bCs w:val="1"/>
                <w:color w:val="auto"/>
                <w:w w:val="88"/>
              </w:rPr>
              <w:t>Services Revenue</w:t>
            </w: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(dollars in millions)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1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Premiums:</w:t>
            </w:r>
          </w:p>
        </w:tc>
        <w:tc>
          <w:tcPr>
            <w:tcW w:w="1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Fully-insured commercial group</w:t>
            </w: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6460" w:type="dxa"/>
            <w:vAlign w:val="bottom"/>
          </w:tcPr>
          <w:p>
            <w:pPr>
              <w:ind w:left="720"/>
              <w:spacing w:after="0"/>
              <w:rPr>
                <w:sz w:val="20"/>
                <w:szCs w:val="20"/>
                <w:color w:val="auto"/>
              </w:rPr>
            </w:pPr>
            <w:r>
              <w:rPr>
                <w:rFonts w:ascii="Arial" w:cs="Arial" w:eastAsia="Arial" w:hAnsi="Arial"/>
                <w:sz w:val="18"/>
                <w:szCs w:val="18"/>
                <w:color w:val="auto"/>
              </w:rPr>
              <w:t>Specialty</w:t>
            </w:r>
          </w:p>
        </w:tc>
        <w:tc>
          <w:tcPr>
            <w:tcW w:w="186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1,571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premiums</w:t>
            </w:r>
          </w:p>
        </w:tc>
        <w:tc>
          <w:tcPr>
            <w:tcW w:w="1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6,694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Services</w:t>
            </w:r>
          </w:p>
        </w:tc>
        <w:tc>
          <w:tcPr>
            <w:tcW w:w="1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premiums and services revenue</w:t>
            </w: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7,484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Intersegment services revenue</w:t>
            </w: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60" w:type="dxa"/>
            <w:vAlign w:val="bottom"/>
            <w:vMerge w:val="continue"/>
          </w:tcPr>
          <w:p>
            <w:pPr>
              <w:spacing w:after="0"/>
              <w:rPr>
                <w:sz w:val="21"/>
                <w:szCs w:val="21"/>
                <w:color w:val="auto"/>
              </w:rPr>
            </w:pPr>
          </w:p>
        </w:tc>
        <w:tc>
          <w:tcPr>
            <w:tcW w:w="1860" w:type="dxa"/>
            <w:vAlign w:val="bottom"/>
            <w:tcBorders>
              <w:bottom w:val="single" w:sz="8" w:color="auto"/>
            </w:tcBorders>
          </w:tcPr>
          <w:p>
            <w:pPr>
              <w:jc w:val="right"/>
              <w:ind w:right="168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jc w:val="right"/>
              <w:ind w:right="9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 – not applicable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Group Commercial Coverage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commercial products sold to employer groups include a broad spectrum of major medical benefits with multiple in-network coinsurance levels and annual deductible choices that employers of all sizes can offer to their employees on either a fully-insured, through HMO, PPO, or POS plans, or self-funded basis. Our plans integrate clinical programs, plan designs, communication tools, and spending accounts.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administrative services only, or ASO, products are offered to small group and large group employers who self-insure their employee health plans. We receive fees to provide administrative services which generally include the processing of claims, offering access to our provider networks and clinical programs, and responding to customer service inquiries from members of self-funded employers. These products may include all of the same benefit and product design characteristics of our fully-insured HMO, PPO, or POS products described previously. Under ASO contracts, self-funded employers generally retain the risk of financing the costs of health benefits, with large group customers retaining a greater share and small group customers a smaller share of the cost of health benefits. All small group ASO customers and many large group ASO customers purchase stop loss insurance coverage from us to cover catastrophic claims or to limit aggregate annual costs.</w:t>
      </w:r>
    </w:p>
    <w:p>
      <w:pPr>
        <w:spacing w:after="0" w:line="1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Employers can customize their offerings with optional benefits such as dental, vision, and life products. We also offer optional benefits such as dental and vision to individuals.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Military Services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our TRICARE contracts with the United States Department of Defense, or DoD, we provide administrative services to arrange health care services for the dependents of active duty military personnel and for retired military personnel and their dependents. We have participated in the TRICARE program since 1996 under contracts with the DoD. Under our contracts, we provide administrative services while the federal government retains all of the risk of the cost of health benefits. Accordingly, we account for revenues under the current contract net of estimated health care costs similar to an administrative services fee only agreement. On January 1, 2018, we began to deliver services under the T2017 East Region contract. The T2017 East Region contract is a consolidation of the former T3 North and South Regions, comprising thirty-two states and approximately 6 million TRICARE beneficiaries. The T2017 East Region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contract is a 5-year contract set to expire on December 31, 2022 and is subject to renewals on January 1 of each year during its term at the government's option.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Healthcare Services Segment Products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products offered by our Healthcare Services segment are key to our integrated care delivery model. This segment is comprised of stand-alone businesses that offer services including pharmacy solutions, provider services, clinical care services, and predictive modeling and informatics services to other Humana businesses, as well as external health plan members, external health plans, and other employers or individuals and are described in the discussion that follows. Our intersegment revenue is described in Note 18 to the consolidated financial statements included in Item 8. – Financial Statements and Supplementary Data. The following table presents our services revenue for the Healthcare Services segment by line of business for the year ended December 31,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3"/>
            <w:vMerge w:val="restart"/>
          </w:tcPr>
          <w:p>
            <w:pPr>
              <w:jc w:val="center"/>
              <w:ind w:right="1100"/>
              <w:spacing w:after="0"/>
              <w:rPr>
                <w:sz w:val="20"/>
                <w:szCs w:val="20"/>
                <w:color w:val="auto"/>
              </w:rPr>
            </w:pPr>
            <w:r>
              <w:rPr>
                <w:rFonts w:ascii="Arial" w:cs="Arial" w:eastAsia="Arial" w:hAnsi="Arial"/>
                <w:sz w:val="14"/>
                <w:szCs w:val="14"/>
                <w:b w:val="1"/>
                <w:bCs w:val="1"/>
                <w:color w:val="auto"/>
                <w:w w:val="94"/>
              </w:rPr>
              <w:t>Healthcare Services</w:t>
            </w:r>
          </w:p>
        </w:tc>
        <w:tc>
          <w:tcPr>
            <w:tcW w:w="1820" w:type="dxa"/>
            <w:vAlign w:val="bottom"/>
          </w:tcPr>
          <w:p>
            <w:pPr>
              <w:jc w:val="center"/>
              <w:ind w:right="557"/>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1820" w:type="dxa"/>
            <w:vAlign w:val="bottom"/>
          </w:tcPr>
          <w:p>
            <w:pPr>
              <w:jc w:val="center"/>
              <w:ind w:right="577"/>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Segment</w:t>
            </w:r>
          </w:p>
        </w:tc>
        <w:tc>
          <w:tcPr>
            <w:tcW w:w="1820" w:type="dxa"/>
            <w:vAlign w:val="bottom"/>
          </w:tcPr>
          <w:p>
            <w:pPr>
              <w:jc w:val="center"/>
              <w:ind w:right="557"/>
              <w:spacing w:after="0" w:line="149" w:lineRule="exact"/>
              <w:rPr>
                <w:sz w:val="20"/>
                <w:szCs w:val="20"/>
                <w:color w:val="auto"/>
              </w:rPr>
            </w:pPr>
            <w:r>
              <w:rPr>
                <w:rFonts w:ascii="Arial" w:cs="Arial" w:eastAsia="Arial" w:hAnsi="Arial"/>
                <w:sz w:val="14"/>
                <w:szCs w:val="14"/>
                <w:b w:val="1"/>
                <w:bCs w:val="1"/>
                <w:color w:val="auto"/>
                <w:w w:val="97"/>
              </w:rPr>
              <w:t>Premiums and</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4"/>
                <w:szCs w:val="14"/>
                <w:b w:val="1"/>
                <w:bCs w:val="1"/>
                <w:color w:val="auto"/>
                <w:w w:val="88"/>
              </w:rPr>
              <w:t>Services Revenue</w:t>
            </w:r>
          </w:p>
        </w:tc>
        <w:tc>
          <w:tcPr>
            <w:tcW w:w="1820" w:type="dxa"/>
            <w:vAlign w:val="bottom"/>
            <w:tcBorders>
              <w:bottom w:val="single" w:sz="8" w:color="auto"/>
            </w:tcBorders>
          </w:tcPr>
          <w:p>
            <w:pPr>
              <w:jc w:val="center"/>
              <w:ind w:right="557"/>
              <w:spacing w:after="0"/>
              <w:rPr>
                <w:sz w:val="20"/>
                <w:szCs w:val="20"/>
                <w:color w:val="auto"/>
              </w:rPr>
            </w:pPr>
            <w:r>
              <w:rPr>
                <w:rFonts w:ascii="Arial" w:cs="Arial" w:eastAsia="Arial" w:hAnsi="Arial"/>
                <w:sz w:val="14"/>
                <w:szCs w:val="14"/>
                <w:b w:val="1"/>
                <w:bCs w:val="1"/>
                <w:color w:val="auto"/>
                <w:w w:val="88"/>
              </w:rPr>
              <w:t>Services Revenue</w:t>
            </w: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0" w:type="dxa"/>
            <w:vAlign w:val="bottom"/>
            <w:gridSpan w:val="3"/>
          </w:tcPr>
          <w:p>
            <w:pPr>
              <w:ind w:left="1540"/>
              <w:spacing w:after="0"/>
              <w:rPr>
                <w:sz w:val="20"/>
                <w:szCs w:val="20"/>
                <w:color w:val="auto"/>
              </w:rPr>
            </w:pPr>
            <w:r>
              <w:rPr>
                <w:rFonts w:ascii="Arial" w:cs="Arial" w:eastAsia="Arial" w:hAnsi="Arial"/>
                <w:sz w:val="14"/>
                <w:szCs w:val="14"/>
                <w:b w:val="1"/>
                <w:bCs w:val="1"/>
                <w:color w:val="auto"/>
                <w:w w:val="96"/>
              </w:rPr>
              <w:t>(dollars in millions)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Pharmacy solutions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22,189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ind w:left="1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Provider services</w:t>
            </w:r>
          </w:p>
        </w:tc>
        <w:tc>
          <w:tcPr>
            <w:tcW w:w="3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Clinical care services</w:t>
            </w:r>
          </w:p>
        </w:tc>
        <w:tc>
          <w:tcPr>
            <w:tcW w:w="340" w:type="dxa"/>
            <w:vAlign w:val="bottom"/>
          </w:tcPr>
          <w:p>
            <w:pPr>
              <w:spacing w:after="0"/>
              <w:rPr>
                <w:sz w:val="21"/>
                <w:szCs w:val="21"/>
                <w:color w:val="auto"/>
              </w:rPr>
            </w:pP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ind w:left="1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intersegment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25,149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External services revenue: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Pharmacy solutions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Provider services</w:t>
            </w:r>
          </w:p>
        </w:tc>
        <w:tc>
          <w:tcPr>
            <w:tcW w:w="340" w:type="dxa"/>
            <w:vAlign w:val="bottom"/>
          </w:tcPr>
          <w:p>
            <w:pPr>
              <w:spacing w:after="0"/>
              <w:rPr>
                <w:sz w:val="21"/>
                <w:szCs w:val="21"/>
                <w:color w:val="auto"/>
              </w:rPr>
            </w:pP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20" w:type="dxa"/>
            <w:vAlign w:val="bottom"/>
          </w:tcPr>
          <w:p>
            <w:pPr>
              <w:ind w:left="140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Clinical care services</w:t>
            </w:r>
          </w:p>
        </w:tc>
        <w:tc>
          <w:tcPr>
            <w:tcW w:w="3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37"/>
        </w:trPr>
        <w:tc>
          <w:tcPr>
            <w:tcW w:w="6460" w:type="dxa"/>
            <w:vAlign w:val="bottom"/>
          </w:tcPr>
          <w:p>
            <w:pPr>
              <w:ind w:left="720"/>
              <w:spacing w:after="0"/>
              <w:rPr>
                <w:sz w:val="20"/>
                <w:szCs w:val="20"/>
                <w:color w:val="auto"/>
              </w:rPr>
            </w:pPr>
            <w:r>
              <w:rPr>
                <w:rFonts w:ascii="Arial" w:cs="Arial" w:eastAsia="Arial" w:hAnsi="Arial"/>
                <w:sz w:val="18"/>
                <w:szCs w:val="18"/>
                <w:color w:val="auto"/>
              </w:rPr>
              <w:t>Total external services revenue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ind w:left="140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 – not applicable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Pharmacy solutions</w:t>
      </w:r>
    </w:p>
    <w:p>
      <w:pPr>
        <w:spacing w:after="0" w:line="171"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Humana Pharmacy Solutions</w:t>
      </w:r>
      <w:r>
        <w:rPr>
          <w:rFonts w:ascii="Arial" w:cs="Arial" w:eastAsia="Arial" w:hAnsi="Arial"/>
          <w:sz w:val="25"/>
          <w:szCs w:val="25"/>
          <w:color w:val="auto"/>
          <w:vertAlign w:val="superscript"/>
        </w:rPr>
        <w:t>®</w:t>
      </w:r>
      <w:r>
        <w:rPr>
          <w:rFonts w:ascii="Arial" w:cs="Arial" w:eastAsia="Arial" w:hAnsi="Arial"/>
          <w:sz w:val="18"/>
          <w:szCs w:val="18"/>
          <w:color w:val="auto"/>
        </w:rPr>
        <w:t>, or HPS, manages traditional prescription drug coverage for both individuals and employer groups in addition to providing a broad array of pharmacy solutions. HPS also operates prescription mail order services for brand, generic, and specialty drugs and diabetic supplies through Humana Pharmacy, Inc.</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Provider services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full-service, multi-specialty medical centers in a number of states, including Florida, Kansas, Missouri, North Carolina, South Carolina, and Texas, staffed by primary care providers and medical specialists with a primary focus on the senior population. We operate these clinics primarily under the Conviva, Partners in Primary Care or Family Physicians Group brands. Our care delivery subsidiaries operate our medical center business through both employed physicians and care providers, and through third party management service organizations with whom we contract to arrange for and manage certain clinical services.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operate a Medical Services Organization, or MSO, through Conviva that coordinates medical care for Medicare Advantage beneficiaries in Florida and Texas. This MSO provides resources in care coordination, financial risk management, clinical integration and patient engagement that help physicians improve the patient experience as well as care outcomes. Conviva’s MSO collaborates with physicians, medical groups and integrated delivery systems to successfully transition to value-based care by engaging, partnering and offering practical services and solutions.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2020, Partners in Primary Care entered into a strategic partnership with Welsh, Carson, Anderson &amp; Stowe to open a minimum of 50 additional payor-agnostic, senior-focused primary care centers over the next three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9" w:name="page10"/>
    <w:bookmarkEnd w:id="9"/>
    <w:p>
      <w:pPr>
        <w:jc w:val="both"/>
        <w:spacing w:after="0" w:line="302" w:lineRule="auto"/>
        <w:rPr>
          <w:sz w:val="20"/>
          <w:szCs w:val="20"/>
          <w:color w:val="auto"/>
        </w:rPr>
      </w:pPr>
      <w:r>
        <w:rPr>
          <w:rFonts w:ascii="Arial" w:cs="Arial" w:eastAsia="Arial" w:hAnsi="Arial"/>
          <w:sz w:val="16"/>
          <w:szCs w:val="16"/>
          <w:color w:val="auto"/>
        </w:rPr>
        <w:t>years and in 2018 we acquired Family Physicians Group, or FPG, serving Medicare Advantage and Managed Medicaid HMO patients through its senior focused clinics in Greater Orlando, Florida. Also, during 2018, we acquired the remaining equity interest in Miami, Florida based MCCI Holdings, LLC, or MCCI, a privately held management service organization and healthcare that primarily coordinates medical care for Medicare Advantage beneficiaries in Florida and Texas. See Note 3 to the consolidated financial statements included in Item 8. - Financial Statements and Supplementary Data.</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care services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Via in-home care, telephonic health counseling/coaching, and remote monitoring, we are actively involved in the care management of our customers with the greatest needs. Clinical care services include the operations of Humana At Home, Inc., or Humana At Home</w:t>
      </w:r>
      <w:r>
        <w:rPr>
          <w:rFonts w:ascii="Arial" w:cs="Arial" w:eastAsia="Arial" w:hAnsi="Arial"/>
          <w:sz w:val="24"/>
          <w:szCs w:val="24"/>
          <w:color w:val="auto"/>
          <w:vertAlign w:val="superscript"/>
        </w:rPr>
        <w:t>®</w:t>
      </w:r>
      <w:r>
        <w:rPr>
          <w:rFonts w:ascii="Arial" w:cs="Arial" w:eastAsia="Arial" w:hAnsi="Arial"/>
          <w:sz w:val="17"/>
          <w:szCs w:val="17"/>
          <w:color w:val="auto"/>
        </w:rPr>
        <w:t>. As a chronic-care provider of in-home care for seniors, we provide innovative and holistic care coordination services for individuals living with multiple chronic conditions, individuals with disabilities, fragile and aging-in-place members and their care givers. We focus our deployment of these services in geographies with a high concentration of members living with multiple chronic conditions. The clinical support and care provided by Humana At Home is designed to improve health outcomes and result in a higher number of days members can spend at their homes instead of in an acute care facility. At December 31, 2019, we have enrolled approximately 868,800 members, with complex chronic conditions participating in a Humana Chronic Care Program, reflecting enhanced predictive modeling capabilities and focus on proactive clinical outreach and member engagement, particularly for our Medicare Advantage membership. These members may not be unique to each program since members have the ability to enroll in multiple programs. We believe these initiatives lead to better health outcomes for our members and lower health care costs.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committed additional investments in our home care capabilities with our acquisition of a 40% minority interest in Kindred at Home, Inc., or Kindred at Home, and Curo Health Services, or Curo, which combined creates the nation's largest home health and hospice provider with 65% overlap with our individual Medicare Advantage business. See Note 4 to the consolidated financial statements included in Item 8. - Financial Statements and Supplementary Data.</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committed to the integrated physical and mental health of our members. Accordingly, we take a holistic approach to healthcare, offering care management and wellness programs. These programs use our capabilities that enable us to create a more complete view of an individual’s health, designed to connect, coordinate and simplify health care while reducing costs. These capabilities include our health care analytics engine, which reviews billions of clinical data points on millions of patients each day to provide members, providers, and payers real-time clinical insights to identify evidence-based gaps-in-care, drug safety alerts and other critical health concerns to improve outcomes. Additionally, our technology connects Humana and disparate electronic health record systems to enable the exchange of essential health information in real-time to provide physicians and care teams with a single, comprehensive patient view.</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care management programs take full advantage of the population health, wellness and clinical applications offered by CareHub, our clinical management tool used by providers and care managers across the company to help our members achieve their best health, to offer various levels of support, matching the intensity of the support to the needs of members with ongoing health challenges through telephonic and onsite programs. These programs include Personal Nurse, chronic condition management, and case management as well as programs supporting maternity, cancer, neonatal intensive care unit, and transplant services.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Wellness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offer wellness solutions including our Go365 wellness and loyalty rewards program, employee assistance program, and clinical programs. These programs, when offered collectively to employer customers as our Total Health product, turn any standard plan of the employer's choosing into an integrated health and well-being solution that encourages participation in these programs.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Go365 program provides our members with access to a science-based, actuarially driven wellness and loyalty program that features a wide range of well-being tools and rewards that are customized to an individual’s needs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wants. A key element of the program includes a sophisticated health-behavior-change model supported by an incentive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Individual Commercial Segment Products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individual health plans were marketed under the HumanaOne brand. We offered products both on and off of the public exchange.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discontinued substantially all off-exchange individual commercial medical plans effective January 1, 2017, and we exited our remaining individual commercial medical business effective January 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Businesses includes those businesses that do not align with the reportable segments previously described, primarily our closed-block long-term care insurance policies, which were sold in 2018. For a detailed discussion of the sale refer to Note 3 to the consolidated financial statements included in Item 8. – Financial Statements and Supplementary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total medical membership at December 31, 2019, by market and product:</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Florida</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Texas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Kentucky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California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Georgia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Illinois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Ohio</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Missouri/Kansas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North Carolina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Tennessee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Louisiana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Wisconsin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Indiana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Virginia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Michigan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Arizona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Pennsylvania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 Carolina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Military services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Retail Segment</w:t>
            </w:r>
          </w:p>
        </w:tc>
        <w:tc>
          <w:tcPr>
            <w:tcW w:w="9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3"/>
                <w:szCs w:val="13"/>
                <w:b w:val="1"/>
                <w:bCs w:val="1"/>
                <w:color w:val="auto"/>
              </w:rPr>
              <w:t>Group and Specialty Segment</w:t>
            </w:r>
          </w:p>
        </w:tc>
        <w:tc>
          <w:tcPr>
            <w:tcW w:w="8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67"/>
        </w:trPr>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gridSpan w:val="2"/>
          </w:tcPr>
          <w:p>
            <w:pPr>
              <w:jc w:val="right"/>
              <w:ind w:right="671"/>
              <w:spacing w:after="0"/>
              <w:rPr>
                <w:sz w:val="20"/>
                <w:szCs w:val="20"/>
                <w:color w:val="auto"/>
              </w:rPr>
            </w:pPr>
            <w:r>
              <w:rPr>
                <w:rFonts w:ascii="Arial" w:cs="Arial" w:eastAsia="Arial" w:hAnsi="Arial"/>
                <w:sz w:val="11"/>
                <w:szCs w:val="11"/>
                <w:b w:val="1"/>
                <w:bCs w:val="1"/>
                <w:color w:val="auto"/>
              </w:rPr>
              <w:t>(in thousands)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7"/>
        </w:trPr>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jc w:val="center"/>
              <w:ind w:right="51"/>
              <w:spacing w:after="0"/>
              <w:rPr>
                <w:sz w:val="20"/>
                <w:szCs w:val="20"/>
                <w:color w:val="auto"/>
              </w:rPr>
            </w:pPr>
            <w:r>
              <w:rPr>
                <w:rFonts w:ascii="Arial" w:cs="Arial" w:eastAsia="Arial" w:hAnsi="Arial"/>
                <w:sz w:val="11"/>
                <w:szCs w:val="11"/>
                <w:b w:val="1"/>
                <w:bCs w:val="1"/>
                <w:color w:val="auto"/>
                <w:w w:val="95"/>
              </w:rPr>
              <w:t>Fully-</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2"/>
        </w:trPr>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Individual</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Group</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Medicare</w:t>
            </w:r>
          </w:p>
        </w:tc>
        <w:tc>
          <w:tcPr>
            <w:tcW w:w="900" w:type="dxa"/>
            <w:vAlign w:val="bottom"/>
          </w:tcPr>
          <w:p>
            <w:pPr>
              <w:spacing w:after="0"/>
              <w:rPr>
                <w:sz w:val="10"/>
                <w:szCs w:val="10"/>
                <w:color w:val="auto"/>
              </w:rPr>
            </w:pPr>
          </w:p>
        </w:tc>
        <w:tc>
          <w:tcPr>
            <w:tcW w:w="940" w:type="dxa"/>
            <w:vAlign w:val="bottom"/>
          </w:tcPr>
          <w:p>
            <w:pPr>
              <w:jc w:val="center"/>
              <w:ind w:right="91"/>
              <w:spacing w:after="0" w:line="122" w:lineRule="exact"/>
              <w:rPr>
                <w:sz w:val="20"/>
                <w:szCs w:val="20"/>
                <w:color w:val="auto"/>
              </w:rPr>
            </w:pPr>
            <w:r>
              <w:rPr>
                <w:rFonts w:ascii="Arial" w:cs="Arial" w:eastAsia="Arial" w:hAnsi="Arial"/>
                <w:sz w:val="11"/>
                <w:szCs w:val="11"/>
                <w:b w:val="1"/>
                <w:bCs w:val="1"/>
                <w:color w:val="auto"/>
                <w:w w:val="84"/>
              </w:rPr>
              <w:t>State-</w:t>
            </w:r>
          </w:p>
        </w:tc>
        <w:tc>
          <w:tcPr>
            <w:tcW w:w="1040" w:type="dxa"/>
            <w:vAlign w:val="bottom"/>
          </w:tcPr>
          <w:p>
            <w:pPr>
              <w:jc w:val="center"/>
              <w:ind w:right="31"/>
              <w:spacing w:after="0" w:line="122" w:lineRule="exact"/>
              <w:rPr>
                <w:sz w:val="20"/>
                <w:szCs w:val="20"/>
                <w:color w:val="auto"/>
              </w:rPr>
            </w:pPr>
            <w:r>
              <w:rPr>
                <w:rFonts w:ascii="Arial" w:cs="Arial" w:eastAsia="Arial" w:hAnsi="Arial"/>
                <w:sz w:val="11"/>
                <w:szCs w:val="11"/>
                <w:b w:val="1"/>
                <w:bCs w:val="1"/>
                <w:color w:val="auto"/>
                <w:w w:val="85"/>
              </w:rPr>
              <w:t>insured</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2"/>
        </w:trPr>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Medicare</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Medicare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stand-</w:t>
            </w:r>
          </w:p>
        </w:tc>
        <w:tc>
          <w:tcPr>
            <w:tcW w:w="900" w:type="dxa"/>
            <w:vAlign w:val="bottom"/>
          </w:tcPr>
          <w:p>
            <w:pPr>
              <w:jc w:val="right"/>
              <w:ind w:right="230"/>
              <w:spacing w:after="0" w:line="122" w:lineRule="exact"/>
              <w:rPr>
                <w:sz w:val="20"/>
                <w:szCs w:val="20"/>
                <w:color w:val="auto"/>
              </w:rPr>
            </w:pPr>
            <w:r>
              <w:rPr>
                <w:rFonts w:ascii="Arial" w:cs="Arial" w:eastAsia="Arial" w:hAnsi="Arial"/>
                <w:sz w:val="11"/>
                <w:szCs w:val="11"/>
                <w:b w:val="1"/>
                <w:bCs w:val="1"/>
                <w:color w:val="auto"/>
              </w:rPr>
              <w:t>Medicare</w:t>
            </w:r>
          </w:p>
        </w:tc>
        <w:tc>
          <w:tcPr>
            <w:tcW w:w="940" w:type="dxa"/>
            <w:vAlign w:val="bottom"/>
          </w:tcPr>
          <w:p>
            <w:pPr>
              <w:jc w:val="center"/>
              <w:ind w:right="91"/>
              <w:spacing w:after="0" w:line="122" w:lineRule="exact"/>
              <w:rPr>
                <w:sz w:val="20"/>
                <w:szCs w:val="20"/>
                <w:color w:val="auto"/>
              </w:rPr>
            </w:pPr>
            <w:r>
              <w:rPr>
                <w:rFonts w:ascii="Arial" w:cs="Arial" w:eastAsia="Arial" w:hAnsi="Arial"/>
                <w:sz w:val="11"/>
                <w:szCs w:val="11"/>
                <w:b w:val="1"/>
                <w:bCs w:val="1"/>
                <w:color w:val="auto"/>
                <w:w w:val="81"/>
              </w:rPr>
              <w:t>based</w:t>
            </w:r>
          </w:p>
        </w:tc>
        <w:tc>
          <w:tcPr>
            <w:tcW w:w="1040" w:type="dxa"/>
            <w:vAlign w:val="bottom"/>
          </w:tcPr>
          <w:p>
            <w:pPr>
              <w:jc w:val="center"/>
              <w:ind w:right="31"/>
              <w:spacing w:after="0" w:line="122" w:lineRule="exact"/>
              <w:rPr>
                <w:sz w:val="20"/>
                <w:szCs w:val="20"/>
                <w:color w:val="auto"/>
              </w:rPr>
            </w:pPr>
            <w:r>
              <w:rPr>
                <w:rFonts w:ascii="Arial" w:cs="Arial" w:eastAsia="Arial" w:hAnsi="Arial"/>
                <w:sz w:val="11"/>
                <w:szCs w:val="11"/>
                <w:b w:val="1"/>
                <w:bCs w:val="1"/>
                <w:color w:val="auto"/>
                <w:w w:val="88"/>
              </w:rPr>
              <w:t>commercial</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jc w:val="right"/>
              <w:ind w:right="230"/>
              <w:spacing w:after="0" w:line="122" w:lineRule="exact"/>
              <w:rPr>
                <w:sz w:val="20"/>
                <w:szCs w:val="20"/>
                <w:color w:val="auto"/>
              </w:rPr>
            </w:pPr>
            <w:r>
              <w:rPr>
                <w:rFonts w:ascii="Arial" w:cs="Arial" w:eastAsia="Arial" w:hAnsi="Arial"/>
                <w:sz w:val="11"/>
                <w:szCs w:val="11"/>
                <w:b w:val="1"/>
                <w:bCs w:val="1"/>
                <w:color w:val="auto"/>
              </w:rPr>
              <w:t>Percent</w:t>
            </w:r>
          </w:p>
        </w:tc>
      </w:tr>
      <w:tr>
        <w:trPr>
          <w:trHeight w:val="140"/>
        </w:trPr>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8"/>
              </w:rPr>
              <w:t>Advantage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Advantage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8"/>
              </w:rPr>
              <w:t>alone PDP</w:t>
            </w:r>
          </w:p>
        </w:tc>
        <w:tc>
          <w:tcPr>
            <w:tcW w:w="900" w:type="dxa"/>
            <w:vAlign w:val="bottom"/>
          </w:tcPr>
          <w:p>
            <w:pPr>
              <w:jc w:val="right"/>
              <w:ind w:right="170"/>
              <w:spacing w:after="0"/>
              <w:rPr>
                <w:sz w:val="20"/>
                <w:szCs w:val="20"/>
                <w:color w:val="auto"/>
              </w:rPr>
            </w:pPr>
            <w:r>
              <w:rPr>
                <w:rFonts w:ascii="Arial" w:cs="Arial" w:eastAsia="Arial" w:hAnsi="Arial"/>
                <w:sz w:val="11"/>
                <w:szCs w:val="11"/>
                <w:b w:val="1"/>
                <w:bCs w:val="1"/>
                <w:color w:val="auto"/>
              </w:rPr>
              <w:t>Supplement</w:t>
            </w:r>
          </w:p>
        </w:tc>
        <w:tc>
          <w:tcPr>
            <w:tcW w:w="940" w:type="dxa"/>
            <w:vAlign w:val="bottom"/>
          </w:tcPr>
          <w:p>
            <w:pPr>
              <w:jc w:val="center"/>
              <w:ind w:right="91"/>
              <w:spacing w:after="0"/>
              <w:rPr>
                <w:sz w:val="20"/>
                <w:szCs w:val="20"/>
                <w:color w:val="auto"/>
              </w:rPr>
            </w:pPr>
            <w:r>
              <w:rPr>
                <w:rFonts w:ascii="Arial" w:cs="Arial" w:eastAsia="Arial" w:hAnsi="Arial"/>
                <w:sz w:val="11"/>
                <w:szCs w:val="11"/>
                <w:b w:val="1"/>
                <w:bCs w:val="1"/>
                <w:color w:val="auto"/>
                <w:w w:val="84"/>
              </w:rPr>
              <w:t>contracts</w:t>
            </w:r>
          </w:p>
        </w:tc>
        <w:tc>
          <w:tcPr>
            <w:tcW w:w="1040" w:type="dxa"/>
            <w:vAlign w:val="bottom"/>
          </w:tcPr>
          <w:p>
            <w:pPr>
              <w:jc w:val="center"/>
              <w:ind w:right="31"/>
              <w:spacing w:after="0"/>
              <w:rPr>
                <w:sz w:val="20"/>
                <w:szCs w:val="20"/>
                <w:color w:val="auto"/>
              </w:rPr>
            </w:pPr>
            <w:r>
              <w:rPr>
                <w:rFonts w:ascii="Arial" w:cs="Arial" w:eastAsia="Arial" w:hAnsi="Arial"/>
                <w:sz w:val="11"/>
                <w:szCs w:val="11"/>
                <w:b w:val="1"/>
                <w:bCs w:val="1"/>
                <w:color w:val="auto"/>
                <w:w w:val="90"/>
              </w:rPr>
              <w:t>Group</w:t>
            </w:r>
          </w:p>
        </w:tc>
        <w:tc>
          <w:tcPr>
            <w:tcW w:w="760" w:type="dxa"/>
            <w:vAlign w:val="bottom"/>
          </w:tcPr>
          <w:p>
            <w:pPr>
              <w:jc w:val="right"/>
              <w:ind w:right="249"/>
              <w:spacing w:after="0"/>
              <w:rPr>
                <w:sz w:val="20"/>
                <w:szCs w:val="20"/>
                <w:color w:val="auto"/>
              </w:rPr>
            </w:pPr>
            <w:r>
              <w:rPr>
                <w:rFonts w:ascii="Arial" w:cs="Arial" w:eastAsia="Arial" w:hAnsi="Arial"/>
                <w:sz w:val="11"/>
                <w:szCs w:val="11"/>
                <w:b w:val="1"/>
                <w:bCs w:val="1"/>
                <w:color w:val="auto"/>
              </w:rPr>
              <w:t>ASO</w:t>
            </w:r>
          </w:p>
        </w:tc>
        <w:tc>
          <w:tcPr>
            <w:tcW w:w="1040" w:type="dxa"/>
            <w:vAlign w:val="bottom"/>
          </w:tcPr>
          <w:p>
            <w:pPr>
              <w:jc w:val="right"/>
              <w:ind w:right="109"/>
              <w:spacing w:after="0"/>
              <w:rPr>
                <w:sz w:val="20"/>
                <w:szCs w:val="20"/>
                <w:color w:val="auto"/>
              </w:rPr>
            </w:pPr>
            <w:r>
              <w:rPr>
                <w:rFonts w:ascii="Arial" w:cs="Arial" w:eastAsia="Arial" w:hAnsi="Arial"/>
                <w:sz w:val="11"/>
                <w:szCs w:val="11"/>
                <w:b w:val="1"/>
                <w:bCs w:val="1"/>
                <w:color w:val="auto"/>
                <w:w w:val="98"/>
              </w:rPr>
              <w:t>Military services</w:t>
            </w:r>
          </w:p>
        </w:tc>
        <w:tc>
          <w:tcPr>
            <w:tcW w:w="880" w:type="dxa"/>
            <w:vAlign w:val="bottom"/>
          </w:tcPr>
          <w:p>
            <w:pPr>
              <w:jc w:val="right"/>
              <w:ind w:right="349"/>
              <w:spacing w:after="0"/>
              <w:rPr>
                <w:sz w:val="20"/>
                <w:szCs w:val="20"/>
                <w:color w:val="auto"/>
              </w:rPr>
            </w:pPr>
            <w:r>
              <w:rPr>
                <w:rFonts w:ascii="Arial" w:cs="Arial" w:eastAsia="Arial" w:hAnsi="Arial"/>
                <w:sz w:val="11"/>
                <w:szCs w:val="11"/>
                <w:b w:val="1"/>
                <w:bCs w:val="1"/>
                <w:color w:val="auto"/>
              </w:rPr>
              <w:t>Total</w:t>
            </w:r>
          </w:p>
        </w:tc>
        <w:tc>
          <w:tcPr>
            <w:tcW w:w="860" w:type="dxa"/>
            <w:vAlign w:val="bottom"/>
          </w:tcPr>
          <w:p>
            <w:pPr>
              <w:jc w:val="right"/>
              <w:ind w:right="230"/>
              <w:spacing w:after="0"/>
              <w:rPr>
                <w:sz w:val="20"/>
                <w:szCs w:val="20"/>
                <w:color w:val="auto"/>
              </w:rPr>
            </w:pPr>
            <w:r>
              <w:rPr>
                <w:rFonts w:ascii="Arial" w:cs="Arial" w:eastAsia="Arial" w:hAnsi="Arial"/>
                <w:sz w:val="11"/>
                <w:szCs w:val="11"/>
                <w:b w:val="1"/>
                <w:bCs w:val="1"/>
                <w:color w:val="auto"/>
              </w:rPr>
              <w:t>of Total</w:t>
            </w: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2"/>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701.4</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10.2</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188.6</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16.5</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460.9</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145.4</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36.9</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1,559.9</w:t>
            </w:r>
          </w:p>
        </w:tc>
        <w:tc>
          <w:tcPr>
            <w:tcW w:w="8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285.9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244.5</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292.3</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19.5</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140.8</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31.0</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1,014.0</w:t>
            </w: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98.0</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65.6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201.4</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6.1</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106.6</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135.3</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613.0</w:t>
            </w: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83.9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0.7</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436.7</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20.7</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542.0</w:t>
            </w: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144.4</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113.3</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11.4</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135.6</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71.3</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478.0</w:t>
            </w: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126.2</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25.0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172.0</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7.7</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8.1</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36.8</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76.7</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452.5</w:t>
            </w:r>
          </w:p>
        </w:tc>
        <w:tc>
          <w:tcPr>
            <w:tcW w:w="8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150.3</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23.3</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153.2</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42.8</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33.0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31.4</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434.0</w:t>
            </w:r>
          </w:p>
        </w:tc>
        <w:tc>
          <w:tcPr>
            <w:tcW w:w="8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98.1</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189.0</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12.1</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38.9</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26.0</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368.9</w:t>
            </w: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179.2</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0.4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148.6</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6.5</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334.7</w:t>
            </w: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153.9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4.9</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104.8</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7.0</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38.3</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14.0</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322.9</w:t>
            </w: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167.3</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13.8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55.5</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3.1</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52.7</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19.4</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311.8</w:t>
            </w: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63.5</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5.7</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104.6</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7.0</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65.9</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32.9</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279.6</w:t>
            </w: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113.9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121.9</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10.2</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19.3</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11.8</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284.2</w:t>
            </w: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132.2</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139.5</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9.2</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284.7</w:t>
            </w: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70.9</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18.9</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118.7</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4.7</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215.0</w:t>
            </w: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92.8</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0.4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88.0</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7.4</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21.5</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8.1</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218.2</w:t>
            </w: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56.6</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2.2</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139.4</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5.6</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203.8</w:t>
            </w: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99.4</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0.5</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59.0</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5.9</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164.8</w:t>
            </w: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0"/>
        </w:trPr>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5,984.3</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5,984.3</w:t>
            </w:r>
          </w:p>
        </w:tc>
        <w:tc>
          <w:tcPr>
            <w:tcW w:w="86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76"/>
        </w:trPr>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769.3</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91.5</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1,538.7</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95.0</w:t>
            </w: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72.0</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34.4</w:t>
            </w: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2,600.9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3,587.2</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525.3</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4,365.2</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298.4</w:t>
            </w: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469.0</w:t>
            </w: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908.6</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529.2</w:t>
            </w: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5,984.3</w:t>
            </w: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16,667.2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-3644265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-3292475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-2949575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-2606675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-2263140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-1920240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-1577340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-1234440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-891540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-548005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-205105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460" w:space="720"/>
            <w:col w:w="924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Provider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provide our members with access to health care services through our networks of health care providers whom we employ or with whom we have contracted, including hospitals and other independent facilities such as outpatient surgery centers, primary care providers, specialist physicians, dentists, and providers of ancillary health care services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type w:val="continuous"/>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and facilities. These ancillary services and facilities include laboratories, ambulance services, medical equipment services, home health agencies, mental health providers, rehabilitation facilities, nursing homes, optical services, and pharmacies. Our membership base and the ability to influence where our members seek care generally enable us to obtain contractual discounts with providers.</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use a variety of techniques to provide access to effective and efficient use of health care services for our members. These techniques include the coordination of care for our members, product and benefit designs, hospital inpatient management systems, the use of sophisticated analytics, and enrolling members into various care management programs. The focal point for health care services in many of our HMO networks is the primary care provider who, under contract with us, provides services to our members, and may control utilization of appropriate services by directing or approving hospitalization and referrals to specialists and other providers. Some physicians may have arrangements under which they can earn bonuses when certain target goals relating to the provision of quality patient care are met. We have available care management programs related to complex chronic conditions such as congestive heart failure and coronary artery disease. We also have programs for prenatal and premature infant care, asthma related illness, end stage renal disease, diabetes, cancer, and certain other conditions.</w:t>
      </w:r>
    </w:p>
    <w:p>
      <w:pPr>
        <w:spacing w:after="0" w:line="1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typically contract with hospitals on either (1) a per diem rate, which is an all-inclusive rate per day, (2) a case rate for diagnosis-related groups (DRG), which is an all-inclusive rate per admission, or (3) a discounted charge for inpatient hospital services. Outpatient hospital services generally are contracted at a flat rate by type of service, ambulatory payment classifications, or APCs, or at a discounted charge. APCs are similar to flat rates except multiple services and procedures may be aggregated into one fixed payment. These contracts are often multi-year agreements, with rates that are adjusted for inflation annually based on the consumer price index, other nationally recognized inflation indexes, or specific negotiations with the provider. Outpatient surgery centers and other ancillary providers typically are contracted at flat rates per service provided or are reimbursed based upon a nationally recognized fee schedule such as the Medicare allowable fee schedule.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contracts with physicians typically are renewed automatically each year, unless either party gives written notice, generally ranging from 90 to 120 days, to the other party of its intent to terminate the arrangement. Most of the physicians in our PPO networks and some of our physicians in our HMO networks are reimbursed based upon a fixed fee schedule, which typically provides for reimbursement based upon a percentage of the standard Medicare allowable fee schedule.</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terms of our contracts with hospitals and physicians may also vary between Medicare and commercial business. A significant portion of our Medicare network contracts, including those with both hospitals and physicians, are tied to Medicare reimbursement levels and methodologies.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Capitation</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offer providers a continuum of opportunities to increase the integration of care and offer assistance to providers in transitioning from a fee-for-service to a value-based arrangement. These include performance bonuses, shared savings and shared risk relationships. For some of our medical membership, we share risk with providers under capitation contracts where physicians and hospitals accept varying levels of financial risk for a defined set of membership, primarily HMO membership. Under the typical capitation arrangement, we prepay these providers a monthly fixed-fee per member, known as a capitation (per capita) payment, to cover all or a defined portion of the benefits provided to the capitated member.</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these risk-based models represent a key element of our integrated care delivery model at the core of our strategy. Our health plan subsidiaries may enter into these risk-based contracts with third party providers or our owned provider subsidiaries.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December 31, 2019, approximately 1,289,100 members, or 7.7% of our medical membership, were covered under risk-based contracts, which provide all member benefits, including 1,116,000 individual Medicare Advantage members, or 31.1% of our total individual Medicare Advantage membership.</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jc w:val="both"/>
        <w:ind w:firstLine="324"/>
        <w:spacing w:after="0" w:line="254" w:lineRule="auto"/>
        <w:rPr>
          <w:sz w:val="20"/>
          <w:szCs w:val="20"/>
          <w:color w:val="auto"/>
        </w:rPr>
      </w:pPr>
      <w:r>
        <w:rPr>
          <w:rFonts w:ascii="Arial" w:cs="Arial" w:eastAsia="Arial" w:hAnsi="Arial"/>
          <w:sz w:val="18"/>
          <w:szCs w:val="18"/>
          <w:color w:val="auto"/>
        </w:rPr>
        <w:t>Physicians under capitation arrangements typically have stop loss coverage so that a physician’s financial risk for any single member is limited to a maximum amount on an annual basis. We typically process all claims and monitor the financial performance and solvency of our capitated providers. However, we delegated claim processing functions under capitation arrangements covering approximately 203,800 HMO members, including 196,300 individual Medicare Advantage members, or 17.6% of the 1,116,000 individual Medicare Advantage members covered under risk-based contracts at December 31, 2019, with the provider assuming substantially all the risk of coordinating the members’ health care benefits. Capitation expense under delegated arrangements for which we have a limited view of the underlying claims experience was approximately $1.9 billion, or 3.6% of total benefits expense, for the year ended December 31, 2019. We remain financially responsible for health care services to our members in the event our providers fail to provide such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 Assessment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accreditation assessment program consists of several internal programs, including those that credential providers and those designed to meet the audit standards of federal and state agencies as well as external accreditation standards. We also offer quality and outcome measurement and improvement programs such as the Health Care Effectiveness Data and Information Set, or HEDIS, which is used by employers, government purchasers and the National Committee for Quality Assurance (NCQA) to evaluate health plans based on various criteria, including effectiveness of care and member satisfaction.</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Providers participating in our networks must satisfy specific criteria, including licensing, patient access, office standards, after-hours coverage, and other factors. Most participating hospitals also meet accreditation criteria established by CMS and/or The Joint Commission.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Recredentialing of participating providers occurs every three years, unless otherwise required by state or federal regulations. Recredentialing of participating providers includes verification of their medical licenses, review of their malpractice liability claims histories, review of their board certifications, if applicable, and review of applicable quality information. A committee composed of a peer group of providers reviews the applications of providers being considered for credentialing and recredentialing.</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maintain accreditation for certain of our health plans and/or departments from NCQA, the Accreditation Association for Ambulatory Health Care (AAAHC), and/or URAC. Certain commercial businesses, such as those impacted by a third-party labor agreement or those where a request is made by the employer, may require or prefer accredited health plans.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NCQA reviews our compliance based on standards for quality improvement, population health management, credentialing, utilization management, network management, and member experience. We have achieved and maintained NCQA accreditation in many of our commercial, Medicare and Medicaid HMO/POS and PPO markets and our wellness program, Go365. Humana’s pharmacy organization is accredited by URAC.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various methods to market our products, including television, radio, the Internet, telemarketing, and direct mailings.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December 31, 2019, we employed approximately 1,400 sales representatives, as well as approximately 1,400 telemarketing representatives who assisted in the marketing of Medicare, including Medicare Advantage and PDP, in our Retail segment and specialty products in our Group and Specialty segment, including making appointments for sales representatives with prospective members. We have a marketing arrangement with Wal-Mart Stores, Inc., or Wal-Mart, for our individual Medicare stand-alone PDP offering. We also sell group Medicare Advantage products through large employers. In addition, we market our Medicare and individual specialty products through licensed independent brokers and agents. For our Medicare products, commissions paid to employed sales representatives and independent brokers and agents are based on a per unit commission structure, regulated in structure and amount by CMS. For our individual specialty products, we generally pay brokers a commission based on premiums, with commissions varying by market and premium volume. In addition to a commission based directly on premium volume for sales to particular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customers, we also have programs that pay brokers and agents based on other metrics. These include commission bonuses based on sales that attain certain levels or involve particular products. We also pay additional commissions based on aggregate volumes of sales involving multiple customers.</w:t>
      </w:r>
    </w:p>
    <w:p>
      <w:pPr>
        <w:spacing w:after="0" w:line="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our Group and Specialty segment, individuals may become members of our commercial HMOs and PPOs through their employers or other groups, which typically offer employees or members a selection of health insurance products, pay for all or part of the premiums, and make payroll deductions for any premiums payable by the employees. We attempt to become an employer’s or group’s exclusive source of health insurance benefits by offering a variety of HMO, PPO, and specialty products that provide cost-effective quality health care coverage consistent with the needs and expectations of their employees or members. We use licensed independent brokers, independent agents, digital insurance agencies, and employees to sell our group products. Many of our larger employer group customers are represented by insurance brokers and consultants who assist these groups in the design and purchase of health care products. We pay brokers and agents using the same commission structure described above for our specialty products.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2014, the Patient Protection and Affordability Care Act and The Health Care and Education Reconciliation Act of 2010, which we collectively refer to as the Health Care Reform Law, requires certain group health plans to guarantee issuance and renew coverage without pre-existing condition exclusions or health-status rating adjustments. Accordingly, certain group health plans are not subject to underwriting. Further, underwriting techniques are not employed in connection with our Medicare, military services, or Medicaid products because government regulations require us to accept all eligible applicants regardless of their health or medical history.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health benefits industry is highly competitive. Our competitors vary by local market and include other managed care companies, national insurance companies, and other HMOs and PPOs. Many of our competitors have a larger membership base and/or greater financial resources than our health plans in the markets in which we compete. Our ability to sell our products and to retain customers may be influenced by such factors as those described in Item 1A. – Risk Factors in this 2019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Diverse legislative and regulatory initiatives at both the federal and state levels continue to affect aspects of the nation’s health care system, including the Health Care Reform Law.</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works proactively to ensure compliance with all governmental laws and regulations affecting our business. We are unable to predict how existing federal or state laws and regulations may be changed or interpreted, what additional laws or regulations affecting our businesses may be enacted or proposed, when and which of the proposed laws will be adopted or what effect any such new laws and regulations will have on our results of operations, financial position, or cash flows.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description of certain material current activities in the federal and state legislative areas, see Item 1A. – Risk Factors in this 2019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Captive Insurance Company</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bear general business risks associated with operating our Company such as professional and general liability, employee workers’ compensation, cybersecurity, and officer and director errors and omissions risks. Professional and general liability risks may include, for example, medical malpractice claims and disputes with members regarding benefit coverage. We retain certain of these risks through our wholly-owned, captive insurance subsidiary. We reduce exposure to these risks by insuring levels of coverage for losses in excess of our retained limits with a number of third-party insurance companies. We remain liable in the event these insurance companies are unable to pay their portion of the losses.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b w:val="1"/>
          <w:bCs w:val="1"/>
          <w:i w:val="1"/>
          <w:iCs w:val="1"/>
          <w:color w:val="auto"/>
        </w:rPr>
        <w:t>Centralized Management Services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centralized management services to each of our health plans and to our business segments from our headquarters and service centers. These services include management information systems, product development and administration, finance, human resources, accounting, law, public relations, marketing, insurance, purchasing, risk management, internal audit, actuarial, underwriting, claims processing, billing/enrollment, and customer service. Through intercompany service agreements approved, if required, by state regulatory authorities, Humana Inc., our parent company, charges a management fee for reimbursement of certain centralized services provided to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had approximately 46,000 employees and approximately 1,200 additional medical professionals working under management agreements primarily between us and affiliated physician-owned associations. We believe we have good relations with our employees and have not experienced any work stoppages.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Set forth below are names and ages of all of our current executive officers as of February 1, 2020, their positions, and the date first elected as an officer</w:t>
      </w:r>
      <w:r>
        <w:rPr>
          <w:rFonts w:ascii="Arial" w:cs="Arial" w:eastAsia="Arial" w:hAnsi="Arial"/>
          <w:sz w:val="16"/>
          <w:szCs w:val="16"/>
          <w:b w:val="1"/>
          <w:bCs w:val="1"/>
          <w:color w:val="auto"/>
        </w:rPr>
        <w: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vMerge w:val="restart"/>
          </w:tcPr>
          <w:p>
            <w:pPr>
              <w:spacing w:after="0"/>
              <w:rPr>
                <w:sz w:val="12"/>
                <w:szCs w:val="12"/>
                <w:color w:val="auto"/>
              </w:rPr>
            </w:pPr>
          </w:p>
        </w:tc>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Elected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Bruce D. Broussard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 Director</w:t>
            </w:r>
          </w:p>
        </w:tc>
        <w:tc>
          <w:tcPr>
            <w:tcW w:w="1120" w:type="dxa"/>
            <w:vAlign w:val="bottom"/>
          </w:tcPr>
          <w:p>
            <w:pPr>
              <w:jc w:val="right"/>
              <w:spacing w:after="0"/>
              <w:rPr>
                <w:sz w:val="20"/>
                <w:szCs w:val="20"/>
                <w:color w:val="auto"/>
              </w:rPr>
            </w:pPr>
            <w:r>
              <w:rPr>
                <w:rFonts w:ascii="Arial" w:cs="Arial" w:eastAsia="Arial" w:hAnsi="Arial"/>
                <w:sz w:val="18"/>
                <w:szCs w:val="18"/>
                <w:color w:val="auto"/>
              </w:rPr>
              <w:t>12/11</w:t>
            </w:r>
          </w:p>
        </w:tc>
        <w:tc>
          <w:tcPr>
            <w:tcW w:w="440" w:type="dxa"/>
            <w:vAlign w:val="bottom"/>
          </w:tcPr>
          <w:p>
            <w:pPr>
              <w:ind w:lef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4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Vishal Agrawal, M.D.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Chief Strategy and Corporate Development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12/18</w:t>
            </w:r>
          </w:p>
        </w:tc>
        <w:tc>
          <w:tcPr>
            <w:tcW w:w="440" w:type="dxa"/>
            <w:vAlign w:val="bottom"/>
          </w:tcPr>
          <w:p>
            <w:pPr>
              <w:ind w:lef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4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Heather M. Carroll Cox</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Chief Digital Health and Analytics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08/18</w:t>
            </w:r>
          </w:p>
        </w:tc>
        <w:tc>
          <w:tcPr>
            <w:tcW w:w="440" w:type="dxa"/>
            <w:vAlign w:val="bottom"/>
          </w:tcPr>
          <w:p>
            <w:pPr>
              <w:ind w:lef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4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Sam M. Deshpande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Chief Technology and Risk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07/17</w:t>
            </w:r>
          </w:p>
        </w:tc>
        <w:tc>
          <w:tcPr>
            <w:tcW w:w="440" w:type="dxa"/>
            <w:vAlign w:val="bottom"/>
          </w:tcPr>
          <w:p>
            <w:pPr>
              <w:ind w:lef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4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Susan M. Diamond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Segment President, Home Business</w:t>
            </w:r>
          </w:p>
        </w:tc>
        <w:tc>
          <w:tcPr>
            <w:tcW w:w="1120" w:type="dxa"/>
            <w:vAlign w:val="bottom"/>
          </w:tcPr>
          <w:p>
            <w:pPr>
              <w:jc w:val="right"/>
              <w:spacing w:after="0"/>
              <w:rPr>
                <w:sz w:val="20"/>
                <w:szCs w:val="20"/>
                <w:color w:val="auto"/>
              </w:rPr>
            </w:pPr>
            <w:r>
              <w:rPr>
                <w:rFonts w:ascii="Arial" w:cs="Arial" w:eastAsia="Arial" w:hAnsi="Arial"/>
                <w:sz w:val="18"/>
                <w:szCs w:val="18"/>
                <w:color w:val="auto"/>
              </w:rPr>
              <w:t>07/19</w:t>
            </w:r>
          </w:p>
        </w:tc>
        <w:tc>
          <w:tcPr>
            <w:tcW w:w="440" w:type="dxa"/>
            <w:vAlign w:val="bottom"/>
          </w:tcPr>
          <w:p>
            <w:pPr>
              <w:ind w:lef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5"/>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William K. Fleming, PharmD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Segment President, Clinical and Pharmacy Solutions</w:t>
            </w:r>
          </w:p>
        </w:tc>
        <w:tc>
          <w:tcPr>
            <w:tcW w:w="1120" w:type="dxa"/>
            <w:vAlign w:val="bottom"/>
          </w:tcPr>
          <w:p>
            <w:pPr>
              <w:jc w:val="right"/>
              <w:spacing w:after="0"/>
              <w:rPr>
                <w:sz w:val="20"/>
                <w:szCs w:val="20"/>
                <w:color w:val="auto"/>
              </w:rPr>
            </w:pPr>
            <w:r>
              <w:rPr>
                <w:rFonts w:ascii="Arial" w:cs="Arial" w:eastAsia="Arial" w:hAnsi="Arial"/>
                <w:sz w:val="18"/>
                <w:szCs w:val="18"/>
                <w:color w:val="auto"/>
              </w:rPr>
              <w:t>03/17</w:t>
            </w:r>
          </w:p>
        </w:tc>
        <w:tc>
          <w:tcPr>
            <w:tcW w:w="440" w:type="dxa"/>
            <w:vAlign w:val="bottom"/>
          </w:tcPr>
          <w:p>
            <w:pPr>
              <w:ind w:lef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5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Christopher H. Hunter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Segment President, Group and Military Business</w:t>
            </w:r>
          </w:p>
        </w:tc>
        <w:tc>
          <w:tcPr>
            <w:tcW w:w="1120" w:type="dxa"/>
            <w:vAlign w:val="bottom"/>
          </w:tcPr>
          <w:p>
            <w:pPr>
              <w:jc w:val="right"/>
              <w:spacing w:after="0"/>
              <w:rPr>
                <w:sz w:val="20"/>
                <w:szCs w:val="20"/>
                <w:color w:val="auto"/>
              </w:rPr>
            </w:pPr>
            <w:r>
              <w:rPr>
                <w:rFonts w:ascii="Arial" w:cs="Arial" w:eastAsia="Arial" w:hAnsi="Arial"/>
                <w:sz w:val="18"/>
                <w:szCs w:val="18"/>
                <w:color w:val="auto"/>
              </w:rPr>
              <w:t>01/14</w:t>
            </w:r>
          </w:p>
        </w:tc>
        <w:tc>
          <w:tcPr>
            <w:tcW w:w="440" w:type="dxa"/>
            <w:vAlign w:val="bottom"/>
          </w:tcPr>
          <w:p>
            <w:pPr>
              <w:ind w:lef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Timothy S. Huval</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Chief Administrative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12/12</w:t>
            </w:r>
          </w:p>
        </w:tc>
        <w:tc>
          <w:tcPr>
            <w:tcW w:w="440" w:type="dxa"/>
            <w:vAlign w:val="bottom"/>
          </w:tcPr>
          <w:p>
            <w:pPr>
              <w:ind w:lef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Brian A. Kane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06/14</w:t>
            </w:r>
          </w:p>
        </w:tc>
        <w:tc>
          <w:tcPr>
            <w:tcW w:w="440" w:type="dxa"/>
            <w:vAlign w:val="bottom"/>
          </w:tcPr>
          <w:p>
            <w:pPr>
              <w:ind w:lef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4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William H. Shrank, M.D., MSHS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Chief Medical and Corporate Affairs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04/19</w:t>
            </w:r>
          </w:p>
        </w:tc>
        <w:tc>
          <w:tcPr>
            <w:tcW w:w="440" w:type="dxa"/>
            <w:vAlign w:val="bottom"/>
          </w:tcPr>
          <w:p>
            <w:pPr>
              <w:ind w:left="140"/>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432"/>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Joseph C. Ventura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Chief Legal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02/19</w:t>
            </w:r>
          </w:p>
        </w:tc>
        <w:tc>
          <w:tcPr>
            <w:tcW w:w="440" w:type="dxa"/>
            <w:vAlign w:val="bottom"/>
          </w:tcPr>
          <w:p>
            <w:pPr>
              <w:ind w:left="14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44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 Alan Wheatley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Segment President, Retail</w:t>
            </w:r>
          </w:p>
        </w:tc>
        <w:tc>
          <w:tcPr>
            <w:tcW w:w="1120" w:type="dxa"/>
            <w:vAlign w:val="bottom"/>
          </w:tcPr>
          <w:p>
            <w:pPr>
              <w:jc w:val="right"/>
              <w:spacing w:after="0"/>
              <w:rPr>
                <w:sz w:val="20"/>
                <w:szCs w:val="20"/>
                <w:color w:val="auto"/>
              </w:rPr>
            </w:pPr>
            <w:r>
              <w:rPr>
                <w:rFonts w:ascii="Arial" w:cs="Arial" w:eastAsia="Arial" w:hAnsi="Arial"/>
                <w:sz w:val="18"/>
                <w:szCs w:val="18"/>
                <w:color w:val="auto"/>
              </w:rPr>
              <w:t>03/17</w:t>
            </w:r>
          </w:p>
        </w:tc>
        <w:tc>
          <w:tcPr>
            <w:tcW w:w="440" w:type="dxa"/>
            <w:vAlign w:val="bottom"/>
          </w:tcPr>
          <w:p>
            <w:pPr>
              <w:ind w:left="14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432"/>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Cynthia H. Zipperle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Accounting Officer and Controller</w:t>
            </w:r>
          </w:p>
        </w:tc>
        <w:tc>
          <w:tcPr>
            <w:tcW w:w="1120" w:type="dxa"/>
            <w:vAlign w:val="bottom"/>
          </w:tcPr>
          <w:p>
            <w:pPr>
              <w:jc w:val="right"/>
              <w:spacing w:after="0"/>
              <w:rPr>
                <w:sz w:val="20"/>
                <w:szCs w:val="20"/>
                <w:color w:val="auto"/>
              </w:rPr>
            </w:pPr>
            <w:r>
              <w:rPr>
                <w:rFonts w:ascii="Arial" w:cs="Arial" w:eastAsia="Arial" w:hAnsi="Arial"/>
                <w:sz w:val="18"/>
                <w:szCs w:val="18"/>
                <w:color w:val="auto"/>
              </w:rPr>
              <w:t>12/14</w:t>
            </w:r>
          </w:p>
        </w:tc>
        <w:tc>
          <w:tcPr>
            <w:tcW w:w="440" w:type="dxa"/>
            <w:vAlign w:val="bottom"/>
          </w:tcPr>
          <w:p>
            <w:pPr>
              <w:ind w:left="140"/>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40" w:hanging="316"/>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Broussard currently serves as Director, President and Chief Executive Officer (Principal Executive Officer), having held these positions since January 1, 2013. Mr. Broussard was elected President upon joining the Company in December 2011 and served in that capacity through December 2012. Prior to joining the Company, Mr. Broussard was Chief Executive Officer of McKesson Specialty/US Oncology, Inc. US Oncology was purchased by McKesson in December 2010. At US Oncology, Mr. Broussard served in a number of senior executive roles, including Chief Financial Officer, Chief Executive Officer, and Chairman of the Board.</w:t>
      </w:r>
    </w:p>
    <w:p>
      <w:pPr>
        <w:spacing w:after="0" w:line="134" w:lineRule="exact"/>
        <w:rPr>
          <w:rFonts w:ascii="Arial" w:cs="Arial" w:eastAsia="Arial" w:hAnsi="Arial"/>
          <w:sz w:val="18"/>
          <w:szCs w:val="18"/>
          <w:color w:val="auto"/>
        </w:rPr>
      </w:pPr>
    </w:p>
    <w:p>
      <w:pPr>
        <w:jc w:val="both"/>
        <w:ind w:left="540" w:hanging="316"/>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Agrawal currently serves as Chief Strategy and Corporate Development Officer, having joined the company in December 2018. Prior to joining the company, Dr. Agrawal was Senior Advisor for The Carlyle Group L.P., having held that position from October 2017 to December 2018. Previously, Dr. Agrawal was President and Chief Growth Officer of Ciox Health, the largest health information exchange and release of information services organization in the U.S. from December of 2015 to October 2018. Prior to joining Ciox Health, Dr. Agrawal served as President of Harris Healthcare Solutions from January 2013 to December 2015.</w:t>
      </w:r>
    </w:p>
    <w:p>
      <w:pPr>
        <w:spacing w:after="0" w:line="134" w:lineRule="exact"/>
        <w:rPr>
          <w:rFonts w:ascii="Arial" w:cs="Arial" w:eastAsia="Arial" w:hAnsi="Arial"/>
          <w:sz w:val="18"/>
          <w:szCs w:val="18"/>
          <w:color w:val="auto"/>
        </w:rPr>
      </w:pPr>
    </w:p>
    <w:p>
      <w:pPr>
        <w:jc w:val="both"/>
        <w:ind w:left="540" w:hanging="316"/>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Ms. Cox currently serves as Chief Digital Health and Analytics Officer, having joined the Company in August 2018. Prior to joining the Company, Ms. Cox served as Chief Technology and Digital Officer at USAA, where she led the teams responsible for designing and building personalized and digitally-enabled end-to-end experiences for USAA members. Prior to USAA, Heather was the CEO of Citi FinTech at Citigroup, Inc., helping the company adapt to a future dominated by mobile technology, and she headed Card Operations, reshaping customer and digital experience for Capital One.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6" w:name="page17"/>
    <w:bookmarkEnd w:id="16"/>
    <w:p>
      <w:pPr>
        <w:jc w:val="both"/>
        <w:ind w:left="320" w:hanging="316"/>
        <w:spacing w:after="0" w:line="25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Deshpande currently serves as Chief Technology and Risk Officer, having been elected to this position in August 2019, from his prior role as Chief Risk Officer. Before joining Humana in July 2017, Mr. Deshpande spent 17 years at Capital One in key leadership positions, most recently as Business Chief Risk Officer for the U.S. and international card business. He previously served as the Business Chief Risk Officer and Head of Enterprise Services for the Financial Services Division, responsible for Business Risk, Data Science, Data Quality, Process Excellence and Project Management. He also led marketing and analysis for the Home Loans, Auto Finance, and Credit Card businesses, with responsibilities for business strategy, credit, product and marketing.</w:t>
      </w:r>
    </w:p>
    <w:p>
      <w:pPr>
        <w:spacing w:after="0" w:line="139" w:lineRule="exact"/>
        <w:rPr>
          <w:rFonts w:ascii="Arial" w:cs="Arial" w:eastAsia="Arial" w:hAnsi="Arial"/>
          <w:sz w:val="18"/>
          <w:szCs w:val="18"/>
          <w:color w:val="auto"/>
        </w:rPr>
      </w:pPr>
    </w:p>
    <w:p>
      <w:pPr>
        <w:jc w:val="both"/>
        <w:ind w:left="320" w:hanging="316"/>
        <w:spacing w:after="0" w:line="297"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Susan M. Diamond currently serves as Segment President, Home Business, having been elected to this position in July 2019. Ms. Diamond joined the Company in June 2004 and has spent the majority of her Humana career in various leadership roles in the Medicare business, with a particular passion and emphasis on growth and consumer segmentation strategies for the Company’s Individual Medicare Advantage and Stand Alone Part D offerings. Ms. Diamond also served for two and a half years as the Enterprise Vice President of Finance, where she was responsible for enterprise planning and forecasting, trend analytics and had responsibility for each of the Company’s line of business CFOs and controllers.</w:t>
      </w:r>
    </w:p>
    <w:p>
      <w:pPr>
        <w:spacing w:after="0" w:line="104" w:lineRule="exact"/>
        <w:rPr>
          <w:rFonts w:ascii="Arial" w:cs="Arial" w:eastAsia="Arial" w:hAnsi="Arial"/>
          <w:sz w:val="16"/>
          <w:szCs w:val="16"/>
          <w:color w:val="auto"/>
        </w:rPr>
      </w:pPr>
    </w:p>
    <w:p>
      <w:pPr>
        <w:jc w:val="both"/>
        <w:ind w:left="320" w:hanging="316"/>
        <w:spacing w:after="0" w:line="259"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 Fleming currently serves as Segment President, Clinical and Pharmacy Solutions, where he is responsible for Humana’s Clinical Solutions (strategy, quality, trend, and operations), Pharmacy Solutions (PBM, mail, specialty, retail), and Enterprise Clinical Operating Model, having held this position since December 2019. Prior to that, Dr. Fleming held positions of Segment President, Healthcare Services as well as President of the Company’s pharmacy business. Dr. Fleming joined the Company in 1994.</w:t>
      </w:r>
    </w:p>
    <w:p>
      <w:pPr>
        <w:spacing w:after="0" w:line="132" w:lineRule="exact"/>
        <w:rPr>
          <w:rFonts w:ascii="Arial" w:cs="Arial" w:eastAsia="Arial" w:hAnsi="Arial"/>
          <w:sz w:val="18"/>
          <w:szCs w:val="18"/>
          <w:color w:val="auto"/>
        </w:rPr>
      </w:pPr>
    </w:p>
    <w:p>
      <w:pPr>
        <w:jc w:val="both"/>
        <w:ind w:left="320" w:hanging="316"/>
        <w:spacing w:after="0" w:line="276"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Mr. Hunter currently serves as Segment President, Group and Military Business, having been elected to this position in August 2018 after having previously served as the Company’s Chief Strategy Officer since January 2014. Prior to joining the Company, Mr. Hunter served as President of Provider Markets at The TriZetto Group, Inc. from July 2012 until December 2013, and as Senior Vice President, Emerging Markets at BlueCross BlueShield of Tennessee from 2009 through July 2012. While at BlueCross BlueShield of Tennessee, Mr. Hunter was simultaneously President and Chief Executive Officer of Onlife Health, a national health and wellness subsidiary of BlueCross BlueShield of Tennessee.</w:t>
      </w:r>
    </w:p>
    <w:p>
      <w:pPr>
        <w:spacing w:after="0" w:line="118" w:lineRule="exact"/>
        <w:rPr>
          <w:rFonts w:ascii="Arial" w:cs="Arial" w:eastAsia="Arial" w:hAnsi="Arial"/>
          <w:sz w:val="17"/>
          <w:szCs w:val="17"/>
          <w:color w:val="auto"/>
        </w:rPr>
      </w:pPr>
    </w:p>
    <w:p>
      <w:pPr>
        <w:jc w:val="both"/>
        <w:ind w:left="320" w:hanging="316"/>
        <w:spacing w:after="0" w:line="259"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Huval currently serves as Chief Administrative Officer, having been elected to this position in July 2019, from his previous role as Chief Human Resources Officer. Prior to joining the Company, Mr. Huval spent 10 years at Bank of America in multiple senior-level roles, including Human Resources executive and Chief Information Officer for Global Wealth &amp; Investment Management, as well as Human Resources executive for both Global Treasury Services and Technology &amp; Global Operations.</w:t>
      </w:r>
    </w:p>
    <w:p>
      <w:pPr>
        <w:spacing w:after="0" w:line="132" w:lineRule="exact"/>
        <w:rPr>
          <w:rFonts w:ascii="Arial" w:cs="Arial" w:eastAsia="Arial" w:hAnsi="Arial"/>
          <w:sz w:val="18"/>
          <w:szCs w:val="18"/>
          <w:color w:val="auto"/>
        </w:rPr>
      </w:pPr>
    </w:p>
    <w:p>
      <w:pPr>
        <w:jc w:val="both"/>
        <w:ind w:left="320" w:hanging="316"/>
        <w:spacing w:after="0" w:line="26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Kane currently serves as Chief Financial Officer, having been elected to this position in June 2014. Prior to joining the Company, Mr. Kane spent nearly 17 years at Goldman, Sachs &amp; Co. As a managing director, he was responsible for client relationships as well as for leading strategic and financing transactions for a number of companies in multiple industries.</w:t>
      </w:r>
    </w:p>
    <w:p>
      <w:pPr>
        <w:spacing w:after="0" w:line="127" w:lineRule="exact"/>
        <w:rPr>
          <w:rFonts w:ascii="Arial" w:cs="Arial" w:eastAsia="Arial" w:hAnsi="Arial"/>
          <w:sz w:val="18"/>
          <w:szCs w:val="18"/>
          <w:color w:val="auto"/>
        </w:rPr>
      </w:pPr>
    </w:p>
    <w:p>
      <w:pPr>
        <w:jc w:val="both"/>
        <w:ind w:left="320" w:hanging="316"/>
        <w:spacing w:after="0" w:line="270"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Dr. Shrank currently serves as Chief Medical and Corporate Affairs Officer, having been elected to this position in July 2019, from his previous role as Chief Medical Officer. Before joining Humana in April 2019, Dr. Shrank served as Chief Medical Officer, Insurance Services Division at the University of Pittsburgh Medical Center, from 2016-2019, where he oversaw approximately $9 billion in annual health care expenditures for approximately 3.5 million members in Medicare, Medicaid, behavioral health, Managed Long Term Social Supports and commercial lines of business. He also developed and evaluated population health programs to further advance the medical center’s mission as an integrated delivery and financing system. Prior to that, Dr. Shrank served as Senior Vice President, Chief Scientific Officer, and Chief Medical Officer of Provider Innovation at CVS Health from 2013 to 2016. Prior to joining CVS Health, Dr. Shrank served as Director, Research and Rapid-Cycle Evaluation Group, for the Center for Medicare and Medicaid Innovation, part of CMS from 2011 to 2013, where he led the evaluation of all payment and health system delivery reform programs and developed the rapid-cycle strategy to promote continuous quality improvement. Dr. Shrank began his career as a practicing physician with Brigham and Women’s Hospital in Boston and as an Assistant Professor at Harvard</w:t>
      </w:r>
    </w:p>
    <w:p>
      <w:pPr>
        <w:spacing w:after="0" w:line="34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460" w:top="341" w:right="239" w:bottom="1440" w:gutter="0" w:footer="0" w:header="0"/>
        </w:sectPr>
      </w:pPr>
    </w:p>
    <w:bookmarkStart w:id="17" w:name="page18"/>
    <w:bookmarkEnd w:id="17"/>
    <w:p>
      <w:pPr>
        <w:ind w:left="540"/>
        <w:spacing w:after="0" w:line="277" w:lineRule="auto"/>
        <w:rPr>
          <w:sz w:val="20"/>
          <w:szCs w:val="20"/>
          <w:color w:val="auto"/>
        </w:rPr>
      </w:pPr>
      <w:r>
        <w:rPr>
          <w:rFonts w:ascii="Arial" w:cs="Arial" w:eastAsia="Arial" w:hAnsi="Arial"/>
          <w:sz w:val="18"/>
          <w:szCs w:val="18"/>
          <w:color w:val="auto"/>
        </w:rPr>
        <w:t>Medical School. His research at Harvard focused on improving the quality of prescribing and the use of chronic medications. He has published more than 200 papers on these topics.</w:t>
      </w:r>
    </w:p>
    <w:p>
      <w:pPr>
        <w:spacing w:after="0" w:line="116" w:lineRule="exact"/>
        <w:rPr>
          <w:sz w:val="20"/>
          <w:szCs w:val="20"/>
          <w:color w:val="auto"/>
        </w:rPr>
      </w:pPr>
    </w:p>
    <w:p>
      <w:pPr>
        <w:jc w:val="both"/>
        <w:ind w:left="540" w:hanging="316"/>
        <w:spacing w:after="0" w:line="286"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Mr. Ventura currently serves as Chief Legal Officer. He joined the Company in January 2009 and since then has held various positions of increasing responsibility in the Company's Law Department, including most recently, Senior Vice President, Associate General Counsel &amp; Corporate Secretary from July 2017 until February 2019.</w:t>
      </w:r>
    </w:p>
    <w:p>
      <w:pPr>
        <w:spacing w:after="0" w:line="111" w:lineRule="exact"/>
        <w:rPr>
          <w:rFonts w:ascii="Arial" w:cs="Arial" w:eastAsia="Arial" w:hAnsi="Arial"/>
          <w:sz w:val="17"/>
          <w:szCs w:val="17"/>
          <w:color w:val="auto"/>
        </w:rPr>
      </w:pPr>
    </w:p>
    <w:p>
      <w:pPr>
        <w:jc w:val="both"/>
        <w:ind w:left="540" w:hanging="316"/>
        <w:spacing w:after="0" w:line="286"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Mr. Wheatley currently serves as Segment President, Retail, having held this position since March 2017. During his 25-year career with the Company, Mr. Wheatley has served in a number of key leadership roles, including Vice President of Medicare Service Operations and President of the East Region, one of the Company’s key Medicare geographies.</w:t>
      </w:r>
    </w:p>
    <w:p>
      <w:pPr>
        <w:spacing w:after="0" w:line="111" w:lineRule="exact"/>
        <w:rPr>
          <w:rFonts w:ascii="Arial" w:cs="Arial" w:eastAsia="Arial" w:hAnsi="Arial"/>
          <w:sz w:val="17"/>
          <w:szCs w:val="17"/>
          <w:color w:val="auto"/>
        </w:rPr>
      </w:pPr>
    </w:p>
    <w:p>
      <w:pPr>
        <w:jc w:val="both"/>
        <w:ind w:left="540" w:hanging="316"/>
        <w:spacing w:after="0" w:line="286"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Mrs. Zipperle currently serves as Senior Vice President, Chief Accounting Officer and Controller, having held this position since December 2014. Mrs. Zipperle previously served as the Vice President - Finance from January 2013 until her election to her current role, and as the Assistant Controller from January 1998 until January 2013.</w:t>
      </w:r>
    </w:p>
    <w:p>
      <w:pPr>
        <w:spacing w:after="0" w:line="1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Executive officers are elected annually by our Board of Directors and serve until their successors are elected or until resignation or removal. There are no family relationships among any of our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b w:val="1"/>
          <w:bCs w:val="1"/>
          <w:i w:val="1"/>
          <w:iCs w:val="1"/>
          <w:color w:val="auto"/>
        </w:rPr>
        <w:t>If we do not design and price our products properly and competitively, if the premiums we charge are insufficient to cover the cost of health care services delivered to our members, if we are unable to implement clinical initiatives to provide a better health care experience for our members, lower costs and appropriately document the risk profile of our members, or if our estimates of benefits expense are inadequate, our profitability may be materially adversely affected. We estimate the costs of our benefits expense payments, and design and price our products accordingly, using actuarial methods and assumptions based upon, among other relevant factors, claim payment patterns, medical cost inflation, and historical developments such as claim inventory levels and claim receipt patterns. We continually review these estimates, however these estimates involve extensive judgment, and have considerable inherent variability because they are extremely sensitive to changes in claim payment patterns and medical cost trends. Any reserve, including a premium deficiency reserve, may be insufficient.</w:t>
      </w:r>
    </w:p>
    <w:p>
      <w:pPr>
        <w:spacing w:after="0" w:line="11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use a substantial portion of our revenues to pay the costs of health care services delivered to our members. These costs include claims payments, capitation payments to providers (predetermined amounts paid to cover services), and various other costs incurred to provide health insurance coverage to our members. These costs also include estimates of future payments to hospitals and others for medical care provided to our members. Generally, premiums in the health care business are fixed for one-year periods. Accordingly, costs we incur in excess of our benefit cost projections generally are not recovered in the contract year through higher premiums. We estimate the costs of our future benefit claims and other expenses using actuarial methods and assumptions based upon claim payment patterns, medical inflation, historical developments, including claim inventory levels and claim receipt patterns, and other relevant factors. We also record benefits payable for future payments. We continually review estimates of future payments relating to benefit claims costs for services incurred in the current and prior periods and make necessary adjustments to our reserves, including premium deficiency reserves where appropriate. However, these estimates involve extensive judgment, and have considerable inherent variability that is sensitive to claim payment patterns and medical cost trends. Many factors may and often do cause actual health care costs to exceed what was estimated and used to set our premiums. These factors may include:</w:t>
      </w:r>
    </w:p>
    <w:p>
      <w:pPr>
        <w:spacing w:after="0" w:line="115"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use of medical facilities and services;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 of such services;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use or cost of prescription drugs, including specialty prescription drugs;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or costly treatments, including new technologies;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membership mix;</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variances in actual versus estimated levels of cost associated with new products, benefits or lines of business, product changes or benefit level changes;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demographic characteristics of an account or market;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or reductions of our utilization management functions such as preauthorization of services, concurrent review or requirements for physician referrals;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pharmacy volume rebates received from drug manufacturers;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catastrophes, including acts of terrorism, public health epidemics, or severe weather (e.g. hurricanes and earthquakes);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cost inflation; and</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mandated benefits, member eligibility criteria, or other legislative, judicial, or regulatory changes, including any that result from the Health Care Reform Law.</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Key to our operational strategy is the implementation of clinical initiatives that we believe provide a better health care experience for our members, lower the cost of healthcare services delivered to our members, and appropriately document the risk profile of our members. Our profitability and competitiveness depend in large part on our ability 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appropriately manage health care costs through, among other things, the application of medical management programs such as our chronic care management program.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proactively attempt to effectively manage our operating expenses, increases or decreases in staff-related expenses, any costs associated with exiting products, additional investment in new products (including our opportunities in the Medicare programs, state-based contracts, and expansion of clinical capabilities as part of our integrated care delivery model), investments in health and well-being product offerings, acquisitions, new taxes and assessments (including the non-deductible health insurance industry fee), and implementation of regulatory requirements may increase our operating expenses.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adequately price our products or estimate sufficient benefits payable or effectively manage our operating expenses, may result in a material adverse effect on our results of operations, financial position, and cash flows.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in a highly competitive industry. Some of our competitors are more established in the health care industry in terms of a larger market share and have greater financial resources than we do in some markets. In addition, other companies may enter our markets in the future, including emerging competitors in the Medicare program or competitors in the delivery of health care services. We believe that barriers to entry in our markets are not substantial, so the addition of new competitors can occur relatively easily, and customers enjoy significant flexibility in moving between competitors. Contracts for the sale of commercial products are generally bid upon or renewed annually. While health plans compete on the basis of many factors, including service and the quality and depth of provider networks, we expect that price will continue to be a significant basis of competition. In addition to the challenge of controlling health care costs, we face intense competitive pressure to contain premium prices. Factors such as business consolidations, strategic alliances, legislative reform, and marketing practices create pressure to contain premium price increases, despite being faced with increasing medical costs.</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policies and decisions of the federal and state governments regarding the Medicare, military and Medicaid programs in which we participate have a substantial impact on our profitability. These governmental policies and decisions, which we cannot predict with certainty, directly shape the premiums or other revenues to us under the programs, the eligibility and enrollment of our members, the services we provide to our members, and our administrative, health care services, and other costs associated with these programs. Legislative or regulatory actions, such as changes to the programs in which we participate, those resulting in a reduction in premium payments to us, an increase in our cost of administrative and health care services, or additional fees, taxes or assessments, may have a material adverse effect on our results of operations, financial position, and cash flows.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Premium increases, introduction of new product designs, and our relationships with our providers in various markets, among other issues, could also affect our membership levels. Other actions that could affect membership levels include our possible exit from or entrance into Medicare or commercial markets, or the termination of a large contract.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do not compete effectively in our markets, if we set rates too high or too low in highly competitive markets to keep or increase our market share, if membership does not increase as we expect, if membership declines, or if we lose membership with favorable medical cost experience while retaining or increasing membership with unfavorable medical cost experience, our results of operations, financial position, and cash flows may be materially adversely affected.</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b w:val="1"/>
          <w:bCs w:val="1"/>
          <w:i w:val="1"/>
          <w:iCs w:val="1"/>
          <w:color w:val="auto"/>
        </w:rPr>
        <w:t>If we fail to effectively implement our operational and strategic initiatives, including our Medicare initiatives and our state-based contracts strategy, our business may be materially adversely affected, which is of particular importance given the concentration of our revenues in these products. In addition, there can be no assurances that we will be successful in maintaining or improving our Star ratings in future years.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future performance depends in large part upon our ability to execute our strategy, including opportunities created by the expansion of our Medicare programs, the successful implementation of our integrated care delivery model and our strategy with respect to state-based contracts, including those covering members dually eligible for the Medicare and Medicaid programs.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0" w:name="page21"/>
    <w:bookmarkEnd w:id="20"/>
    <w:p>
      <w:pPr>
        <w:jc w:val="both"/>
        <w:ind w:firstLine="324"/>
        <w:spacing w:after="0" w:line="289" w:lineRule="auto"/>
        <w:rPr>
          <w:sz w:val="20"/>
          <w:szCs w:val="20"/>
          <w:color w:val="auto"/>
        </w:rPr>
      </w:pPr>
      <w:r>
        <w:rPr>
          <w:rFonts w:ascii="Arial" w:cs="Arial" w:eastAsia="Arial" w:hAnsi="Arial"/>
          <w:sz w:val="16"/>
          <w:szCs w:val="16"/>
          <w:color w:val="auto"/>
        </w:rPr>
        <w:t>We have made substantial investments in the Medicare program to enhance our ability to participate in these programs. We have increased the size of our Medicare geographic reach through expanded Medicare product offerings. We offer both stand-alone Medicare prescription drug coverage and Medicare Advantage health plans with prescription drug coverage in addition to our other product offerings. We offer a Medicare prescription drug plan in 50 states as well as Puerto Rico and the District of Columbia. The growth of our Medicare products is an important part of our business strategy. Any failure to achieve this growth may have a material adverse effect on our results of operations, financial position, or cash flows. In addition, the expansion of our Medicare products in relation to our other businesses may intensify the risks to us inherent in Medicare products. There is significant concentration of our revenues in Medicare products, with approximately 82% of our total premiums and services revenue for the year ended December 31, 2019 generated from our Medicare products, including 15% derived from our individual Medicare Advantage contracts with CMS in Florida. These expansion efforts may result in less diversification of our revenue stream and increased risks associated with operating in a highly regulated industry, as discussed further below.</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achievement of Star ratings of 4-Star or higher qualifies Medicare Advantage plans for premium bonuses. Our Medicare Advantage plans' operating results may be significantly affected by their star ratings. Despite our operational efforts to improve our star ratings, there can be no assurances that we will be successful in maintaining or improving our star ratings in future years. In addition, audits of our performance for past or future periods may result in downgrades to our Star ratings. Accordingly, our plans may not be eligible for full level quality bonuses, which could adversely affect the benefits such plans can offer, reduce membership and/or reduce profit margins.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If we fail to properly maintain the integrity of our data, to strategically implement new information systems, or to protect our proprietary rights to our systems, our business may be materially adversely affected.</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business depends significantly on effective information systems and the integrity and timeliness of the data we use to run our business. Our business strategy involves providing members and providers with easy to use products that leverage our information to meet their needs. Our ability to adequately price our products and services, provide effective and efficient service to our customers, and to timely and accurately report our financial results depends significantly on the integrity of the data in our information systems. As a result of our past and on-going acquisition activities, we have acquired additional information systems. We have reduced the number of systems we operate, have upgraded and expanded our information systems capabilities, and are gradually migrating existing business to fewer systems. Our information systems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If the information we rely upon to run our businesses was found to be inaccurate or unreliable or if we fail to maintain effectively our information systems and data integrity, we could have operational disruptions, have problems in determining medical cost estimates and establishing appropriate pricing, have customer and physician and other health care provider disputes, have regulatory or other legal problems, have increases in operating expenses, lose existing customers, have difficulty in attracting new customers, or suffer other adverse consequences.</w:t>
      </w:r>
    </w:p>
    <w:p>
      <w:pPr>
        <w:spacing w:after="0" w:line="1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depend on independent third parties for significant portions of our systems-related support, equipment, facilities, and certain data, including data center operations, data network, voice communication services and pharmacy data processing. This dependence makes our operations vulnerable to such third parties' failure to perform adequately under the contract, due to internal or external factors. A change in service providers could result in a decline in service quality and effectiveness or less favorable contract terms which may adversely affect our operating results.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our agreements with customers, confidentiality agreements with employees, and our trade secrets and copyrights to protect our proprietary rights. These legal protections and precautions may not prevent misappropriation of our proprietary information. In addition, substantial litigation regarding intellectual property rights exists in the software industry, including litigation involving end users of software products. We expect software products to be increasingly subject to third-party infringement claims as the number of products and competitors in this area grows.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There can be no assurance that our information technology, or IT, process will successfully improve existing systems, develop new systems to support our expanding operations, integrate new systems, protect our proprietary information, defend against cybersecurity attacks, or improve service levels. In addition, there can be no assurance that additional systems issues will not arise in the future. Failure to adequately protect and maintain the integrity of our</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information systems and data, or to defend against cybersecurity attacks, may result in a material adverse effect on our results of operations, financial position, and cash flows.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If we are unable to defend our information technology security systems against cybersecurity attacks or prevent other privacy or data security incidents that result in security breaches that disrupt our operations or in the unintended dissemination of sensitive personal information or proprietary or confidential information, we could be exposed to significant regulatory fines or penalties, liability or reputational damage, or experience a material adverse effect on our results of operations, financial position, and cash flows.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ordinary course of our business, we process, store and transmit large amounts of data, including sensitive personal information as well as proprietary or confidential information relating to our business or a third-party. We have been, and will likely continue to be, regular targets of attempted cybersecurity attacks and other security threats and may be subject to breaches of our information technology security systems. Although the impact of such attacks has not been material to our operations or results of operations, financial position, or cash flow through December 31, 2019, we can provide no assurance that we will be able to detect, prevent, or contain the effects of such cybersecurity attacks or other information security risks or threats in the future. A cybersecurity attack may penetrate our layered security controls and misappropriate or compromise sensitive personal information or proprietary or confidential information or that of third-parties, create system disruptions, cause shutdowns, or deploy viruses, worms, and other malicious software programs that attack our systems. A cybersecurity attack that bypasses our IT security systems successfully could materially affect us due to the theft, destruction, loss, misappropriation or release of confidential data or intellectual property, operational or business delays resulting from the disruption of our IT systems, or negative publicity resulting in reputation or brand damage with our members, customers, providers, and other stakeholders. In certain circumstances we may rely on third party vendors to process, store and transmit large amounts of data for our businesses whose operations are subject to similar risks.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costs to eliminate or address cybersecurity threats and vulnerabilities before or after an incident could be substantial. Our remediation efforts may not be successful and could result in interruptions, delays, or cessation of service, and loss of existing or potential members. In addition, breaches of our security measures and the unauthorized dissemination of sensitive personal information or proprietary or confidential information about us or our members or other third-parties, could expose our associates' or members’ private information and result in the risk of financial or medical identity theft, or expose us or other third-parties to a risk of loss or misuse of this information, result in significant regulatory fines or penalties, litigation and potential liability for us, damage our brand and reputation, or otherwise harm our business.</w:t>
      </w:r>
    </w:p>
    <w:p>
      <w:pPr>
        <w:spacing w:after="0" w:line="139" w:lineRule="exact"/>
        <w:rPr>
          <w:sz w:val="20"/>
          <w:szCs w:val="20"/>
          <w:color w:val="auto"/>
        </w:rPr>
      </w:pPr>
    </w:p>
    <w:p>
      <w:pPr>
        <w:jc w:val="both"/>
        <w:ind w:firstLine="324"/>
        <w:spacing w:after="0" w:line="381" w:lineRule="auto"/>
        <w:rPr>
          <w:sz w:val="20"/>
          <w:szCs w:val="20"/>
          <w:color w:val="auto"/>
        </w:rPr>
      </w:pPr>
      <w:r>
        <w:rPr>
          <w:rFonts w:ascii="Arial" w:cs="Arial" w:eastAsia="Arial" w:hAnsi="Arial"/>
          <w:sz w:val="15"/>
          <w:szCs w:val="15"/>
          <w:b w:val="1"/>
          <w:bCs w:val="1"/>
          <w:i w:val="1"/>
          <w:iCs w:val="1"/>
          <w:color w:val="auto"/>
        </w:rPr>
        <w:t>We are involved in various legal actions and governmental and internal investigations, any of which, if resolved unfavorably to us, could result in substantial monetary damages or changes in our business practices. Increased litigation and negative publicity could increase our cost of doing business.</w:t>
      </w:r>
    </w:p>
    <w:p>
      <w:pPr>
        <w:spacing w:after="0" w:line="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or may become a party to a variety of legal actions that affect our business, including breach of contract actions, employment compensation and other labor and employment practice suits, employee benefit claims, stockholder suits and other securities laws claims, intellectual and other property claims, and tort claims.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because of the nature of the health care business, we are subject to a variety of legal actions relating to our business operations, including the design, management, and offering of products and services. These include and could include in the future:</w:t>
      </w:r>
    </w:p>
    <w:p>
      <w:pPr>
        <w:spacing w:after="0" w:line="116"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relating to the methodologies for calculating premiums;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relating to the denial of health care benefit payments;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relating to the denial or rescission of insurance coverage;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to the use of some software products used in administering claims;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relating to our administration of our Medicare Part D offerings;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malpractice actions based on our medical necessity decisions or brought against us on the theory that we are liable for providers' alleged malpractice;</w:t>
      </w:r>
    </w:p>
    <w:p>
      <w:pPr>
        <w:spacing w:after="0" w:line="62"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arising from any adverse medical consequences resulting from our recommendations about the appropriateness of providers’ proposed medical treatment plans for patients;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allegations of anti-competitive and unfair business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provider disputes over compensation or non-acceptance or termination of provider contracts;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disputes related to ASO business, including actions alleging claim administration errors;</w:t>
      </w:r>
    </w:p>
    <w:p>
      <w:pPr>
        <w:spacing w:after="0" w:line="117" w:lineRule="exact"/>
        <w:rPr>
          <w:rFonts w:ascii="Arial" w:cs="Arial" w:eastAsia="Arial" w:hAnsi="Arial"/>
          <w:sz w:val="18"/>
          <w:szCs w:val="18"/>
          <w:color w:val="auto"/>
        </w:rPr>
      </w:pPr>
    </w:p>
    <w:p>
      <w:pPr>
        <w:jc w:val="both"/>
        <w:ind w:left="820" w:right="2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qui tam litigation brought by individuals who seek to sue on behalf of the government, alleging that we, as a government contractor, submitted false claims to the government including, among other allegations, resulting from coding and review practices under the Medicare risk-adjustment model;</w:t>
      </w:r>
    </w:p>
    <w:p>
      <w:pPr>
        <w:spacing w:after="0" w:line="7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related to the failure to disclose some business practices;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relating to customer audits and contract performance;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relating to dispensing of drugs associated with our in-house dispensing pharmacies;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liability claims arising out of the delivery of healthcare and related services to the public.</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some cases, substantial non-economic or punitive damages as well as treble damages under the federal False Claims Act, Racketeer Influenced and Corrupt Organizations Act and other statutes may be sought.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currently have insurance coverage for some of these potential liabilities, other potential liabilities may not be covered by insurance, insurers may dispute coverage, or the amount of our insurance may not be enough to cover the damages awarded. In addition, some types of damages, like punitive damages, may not be covered by insurance. In some jurisdictions, coverage of punitive damages is prohibited. Insurance coverage for all or some forms of liability may become unavailable or prohibitively expensive in the future.</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health benefits industry continues to receive significant negative publicity reflecting the public perception of the industry. This publicity and perception have been accompanied by increased litigation, including some large jury awards, legislative activity, regulation, and governmental review of industry practices. These factors may materially adversely affect our ability to market our products or services, may require us to change our products or services or otherwise change our business practices, may increase the regulatory burdens under which we operate, and may require us to pay large judgments or fines. Any combination of these factors could further increase our cost of doing business and adversely affect our results of operations, financial position, and cash flows.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"Legal Proceedings and Certain Regulatory Matters" in Note 17 to the consolidated financial statements included in Item 8. - Financial Statements and Supplementary Data. We cannot predict the outcome of these matters with certainty.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As a government contractor, we are exposed to risks that may materially adversely affect our business or our willingness or ability to participate in government health care programs.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significant portion of our revenues relates to federal and state government health care coverage programs, including the Medicare, military, and Medicaid programs. These programs accounted for approximately 87% of our total premiums and services revenue for the year ended December 31, 2019. These programs involve various risks, as described further below.</w:t>
      </w:r>
    </w:p>
    <w:p>
      <w:pPr>
        <w:spacing w:after="0" w:line="127" w:lineRule="exact"/>
        <w:rPr>
          <w:sz w:val="20"/>
          <w:szCs w:val="20"/>
          <w:color w:val="auto"/>
        </w:rPr>
      </w:pPr>
    </w:p>
    <w:p>
      <w:pPr>
        <w:jc w:val="both"/>
        <w:ind w:left="820" w:hanging="326"/>
        <w:spacing w:after="0" w:line="279"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December 31, 2019, under our contracts with CMS we provided health insurance coverage to approximately 701,400 individual Medicare Advantage members in Florida. These contracts accounted for approximately 15% of our total premiums and services revenue for the year ended December 31, 2019. The loss of these and other CMS contracts or significant changes in the Medicare program as a result of legislative or regulatory action, including reductions in premium payments to us or increases in member benefits or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ind w:left="326"/>
        <w:spacing w:after="0" w:line="277" w:lineRule="auto"/>
        <w:rPr>
          <w:sz w:val="20"/>
          <w:szCs w:val="20"/>
          <w:color w:val="auto"/>
        </w:rPr>
      </w:pPr>
      <w:r>
        <w:rPr>
          <w:rFonts w:ascii="Arial" w:cs="Arial" w:eastAsia="Arial" w:hAnsi="Arial"/>
          <w:sz w:val="18"/>
          <w:szCs w:val="18"/>
          <w:color w:val="auto"/>
        </w:rPr>
        <w:t>changes to member eligibility criteria without corresponding increases in premium payments to us, may have a material adverse effect on our results of operations, financial position, and cash flows.</w:t>
      </w:r>
    </w:p>
    <w:p>
      <w:pPr>
        <w:spacing w:after="0" w:line="62" w:lineRule="exact"/>
        <w:rPr>
          <w:sz w:val="20"/>
          <w:szCs w:val="20"/>
          <w:color w:val="auto"/>
        </w:rPr>
      </w:pPr>
    </w:p>
    <w:p>
      <w:pPr>
        <w:jc w:val="both"/>
        <w:ind w:left="326" w:hanging="326"/>
        <w:spacing w:after="0" w:line="293" w:lineRule="auto"/>
        <w:tabs>
          <w:tab w:leader="none" w:pos="3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December 31, 2019, our military services business, which accounted for approximately 1% of our total premiums and services revenue for the year ended December 31, 2019, primarily consisted of the TRICARE T2017 East Region contract. The T2017 East Region contract is a consolidation of the former T3 North and South Regions, comprising thirty-two states and approximately 6 million TRICARE beneficiaries, under which delivery of health care services commenced on January 1, 2018. The T2017 East Region contract is a 5 -year contract set to expire on December 31, 2022 and is subject to renewals on January 1 of each year during its term at the government's option. The loss of the TRICARE T2017 East Region contract may have a material adverse effect on our results of operations, financial position, and cash flows.</w:t>
      </w:r>
    </w:p>
    <w:p>
      <w:pPr>
        <w:spacing w:after="0" w:line="56" w:lineRule="exact"/>
        <w:rPr>
          <w:rFonts w:ascii="Arial" w:cs="Arial" w:eastAsia="Arial" w:hAnsi="Arial"/>
          <w:sz w:val="16"/>
          <w:szCs w:val="16"/>
          <w:color w:val="auto"/>
        </w:rPr>
      </w:pPr>
    </w:p>
    <w:p>
      <w:pPr>
        <w:jc w:val="both"/>
        <w:ind w:left="326" w:hanging="326"/>
        <w:spacing w:after="0" w:line="293" w:lineRule="auto"/>
        <w:tabs>
          <w:tab w:leader="none" w:pos="3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is a possibility of temporary or permanent suspension from participating in government health care programs, including Medicare and Medicaid, if we are convicted of fraud or other criminal conduct in the performance of a health care program or if there is an adverse decision against us under the federal False Claims Act. As a government contractor, we may be subject to qui tam litigation brought by individuals who seek to sue on behalf of the government, alleging that the government contractor submitted false claims to the government. Litigation of this nature is filed under seal to allow the government an opportunity to investigate and to decide if it wishes to intervene and assume control of the litigation. If the government does not intervene, the lawsuit is unsealed, and the individual may continue to prosecute the action on his or her own.</w:t>
      </w:r>
    </w:p>
    <w:p>
      <w:pPr>
        <w:spacing w:after="0" w:line="56" w:lineRule="exact"/>
        <w:rPr>
          <w:rFonts w:ascii="Arial" w:cs="Arial" w:eastAsia="Arial" w:hAnsi="Arial"/>
          <w:sz w:val="16"/>
          <w:szCs w:val="16"/>
          <w:color w:val="auto"/>
        </w:rPr>
      </w:pPr>
    </w:p>
    <w:p>
      <w:pPr>
        <w:jc w:val="both"/>
        <w:ind w:left="326" w:hanging="326"/>
        <w:spacing w:after="0" w:line="268" w:lineRule="auto"/>
        <w:tabs>
          <w:tab w:leader="none" w:pos="32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CMS uses a risk-adjustment model which adjusts premiums paid to Medicare Advantage, or MA, plans according to health status of covered members. The risk-adjustment model, which CMS implemented pursuant to the Balanced Budget Act of 1997 (BBA) and the Benefits Improvement and Protection Act of 2000 (BIPA), generally pays more where a plan's membership has higher expected costs. Under this model, rates paid to MA plans are based on actuarially determined bids, which include a process whereby our prospective payments are based on our estimated cost of providing standard Medicare-covered benefits to an enrollee with a "national average risk profile." That baseline payment amount is adjusted to reflect the health status of our enrolled membership. Under the risk-adjustment methodology, all MA plans must collect and submit the necessary diagnosis code information from hospital inpatient, hospital outpatient, and physician providers to CMS within prescribed deadlines. The CMS risk-adjustment model uses the diagnosis data to calculate the risk-adjusted premium payment to MA plans, which CMS adjusts for coding pattern differences between the health plans and the government fee-for-service program. We generally rely on providers, including certain providers in our network who are our employees, to code their claim submissions with appropriate diagnoses, which we send to CMS as the basis for our payment received from CMS under the actuarial risk-adjustment model. We also rely on these providers to document appropriately all medical data, including the diagnosis data submitted with claims. In addition, we conduct medical record reviews as part of our data and payment accuracy compliance efforts, to more accurately reflect diagnosis conditions under the risk adjustment model. These compliance efforts include the internal contract level audits described in more detail below, as well as ordinary course reviews of our internal business processes.</w:t>
      </w:r>
    </w:p>
    <w:p>
      <w:pPr>
        <w:spacing w:after="0" w:line="129" w:lineRule="exact"/>
        <w:rPr>
          <w:rFonts w:ascii="Arial" w:cs="Arial" w:eastAsia="Arial" w:hAnsi="Arial"/>
          <w:sz w:val="17"/>
          <w:szCs w:val="17"/>
          <w:color w:val="auto"/>
        </w:rPr>
      </w:pPr>
    </w:p>
    <w:p>
      <w:pPr>
        <w:jc w:val="both"/>
        <w:ind w:left="326"/>
        <w:spacing w:after="0" w:line="254" w:lineRule="auto"/>
        <w:rPr>
          <w:rFonts w:ascii="Arial" w:cs="Arial" w:eastAsia="Arial" w:hAnsi="Arial"/>
          <w:sz w:val="17"/>
          <w:szCs w:val="17"/>
          <w:color w:val="auto"/>
        </w:rPr>
      </w:pPr>
      <w:r>
        <w:rPr>
          <w:rFonts w:ascii="Arial" w:cs="Arial" w:eastAsia="Arial" w:hAnsi="Arial"/>
          <w:sz w:val="18"/>
          <w:szCs w:val="18"/>
          <w:color w:val="auto"/>
        </w:rPr>
        <w:t>CMS is phasing-in the process of calculating risk scores using diagnoses data from the Risk Adjustment Processing System, or RAPS, to diagnoses data from the Encounter Data System, or EDS. The RAPS process requires MA plans to apply a filter logic based on CMS guidelines and only submit diagnoses that satisfy those guidelines. For submissions through EDS, CMS requires MA plans to submit all the encounter data and CMS will apply the risk adjustment filtering logic to determine the risk scores. For 2019, 25% of the risk score was calculated from claims data submitted through EDS. CMS will increase that percentage to 50% in 2020 and has proposed to increase that percentage to 75% in 2021. The phase-in from RAPS to EDS could result in different risk scores from each dataset as a result of plan processing issues, CMS processing issues, or filtering logic differences between RAPS and EDS, and could have a material adverse effect on our results of operations, financial position, or cash flows.</w:t>
      </w:r>
    </w:p>
    <w:p>
      <w:pPr>
        <w:spacing w:after="0" w:line="192" w:lineRule="exact"/>
        <w:rPr>
          <w:rFonts w:ascii="Arial" w:cs="Arial" w:eastAsia="Arial" w:hAnsi="Arial"/>
          <w:sz w:val="17"/>
          <w:szCs w:val="17"/>
          <w:color w:val="auto"/>
        </w:rPr>
      </w:pPr>
    </w:p>
    <w:p>
      <w:pPr>
        <w:ind w:left="326"/>
        <w:spacing w:after="0" w:line="277" w:lineRule="auto"/>
        <w:rPr>
          <w:rFonts w:ascii="Arial" w:cs="Arial" w:eastAsia="Arial" w:hAnsi="Arial"/>
          <w:sz w:val="17"/>
          <w:szCs w:val="17"/>
          <w:color w:val="auto"/>
        </w:rPr>
      </w:pPr>
      <w:r>
        <w:rPr>
          <w:rFonts w:ascii="Arial" w:cs="Arial" w:eastAsia="Arial" w:hAnsi="Arial"/>
          <w:sz w:val="18"/>
          <w:szCs w:val="18"/>
          <w:color w:val="auto"/>
        </w:rPr>
        <w:t>CMS and the Office of the Inspector General of Health and Human Services, or HHS-OIG, are continuing to perform audits of various companies’ selected MA contracts related to this risk adjustment diagnosis data.</w:t>
      </w:r>
    </w:p>
    <w:p>
      <w:pPr>
        <w:spacing w:after="0" w:line="33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6"/>
          </w:cols>
          <w:pgMar w:left="734" w:top="341" w:right="239" w:bottom="1440" w:gutter="0" w:footer="0" w:header="0"/>
        </w:sectPr>
      </w:pPr>
    </w:p>
    <w:bookmarkStart w:id="24" w:name="page25"/>
    <w:bookmarkEnd w:id="24"/>
    <w:p>
      <w:pPr>
        <w:jc w:val="both"/>
        <w:spacing w:after="0" w:line="308" w:lineRule="auto"/>
        <w:rPr>
          <w:sz w:val="20"/>
          <w:szCs w:val="20"/>
          <w:color w:val="auto"/>
        </w:rPr>
      </w:pPr>
      <w:r>
        <w:rPr>
          <w:rFonts w:ascii="Arial" w:cs="Arial" w:eastAsia="Arial" w:hAnsi="Arial"/>
          <w:sz w:val="17"/>
          <w:szCs w:val="17"/>
          <w:color w:val="auto"/>
        </w:rPr>
        <w:t>We refer to these audits as Risk-Adjustment Data Validation Audits, or RADV audits. RADV audits review medical records in an attempt to validate provider medical record documentation and coding practices which influence the calculation of premium payments to MA plans.</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2012, CMS released a “Notice of Final Payment Error Calculation Methodology for Part C Medicare Advantage Risk Adjustment Data Validation (RADV) Contract-Level Audits.” The payment error calculation methodology provided that, in calculating the economic impact of audit results for an MA contract, if any, the results of the RADV audit sample would be extrapolated to the entire MA contract after a comparison of the audit results to a similar audit of the government’s traditional fee-for-service Medicare program, or Medicare FFS. We refer to the process of accounting for errors in FFS claims as the "FFS Adjuster." This comparison of RADV audit results to the FFS error rate is necessary to determine the economic impact, if any, of RADV audit results because the government used the Medicare FFS program data set, including any attendant errors that are present in that data set, to estimate the costs of various health status conditions and to set the resulting adjustments to MA plans’ payment rates in order to establish actuarial equivalence in payment rates as required under the Medicare statute. CMS already makes other adjustments to payment rates based on a comparison of coding pattern differences between MA plans and Medicare FFS data (such as for frequency of coding for certain diagnoses in MA plan data versus the Medicare FFS program dataset).</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final RADV extrapolation methodology, including the first application of extrapolated audit results to determine audit settlements, is expected to be applied to CMS RADV contract level audits conducted for contract year 2011 and subsequent years. CMS is currently conducting RADV contract level audits for certain of our Medicare Advantage plans.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Estimated audit settlements are recorded as a reduction of premiums revenue in our consolidated statements of income, based upon available information. We perform internal contract level audits based on the RADV audit methodology prescribed by CMS. Included in these internal contract level audits is an audit of our Private Fee-For Service business which we used to represent a proxy of the FFS Adjuster which has not yet been finalized. We based our accrual of estimated audit settlements for each contract year on the results of these internal contract level audits and update our estimates as each audit is completed. Estimates derived from these results were not material to our results of operations, financial position, or cash flows. We report the results of these internal contract level audits to CMS, including identified overpayments, if any.</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26, 2018, CMS issued a proposed rule and accompanying materials (which we refer to as the “Proposed Rule”) related to, among other things, the RADV audit methodology described above. If implemented, the Proposed Rule would use extrapolation in RADV audits applicable to payment year 2011 contract-level audits and all subsequent audits, without the application of a FFS Adjuster to audit findings. We believe that the Proposed Rule fails to address adequately the statutory requirement of actuarial equivalence, and have provided substantive comments to CMS on the Proposed Rule as part of the notice-and-comment rulemaking process. Whether, and to what extent, CMS finalizes the Proposed Rule, and any related regulatory, industry or company reactions, could have a material adverse effect on our results of operations, financial position, or cash flows.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as part of our internal compliance efforts, we routinely perform ordinary course reviews of our internal business processes related to, among other things, our risk coding and data submissions in connection with the risk- adjustment model. These reviews may also result in the identification of errors and the submission of corrections to CMS, that may, either individually or in the aggregate, be material. As such, the result of these reviews may have a material adverse effect on our results of operations, financial position, or cash flows.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CMS' statements and policies regarding the requirement to report and return identified overpayments received by MA plans are inconsistent with CMS' 2012 RADV audit methodology, and the Medicare statute's requirements. These statements and policies, such as certain statements contained in the preamble to CMS’ final rule release regarding Medicare Advantage and Part D prescription drug benefit program regulations for Contract Year 2015 (which we refer to as the "Overpayment Rule"), and the Proposed</w:t>
      </w:r>
    </w:p>
    <w:p>
      <w:pPr>
        <w:spacing w:after="0" w:line="28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00"/>
          </w:cols>
          <w:pgMar w:left="1060" w:top="341" w:right="239" w:bottom="1440" w:gutter="0" w:footer="0" w:header="0"/>
        </w:sectPr>
      </w:pPr>
    </w:p>
    <w:bookmarkStart w:id="25" w:name="page26"/>
    <w:bookmarkEnd w:id="25"/>
    <w:p>
      <w:pPr>
        <w:jc w:val="both"/>
        <w:ind w:left="326"/>
        <w:spacing w:after="0" w:line="257" w:lineRule="auto"/>
        <w:rPr>
          <w:sz w:val="20"/>
          <w:szCs w:val="20"/>
          <w:color w:val="auto"/>
        </w:rPr>
      </w:pPr>
      <w:r>
        <w:rPr>
          <w:rFonts w:ascii="Arial" w:cs="Arial" w:eastAsia="Arial" w:hAnsi="Arial"/>
          <w:sz w:val="18"/>
          <w:szCs w:val="18"/>
          <w:color w:val="auto"/>
        </w:rPr>
        <w:t>Rule, appear to equate each Medicare Advantage risk adjustment data error with an “overpayment” without addressing the principles underlying the FFS Adjuster referenced above. On September 7, 2018, the Federal District Court for the District of Columbia vacated CMS's Overpayment Rule, concluding that it violated the Medicare statute, including the requirement for actuarial equivalence, and that the Overpayment Rule was also arbitrary and capricious in departing from CMS's RADV methodology without adequate explanation (among other reasons). CMS has appealed the decision to the Circuit Court of Appeals.</w:t>
      </w:r>
    </w:p>
    <w:p>
      <w:pPr>
        <w:spacing w:after="0" w:line="80" w:lineRule="exact"/>
        <w:rPr>
          <w:sz w:val="20"/>
          <w:szCs w:val="20"/>
          <w:color w:val="auto"/>
        </w:rPr>
      </w:pPr>
    </w:p>
    <w:p>
      <w:pPr>
        <w:jc w:val="both"/>
        <w:ind w:left="326"/>
        <w:spacing w:after="0" w:line="264" w:lineRule="auto"/>
        <w:rPr>
          <w:sz w:val="20"/>
          <w:szCs w:val="20"/>
          <w:color w:val="auto"/>
        </w:rPr>
      </w:pPr>
      <w:r>
        <w:rPr>
          <w:rFonts w:ascii="Arial" w:cs="Arial" w:eastAsia="Arial" w:hAnsi="Arial"/>
          <w:sz w:val="18"/>
          <w:szCs w:val="18"/>
          <w:color w:val="auto"/>
        </w:rPr>
        <w:t>We will continue to work with CMS to ensure that MA plans are paid accurately and that payment model principles are in accordance with the requirements of the Social Security Act, which, if not implemented correctly could have a material adverse effect on our results of operations, financial position, or cash flows.</w:t>
      </w:r>
    </w:p>
    <w:p>
      <w:pPr>
        <w:spacing w:after="0" w:line="181" w:lineRule="exact"/>
        <w:rPr>
          <w:sz w:val="20"/>
          <w:szCs w:val="20"/>
          <w:color w:val="auto"/>
        </w:rPr>
      </w:pPr>
    </w:p>
    <w:p>
      <w:pPr>
        <w:jc w:val="both"/>
        <w:ind w:left="326" w:hanging="326"/>
        <w:spacing w:after="0" w:line="264" w:lineRule="auto"/>
        <w:tabs>
          <w:tab w:leader="none" w:pos="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CMS contracts which cover members’ prescription drugs under Medicare Part D contain provisions for risk sharing and certain payments for prescription drug costs for which we are not at risk. These provisions, certain of which are described below, affect our ultimate payments from CMS.</w:t>
      </w:r>
    </w:p>
    <w:p>
      <w:pPr>
        <w:spacing w:after="0" w:line="73" w:lineRule="exact"/>
        <w:rPr>
          <w:rFonts w:ascii="Arial" w:cs="Arial" w:eastAsia="Arial" w:hAnsi="Arial"/>
          <w:sz w:val="18"/>
          <w:szCs w:val="18"/>
          <w:color w:val="auto"/>
        </w:rPr>
      </w:pPr>
    </w:p>
    <w:p>
      <w:pPr>
        <w:jc w:val="both"/>
        <w:ind w:left="326"/>
        <w:spacing w:after="0" w:line="272" w:lineRule="auto"/>
        <w:rPr>
          <w:rFonts w:ascii="Arial" w:cs="Arial" w:eastAsia="Arial" w:hAnsi="Arial"/>
          <w:sz w:val="18"/>
          <w:szCs w:val="18"/>
          <w:color w:val="auto"/>
        </w:rPr>
      </w:pPr>
      <w:r>
        <w:rPr>
          <w:rFonts w:ascii="Arial" w:cs="Arial" w:eastAsia="Arial" w:hAnsi="Arial"/>
          <w:sz w:val="17"/>
          <w:szCs w:val="17"/>
          <w:color w:val="auto"/>
        </w:rPr>
        <w:t>The premiums from CMS are subject to risk corridor provisions which compare costs targeted in our annual bids to actual prescription drug costs, limited to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premiums revenue related to the risk corridor payment settlement based upon pharmacy claims experience. The estimate of the settlement associated with these risk corridor provisions requires us to consider factors that may not be certain, including member eligibility differences with CMS. Our estimate of the settlement associated with the Medicare Part D risk corridor provisions was a net payable of $170 million at December 31, 2019 and 2018.</w:t>
      </w:r>
    </w:p>
    <w:p>
      <w:pPr>
        <w:spacing w:after="0" w:line="69" w:lineRule="exact"/>
        <w:rPr>
          <w:rFonts w:ascii="Arial" w:cs="Arial" w:eastAsia="Arial" w:hAnsi="Arial"/>
          <w:sz w:val="18"/>
          <w:szCs w:val="18"/>
          <w:color w:val="auto"/>
        </w:rPr>
      </w:pPr>
    </w:p>
    <w:p>
      <w:pPr>
        <w:jc w:val="both"/>
        <w:ind w:left="326"/>
        <w:spacing w:after="0" w:line="273" w:lineRule="auto"/>
        <w:rPr>
          <w:rFonts w:ascii="Arial" w:cs="Arial" w:eastAsia="Arial" w:hAnsi="Arial"/>
          <w:sz w:val="18"/>
          <w:szCs w:val="18"/>
          <w:color w:val="auto"/>
        </w:rPr>
      </w:pPr>
      <w:r>
        <w:rPr>
          <w:rFonts w:ascii="Arial" w:cs="Arial" w:eastAsia="Arial" w:hAnsi="Arial"/>
          <w:sz w:val="17"/>
          <w:szCs w:val="17"/>
          <w:color w:val="auto"/>
        </w:rPr>
        <w:t>Reinsurance and low-income cost subsidies represent payments from CMS in connection with the Medicare Part D program for which we assume no risk.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is made after the end of the applicable year.</w:t>
      </w:r>
    </w:p>
    <w:p>
      <w:pPr>
        <w:spacing w:after="0" w:line="70" w:lineRule="exact"/>
        <w:rPr>
          <w:rFonts w:ascii="Arial" w:cs="Arial" w:eastAsia="Arial" w:hAnsi="Arial"/>
          <w:sz w:val="18"/>
          <w:szCs w:val="18"/>
          <w:color w:val="auto"/>
        </w:rPr>
      </w:pPr>
    </w:p>
    <w:p>
      <w:pPr>
        <w:jc w:val="both"/>
        <w:ind w:left="326"/>
        <w:spacing w:after="0" w:line="254" w:lineRule="auto"/>
        <w:rPr>
          <w:rFonts w:ascii="Arial" w:cs="Arial" w:eastAsia="Arial" w:hAnsi="Arial"/>
          <w:sz w:val="18"/>
          <w:szCs w:val="18"/>
          <w:color w:val="auto"/>
        </w:rPr>
      </w:pPr>
      <w:r>
        <w:rPr>
          <w:rFonts w:ascii="Arial" w:cs="Arial" w:eastAsia="Arial" w:hAnsi="Arial"/>
          <w:sz w:val="18"/>
          <w:szCs w:val="18"/>
          <w:color w:val="auto"/>
        </w:rPr>
        <w:t>Settlement of the reinsurance and low-income cost subsidies as well as the risk corridor payment is based on a reconciliation made approximately 9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payment which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w:t>
      </w:r>
    </w:p>
    <w:p>
      <w:pPr>
        <w:spacing w:after="0" w:line="84" w:lineRule="exact"/>
        <w:rPr>
          <w:rFonts w:ascii="Arial" w:cs="Arial" w:eastAsia="Arial" w:hAnsi="Arial"/>
          <w:sz w:val="18"/>
          <w:szCs w:val="18"/>
          <w:color w:val="auto"/>
        </w:rPr>
      </w:pPr>
    </w:p>
    <w:p>
      <w:pPr>
        <w:jc w:val="both"/>
        <w:ind w:left="326" w:hanging="326"/>
        <w:spacing w:after="0" w:line="253" w:lineRule="auto"/>
        <w:tabs>
          <w:tab w:leader="none" w:pos="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also subject to various other governmental audits and investigations. Under state laws, our HMOs and health insurance companies are audited by state departments of insurance for financial and contractual compliance. Our HMOs are audited for compliance with health services by state departments of health. Audits and investigations, including audits of risk adjustment data, are also conducted by state attorneys general, CMS, HHS-OIG, the Office of Personnel Management, the Department of Justice, the Department of Labor, and the Defense Contract Audit Agency. All of these activities could result in the loss of licensure or the right to participate in various programs, including a limitation on our ability to market or sell products, the imposition of fines, penalties and other civil and criminal sanctions, or changes in our business practices. The outcome of any current or future governmental or internal investigations cannot be accurately predicted, nor can we predict any resulting penalties, fines or other sanctions that may be imposed at the discretion of federal or state regulatory authorities. Nevertheless, it is reasonably possible that any such outcome of</w:t>
      </w:r>
    </w:p>
    <w:p>
      <w:pPr>
        <w:spacing w:after="0" w:line="359"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6"/>
          </w:cols>
          <w:pgMar w:left="734" w:top="341" w:right="239" w:bottom="1440" w:gutter="0" w:footer="0" w:header="0"/>
        </w:sectPr>
      </w:pPr>
    </w:p>
    <w:bookmarkStart w:id="26" w:name="page27"/>
    <w:bookmarkEnd w:id="26"/>
    <w:p>
      <w:pPr>
        <w:jc w:val="both"/>
        <w:ind w:left="820"/>
        <w:spacing w:after="0" w:line="259" w:lineRule="auto"/>
        <w:rPr>
          <w:sz w:val="20"/>
          <w:szCs w:val="20"/>
          <w:color w:val="auto"/>
        </w:rPr>
      </w:pPr>
      <w:r>
        <w:rPr>
          <w:rFonts w:ascii="Arial" w:cs="Arial" w:eastAsia="Arial" w:hAnsi="Arial"/>
          <w:sz w:val="18"/>
          <w:szCs w:val="18"/>
          <w:color w:val="auto"/>
        </w:rPr>
        <w:t>litigation, penalties, fines or other sanctions could be substantial, and the outcome of these matters may have a material adverse effect on our results of operations, financial position, and cash flows. Certain of these matters could also affect our reputation. In addition, disclosure of any adverse investigation or audit results or sanctions could negatively affect our industry or our reputation in various markets and make it more difficult for us to sell our products and services.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Our business activities are subject to substantial government regulation. New laws or regulations, or legislative, judicial, or regulatory changes in existing laws or regulations or their manner of application could increase our cost of doing business and may have a material adverse effect on our results of operations (including restricting revenue, enrollment and premium growth in certain products and market segments, restricting our ability to expand into new markets, increasing our medical and operating costs by, among other things, requiring a minimum benefit ratio on insured products, lowering our Medicare payment rates and increasing our expenses associated with assessments); our financial position (including our ability to maintain the value of our goodwill); and our cash flows.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Health Care Reform Law and Other Current or Future Legislative, Judicial or Regulatory Changes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Patient Protection and Affordable Care Act and The Health Care and Education Reconciliation Act of 2010 (which we collectively refer to as 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In addition, the Health Care Reform Law established insurance industry assessments, including an annual health insurance industry fee. The annual health insurance industry fee was suspended in 2019, but will resume for calendar year 2020, not be deductible for income tax purposes, and significantly increase our effective tax rate. In 2018, the fee levied on the health insurance industry was $14.3 billion. Under current law, the health industry fee will be permanently repealed beginning in calendar year 2021.</w:t>
      </w:r>
    </w:p>
    <w:p>
      <w:pPr>
        <w:spacing w:after="0" w:line="12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It is reasonably possible that the Health Care Reform Law and related regulations, as well as other current or future legislative, judicial or regulatory changes, including restrictions on our ability to manage our provider network or otherwise operate our business, or restrictions on profitability, including reviews by regulatory bodies that may compare our Medicare Advantage business profitability to our non-Medicare Advantage business profitability, or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or increases in regulation of our prescription drug benefit businesses,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Medicare payment rates and increasing our expenses associated with assessments); our financial position (including our ability to maintain the value of our goodwill); and our cash flows.</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potential legislative changes or judicial determinations, including activities to repeal or replace the Health Care Reform Law or declare all or certain portions of the Health Care Reform Law unconstitutional, creates uncertainty for our business, and we cannot predict when, or in what form, such legislative changes or judicial determinations may occur.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Health Insurance Portability and Accountability Act (HIPAA) and the Health Information Technology for Economic and Clinical Health Act (HITECH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w:t>
      </w:r>
    </w:p>
    <w:p>
      <w:pPr>
        <w:spacing w:after="0" w:line="2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use of individually identifiable health data by our business is regulated at federal and state levels. These laws and rules are changed frequently by legislation or administrative interpretation. Various state laws address the use and maintenance of individually identifiable health data. Most are derived from the privacy provisions in the federal Gramm-Leach-Bliley Act and the Health Insurance Portability and Accountability Act, or HIPAA. HIPAA includes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jc w:val="both"/>
        <w:ind w:right="20"/>
        <w:spacing w:after="0" w:line="264" w:lineRule="auto"/>
        <w:rPr>
          <w:sz w:val="20"/>
          <w:szCs w:val="20"/>
          <w:color w:val="auto"/>
        </w:rPr>
      </w:pPr>
      <w:r>
        <w:rPr>
          <w:rFonts w:ascii="Arial" w:cs="Arial" w:eastAsia="Arial" w:hAnsi="Arial"/>
          <w:sz w:val="18"/>
          <w:szCs w:val="18"/>
          <w:color w:val="auto"/>
        </w:rPr>
        <w:t>administrative provisions directed at simplifying electronic data interchange through standardizing transactions, establishing uniform health care provider, payer, and employer identifiers, and seeking protections for confidentiality and security of patient data. The rules do not provide for complete federal preemption of state laws, but rather preempt all inconsistent state laws unless the state law is more stringent.</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regulations set standards for the security of electronic health information, including requirements that insurers provide customers with notice regarding how their non-public personal information is used, including an opportunity to "opt out" of certain disclosures. Violations of these rules could subject us to significant criminal and civil penalties, including significant monetary penalties. Compliance with HIPAA regulations requires significant systems enhancements, training and administrative effort. HIPAA can also expose us to additional liability for violations by our business associates (e.g., entities that provide services to health plans and providers).</w:t>
      </w:r>
    </w:p>
    <w:p>
      <w:pPr>
        <w:spacing w:after="0" w:line="13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HITECH Act, one part of the American Recovery and Reinvestment Act of 2009, significantly broadened the scope of the privacy and security regulations of HIPAA. Among other requirements, the HITECH Act and HIPAA mandate individual notification in the event of a breach of unsecured, individually identifiable health information, provides enhanced penalties for HIPAA violations, requires business associates to comply with certain provisions of the HIPAA privacy and security rule, and grants enforcement authority to state attorneys general in addition to the HHS Office of Civil Rights.</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there are numerous federal and state laws and regulations addressing patient and consumer privacy concerns, including unauthorized access or theft of personal information. State statutes and regulations vary from state to state and could impose additional penalties. Violations of HIPAA or applicable federal or state laws or regulations could subject us to significant criminal or civil penalties, including significant monetary penalties. Compliance with HIPAA and other privacy regulations requires significant systems enhancements, training and administrative effort.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American Recovery and Reinvestment Act of 2009 (ARRA)</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17, 2009, the American Recovery and Reinvestment Act of 2009, or ARRA, was enacted into law. In addition to including a temporary subsidy for health care continuation coverage issued pursuant to the Consolidated Omnibus Budget Reconciliation Act, or COBRA, ARRA also expands and strengthens the privacy and security provisions of HIPAA and imposes additional limits on the use and disclosure of protected health information, or PHI. Among other things, ARRA requires us and other covered entities to report any unauthorized release or use of or access to PHI to any impacted individuals and to HHS in those instances where the unauthorized activity poses a significant risk of financial, reputational or other harm to the individuals, and to notify the media in any states where 500 or more people are impacted by any unauthorized release or use of or access to PHI. ARRA also requires business associates to comply with certain HIPAA provisions. ARRA also establishes higher civil and criminal penalties for covered entities and business associates who fail to comply with HIPAA’s provisions and requires HHS to issue regulations implementing its privacy and security enhancements.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Corporate Practice of Medicine and Other Laws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a corporate entity, Humana Inc. is not licensed to practice medicine. Many states in which we operate through our subsidiaries limit the practice of medicine to licensed individuals or professional organizations comprised of licensed individuals, and business corporations generally may not exercise control over the medical decisions of physicians. Statutes and regulations relating to the practice of medicine, fee-splitting between physicians and referral sources, and similar issues vary widely from state to state. Under management agreements between certain of our subsidiaries and affiliated physician-owned professional groups, these groups retain sole responsibility for all medical decisions, as well as for hiring and managing physicians and other licensed healthcare providers, developing operating policies and procedures, implementing professional standards and controls, and maintaining malpractice insurance. We believe that our health services operations comply with applicable state statutes regarding corporate practice of medicine, fee-splitting, and similar issues. However, any enforcement actions by governmental officials alleging non-compliance with these statutes, which could subject us to penalties or restructuring or reorganization of our business, may result in a material adverse effect on our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Anti-Kickback, Physician Self-Referral, and Other Fraud and Abuse Laws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federal law commonly referred to as the “Anti-Kickback Statute” prohibits the offer, payment, solicitation, or receipt of any form of remuneration to induce, or in return for, the referral of Medicare or other governmental health program patients or patient care opportunities, or in return for the purchase, lease, or order of items or services that are covered by Medicare or other federal governmental health programs. Because the prohibitions contained in the Anti-Kickback Statute apply to the furnishing of items or services for which payment is made in “whole or in part,” the Anti-Kickback Statute could be implicated if any portion of an item or service we provide is covered by any of the state or federal health benefit programs described above. Violation of these provisions constitutes a felony criminal offense and applicable sanctions could include exclusion from the Medicare and Medicaid programs.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Section 1877 of the Social Security Act, commonly known as the “Stark Law,” prohibits physicians, subject to certain exceptions described below, from referring Medicare or Medicaid patients to an entity providing “designated health services” in which the physician, or an immediate family member, has an ownership or investment interest or with which the physician, or an immediate family member, has entered into a compensation arrangement. These prohibitions, contained in the Omnibus Budget Reconciliation Act of 1993, commonly known as “Stark II,” amended prior federal physician self-referral legislation known as “Stark I” by expanding the list of designated health services to a total of 11 categories of health services. The professional groups with which we are affiliated provide one or more of these designated health services. Persons or entities found to be in violation of the Stark Law are subject to denial of payment for services furnished pursuant to an improper referral, civil monetary penalties, and exclusion from the Medicare and Medicaid programs.</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Many states also have enacted laws similar in scope and purpose to the Anti-Kickback Statute and, in more limited instances, the Stark Law, that are not limited to services for which Medicare or Medicaid payment is made. In addition, most states have statutes, regulations, or professional codes that restrict a physician from accepting various kinds of remuneration in exchange for making referrals. These laws vary from state to state and have seldom been interpreted by the courts or regulatory agencies. In states that have enacted these statutes, we believe that regulatory authorities and state courts interpreting these statutes may regard federal law under the Anti-Kickback Statute and the Stark Law as persuasive.</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our operations comply with the Anti-Kickback Statute, the Stark Law, and similar federal or state laws addressing fraud and abuse. These laws are subject to modification and changes in interpretation, and are enforced by authorities vested with broad discretion. We continually monitor developments in this area. If these laws are interpreted in a manner contrary to our interpretation or are reinterpreted or amended, or if new legislation is enacted with respect to healthcare fraud and abuse, illegal remuneration, or similar issues, we may be required to restructure our affected operations to maintain compliance with applicable law. There can be no assurances that any such restructuring will be possible or, if possible, would not have a material adverse effect on our results of operations, financial position, or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various federal, state, and local laws and regulations relating to the protection of human health and the environment. If an environmental regulatory agency finds any of our facilities to be in violation of environmental laws, penalties and fines may be imposed for each day of violation and the affected facility could be forced to cease operations. We could also incur other significant costs, such as cleanup costs or claims by third parties, as a result of violations of, or liabilities under, environmental laws. Although we believe that our environmental practices, including waste handling and disposal practices, are in material compliance with applicable laws, future claims or violations, or changes in environmental laws, could have a material adverse effect on our results of operations, financial position or cash flows.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State Regulation of Insurance-Related Products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Laws in each of the states (and Puerto Rico) in which we operate our HMOs, PPOs and other health insurance-related services regulate our operations including: capital adequacy and other licensing requirements, policy language describing benefits, mandated benefits and processes, entry, withdrawal or re-entry into a state or market, rate increases, delivery systems, utilization review procedures, quality assurance, complaint systems, enrollment requirements, claim payments, marketing, and advertising. The HMO, PPO, and other health insurance-related products we offer are sold under licenses issued by the applicable insurance regulators.</w:t>
      </w:r>
    </w:p>
    <w:p>
      <w:pPr>
        <w:spacing w:after="0" w:line="13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licensed insurance subsidiaries are also subject to regulation under state insurance holding company and Puerto Rico regulations. These regulations generally require, among other things, prior approval and/or notice of new products, rates, benefit changes, and certain material transactions, including dividend payments, purchases or sales of assets, intercompany agreements, and the filing of various financial and operational reports.</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Any failure by us to manage acquisitions, divestitures and other significant transactions successfully may have a material adverse effect on our results of operations, financial position, and cash flows.</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part of our business strategy, we frequently engage in discussions with third parties regarding possible investments, acquisitions, divestitures, strategic alliances, joint ventures, and outsourcing transactions and often enter into agreements relating to such transactions in order to further our business objectives. In order to pursue our acquisition strategy successfully, we must identify suitable candidates for and successfully complete transactions, some of which may be large and complex, and manage post-closing issues such as the integration of acquired companies or employees. Integration and other risks can be more pronounced for larger and more complicated transactions, transactions outside of our core business space, or if multiple transactions are pursued simultaneously. The failure to successfully integrate acquired entities and businesses or failure to produce results consistent with the financial model used in the analysis of our acquisitions, investments, joint ventures or strategic alliances may cause asset write-offs, restructuring costs or other expenses and may have a material adverse effect on our results of operations, financial position, and cash flows. If we fail to identify and complete successfully transactions that further our strategic objectives, we may be required to expend resources to develop products and technology internally. In addition, from time to time, we evaluate alternatives for our businesses that do not meet our strategic, growth or profitability objectives, and we may divest or wind down such businesses. There can be no assurance that we will be able to complete any such divestiture on terms favorable to us. The divestiture of certain businesses could result, individually or in the aggregate, in the recognition of material losses and a material adverse effect on our results of operations. In addition, divestitures may result in continued financial exposure to the divested businesses following the completion of the transaction. For example, in connection with a disposition, we may enter into transition or administrative service agreements, coinsurance arrangements, vendor relationships or other strategic relationships with the divested business, or we may agree to provide certain indemnities to the purchaser in any such transaction, each of which may result in additional expense and could have a material adverse effect on our result of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fail to develop and maintain satisfactory relationships with the providers of care to our members, our business may be adversely affected.</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employ or contract with physicians, hospitals and other providers to deliver health care to our members. Our products encourage or require our customers to use these contracted providers. A key component of our integrated care delivery strategy is to increase the number of providers who share medical cost risk with us or have financial incentives to deliver quality medical services in a cost-effective manner.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any particular market, providers could refuse to contract with us, demand higher payments, or take other actions that could result in higher health care costs for us, less desirable products for customers and members or difficulty meeting regulatory or accreditation requirements. In some markets, some providers, particularly hospitals, physician specialty groups, physician/hospital organizations, or multi-specialty physician groups, may have significant market positions and negotiating power. In addition, physician or practice management companies, which aggregate physician practices for administrative efficiency and marketing leverage, may compete directly with us. If these providers refuse to contract with us, use their market position to negotiate unfavorable contracts with us or place us at a competitive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disadvantage, or do not enter into contracts with us that encourage the delivery of quality medical services in a cost-effective manner, our ability to market products or to be profitable in those areas may be adversely affected.</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some situations, we have contracts with individual or groups of primary care providers for an actuarially determined, fixed fee per month to provide a basket of required medical services to our members. This type of contract is referred to as a “capitation” contract. The inability of providers to properly manage costs under these capitation arrangements can result in the financial instability of these providers and the termination of their relationship with us. In addition, payment or other disputes between a primary care provider and specialists with whom the primary care provider contracts can result in a disruption in the provision of services to our members or a reduction in the services available to our members. The financial instability or failure of a primary care provider to pay other providers for services rendered could lead those other providers to demand payment from us even though we have made our regular fixed payments to the primary provider. There can be no assurance that providers with whom we contract will properly manage the costs of services, maintain financial solvency or avoid disputes with other providers. Any of these events may have a material adverse effect on the provision of services to our members and our results of operations, financial position, and cash flows.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pharmacy business is highly competitive and subjects us to regulations in addition to those we face with our core health benefits businesses.</w:t>
      </w:r>
    </w:p>
    <w:p>
      <w:pPr>
        <w:spacing w:after="0" w:line="26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in-house dispensing pharmacy business competes with locally owned drugstores, retail drugstore chains, supermarkets, discount retailers, membership clubs, internet companies and other mail-order and long-term care pharmacies. Our pharmacy business also subjects us to extensive federal, state, and local regulation. The practice of pharmacy is generally regulated at the state level by state boards of pharmacy. Many of the states where we deliver pharmaceuticals, including controlled substances, have laws and regulations that require out-of-state mail-order pharmacies to register with that state’s board of pharmacy. Federal agencies further regulate our pharmacy operations, requiring registration with the U.S. Drug Enforcement Administration and individual state controlled substance authorities in order to dispense controlled substances. In addition, the FDA inspects facilities in connection with procedures to effect recalls of prescription drugs. The Federal Trade Commission also has requirements for mail-order sellers of goods. The U.S. Postal Service, or USPS, has statutory authority to restrict the transmission of drugs and medicines through the mail to a degree that may have an adverse effect on our mail-order operations. The USPS historically has exercised this statutory authority only with respect to controlled substances. If the USPS restricts our ability to deliver drugs through the mail, alternative means of delivery are available to us. However, alternative means of delivery could be significantly more expensive. The U.S. Department of Transportation has regulatory authority to impose restrictions on drugs inserted in the stream of commerce. These regulations generally do not apply to the USPS and its operations. In addition, we are subject to CMS rules regarding the administration of our PDP plans and intercompany pricing between our PDP plans and our pharmacy business.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also subject to risks inherent in the packaging and distribution of pharmaceuticals and other health care products, including manufacturing or other supply issues that could impact the availability of such products, and the application of state laws related to the operation of internet and mail-order pharmacies. The failure to adhere to these laws and regulations may expose us to civil and criminal penalties.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the prescription drug industry pricing benchmarks may adversely affect our financial performance.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Contracts in the prescription drug industry generally use certain published benchmarks to establish pricing for prescription drugs. These benchmarks include average wholesale price, which is referred to as “AWP,” average selling price, which is referred to as “ASP,” and wholesale acquisition cost. It is uncertain whether payors, pharmacy providers, pharmacy benefit managers, or PBMs, and others in the prescription drug industry will continue to utilize AWP as it has previously been calculated, or whether other pricing benchmarks will be adopted for establishing prices within the industry. Legislation may lead to changes in the pricing for Medicare and Medicaid programs. Regulators have conducted investigations into the use of AWP for federal program payment, and whether the use of AWP has inflated drug expenditures by the Medicare and Medicaid programs. Federal and state proposals have sought to change the basis for calculating payment of certain drugs by the Medicare and Medicaid programs. Adoption of ASP in lieu of AWP as the measure for determining payment by Medicare or Medicaid programs for the drugs sold in our in-house dispensing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pharmacy business may reduce the revenues and gross margins of this business which may result in a material adverse effect on our results of operations, financial position, and cash flows.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If we do not continue to earn and retain purchase discounts and volume rebates from pharmaceutical manufacturers at current levels, our gross margins may decline.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contractual relationships with pharmaceutical manufacturers or wholesalers that provide us with purchase discounts and volume rebates on certain prescription drugs dispensed through our in-house dispensing and specialty pharmacies. These discounts and volume rebates are generally passed on to clients in the form of steeper price discounts. Changes in existing federal or state laws or regulations or in their interpretation by courts and agencies or the adoption of new laws or regulations relating to patent term extensions, and purchase discount and volume rebate arrangements with pharmaceutical manufacturers, may reduce the discounts or volume rebates we receive and materially adversely impact our results of operations, financial position, and cash flows.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obtain funds from certain of our licensed subsidiaries is restricted by state insurance regulations.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Because we operate as a holding company, we are dependent upon dividends and administrative expense reimbursements from our subsidiaries to fund the obligations of Humana Inc., our parent company. Certain of our insurance subsidiaries operate in states that regulate the payment of dividends, loans, administrative expense reimbursements or other cash transfers to Humana Inc., and require minimum levels of equity as well as limit investments to approved securities. The amount of dividends that may be paid to Humana Inc. by these insurance subsidiaries, without prior approval by state regulatory authorities, or ordinary dividends, is limited based on the entity's level of statutory income and statutory capital and surplus. In most states, prior notification is provided before paying a dividend even if approval is not required. Actual dividends paid may vary due to consideration of excess statutory capital and surplus and expected future surplus requirements related to, for example, premium volume and product mix. Dividends from our non-insurance companies such as in our Healthcare Services segment are generally not restricted by Departments of Insurance. In the event that we are unable to provide sufficient capital to fund the obligations of Humana Inc., our results of operations, financial position, and cash flows may be materially adversely affected.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Downgrades in our debt ratings, should they occur, may adversely affect our business, results of operations, and financial condition.</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paying ability, financial strength, and debt ratings by recognized rating organizations are an increasingly important factor in establishing the competitive position of insurance companies. Ratings information is broadly disseminated and generally used throughout the industry. We believe our claims paying ability and financial strength ratings are an important factor in marketing our products to certain of our customers. In addition, our debt ratings impact both the cost and availability of future borrowings. Each of the rating agencies reviews its ratings periodically and there can be no assurance that current ratings will be maintained in the future. Our ratings reflect each rating agency’s opinion of our financial strength, operating performance, and ability to meet our debt obligations or obligations to policyholders, but are not evaluations directed toward the protection of investors in our common stock and should not be relied upon as such.</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Historically, rating agencies take action to lower ratings due to, among other things, perceived concerns about liquidity or solvency, the competitive environment in the insurance industry, the inherent uncertainty in determining reserves for future claims, the outcome of pending litigation and regulatory investigations, and possible changes in the methodology or criteria applied by the rating agencies. In addition, rating agencies have come under regulatory and public scrutiny over the ratings assigned to various fixed-income products. As a result, rating agencies may (i) become more conservative in their methodology and criteria, (ii) increase the frequency or scope of their credit reviews, (iii) request additional information from the companies that they rate, or (iv) adjust upward the capital and other requirements employed in the rating agency models for maintenance of certain ratings levels.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some of our customers place importance on our credit ratings, and we may lose customers and compete less successfully if our ratings were to be downgraded. In addition, our credit ratings affect our ability to obtain investment capital on favorable terms. If our credit ratings were to be lowered, our cost of borrowing likely would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increase, our sales and earnings could decrease, and our results of operations, financial position, and cash flows may be materially adversely affected.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securities and credit markets may experience volatility and disruption, which may adversely affect our business.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Volatility or disruption in the securities and credit markets could impact our investment portfolio. We evaluate our investment securities for impairment on a quarterly basis. This review is subjective and requires a high degree of judgment. For the purpose of determining gross realized gains and losses, the cost of investment securities sold is based upon specific identification. For debt securities held, we recognize an impairment loss in income when the fair value of the debt security is less than the carrying value and we have the intent to sell the debt security or it is more likely than not that we will be required to sell the debt security before recovery of our amortized cost basis, or if a credit loss has occurred. When we do not intend to sell a security in an unrealized loss position, potential other-than-temporary impairments are considered using variety of factors, including the length of time and extent to which the fair value has been less than cost; adverse conditions specifically related to the industry, geographic area or financial condition of the issuer or underlying collateral of a security; payment structure of the security; changes in credit rating of the security by the rating agencies; the volatility of the fair value changes; and changes in fair value of the security after the balance sheet date. For debt securities, we take into account expectations of relevant market and economic data. We continuously review our investment portfolios and there is a continuing risk that declines in fair value may occur and additional material realized losses from sales or other-than-temporary impairments may be recorded in future periods.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cash balances, investment securities, operating cash flows, and funds available under our credit agreement or from other public or private financing sources, taken together, provide adequate resources to fund ongoing operating and regulatory requirements, acquisitions, future expansion opportunities, and capital expenditures for at least the next twelve months, as well as to refinance or repay debt, and repurchase shares. However, continuing adverse securities and credit market conditions may significantly affect the availability of credit. While there is no assurance in the current economic environment, we have no reason to believe the lenders participating in our credit agreement will not be willing and able to provide financing in accordance with the terms of the agreement.</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access to additional credit will depend on a variety of factors such as market conditions, the general availability of credit, both to the overall market and our industry, our credit ratings and debt capacity, as well as the possibility that customers or lenders could develop a negative perception of our long or short-term financial prospects. Similarly, our access to funds could be limited if regulatory authorities or rating agencies were to take negative actions against us. If a combination of these factors were to occur, we may not be able to successfully obtain additional financing on favorable terms or at 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principal executive office is located in the Humana Building, 500 West Main Street, Louisville, Kentucky 40202. In addition to the headquarters in Louisville, Kentucky, we maintain other principal operating facilities used for customer service, enrollment, and/or claims processing and certain other corporate functions in Louisville, Kentucky; Green Bay, Wisconsin; Tampa, Florida; Cincinnati, Ohio; San Antonio, Texas; and San Juan, Puerto Rico.</w:t>
      </w:r>
    </w:p>
    <w:p>
      <w:pPr>
        <w:spacing w:after="0" w:line="9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owned or leased numerous medical centers and administrative offices at December 31, 2019. The medical centers we operate are primarily located in Florida and Texas, including full-service, multi-specialty medical centers staffed by primary care providers and medical specialists. Of these medical centers, approximately 185 of these facilities are leased or subleased to our contracted providers to operate.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a variety of legal actions in the ordinary course of business, certain of which may be styled as class-action lawsuits. Among other matters, this litigation may include employment matters, claims of medical malpractice, bad faith, nonacceptance or termination of providers, anticompetitive practices, improper rate setting, provider contract rate disputes, qui tam litigation brought by individuals seeking to sue on behalf of the government, failure to disclose network discounts and various other provider arrangements, general contractual matters, intellectual property matters, and challenges to subrogation practices. For a discussion of our material legal actions, including those not in the ordinary course of business, see “Legal Proceedings and Certain Regulatory Matters” in Note 17 to the consolidated financial statements included in Item 8. – Financial Statements and Supplementary Data. We cannot predict the outcome of these suits with certainty.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New York Stock Exchange under the symbol HUM.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Holders of our Capital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2020, there were 2,100 holders of record of our common stock and 229,470 beneficial holders of our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provides details of dividend payments, excluding dividend equivalent rights, in 2018 and 2019, under our Board approved quarterly cash dividend policy:</w:t>
      </w: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Record</w:t>
            </w:r>
          </w:p>
        </w:tc>
        <w:tc>
          <w:tcPr>
            <w:tcW w:w="2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Payment</w:t>
            </w:r>
          </w:p>
        </w:tc>
        <w:tc>
          <w:tcPr>
            <w:tcW w:w="2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92"/>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r>
      <w:tr>
        <w:trPr>
          <w:trHeight w:val="244"/>
        </w:trPr>
        <w:tc>
          <w:tcPr>
            <w:tcW w:w="2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76"/>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2018 payments</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6"/>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12/29/2017</w:t>
            </w:r>
          </w:p>
        </w:tc>
        <w:tc>
          <w:tcPr>
            <w:tcW w:w="1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1/26/2018</w:t>
            </w: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$0.40</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$55</w:t>
            </w:r>
          </w:p>
        </w:tc>
      </w:tr>
      <w:tr>
        <w:trPr>
          <w:trHeight w:val="243"/>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3/30/2018</w:t>
            </w:r>
          </w:p>
        </w:tc>
        <w:tc>
          <w:tcPr>
            <w:tcW w:w="1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4/27/2018</w:t>
            </w: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$0.50</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$69</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6/29/2018</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7/27/2018</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$69</w:t>
            </w:r>
          </w:p>
        </w:tc>
      </w:tr>
      <w:tr>
        <w:trPr>
          <w:trHeight w:val="243"/>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9/28/2018</w:t>
            </w:r>
          </w:p>
        </w:tc>
        <w:tc>
          <w:tcPr>
            <w:tcW w:w="1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10/26/2018</w:t>
            </w: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$0.50</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$69</w:t>
            </w:r>
          </w:p>
        </w:tc>
      </w:tr>
      <w:tr>
        <w:trPr>
          <w:trHeight w:val="291"/>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2019 payments</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6"/>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1/25/2019</w:t>
            </w: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$68</w:t>
            </w:r>
          </w:p>
        </w:tc>
      </w:tr>
      <w:tr>
        <w:trPr>
          <w:trHeight w:val="243"/>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3/29/2019</w:t>
            </w:r>
          </w:p>
        </w:tc>
        <w:tc>
          <w:tcPr>
            <w:tcW w:w="1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4/26/2019</w:t>
            </w: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$0.55</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$74</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6/28/2019</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7/26/2019</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$74</w:t>
            </w:r>
          </w:p>
        </w:tc>
      </w:tr>
      <w:tr>
        <w:trPr>
          <w:trHeight w:val="243"/>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9/30/2019</w:t>
            </w:r>
          </w:p>
        </w:tc>
        <w:tc>
          <w:tcPr>
            <w:tcW w:w="1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10/25/2019</w:t>
            </w: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$0.55</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$73</w:t>
            </w:r>
          </w:p>
        </w:tc>
      </w:tr>
    </w:tbl>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24, 2019, the Board declared a cash dividend of $0.55 per share that was paid on January 31, 2020 to stockholders of record on December 31, 2019, for an aggregate amount of $73 million. Declaration and payment of future quarterly dividends is at the discretion of our Board and may be adjusted as business needs or market conditions change.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February 2020, the Board declared a cash dividend of $0.625 per share payable on April 24, 2020 to stockholders of record on March 31, 2020.</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Stock Total Return Performance</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following graph compares our total return to stockholders with the returns of the Standard &amp; Poor’s Composite 500 Index (“S&amp;P 500”) and the Dow Jones US Select Health Care Providers Index (“Peer Group”) for the five years ended December 31, 2019. The graph assumes an investment of $100 in each of our common stock, the S&amp;P 500, and the Peer Group on December 31, 2014, and that dividends were reinvested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80010</wp:posOffset>
            </wp:positionV>
            <wp:extent cx="4913630" cy="2889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1363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12/31/2019</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HUM</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174</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r>
      <w:tr>
        <w:trPr>
          <w:trHeight w:val="27"/>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following table provides information about purchases by us during the three months ended December 31, 2019 of equity securities that are registered by us pursuant to Section 12 of the Exchange Act: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5"/>
              </w:rPr>
              <w:t>Total Number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ind w:left="361"/>
              <w:spacing w:after="0"/>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44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87"/>
              </w:rPr>
              <w:t>of Shares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94"/>
              </w:rPr>
              <w:t>Price Paid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0"/>
              </w:rPr>
              <w:t>Purchased (1)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92"/>
              </w:rPr>
              <w:t>per Share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 (1)(2)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or Programs (1) (2)</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2019</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81"/>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2019</w:t>
            </w:r>
          </w:p>
        </w:tc>
        <w:tc>
          <w:tcPr>
            <w:tcW w:w="1440" w:type="dxa"/>
            <w:vAlign w:val="bottom"/>
          </w:tcPr>
          <w:p>
            <w:pPr>
              <w:spacing w:after="0"/>
              <w:rPr>
                <w:sz w:val="21"/>
                <w:szCs w:val="21"/>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20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2019</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118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40" w:hanging="316"/>
        <w:spacing w:after="0" w:line="25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31, 2019, we entered into an accelerated stock repurchase agreement, the July 2019 ASR, with Citibank, N.A., or Citi, to repurchase $1 billion of our common stock. On August 2, 2019, we made a payment of $1 billion to Citi and received an initial delivery of 2.7 million shares of our common stock. We recorded the payment to Citi as a reduction to stockholders’ equity, consisting of an $800 million increase in treasury stock, which reflected the value of the initial 2.7 million shares received upon initial settlement, and a $200 million decrease in capital in excess of par value, which reflected the value of stock held back by Citi pending final settlement of the July 2019 ASR. Upon final settlement of the July 2019 ASR on December 26, 2019, we received an additional 0.7 million shares as determined by the average daily volume weighted-averages share price of our common stock during the term of the agreement, less a discount, of $296.19, bringing the total shares received under the July 2019 ASR to 3.4 million. In addition, upon settlement we reclassified the $200 million value of stock initially held back by Citi from capital in excess of par value to treasury stock.</w:t>
      </w:r>
    </w:p>
    <w:p>
      <w:pPr>
        <w:spacing w:after="0" w:line="143"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0.2 million shares repurchased in connection with employee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5"/>
              </w:rPr>
              <w:t>2017 (a)</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2016 (b)</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(dollars in millions, except per common share results)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Operating Results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64,888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56,912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53,767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54,379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54,289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Loss (gain) on Sale of Business</w:t>
            </w:r>
          </w:p>
        </w:tc>
        <w:tc>
          <w:tcPr>
            <w:tcW w:w="2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equity in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of Kindred at Home</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67"/>
        </w:trPr>
        <w:tc>
          <w:tcPr>
            <w:tcW w:w="3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67"/>
        </w:trPr>
        <w:tc>
          <w:tcPr>
            <w:tcW w:w="3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27,178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24,678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5,666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Key Financial Indicators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Benefit ratio</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cost ratio</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Membership</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medical membership</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16,667,200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16,576,700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14,003,100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14,230,200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14,222,800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Total specialty membership</w:t>
            </w: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5,425,900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6,072,300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6,986,000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6,961,200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7,221,800</w:t>
            </w: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460" w:hanging="330"/>
        <w:spacing w:after="0" w:line="247"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in operating expenses is $936 million (or $4.31 per diluted common stock) associated with the merger termination fee and related costs, net. Under the terms of the Agreement and Plan of Merger with Aetna Inc., and certain wholly owned subsidiaries of Aetna Inc., which we collectively refer to as Aetna, we received a breakup fee of $1 billion from Aetna included in this amount.</w:t>
      </w:r>
    </w:p>
    <w:p>
      <w:pPr>
        <w:spacing w:after="0" w:line="1" w:lineRule="exact"/>
        <w:rPr>
          <w:rFonts w:ascii="Arial" w:cs="Arial" w:eastAsia="Arial" w:hAnsi="Arial"/>
          <w:sz w:val="14"/>
          <w:szCs w:val="14"/>
          <w:color w:val="auto"/>
        </w:rPr>
      </w:pPr>
    </w:p>
    <w:p>
      <w:pPr>
        <w:jc w:val="both"/>
        <w:ind w:left="460" w:hanging="330"/>
        <w:spacing w:after="0" w:line="248"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reduction in premiums revenue of $583 million ($367 million after tax, or $2.43 per diluted common share) associated with the write-off of commercial risk corridor receivables. Also includes benefits expense of $505 million ($318 million after tax, or $2.11 per diluted common share) for reserve strengthening associated with our non-strategic closed block of long-term care insurance policies, which were sold in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For discussion of 2017 items and year-over-year comparisons between 2018 and 2017 that are not included in this 2019 Form 10-K, refer to "Item 7. – Management Discussion and Analysis of Financial Condition and Results of Operations" found in our Form 10-K for the year ended December 31, 2018, that was filed with the Securities and Exchange Commission on February 21,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Humana Inc., headquartered in Louisville, Kentucky, is a leading health and well-being company committed to helping our millions of medical and specialty members achieve their best health. Our successful history in care delivery and health plan administration is helping us create a new kind of integrated care with the power to improve health and well</w:t>
      </w:r>
      <w:r>
        <w:rPr>
          <w:rFonts w:ascii="MS PGothic" w:cs="MS PGothic" w:eastAsia="MS PGothic" w:hAnsi="MS PGothic"/>
          <w:sz w:val="18"/>
          <w:szCs w:val="18"/>
          <w:color w:val="auto"/>
        </w:rPr>
        <w:t>‐</w:t>
      </w:r>
      <w:r>
        <w:rPr>
          <w:rFonts w:ascii="Arial" w:cs="Arial" w:eastAsia="Arial" w:hAnsi="Arial"/>
          <w:sz w:val="18"/>
          <w:szCs w:val="18"/>
          <w:color w:val="auto"/>
        </w:rPr>
        <w:t>being and lower costs. Our efforts are leading to a better quality of life for people with Medicare, families, individuals, military service personnel, and communities at large. To accomplish that, we support physicians and other health care professionals as they work to deliver the right care in the right place for their patients, our members. Our range of clinical capabilities, resources and tools, such as in</w:t>
      </w:r>
      <w:r>
        <w:rPr>
          <w:rFonts w:ascii="MS PGothic" w:cs="MS PGothic" w:eastAsia="MS PGothic" w:hAnsi="MS PGothic"/>
          <w:sz w:val="18"/>
          <w:szCs w:val="18"/>
          <w:color w:val="auto"/>
        </w:rPr>
        <w:t>‐</w:t>
      </w:r>
      <w:r>
        <w:rPr>
          <w:rFonts w:ascii="Arial" w:cs="Arial" w:eastAsia="Arial" w:hAnsi="Arial"/>
          <w:sz w:val="18"/>
          <w:szCs w:val="18"/>
          <w:color w:val="auto"/>
        </w:rPr>
        <w:t>home care, behavioral health, pharmacy services, data analytics and wellness solutions, combine to produce a simplified experience that makes health care easier to navigate and more effective.</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industry relies on two key statistics to measure performance. The benefit ratio, which is computed by taking total benefits expense as a percentage of premiums revenue, represents a statistic used to measure underwriting profitability. The operating cost ratio, which is computed by taking total operating costs, excluding Merger termination fee and related costs, net, and depreciation and amortization, as a percentage of total revenue less investment income, represents a statistic used to measure administrative spending efficiency.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We manage our business with three </w:t>
      </w:r>
      <w:r>
        <w:rPr>
          <w:rFonts w:ascii="Arial" w:cs="Arial" w:eastAsia="Arial" w:hAnsi="Arial"/>
          <w:sz w:val="19"/>
          <w:szCs w:val="19"/>
          <w:color w:val="auto"/>
        </w:rPr>
        <w:t>reportable segments: Retail, Group and Specialty, and Healthcare Services. Beginning January 1,</w:t>
      </w:r>
      <w:r>
        <w:rPr>
          <w:rFonts w:ascii="Arial" w:cs="Arial" w:eastAsia="Arial" w:hAnsi="Arial"/>
          <w:sz w:val="16"/>
          <w:szCs w:val="16"/>
          <w:color w:val="auto"/>
        </w:rPr>
        <w:t xml:space="preserve"> </w:t>
      </w:r>
      <w:r>
        <w:rPr>
          <w:rFonts w:ascii="Arial" w:cs="Arial" w:eastAsia="Arial" w:hAnsi="Arial"/>
          <w:sz w:val="19"/>
          <w:szCs w:val="19"/>
          <w:color w:val="auto"/>
        </w:rPr>
        <w:t xml:space="preserve">2018, we exited the individual commercial fully-insured medical health insurance business, as well as certain other business in 2018, and therefore no longer report separately the Individual Commercial segment and the Other Businesses category in the current year. Previously, the Other Businesses category included businesses that were not individually reportable because they did not meet the quantitative thresholds required by generally accepted accounting principles, primarily our closed-block of commercial long-term care insurance policies which were sold in 2018.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 </w:t>
      </w:r>
      <w:r>
        <w:rPr>
          <w:rFonts w:ascii="Arial" w:cs="Arial" w:eastAsia="Arial" w:hAnsi="Arial"/>
          <w:sz w:val="16"/>
          <w:szCs w:val="16"/>
          <w:color w:val="auto"/>
        </w:rPr>
        <w:t>See Note 18 to the consolidated financial statements included in Item 8. - Financial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for segment financial information.</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dual eligible,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 benefits, as well as administrative services only, or ASO products. In addition, our Group and Specialty segment includes our military services business, primarily our TRICARE T2017 East Region contract. The Healthcare Services segment includes our services offered to our health plan members as well as to third parties, including pharmacy solutions, provider services, and clinical care service, such as home health and other services and capabilities to promote wellness and advance population health, including our minority investment in Kindred at Home.</w:t>
      </w:r>
    </w:p>
    <w:p>
      <w:pPr>
        <w:spacing w:after="0" w:line="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each segment are measured by income before income taxes and equity in net earnings from Kindred at Home, or segment earnings. Transactions between reportable segments primarily consist of sales of services rendered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color w:val="auto"/>
        </w:rPr>
        <w:t>by our Healthcare Services segment, primarily pharmacy, provider, and clinical care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One of the product offerings of our Retail segment is Medicare stand-alone prescription drug plans, or PDPs, under the Medicare Part D program. Our quarterly Retail segment earnings and operating cash flows are impacted by the Medicare Part D benefit design and changes in the composition of our membership. The Medicare Part D benefit design results in coverage that varies as a member’s cumulative out-of-pocket costs pass through successive stages of a member’s plan period, which begins annually on January 1 for renewals. These plan designs generally result in us sharing a greater portion of the responsibility for total prescription drug costs in the early stages and less in the latter stages. As a result, the PDP benefit ratio generally decreases as the year progresses. In addition, the number of low income senior members as well as year-over-year changes in the mix of membership in our stand-alone PDP products affects the quarterly benefit ratio pattern.</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the Retail segment also experiences seasonality in the operating cost ratio as a result of costs incurred in the second half of the year associated with the Medicare marketing season.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Group and Specialty segment also experiences seasonality in the benefit ratio pattern. However, the effect is opposite of Medicare stand-alone PDP in the Retail segment, with the Group and Specialty segment’s benefit ratio increasing as fully-insured members progress through their annual deductible and maximum out-of-pocket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Aetna Merger</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February 16, 2017, under the terms of the Agreement and Plan of Merger, or Merger Agreement, with Aetna Inc., and certain wholly owned subsidiaries of Aetna Inc., which we collectively refer to as Aetna, we received a breakup fee of $1 billion from Aetna, which is included in our consolidated statement of income in the line captioned "Merger termination fee and related costs, net."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2020, we acquired privately held Enclara Healthcare, or Enclara, one of the nation’s largest hospice pharmacy and benefit management providers for cash consideration of approximately $707 million, net of cash received. The purchase accounting is incomplete due to the timing of the availability of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Also in the first quarter of 2020, our Partners in Primary Care wholly-owned subsidiary entered into a strategic partnership with Welsh, Carson, Anderson</w:t>
      </w:r>
    </w:p>
    <w:p>
      <w:pPr>
        <w:spacing w:after="0" w:line="46" w:lineRule="exact"/>
        <w:rPr>
          <w:sz w:val="20"/>
          <w:szCs w:val="20"/>
          <w:color w:val="auto"/>
        </w:rPr>
      </w:pPr>
    </w:p>
    <w:p>
      <w:pPr>
        <w:jc w:val="both"/>
        <w:ind w:firstLine="8"/>
        <w:spacing w:after="0" w:line="273" w:lineRule="auto"/>
        <w:tabs>
          <w:tab w:leader="none" w:pos="199"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Stowe, or WCAS, to accelerate the expansion of our primary care model. The WCAS partnership is expected to open approximately 50 payor-agnostic, senior-focused primary care centers over 3 years beginning in 2020. Partners in Primary Care committed to the acquisition of a non-controlling interest in the approximately $600 million entity. In addition, the agreement includes a series of put and call options through which WCAS may require us to purchase their interest in the entity and, through which we may acquire WCAS’s interest over the next 5 - 10 years.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third quarter of 2018, we completed the sale of our wholly-owned subsidiary KMG America Corporation, or KMG, to Continental General Insurance Company, or CGIC, a Texas-based insurance company wholly owned by HC2 Holdings, Inc., a diversified holding company. KMG's subsidiary, Kanawha Insurance Company, or KIC, included our closed block of non-strategic commercial long-term care policies. Upon closing, we funded the transaction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approximately $190 million of parent company cash contributed into KMG, subject to customary adjustments, in addition to the transfer of approximately $160 million of statutory capital with the sale.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in the third quarter of 2018, we, along with TPG Capital, or TPG, and WCAS (together, the "Sponsors"), completed the acquisitions of Kindred and Curo, respectively, merging Curo with the hospice business of Kindred at Home. As part of these transactions, we acquired a 40% minority interest in Kindred at Home, a leading home health and hospice company, for total cash consideration of approximately $1.1 billion.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second quarter of 2018, we acquired Family Physicians Group, or FPG, for cash consideration of approximately $185 million, net of cash received. FPG is one of the largest at-risk providers serving Medicare Advantage and Managed Medicaid HMO patients in Greater Orlando, Florida with a footprint that includes clinics located in Lake, Orange, Osceola and Seminole counties. The acquisition of FPG advances our strategy of helping physicians and clinicians evolve from treating health episodically to managing health holistically.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2018, we acquired the remaining equity interest in MCCI Holdings, LLC, or MCCI, a privately held management service organization headquartered in Miami, Florida, which primarily coordinates medical care for Medicare Advantage beneficiaries in Florida and Texas. The purchase price consisted primarily of $169 million cash, as well as our existing investment in MCCI and a note receivable and a revolving note with an aggregate balance of $383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transactions are more fully discussed in Note 3 and Note 4 to the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Highlights</w:t>
      </w:r>
    </w:p>
    <w:p>
      <w:pPr>
        <w:spacing w:after="0" w:line="171" w:lineRule="exact"/>
        <w:rPr>
          <w:sz w:val="20"/>
          <w:szCs w:val="20"/>
          <w:color w:val="auto"/>
        </w:rPr>
      </w:pPr>
    </w:p>
    <w:p>
      <w:pPr>
        <w:jc w:val="both"/>
        <w:ind w:left="640" w:hanging="321"/>
        <w:spacing w:after="0" w:line="26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2019 results reflect the continued implementation of our strategy to offer our members affordable health care combined with a positive consumer experience in growing markets. At the core of this strategy is our integrated care delivery model, which unites quality care, high member engagement, and sophisticated data analytics. Our approach to primary, physician-directed care for our members aims to provide quality care that is consistent, integrated, cost-effective, and member-focused, provided by both employed physicians and physicians with network contract arrangements. The model is designed to improve health outcomes and affordability for individuals and for the health system as a whole, while offering our members a simple, seamless healthcare experience. We believe this strategy is positioning us for long-term growth in both membership and earnings. We offer providers a continuum of opportunities to increase the integration of care and offer assistance to providers in transitioning from a fee-for-service to a value-based arrangement. These include performance bonuses, shared savings and shared risk relationships. At December 31, 2019, approximately 2,407,000 members, or 67%, of our individual Medicare Advantage members were in value-based relationships under our integrated care delivery model, as compared to 2,039,100 members, or 67%, at December 31, 2018. Medicare Advantage and dual demonstration program membership enrolled in a Humana chronic care management program was 868,800 at December 31, 2019, an increase of 21.3% from 716,000 at December 31, 2018. These members may not be unique to each program since members have the ability to enroll in multiple programs. The increase is driven by our improved process for identifying and enrolling members in the appropriate program at the right time, coupled with growth in Special Needs Plans, or SNP, membership.</w:t>
      </w:r>
    </w:p>
    <w:p>
      <w:pPr>
        <w:spacing w:after="0" w:line="13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On February 5, 2020, after the stock market closed, the Centers for Medicare and Medicaid Services (“CMS”) issued Part II of the 2021 Advance Notice of Methodological Changes for Medicare Advantage Capitation Rates and Part C and Part D Payment Policies (the “Advance Notice”). CMS has invited public comment on the Advance Notice before publishing final rates on April 6, 2020 (the “Final Notice”)</w:t>
      </w:r>
      <w:r>
        <w:rPr>
          <w:rFonts w:ascii="Arial" w:cs="Arial" w:eastAsia="Arial" w:hAnsi="Arial"/>
          <w:sz w:val="17"/>
          <w:szCs w:val="17"/>
          <w:color w:val="1F497D"/>
        </w:rPr>
        <w:t>.</w:t>
      </w:r>
    </w:p>
    <w:p>
      <w:pPr>
        <w:spacing w:after="0" w:line="111"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In the Advance Notice, CMS estimates Medicare Advantage plans across the sector will, on average, experience a 0.93 percent increase in benchmark funding based on proposals included therein. As indicated by CMS, its estimate excludes the impact of fee-for-service county rebasing/repricing because the related impact is dependent upon finalization of certain data, which will be available with the publication of the Final Notice. Based on our preliminary analysis using the same factors CMS included in its estimate, the components of</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jc w:val="both"/>
        <w:ind w:left="341"/>
        <w:spacing w:after="0" w:line="277" w:lineRule="auto"/>
        <w:rPr>
          <w:sz w:val="20"/>
          <w:szCs w:val="20"/>
          <w:color w:val="auto"/>
        </w:rPr>
      </w:pPr>
      <w:r>
        <w:rPr>
          <w:rFonts w:ascii="Arial" w:cs="Arial" w:eastAsia="Arial" w:hAnsi="Arial"/>
          <w:sz w:val="18"/>
          <w:szCs w:val="18"/>
          <w:color w:val="auto"/>
        </w:rPr>
        <w:t>which are detailed on CMS’ website, we anticipate that the proposals in the Advance Notice would result in a change to our benchmark funding relatively in line with CMS’ estimate.</w:t>
      </w:r>
    </w:p>
    <w:p>
      <w:pPr>
        <w:spacing w:after="0" w:line="116" w:lineRule="exact"/>
        <w:rPr>
          <w:sz w:val="20"/>
          <w:szCs w:val="20"/>
          <w:color w:val="auto"/>
        </w:rPr>
      </w:pPr>
    </w:p>
    <w:p>
      <w:pPr>
        <w:jc w:val="both"/>
        <w:ind w:left="341"/>
        <w:spacing w:after="0" w:line="293" w:lineRule="auto"/>
        <w:rPr>
          <w:sz w:val="20"/>
          <w:szCs w:val="20"/>
          <w:color w:val="auto"/>
        </w:rPr>
      </w:pPr>
      <w:r>
        <w:rPr>
          <w:rFonts w:ascii="Arial" w:cs="Arial" w:eastAsia="Arial" w:hAnsi="Arial"/>
          <w:sz w:val="16"/>
          <w:szCs w:val="16"/>
          <w:color w:val="auto"/>
        </w:rPr>
        <w:t>Also on February 5, 2020, CMS issued a proposed rule (which we refer to as the “2021 Proposed Rule”) related to the administration of the MA and Part D programs, including, among other things, the Agency’s implementation of recent legislation removing the limitation on MA eligibility for end-stage-renal-disease, or ESRD, Medicare-eligible beneficiaries beginning in 2021, allowing for Medicare Advantage plans to offer additional supplemental benefits including telehealth, and addressing opioid recovery and treatment. The 2021 Proposed Rule also recognizes the potential opportunity to create new options for beneficiaries, including ESRD beneficiaries, and their access to care through greater flexibility around current network adequacy requirements. CMS has invited public comments to the 2021 Proposed Rule on or before April 6, 2020.</w:t>
      </w:r>
    </w:p>
    <w:p>
      <w:pPr>
        <w:spacing w:after="0" w:line="111" w:lineRule="exact"/>
        <w:rPr>
          <w:sz w:val="20"/>
          <w:szCs w:val="20"/>
          <w:color w:val="auto"/>
        </w:rPr>
      </w:pPr>
    </w:p>
    <w:p>
      <w:pPr>
        <w:jc w:val="both"/>
        <w:ind w:left="341"/>
        <w:spacing w:after="0" w:line="259" w:lineRule="auto"/>
        <w:rPr>
          <w:sz w:val="20"/>
          <w:szCs w:val="20"/>
          <w:color w:val="auto"/>
        </w:rPr>
      </w:pPr>
      <w:r>
        <w:rPr>
          <w:rFonts w:ascii="Arial" w:cs="Arial" w:eastAsia="Arial" w:hAnsi="Arial"/>
          <w:sz w:val="18"/>
          <w:szCs w:val="18"/>
          <w:color w:val="auto"/>
        </w:rPr>
        <w:t>The Advance Notice and the 2021 Proposed Rule are subject to the required notice and comment period, and we cannot predict when or to what extent CMS will adopt the proposals in the Advance Notice or the 2021 Proposed Rule. We will be drawing upon our program expertise to provide CMS formal commentary on the impact of both the Advance Notice and the 2021 Proposed Rule and the related impact upon Medicare beneficiaries’ quality of care and service to our members through the MA and Part D programs.</w:t>
      </w:r>
    </w:p>
    <w:p>
      <w:pPr>
        <w:spacing w:after="0" w:line="200" w:lineRule="exact"/>
        <w:rPr>
          <w:sz w:val="20"/>
          <w:szCs w:val="20"/>
          <w:color w:val="auto"/>
        </w:rPr>
      </w:pPr>
    </w:p>
    <w:p>
      <w:pPr>
        <w:jc w:val="both"/>
        <w:ind w:left="321" w:hanging="321"/>
        <w:spacing w:after="0" w:line="273" w:lineRule="auto"/>
        <w:tabs>
          <w:tab w:leader="none" w:pos="3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income was $2.7 billion for 2019 compared to $1.7 billion in 2018 and earnings per diluted common share increased $7.94 from $12.16 earnings per diluted common share in 2018 to $20.10 earnings per diluted common share in 2019. This comparison was primarily impacted by higher segment earnings in our Retail and Healthcare Services segments, partially offset by lower Group and Specialty segment earnings. These changes were further favorably impacted by the put/call valuation adjustments associated with our investment in Kindred at Home and by a lower number of shares used to compute dilutive earnings per share, primarily reflecting share repurchases. In addition, year-over-year comparison to 2019 was impacted by the loss on the sale of KMG of $786 million recognized in 2018.</w:t>
      </w:r>
    </w:p>
    <w:p>
      <w:pPr>
        <w:spacing w:after="0" w:line="124" w:lineRule="exact"/>
        <w:rPr>
          <w:rFonts w:ascii="Arial" w:cs="Arial" w:eastAsia="Arial" w:hAnsi="Arial"/>
          <w:sz w:val="17"/>
          <w:szCs w:val="17"/>
          <w:color w:val="auto"/>
        </w:rPr>
      </w:pPr>
    </w:p>
    <w:p>
      <w:pPr>
        <w:ind w:left="321" w:hanging="321"/>
        <w:spacing w:after="0" w:line="277"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Contributing to our Retail segment revenue growth was our individual and group Medicare Advantage membership, which increased 550,700 members, or 15.5%, from 3,561,800 members at December 31, 2018 to 4,112,500 members at December 31, 2019.</w:t>
      </w:r>
    </w:p>
    <w:p>
      <w:pPr>
        <w:spacing w:after="0" w:line="116" w:lineRule="exact"/>
        <w:rPr>
          <w:rFonts w:ascii="Arial" w:cs="Arial" w:eastAsia="Arial" w:hAnsi="Arial"/>
          <w:sz w:val="18"/>
          <w:szCs w:val="18"/>
          <w:color w:val="auto"/>
        </w:rPr>
      </w:pPr>
    </w:p>
    <w:p>
      <w:pPr>
        <w:jc w:val="both"/>
        <w:ind w:left="321" w:hanging="321"/>
        <w:spacing w:after="0" w:line="259"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cash flow of $5.3 billion for 2019 improved from $2.2 billion for 2018, reflecting the significant impact of increasing premiums and enrollment, as premiums generally are collected in advance of claim payments by a period of up to several months. The year-over-year comparison was further impacted by the timing of other working capital changes, higher earnings in 2019 versus 2018, and the negative impact on 2018 cash flows resulting from the funding of reinsurance transactions in connection with the sale of KMG.</w:t>
      </w:r>
    </w:p>
    <w:p>
      <w:pPr>
        <w:spacing w:after="0" w:line="132" w:lineRule="exact"/>
        <w:rPr>
          <w:rFonts w:ascii="Arial" w:cs="Arial" w:eastAsia="Arial" w:hAnsi="Arial"/>
          <w:sz w:val="18"/>
          <w:szCs w:val="18"/>
          <w:color w:val="auto"/>
        </w:rPr>
      </w:pPr>
    </w:p>
    <w:p>
      <w:pPr>
        <w:jc w:val="both"/>
        <w:ind w:left="321" w:hanging="321"/>
        <w:spacing w:after="0" w:line="276" w:lineRule="auto"/>
        <w:tabs>
          <w:tab w:leader="none" w:pos="3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July 2019, the Board of Directors approved a $3.0 billion share repurchase authorization with an expiration date of June 30, 2022. We subsequently entered into an agreement with a third-party financial institution on July 31, 2019, to effect a $1.0 billion ASR program under the authorization. Under the terms of this program, which was completed in the fourth quarter of 2019, we repurchased approximately 3,376,200 shares at an average price, after a discount, of $296.19. Aside from the completion of the ASR program, we have not completed any open market stock repurchases. As of February 19, 2020, we had a remaining repurchase authorization of $2.0 billion.</w:t>
      </w:r>
    </w:p>
    <w:p>
      <w:pPr>
        <w:spacing w:after="0" w:line="118" w:lineRule="exact"/>
        <w:rPr>
          <w:rFonts w:ascii="Arial" w:cs="Arial" w:eastAsia="Arial" w:hAnsi="Arial"/>
          <w:sz w:val="17"/>
          <w:szCs w:val="17"/>
          <w:color w:val="auto"/>
        </w:rPr>
      </w:pPr>
    </w:p>
    <w:p>
      <w:pPr>
        <w:jc w:val="both"/>
        <w:ind w:left="321" w:hanging="321"/>
        <w:spacing w:after="0" w:line="279" w:lineRule="auto"/>
        <w:tabs>
          <w:tab w:leader="none" w:pos="3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August 2019, we issued $500 million of 3.125% senior notes due August 15, 2029, and $500 million of 3.950% senior notes due August 15, 2049. Our net proceeds, reduced for the underwriters discount and commission and offering expenses, were $987 million. We used the net proceeds from this offering, together with available cash, to repay the $650 million outstanding amount due under our term note in August 2019, and the $400 million aggregate principal amount of our 2.625% senior notes due on its maturity date of October 1, 2019.</w:t>
      </w:r>
    </w:p>
    <w:p>
      <w:pPr>
        <w:spacing w:after="0" w:line="117" w:lineRule="exact"/>
        <w:rPr>
          <w:rFonts w:ascii="Arial" w:cs="Arial" w:eastAsia="Arial" w:hAnsi="Arial"/>
          <w:sz w:val="17"/>
          <w:szCs w:val="17"/>
          <w:color w:val="auto"/>
        </w:rPr>
      </w:pPr>
    </w:p>
    <w:p>
      <w:pPr>
        <w:jc w:val="both"/>
        <w:ind w:left="321" w:hanging="321"/>
        <w:spacing w:after="0" w:line="264"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2019 we initiated an involuntary workforce optimization program that will allow us to promote operational excellence, accelerate our strategy, fund critical initiatives and advance our growth objectives. As a result we recorded estimated charges of $47 million, or $0.26 per diluted common share, on the corporate level, included</w:t>
      </w:r>
    </w:p>
    <w:p>
      <w:pPr>
        <w:spacing w:after="0" w:line="3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1"/>
          </w:cols>
          <w:pgMar w:left="559" w:top="341" w:right="239" w:bottom="1440" w:gutter="0" w:footer="0" w:header="0"/>
        </w:sectPr>
      </w:pPr>
    </w:p>
    <w:bookmarkStart w:id="42" w:name="page43"/>
    <w:bookmarkEnd w:id="42"/>
    <w:p>
      <w:pPr>
        <w:ind w:right="980" w:firstLine="635"/>
        <w:spacing w:after="0" w:line="438" w:lineRule="auto"/>
        <w:rPr>
          <w:sz w:val="20"/>
          <w:szCs w:val="20"/>
          <w:color w:val="auto"/>
        </w:rPr>
      </w:pPr>
      <w:r>
        <w:rPr>
          <w:rFonts w:ascii="Arial" w:cs="Arial" w:eastAsia="Arial" w:hAnsi="Arial"/>
          <w:sz w:val="18"/>
          <w:szCs w:val="18"/>
          <w:color w:val="auto"/>
        </w:rPr>
        <w:t xml:space="preserve">with operating costs in the condensed consolidated statements of income. We expect this liability to be primarily paid within 12 months. </w:t>
      </w:r>
      <w:r>
        <w:rPr>
          <w:rFonts w:ascii="Arial" w:cs="Arial" w:eastAsia="Arial" w:hAnsi="Arial"/>
          <w:sz w:val="18"/>
          <w:szCs w:val="18"/>
          <w:b w:val="1"/>
          <w:bCs w:val="1"/>
          <w:i w:val="1"/>
          <w:iCs w:val="1"/>
          <w:color w:val="auto"/>
        </w:rPr>
        <w:t>Health Care Reform</w:t>
      </w:r>
    </w:p>
    <w:p>
      <w:pPr>
        <w:spacing w:after="0" w:line="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In addition, the Health Care Reform Law established insurance industry assessments, including an annual health insurance industry fee. The annual health insurance industry fee was suspended in 2019, but will resume for calendar year 2020, not be deductible for income tax purposes, and significantly increase our effective tax rate. In 2018, the fee levied on the health insurance industry was $14.3 billion. Under current law, the health industry fee will be permanently repealed beginning in calendar year 2021.</w:t>
      </w:r>
    </w:p>
    <w:p>
      <w:pPr>
        <w:spacing w:after="0" w:line="1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It is reasonably possible that the Health Care Reform Law and related regulations, as well as other current or future legislative, judicial or regulatory changes, including restrictions on our ability to manage our provider network or otherwise operate our business, or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or increases in regulation of our prescription drug benefit businesses, in the aggregate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Medicare payment rates and increasing our expenses associated with assessments); our financial position (including our ability to maintain the value of our goodwill); and our cash flows.</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intend for the discussion of our financial condition and results of operations that follows to assist in the understanding of our financial statements and related changes in certain key items in those financial statements from year to year, including the primary factors that accounted for those changes. Transactions between reportable segments primarily consist of sales of services rendered by our Healthcare Services segment, primarily pharmacy, provider, and clinical care services, to our Retail and Group and Specialty segment customers and are described in Note 18 to the consolidated financial statements included in Item 8. – Financial Statements and Supplementary Data in this 2019 Form 10-K.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Results of Operations for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financial data on a consolidated basis and for our segments was as follows for the years ended December 31, 2019 and 2018:</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Consolidated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1220" w:type="dxa"/>
            <w:vAlign w:val="bottom"/>
          </w:tcPr>
          <w:p>
            <w:pPr>
              <w:jc w:val="right"/>
              <w:ind w:right="371"/>
              <w:spacing w:after="0"/>
              <w:rPr>
                <w:sz w:val="20"/>
                <w:szCs w:val="20"/>
                <w:color w:val="auto"/>
              </w:rPr>
            </w:pPr>
            <w:r>
              <w:rPr>
                <w:rFonts w:ascii="Arial" w:cs="Arial" w:eastAsia="Arial" w:hAnsi="Arial"/>
                <w:sz w:val="14"/>
                <w:szCs w:val="14"/>
                <w:b w:val="1"/>
                <w:bCs w:val="1"/>
                <w:color w:val="auto"/>
                <w:w w:val="97"/>
              </w:rPr>
              <w:t>Percentage</w:t>
            </w:r>
          </w:p>
        </w:tc>
      </w:tr>
      <w:tr>
        <w:trPr>
          <w:trHeight w:val="152"/>
        </w:trPr>
        <w:tc>
          <w:tcPr>
            <w:tcW w:w="50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6"/>
          </w:tcPr>
          <w:p>
            <w:pPr>
              <w:jc w:val="right"/>
              <w:ind w:right="190"/>
              <w:spacing w:after="0" w:line="153" w:lineRule="exact"/>
              <w:rPr>
                <w:sz w:val="20"/>
                <w:szCs w:val="20"/>
                <w:color w:val="auto"/>
              </w:rPr>
            </w:pPr>
            <w:r>
              <w:rPr>
                <w:rFonts w:ascii="Arial" w:cs="Arial" w:eastAsia="Arial" w:hAnsi="Arial"/>
                <w:sz w:val="14"/>
                <w:szCs w:val="14"/>
                <w:b w:val="1"/>
                <w:bCs w:val="1"/>
                <w:color w:val="auto"/>
              </w:rPr>
              <w:t>(dollars in millions, except per</w:t>
            </w: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192"/>
        </w:trPr>
        <w:tc>
          <w:tcPr>
            <w:tcW w:w="5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share results)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Premiums: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Retail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43"/>
        </w:trPr>
        <w:tc>
          <w:tcPr>
            <w:tcW w:w="5000" w:type="dxa"/>
            <w:vAlign w:val="bottom"/>
          </w:tcPr>
          <w:p>
            <w:pPr>
              <w:ind w:left="720"/>
              <w:spacing w:after="0"/>
              <w:rPr>
                <w:sz w:val="20"/>
                <w:szCs w:val="20"/>
                <w:color w:val="auto"/>
              </w:rPr>
            </w:pPr>
            <w:r>
              <w:rPr>
                <w:rFonts w:ascii="Arial" w:cs="Arial" w:eastAsia="Arial" w:hAnsi="Arial"/>
                <w:sz w:val="18"/>
                <w:szCs w:val="18"/>
                <w:color w:val="auto"/>
              </w:rPr>
              <w:t>Group and Specialty</w:t>
            </w: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6,803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Individual Commercial</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000" w:type="dxa"/>
            <w:vAlign w:val="bottom"/>
          </w:tcPr>
          <w:p>
            <w:pPr>
              <w:ind w:left="720"/>
              <w:spacing w:after="0"/>
              <w:rPr>
                <w:sz w:val="20"/>
                <w:szCs w:val="20"/>
                <w:color w:val="auto"/>
              </w:rPr>
            </w:pPr>
            <w:r>
              <w:rPr>
                <w:rFonts w:ascii="Arial" w:cs="Arial" w:eastAsia="Arial" w:hAnsi="Arial"/>
                <w:sz w:val="18"/>
                <w:szCs w:val="18"/>
                <w:color w:val="auto"/>
              </w:rPr>
              <w:t>Other Businesses</w:t>
            </w:r>
          </w:p>
        </w:tc>
        <w:tc>
          <w:tcPr>
            <w:tcW w:w="3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premiums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62,948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54,941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23"/>
        </w:trPr>
        <w:tc>
          <w:tcPr>
            <w:tcW w:w="500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5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Retail</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54.5 %</w:t>
            </w:r>
          </w:p>
        </w:tc>
      </w:tr>
      <w:tr>
        <w:trPr>
          <w:trHeight w:val="243"/>
        </w:trPr>
        <w:tc>
          <w:tcPr>
            <w:tcW w:w="5000" w:type="dxa"/>
            <w:vAlign w:val="bottom"/>
          </w:tcPr>
          <w:p>
            <w:pPr>
              <w:ind w:left="720"/>
              <w:spacing w:after="0"/>
              <w:rPr>
                <w:sz w:val="20"/>
                <w:szCs w:val="20"/>
                <w:color w:val="auto"/>
              </w:rPr>
            </w:pPr>
            <w:r>
              <w:rPr>
                <w:rFonts w:ascii="Arial" w:cs="Arial" w:eastAsia="Arial" w:hAnsi="Arial"/>
                <w:sz w:val="18"/>
                <w:szCs w:val="18"/>
                <w:color w:val="auto"/>
              </w:rPr>
              <w:t>Group and Specialty</w:t>
            </w: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Healthcare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000" w:type="dxa"/>
            <w:vAlign w:val="bottom"/>
          </w:tcPr>
          <w:p>
            <w:pPr>
              <w:ind w:left="720"/>
              <w:spacing w:after="0"/>
              <w:rPr>
                <w:sz w:val="20"/>
                <w:szCs w:val="20"/>
                <w:color w:val="auto"/>
              </w:rPr>
            </w:pPr>
            <w:r>
              <w:rPr>
                <w:rFonts w:ascii="Arial" w:cs="Arial" w:eastAsia="Arial" w:hAnsi="Arial"/>
                <w:sz w:val="18"/>
                <w:szCs w:val="18"/>
                <w:color w:val="auto"/>
              </w:rPr>
              <w:t>Other Businesses</w:t>
            </w:r>
          </w:p>
        </w:tc>
        <w:tc>
          <w:tcPr>
            <w:tcW w:w="3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services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00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56,912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23"/>
        </w:trPr>
        <w:tc>
          <w:tcPr>
            <w:tcW w:w="5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5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Operating costs</w:t>
            </w: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61,696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53,812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14.7 %</w:t>
            </w:r>
          </w:p>
        </w:tc>
      </w:tr>
      <w:tr>
        <w:trPr>
          <w:trHeight w:val="27"/>
        </w:trPr>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3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(1633.3)%</w:t>
            </w:r>
          </w:p>
        </w:tc>
      </w:tr>
      <w:tr>
        <w:trPr>
          <w:trHeight w:val="27"/>
        </w:trPr>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equity in net earnings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95.1 %</w:t>
            </w: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of Kindred at Home</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60.8 %</w:t>
            </w:r>
          </w:p>
        </w:tc>
      </w:tr>
      <w:tr>
        <w:trPr>
          <w:trHeight w:val="67"/>
        </w:trPr>
        <w:tc>
          <w:tcPr>
            <w:tcW w:w="50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5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Benefit ratio (a)</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 ratio (b)</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3.1 %</w:t>
            </w:r>
          </w:p>
        </w:tc>
      </w:tr>
    </w:tbl>
    <w:p>
      <w:pPr>
        <w:spacing w:after="0" w:line="175"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total benefits expense as a percentage of premiums revenue.</w:t>
      </w:r>
    </w:p>
    <w:p>
      <w:pPr>
        <w:spacing w:after="0" w:line="63"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total operating costs, excluding depreciation and amortization, as a percentage of total revenues less investment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i w:val="1"/>
          <w:iCs w:val="1"/>
          <w:color w:val="auto"/>
        </w:rPr>
        <w:t>Summary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income for 2019 was $2.7 billion, or $20.10 per diluted common share, compared to $1.7 billion, or $12.16 per diluted common share, in 2018. This increase primarily was impacted by our Medicare Advantage business and Healthcare Services segment, as well as by previously implemented productivity initiatives that led to significant operating cost efficiencies in 2019. These impacts were partially offset by strategic investments in our integrated care delivery model, the impact of higher compensation accruals for the Annual Incentive Plan, or AIP, offered to employees across all levels of the company, lower Group and Specialty segment earnings, increased spending associated with the 2020 Medicare Annual Election Period, or AEP, and the impact of workforce optimization. These changes were further favorably impacted by the put/call valuation adjustments associated with our investment in Kindred at Home and by a lower number of shares used to compute dilutive earnings per share, primarily reflecting share repurchases. In addition, 2019 was impacted by the loss on the sale of KMG recognized in 2018.</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Consolidated premiums increased $8.0 billion, or 14.6%, from $54.9 billion for 2018 to $62.9 billion for 2019 primarily due to higher premiums in the Retail segment, driven by higher premium revenues from our Medicare Advantage business resulting from membership growth and higher per member premiums associated with individual Medicare Advantage. These increases were partially offset by the impact of declining stand-alone PDP membership, as well as lower premiums in the Group and Specialty segment as discussed in the detailed segment results discussion that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services revenue decreased $18 million, or 1.2%, from $1.5 billion for 2018 to $1.4 billion for 2019, primarily due to a decrease in services revenue in the Group and Specialty segment, partially offset by an increase in the Healthcare Services segment as detailed in the segment results discussion that follows.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Investment income was $501 million for 2019, decreasing $13 million, or 2.5%, from 2018, primarily due to lower realized capital gains, partially offset by higher average invested balances and interest rates.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Consolidated benefits expense was $53.9 billion for 2019, an increase of $8.0 billion, or 17.4%, from 2018 reflecting an increase in the Retail and Group and Specialty segments benefits expense as discussed in the detailed segment results discussion that follows. As more fully described herein under the section entitled "Benefits Expense Recognition", actuarial standards require the use of assumptions based on moderately adverse experience, which generally results in favorable reserve development, or reserves that are considered redundant. We experienced favorable medical claims reserve development related to prior fiscal years of $336 million in 2019 and $503 million in 2018.</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consolidated benefit ratio for 2019 was 85.6%, an increase of 210 basis points from 2018 primarily due to the suspension of the health insurance industry fee in 2019, which was contemplated in the pricing and benefit design of our products, lower favorable prior-period medical claims reserve development, an increase in the Group and Specialty benefit ratio as discussed in the detailed segment results discussion that follows, and the shift in Medicare membership mix due to the loss of stand-alone PDP members and significant growth in Medicare Advantage members. These increases were partially offset by engaging our Medicare Advantage members in clinical programs, as well as ensuring they are appropriately documented under the CMS risk-adjustment model, and lower than expected medical costs as compared to the assumptions used in the pricing of our individual Medicare Advantage business for 2019. Favorable prior-period medical claims reserve development decreased the consolidated benefit ratio by approximately 50 basis points in 2019 and 90 basis points in 2018.</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7"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segments incur both direct and shared indirect operating costs. We allocate the indirect costs shared by the segments primarily as a function of revenues. As a result, the profitability of each segment is interdependent.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operating costs decreased $144 million, or 1.9%, from 2018 to $7.4 billion in 2019 reflecting a decrease in operating costs in the Retail and the Group and Specialty segments as discussed in the detailed segment results discussion that follows.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consolidated operating cost ratio for 2019 was 11.5%, decreasing 180 basis points from 13.3% in 2018 primarily due to the suspension of the health insurance industry fee in 2019, scale efficiencies associated with growth in our Medicare Advantage membership, and significant operating cost efficiencies in 2019 driven by previously implemented productivity initiatives. These improvements were partially offset by strategic investments in our integrated care delivery model, the impact of higher compensation expense accruals in 2019 for the AIP offered to employees across all levels, increased spending associated with the Medicare AEP, and charges associated with workforce optimization. The higher compensation accruals resulted from our continued strong performance, including customer satisfaction as measured by the net promoter score, along with higher than anticipated individual Medicare Advantage membership growth. The nondeductible health insurance industry fee impacted the operating cost ratio by approximately 180 basis points in 2018.</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in 2019 totaled $458 million compared to $405 million in 2018, an increase of 13.1%, primarily due to capital expenditures.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was $242 million for 2019 compared to $218 million for 2018, an increase of $24 million, or 11.0% The increase was primarily due to the higher average borrowings outstanding including the impact of the borrowings under the November 2018 term loan agreement and senior notes issued in August 2019.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effective tax rate during 2019 was 22.0% compared to the effective tax rate of 18.9% in 2018. This change primarily reflects the impact of the suspension of the non-deductible health insurance industry fee in 2019 as well as the deferred tax benefit recognized in 2018 from the loss on sale of KMG. The effective income tax rate in 2018 reflected a $430 million deferred tax benefit, resulting from the loss on the sale of KMG attributable to its original tax basis and subsequent capital contributions to fund accumulated losses. See Note 12 to the consolidated financial statements included in Item 8. – Financial Statements and Supplementary Data for a complete reconciliation of the federal statutory rate to the effective tax rate.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14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940" w:type="dxa"/>
            <w:vAlign w:val="bottom"/>
            <w:gridSpan w:val="3"/>
          </w:tcPr>
          <w:p>
            <w:pPr>
              <w:ind w:left="440"/>
              <w:spacing w:after="0"/>
              <w:rPr>
                <w:sz w:val="20"/>
                <w:szCs w:val="20"/>
                <w:color w:val="auto"/>
              </w:rPr>
            </w:pPr>
            <w:r>
              <w:rPr>
                <w:rFonts w:ascii="Arial" w:cs="Arial" w:eastAsia="Arial" w:hAnsi="Arial"/>
                <w:sz w:val="14"/>
                <w:szCs w:val="14"/>
                <w:b w:val="1"/>
                <w:bCs w:val="1"/>
                <w:color w:val="auto"/>
              </w:rPr>
              <w:t>Members</w:t>
            </w: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Membership:</w:t>
            </w: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Medical membership:</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Individual Medicare Advantage</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3,587,200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3,064,000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Group Medicare Advantage</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525,300</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497,800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Medicare stand-alone PDP</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4,365,200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5,004,300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(639,100)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Total Retail Medicare</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8,477,700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8,566,100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State-based Medicaid</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341,100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37.5 %</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Medicare Supplement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298,400</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254,300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44,100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Retail medical members</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9,245,100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9,161,500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83,600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5080" w:type="dxa"/>
            <w:vAlign w:val="bottom"/>
          </w:tcPr>
          <w:p>
            <w:pPr>
              <w:spacing w:after="0"/>
              <w:rPr>
                <w:sz w:val="24"/>
                <w:szCs w:val="24"/>
                <w:color w:val="auto"/>
              </w:rPr>
            </w:pPr>
          </w:p>
        </w:tc>
        <w:tc>
          <w:tcPr>
            <w:tcW w:w="1460" w:type="dxa"/>
            <w:vAlign w:val="bottom"/>
          </w:tcPr>
          <w:p>
            <w:pPr>
              <w:jc w:val="right"/>
              <w:ind w:right="65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Dollars</w:t>
            </w: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7"/>
              </w:rPr>
              <w:t>Percentage</w:t>
            </w:r>
          </w:p>
        </w:tc>
      </w:tr>
      <w:tr>
        <w:trPr>
          <w:trHeight w:val="250"/>
        </w:trPr>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Premiums and Services Revenue: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Premiums: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Individual Medicare Advantage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35,656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Group Medicare Advantage</w:t>
            </w:r>
          </w:p>
        </w:tc>
        <w:tc>
          <w:tcPr>
            <w:tcW w:w="3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Medicare stand-alone PDP</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3,584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color w:val="auto"/>
              </w:rPr>
              <w:t>Total Retail Medicare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52,768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45,343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16.4 %</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State-based Medicaid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Medicare Supplement</w:t>
            </w:r>
          </w:p>
        </w:tc>
        <w:tc>
          <w:tcPr>
            <w:tcW w:w="3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15.3 %</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premiums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48,108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54.5 %</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premiums and services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56,271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48,119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Segment earnings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29.0 %</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ratio</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 ratio</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jc w:val="both"/>
        <w:ind w:left="640" w:hanging="321"/>
        <w:spacing w:after="0" w:line="25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Retail segment earnings were $2.2 billion in 2019, an increase of $502 million, or 29.0%, compared to $1.7 billion in 2018 primarily reflecting a lower operating cost ratio, partially offset by the higher benefit ratio as more fully described below. As expected, the higher-than-anticipated individual Medicare Advantage membership growth during the previous AEP had a muted impact on the segment's earnings in 2019. While new Medicare Advantage members increase revenue, on average, they have a break even impact on segment earnings in the first year as they were not previously engaged in clinical programs or appropriately documented under the CMS risk adjustment model, and accordingly, carry a higher benefit ratio.</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Enrollment</w:t>
      </w:r>
    </w:p>
    <w:p>
      <w:pPr>
        <w:spacing w:after="0" w:line="171" w:lineRule="exact"/>
        <w:rPr>
          <w:sz w:val="20"/>
          <w:szCs w:val="20"/>
          <w:color w:val="auto"/>
        </w:rPr>
      </w:pPr>
    </w:p>
    <w:p>
      <w:pPr>
        <w:jc w:val="both"/>
        <w:ind w:left="640" w:hanging="321"/>
        <w:spacing w:after="0" w:line="25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Medicare Advantage membership increased 523,200 members, or 17.1%, from 3,064,000 members as of December 31, 2018 to 3,587,200 members as of December 31, 2019, primarily due to membership additions associated with the 2019 AEP and Open Election Period, or OEP, for Medicare beneficiaries. The OEP sales period, which ran from January 1 to March 31, added approximately 43,700 members. Since the conclusion of the OEP, enrollment continued to increase due to strong sales to age-ins and those eligible for Dual Eligible Special Need Plans, or D-SNP. Individual Medicare Advantage membership includes 288,200 D-SNP members as of December 31, 2019, a net increase of 69,600, or 31.8%, from 218,600 December 31, 2018. For the full year 2020, we anticipate a net membership increase in our Individual Medicare Advantage offerings of 270,000 members to 330,000 members.</w:t>
      </w:r>
    </w:p>
    <w:p>
      <w:pPr>
        <w:spacing w:after="0" w:line="135" w:lineRule="exact"/>
        <w:rPr>
          <w:rFonts w:ascii="Arial" w:cs="Arial" w:eastAsia="Arial" w:hAnsi="Arial"/>
          <w:sz w:val="18"/>
          <w:szCs w:val="18"/>
          <w:color w:val="auto"/>
        </w:rPr>
      </w:pPr>
    </w:p>
    <w:p>
      <w:pPr>
        <w:jc w:val="both"/>
        <w:ind w:left="640" w:hanging="321"/>
        <w:spacing w:after="0" w:line="28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Group Medicare Advantage membership increased 27,500 members, or 5.5%, from 497,800 members as of December 31, 2018 to 525,300 members as of December 31, 2019, primarily due to net membership additions associated with the 2019 AEP for Medicare beneficiaries. For the full year 2020, we anticipate a net membership increase in our Group Medicare Advantage offerings of approximately 90,000 members.</w:t>
      </w:r>
    </w:p>
    <w:p>
      <w:pPr>
        <w:spacing w:after="0" w:line="111" w:lineRule="exact"/>
        <w:rPr>
          <w:rFonts w:ascii="Arial" w:cs="Arial" w:eastAsia="Arial" w:hAnsi="Arial"/>
          <w:sz w:val="17"/>
          <w:szCs w:val="17"/>
          <w:color w:val="auto"/>
        </w:rPr>
      </w:pPr>
    </w:p>
    <w:p>
      <w:pPr>
        <w:jc w:val="both"/>
        <w:ind w:left="640" w:hanging="321"/>
        <w:spacing w:after="0" w:line="25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Medicare stand-alone PDP membership decreased 639,100 members, or 12.8%, from 5,004,300 members as of December 31, 2018 to 4,365,200 members as of December 31, 2019, primarily reflecting net declines during the 2019 AEP for Medicare beneficiaries. The anticipated decline primarily was due to the competitive nature of the industry and the pricing discipline we have employed, which resulted in us no longer being the low cost plan in any market for 2019. For the full year 2020, we anticipate a net membership decline in our Medicare stand-alone PDP offerings of approximately 550,000 members.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25" w:right="239" w:bottom="1440" w:gutter="0" w:footer="0" w:header="0"/>
        </w:sectPr>
      </w:pPr>
    </w:p>
    <w:bookmarkStart w:id="47" w:name="page48"/>
    <w:bookmarkEnd w:id="47"/>
    <w:p>
      <w:pPr>
        <w:jc w:val="both"/>
        <w:ind w:left="321" w:hanging="321"/>
        <w:spacing w:after="0" w:line="257" w:lineRule="auto"/>
        <w:tabs>
          <w:tab w:leader="none" w:pos="3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State-based Medicaid membership increased 127,900 members, or 37.5%, from 341,100 members as of December 31, 2018 to 469,000 members as of December 31, 2019, primarily driven by the statewide award of a comprehensive contract under the Managed Medical Assistance, or MMA, program in Florida. Our January 31, 2020 state-based contracts membership was 608,000, representing growth of 139,000, or 30%, from December 31, 2019. This growth primarily reflects the impact of terminating the reinsurance agreement with CareSource effective January 1, 2020, which ceded all risk for our Kentucky Medicaid contract.</w:t>
      </w:r>
    </w:p>
    <w:p>
      <w:pPr>
        <w:spacing w:after="0" w:line="134" w:lineRule="exact"/>
        <w:rPr>
          <w:sz w:val="20"/>
          <w:szCs w:val="20"/>
          <w:color w:val="auto"/>
        </w:rPr>
      </w:pPr>
    </w:p>
    <w:p>
      <w:pPr>
        <w:ind w:left="21"/>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left="321" w:hanging="321"/>
        <w:spacing w:after="0" w:line="264" w:lineRule="auto"/>
        <w:tabs>
          <w:tab w:leader="none" w:pos="3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Retail segment premiums increased $8.1 billion, or 16.9%, from 2018 to 2019 period primarily due to Medicare Advantage membership growth and higher per member premiums, as well as increased state-based contracts membership. These favorable items were partially offset by the decline in membership in our stand-alone PDP offerings.</w:t>
      </w:r>
    </w:p>
    <w:p>
      <w:pPr>
        <w:spacing w:after="0" w:line="127" w:lineRule="exact"/>
        <w:rPr>
          <w:sz w:val="20"/>
          <w:szCs w:val="20"/>
          <w:color w:val="auto"/>
        </w:rPr>
      </w:pPr>
    </w:p>
    <w:p>
      <w:pPr>
        <w:ind w:left="21"/>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left="321" w:hanging="321"/>
        <w:spacing w:after="0" w:line="272" w:lineRule="auto"/>
        <w:tabs>
          <w:tab w:leader="none" w:pos="32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Retail segment benefit ratio of 86.4% for 2019 increased 130 basis points from 85.1% in 2018 primarily due to the suspension of the health insurance industry fee in 2019 which was contemplated in the pricing and benefit design of our products, lower favorable prior-period medical claims reserve development, as well as the shift in Medicare membership mix due to the loss of stand-alone PDP members and the significant growth in Medicare Advantage members. These increases were partially offset by engaging our Medicare Advantage members in clinical programs as well as ensuring they are appropriately documented under the CMS risk adjustment model, lower than expected medical costs as compared to the assumptions used in the pricing of our individual Medicare Advantage business for 2019, and the impact of a less severe flu season experienced in the first quarter of 2019 compared to that in the first quarter of 2018.</w:t>
      </w:r>
    </w:p>
    <w:p>
      <w:pPr>
        <w:spacing w:after="0" w:line="123" w:lineRule="exact"/>
        <w:rPr>
          <w:rFonts w:ascii="Arial" w:cs="Arial" w:eastAsia="Arial" w:hAnsi="Arial"/>
          <w:sz w:val="17"/>
          <w:szCs w:val="17"/>
          <w:color w:val="auto"/>
        </w:rPr>
      </w:pPr>
    </w:p>
    <w:p>
      <w:pPr>
        <w:jc w:val="both"/>
        <w:ind w:left="321" w:hanging="321"/>
        <w:spacing w:after="0" w:line="264" w:lineRule="auto"/>
        <w:tabs>
          <w:tab w:leader="none" w:pos="3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Retail segment’s benefits expense for 2019 included the beneficial effect of $386 million in favorable prior-year medical claims reserve development versus $398 million in 2018. This favorable prior-year medical claims reserve development decreased the Retail segment benefit ratio by approximately 70 basis points in 2019 versus approximately 80 basis points in 2018.</w:t>
      </w:r>
    </w:p>
    <w:p>
      <w:pPr>
        <w:spacing w:after="0" w:line="127" w:lineRule="exact"/>
        <w:rPr>
          <w:sz w:val="20"/>
          <w:szCs w:val="20"/>
          <w:color w:val="auto"/>
        </w:rPr>
      </w:pPr>
    </w:p>
    <w:p>
      <w:pPr>
        <w:ind w:left="21"/>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321" w:hanging="321"/>
        <w:spacing w:after="0" w:line="276" w:lineRule="auto"/>
        <w:tabs>
          <w:tab w:leader="none" w:pos="32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Retail segment operating cost ratio of 9.4% for 2019 decreased 170 basis points from 11.1% in 2018 primarily due to the suspension of the health insurance industry fee in 2019, as well as scale efficiencies associated with growth in our Medicare Advantage membership, and significant operating cost efficiencies in 2019 driven by previously implemented productivity initiatives. These improvements were partially offset by the strategic investments in our integrated care delivery model, the impact of higher compensation expense accruals in 2019 for the AIP as a result of our continued strong performance, and increased spending associated with the Medicare AEP.</w:t>
      </w:r>
    </w:p>
    <w:p>
      <w:pPr>
        <w:spacing w:after="0" w:line="118" w:lineRule="exact"/>
        <w:rPr>
          <w:rFonts w:ascii="Arial" w:cs="Arial" w:eastAsia="Arial" w:hAnsi="Arial"/>
          <w:sz w:val="17"/>
          <w:szCs w:val="17"/>
          <w:color w:val="auto"/>
        </w:rPr>
      </w:pPr>
    </w:p>
    <w:p>
      <w:pPr>
        <w:ind w:left="321" w:hanging="321"/>
        <w:spacing w:after="0"/>
        <w:tabs>
          <w:tab w:leader="none" w:pos="3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non-deductible health insurance industry fee increased the operating cost ratio by approximately 190 basis points in 2018.</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1"/>
          </w:cols>
          <w:pgMar w:left="559"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Group and Specialty Segment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940" w:type="dxa"/>
            <w:vAlign w:val="bottom"/>
            <w:gridSpan w:val="3"/>
          </w:tcPr>
          <w:p>
            <w:pPr>
              <w:ind w:left="440"/>
              <w:spacing w:after="0"/>
              <w:rPr>
                <w:sz w:val="20"/>
                <w:szCs w:val="20"/>
                <w:color w:val="auto"/>
              </w:rPr>
            </w:pPr>
            <w:r>
              <w:rPr>
                <w:rFonts w:ascii="Arial" w:cs="Arial" w:eastAsia="Arial" w:hAnsi="Arial"/>
                <w:sz w:val="14"/>
                <w:szCs w:val="14"/>
                <w:b w:val="1"/>
                <w:bCs w:val="1"/>
                <w:color w:val="auto"/>
              </w:rPr>
              <w:t>Members</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Membership:</w:t>
            </w: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Medical membership:</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Fully-insured commercial group</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908,600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1,004,700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ASO</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529,200</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481,900</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47,300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Military services</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5,984,300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5,928,600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55,700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Total group medical members</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7,422,100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7,415,200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67"/>
        </w:trPr>
        <w:tc>
          <w:tcPr>
            <w:tcW w:w="508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6"/>
        </w:trPr>
        <w:tc>
          <w:tcPr>
            <w:tcW w:w="5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Specialty membership (a)</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5,425,900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6,072,300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right="20" w:hanging="316"/>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Specialty products include dental, vision, and other supplemental health products. Members included in these products may not be unique to each product since members have the ability to enroll in multiple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1220" w:type="dxa"/>
            <w:vAlign w:val="bottom"/>
          </w:tcPr>
          <w:p>
            <w:pPr>
              <w:jc w:val="right"/>
              <w:ind w:right="372"/>
              <w:spacing w:after="0"/>
              <w:rPr>
                <w:sz w:val="20"/>
                <w:szCs w:val="20"/>
                <w:color w:val="auto"/>
              </w:rPr>
            </w:pPr>
            <w:r>
              <w:rPr>
                <w:rFonts w:ascii="Arial" w:cs="Arial" w:eastAsia="Arial" w:hAnsi="Arial"/>
                <w:sz w:val="14"/>
                <w:szCs w:val="14"/>
                <w:b w:val="1"/>
                <w:bCs w:val="1"/>
                <w:color w:val="auto"/>
                <w:w w:val="97"/>
              </w:rPr>
              <w:t>Percentage</w:t>
            </w:r>
          </w:p>
        </w:tc>
      </w:tr>
      <w:tr>
        <w:trPr>
          <w:trHeight w:val="250"/>
        </w:trPr>
        <w:tc>
          <w:tcPr>
            <w:tcW w:w="50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Premiums and Services Revenue:</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Premiums:</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Fully-insured commercial group</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5,444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Specialty</w:t>
            </w:r>
          </w:p>
        </w:tc>
        <w:tc>
          <w:tcPr>
            <w:tcW w:w="92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1,571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1,359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7"/>
        </w:trPr>
        <w:tc>
          <w:tcPr>
            <w:tcW w:w="5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premiums</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6,694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6,803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premiums and services revenue</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7,484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7,638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Segment earnings</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ratio</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 ratio</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jc w:val="both"/>
        <w:ind w:left="640" w:hanging="321"/>
        <w:spacing w:after="0" w:line="279"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Group and Specialty segment earnings were $28 million in 2019, a decrease of $333 million, or 92.2%, from $361 million in 2018 primarily due to a higher benefit ratio, along with lower military services business earnings. Earnings comparisons related to the military services business were unfavorably impacted by the receipt of certain contractual incentives and adjustments in 2018 related to the previous TRICARE contract which did not recur in 2019. These decreases were partially offset by the improvement in the operating cost ratio as more fully described below.</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Enrollment</w:t>
      </w:r>
    </w:p>
    <w:p>
      <w:pPr>
        <w:spacing w:after="0" w:line="171" w:lineRule="exact"/>
        <w:rPr>
          <w:sz w:val="20"/>
          <w:szCs w:val="20"/>
          <w:color w:val="auto"/>
        </w:rPr>
      </w:pPr>
    </w:p>
    <w:p>
      <w:pPr>
        <w:jc w:val="both"/>
        <w:ind w:left="640" w:hanging="321"/>
        <w:spacing w:after="0" w:line="279"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Fully-insured commercial group medical membership decreased 96,100 members, or 9.6% from 1,004,700 members as of December 31, 2018 primarily reflecting lower membership in small group accounts due in part to more small group accounts selecting level-funded ASO products in 2019, as well as the loss of certain large group accounts due to the competitive pricing environment. The portion of group fully-insured commercial medical membership in small group accounts was approximately 59% at December 31, 2019 and 61% at December 31, 2018.</w:t>
      </w:r>
    </w:p>
    <w:p>
      <w:pPr>
        <w:spacing w:after="0" w:line="117"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Group ASO commercial medical membership increased 47,300 members, or 9.8%, from 481,900 members as of December 31, 2018 to 529,200 members as of December 31, 2019 reflecting more small group accounts selecting level-funded ASO products in 2019, partially offset by the loss of certain large group accounts as 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49" w:name="page50"/>
    <w:bookmarkEnd w:id="49"/>
    <w:p>
      <w:pPr>
        <w:ind w:left="321"/>
        <w:spacing w:after="0"/>
        <w:rPr>
          <w:sz w:val="20"/>
          <w:szCs w:val="20"/>
          <w:color w:val="auto"/>
        </w:rPr>
      </w:pPr>
      <w:r>
        <w:rPr>
          <w:rFonts w:ascii="Arial" w:cs="Arial" w:eastAsia="Arial" w:hAnsi="Arial"/>
          <w:sz w:val="18"/>
          <w:szCs w:val="18"/>
          <w:color w:val="auto"/>
        </w:rPr>
        <w:t>result of continued discipline in pricing of services for self-funded accounts amid a highly competitive environment.</w:t>
      </w:r>
    </w:p>
    <w:p>
      <w:pPr>
        <w:spacing w:after="0" w:line="171" w:lineRule="exact"/>
        <w:rPr>
          <w:sz w:val="20"/>
          <w:szCs w:val="20"/>
          <w:color w:val="auto"/>
        </w:rPr>
      </w:pPr>
    </w:p>
    <w:p>
      <w:pPr>
        <w:jc w:val="both"/>
        <w:ind w:left="321" w:hanging="321"/>
        <w:spacing w:after="0" w:line="312" w:lineRule="auto"/>
        <w:tabs>
          <w:tab w:leader="none" w:pos="3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Military services membership increased 55,700 members, or 0.9%, from 5,928,600 members as of December 31, 2018 to 5,984,300 members as of December 31, 2019. Membership includes military service members, retirees, and their families to whom we provide healthcare services under the current T2017 TRICARE East Region contract. The current contract, which covers thirty-two states, became effective on January 1, 2018.</w:t>
      </w:r>
    </w:p>
    <w:p>
      <w:pPr>
        <w:spacing w:after="0" w:line="92" w:lineRule="exact"/>
        <w:rPr>
          <w:rFonts w:ascii="Arial" w:cs="Arial" w:eastAsia="Arial" w:hAnsi="Arial"/>
          <w:sz w:val="16"/>
          <w:szCs w:val="16"/>
          <w:color w:val="auto"/>
        </w:rPr>
      </w:pPr>
    </w:p>
    <w:p>
      <w:pPr>
        <w:ind w:left="321" w:hanging="321"/>
        <w:spacing w:after="0" w:line="342" w:lineRule="auto"/>
        <w:tabs>
          <w:tab w:leader="none" w:pos="3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Specialty membership decreased 646,400 members, or 10.6%, from 6,072,300 as of December 31, 2018 to 5,425,900 members as of December 31, 2019 primarily due to the loss of certain group accounts, including one jumbo account, offering stand-alone dental and vision products.</w:t>
      </w:r>
    </w:p>
    <w:p>
      <w:pPr>
        <w:spacing w:after="0" w:line="70" w:lineRule="exact"/>
        <w:rPr>
          <w:sz w:val="20"/>
          <w:szCs w:val="20"/>
          <w:color w:val="auto"/>
        </w:rPr>
      </w:pPr>
    </w:p>
    <w:p>
      <w:pPr>
        <w:ind w:left="61"/>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left="321" w:hanging="321"/>
        <w:spacing w:after="0" w:line="279" w:lineRule="auto"/>
        <w:tabs>
          <w:tab w:leader="none" w:pos="3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Group and Specialty segment premiums decreased $109 million, or 1.6%, from $6.8 billion in 2018 to $6.7 billion in 2019, primarily due to a decline in our fully-insured group commercial and specialty membership as well as the exit of our voluntary benefit and financial protection products in connection with the sale of KMG in 2018. These decreases were partially offset by higher stop-loss revenues related to our level-funded ASO accounts resulting from membership growth in this product and higher per member premiums across the fully-insured business.</w:t>
      </w:r>
    </w:p>
    <w:p>
      <w:pPr>
        <w:spacing w:after="0" w:line="117" w:lineRule="exact"/>
        <w:rPr>
          <w:sz w:val="20"/>
          <w:szCs w:val="20"/>
          <w:color w:val="auto"/>
        </w:rPr>
      </w:pPr>
    </w:p>
    <w:p>
      <w:pPr>
        <w:ind w:left="61"/>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ind w:left="321" w:right="20" w:hanging="321"/>
        <w:spacing w:after="0" w:line="277" w:lineRule="auto"/>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Group and Specialty segment services revenue decreased $45 million, or 5.4%, from 2018 to 2019 primarily due to the impact of certain contractual incentives and adjustments related to the previous TRICARE contract received in 2018, which did not recur in 2019.</w:t>
      </w:r>
    </w:p>
    <w:p>
      <w:pPr>
        <w:spacing w:after="0" w:line="116" w:lineRule="exact"/>
        <w:rPr>
          <w:sz w:val="20"/>
          <w:szCs w:val="20"/>
          <w:color w:val="auto"/>
        </w:rPr>
      </w:pPr>
    </w:p>
    <w:p>
      <w:pPr>
        <w:ind w:left="21"/>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left="321" w:hanging="321"/>
        <w:spacing w:after="0" w:line="297" w:lineRule="auto"/>
        <w:tabs>
          <w:tab w:leader="none" w:pos="3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Group and Specialty segment benefit ratio increased 630 basis points from 79.7% in 2018 to 86.0% in 2019 primarily due to the impact of the continued migration of fully-insured group members to level-funded ASO products in 2019 resulting in a membership mix transformation, the suspension of the health insurance industry fee in 2019 which was contemplated in the pricing and benefit design of our products, and unfavorable prior-year medical claims reserve development driven by provider settlements. The benefit ratio was further negatively impacted by adjustments to dental network contracted rates resulting from dental network recontracting and expansion to position the business for the future.</w:t>
      </w:r>
    </w:p>
    <w:p>
      <w:pPr>
        <w:spacing w:after="0" w:line="104" w:lineRule="exact"/>
        <w:rPr>
          <w:rFonts w:ascii="Arial" w:cs="Arial" w:eastAsia="Arial" w:hAnsi="Arial"/>
          <w:sz w:val="16"/>
          <w:szCs w:val="16"/>
          <w:color w:val="auto"/>
        </w:rPr>
      </w:pPr>
    </w:p>
    <w:p>
      <w:pPr>
        <w:jc w:val="both"/>
        <w:ind w:left="321" w:hanging="321"/>
        <w:spacing w:after="0" w:line="257" w:lineRule="auto"/>
        <w:tabs>
          <w:tab w:leader="none" w:pos="3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Group and Specialty segment’s benefits expense included the unfavorable effect of $50 million in prior-year medical claims reserve development in 2019 versus the beneficial effect of $46 million in favorable prior-year medical claims reserve development in 2018. This unfavorable prior-year medical claims reserve development increased the Group and Specialty segment benefit ratio by approximately 70 basis points in 2019 while the favorable prior-year medical claims reserve development decreased the Group and Specialty segment benefit ratio by approximately 70 basis points in 2018.</w:t>
      </w:r>
    </w:p>
    <w:p>
      <w:pPr>
        <w:spacing w:after="0" w:line="134" w:lineRule="exact"/>
        <w:rPr>
          <w:sz w:val="20"/>
          <w:szCs w:val="20"/>
          <w:color w:val="auto"/>
        </w:rPr>
      </w:pPr>
    </w:p>
    <w:p>
      <w:pPr>
        <w:ind w:left="21"/>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321" w:hanging="321"/>
        <w:spacing w:after="0" w:line="257" w:lineRule="auto"/>
        <w:tabs>
          <w:tab w:leader="none" w:pos="3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Group and Specialty segment operating cost ratio of 22.0% for 2019 decreased 160 basis points from 23.6% for 2018, primarily due to the suspension of the health insurance industry fee in 2019, significant operating cost efficiencies in 2019 driven by previously implemented productivity initiatives, as well as the exit of our voluntary benefit and financial protection products in connection with the sale of KMG in 2018, which carried a higher operating cost ratio. These improvements were offset by the higher compensation expense accruals in 2019 for the AIP as a result of our continued strong consolidated performance.</w:t>
      </w:r>
    </w:p>
    <w:p>
      <w:pPr>
        <w:spacing w:after="0" w:line="134" w:lineRule="exact"/>
        <w:rPr>
          <w:rFonts w:ascii="Arial" w:cs="Arial" w:eastAsia="Arial" w:hAnsi="Arial"/>
          <w:sz w:val="18"/>
          <w:szCs w:val="18"/>
          <w:color w:val="auto"/>
        </w:rPr>
      </w:pPr>
    </w:p>
    <w:p>
      <w:pPr>
        <w:ind w:left="321" w:hanging="321"/>
        <w:spacing w:after="0"/>
        <w:tabs>
          <w:tab w:leader="none" w:pos="3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non-deductible health insurance industry fee increased the operating cost ratio by approximately 160 basis points in 2018.</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1"/>
          </w:cols>
          <w:pgMar w:left="559"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Healthcare Services Segment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1220" w:type="dxa"/>
            <w:vAlign w:val="bottom"/>
          </w:tcPr>
          <w:p>
            <w:pPr>
              <w:jc w:val="right"/>
              <w:ind w:right="371"/>
              <w:spacing w:after="0"/>
              <w:rPr>
                <w:sz w:val="20"/>
                <w:szCs w:val="20"/>
                <w:color w:val="auto"/>
              </w:rPr>
            </w:pPr>
            <w:r>
              <w:rPr>
                <w:rFonts w:ascii="Arial" w:cs="Arial" w:eastAsia="Arial" w:hAnsi="Arial"/>
                <w:sz w:val="14"/>
                <w:szCs w:val="14"/>
                <w:b w:val="1"/>
                <w:bCs w:val="1"/>
                <w:color w:val="auto"/>
                <w:w w:val="97"/>
              </w:rPr>
              <w:t>Percentage</w:t>
            </w:r>
          </w:p>
        </w:tc>
      </w:tr>
      <w:tr>
        <w:trPr>
          <w:trHeight w:val="250"/>
        </w:trPr>
        <w:tc>
          <w:tcPr>
            <w:tcW w:w="50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Clinical care 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Pharmacy solutions</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Provider services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color w:val="auto"/>
              </w:rPr>
              <w:t>Total services revenues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Pharmacy solutions</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22,189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20,514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Provider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Clinical care services</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intersegment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25,149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23,170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color w:val="auto"/>
              </w:rPr>
              <w:t>Total services and intersegment revenues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25,781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23,777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earnings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 ratio</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0.1 %</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jc w:val="both"/>
        <w:ind w:left="640" w:hanging="321"/>
        <w:spacing w:after="0" w:line="286"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Healthcare Services segment earnings were $789 million in 2019, an increase of $35 million, or 4.6%, from 2018. This increase primarily was due to higher earnings from our pharmacy operations and clinical operations, and higher earnings from Kindred at Home operations. These factors were partially offset by additional investments in new clinical assets associated with our provider services business.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Script Volume</w:t>
      </w:r>
    </w:p>
    <w:p>
      <w:pPr>
        <w:spacing w:after="0" w:line="171" w:lineRule="exact"/>
        <w:rPr>
          <w:sz w:val="20"/>
          <w:szCs w:val="20"/>
          <w:color w:val="auto"/>
        </w:rPr>
      </w:pPr>
    </w:p>
    <w:p>
      <w:pPr>
        <w:jc w:val="both"/>
        <w:ind w:left="640" w:hanging="321"/>
        <w:spacing w:after="0" w:line="226"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Humana Pharmacy Solutions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script volumes for the Retail and Group and Specialty segment membership increased to approximately 456 million in 2019, up 3.6% versus scripts of approximately 440 million in 2018. The increase primarily reflects growth associated with higher Medicare Advantage and state-based contracts membership, partially offset by the decline in stand-alone PDP membership.</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ind w:left="640" w:right="20" w:hanging="321"/>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Services revenue increased $25 million, or 4.1%, from 2018 to $632 million for 2019 primarily due to revenue growth from our provider services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Intersegment revenues</w:t>
      </w:r>
    </w:p>
    <w:p>
      <w:pPr>
        <w:spacing w:after="0" w:line="171" w:lineRule="exact"/>
        <w:rPr>
          <w:sz w:val="20"/>
          <w:szCs w:val="20"/>
          <w:color w:val="auto"/>
        </w:rPr>
      </w:pPr>
    </w:p>
    <w:p>
      <w:pPr>
        <w:jc w:val="both"/>
        <w:ind w:left="640" w:hanging="321"/>
        <w:spacing w:after="0" w:line="25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Intersegment revenues increased $1.98 billion, or 8.5%, from 2018 to $25 billion for 2019 primarily due to strong Medicare Advantage membership growth, partially offset by the loss of intersegment revenues associated with the decline in stand-alone PDP membership. Intersegment revenues in 2019 were further impacted by higher revenues associated with our provider services business reflecting the previously disclosed acquisitions of MCCI and FPG.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ind w:left="5620" w:right="2100" w:hanging="5301"/>
        <w:spacing w:after="0" w:line="716" w:lineRule="auto"/>
        <w:tabs>
          <w:tab w:leader="none" w:pos="6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Healthcare Services segment operating cost ratio of 96.4% for 2019 was relatively unchanged from 96.3% for 2018. 51</w:t>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Historically, our primary sources of cash have included receipts of premiums, services revenue, and investment and other income, as well as proceeds from the sale or maturity of our investment securities, and borrowings. Our primary uses of cash historically have included disbursements for claims payments, operating costs, interest on borrowings, taxes, purchases of investment securities, acquisitions, capital expenditures, repayments on borrowings, dividends, and share repurchases. Because premiums generally are collected in advance of claim payments by a period of up to several months, our business normally should produce positive cash flows during periods of increasing premiums and enrollment. Conversely, cash flows would be negatively impacted during periods of decreasing premiums and enrollment. From period to period, our cash flows may also be affected by the timing of working capital items including premiums receivable, benefits payable, and other receivables and payables. Our cash flows are impacted by the timing of payments to and receipts from CMS associated with Medicare Part D subsidies for which we do not assume risk. The use of cash flows may be limited by regulatory requirements of state departments of insurance (or comparable state regulators) which require, among other items, that our regulated subsidiaries maintain minimum levels of capital and seek approval before paying dividends from the subsidiaries to the parent. Our use of cash flows derived from our non-insurance subsidiaries, such as in our Healthcare Services segment, is generally not restricted by state departments of insurance (or comparable state regulators).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on our liquidity risk, please refer to Item 1A. – Risk Factors in this 2019 Form 10-K.</w:t>
      </w:r>
    </w:p>
    <w:p>
      <w:pPr>
        <w:spacing w:after="0" w:line="3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and cash equivalents increased to $4.1 billion at December 31, 2019 from $2.3 billion at December 31, 2018. The change in cash and cash equivalents for the years ended December 31, 2019, 2018 and 2017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196"/>
        </w:trPr>
        <w:tc>
          <w:tcPr>
            <w:tcW w:w="6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Increase (decrease) in cash and cash equivalents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w:t>
            </w: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change in operating cash flows over the three year period primarily results from the corresponding change in the timing of working capital items, earnings, and enrollment activity as discussed below. The increase in operating cash flows in 2019 reflect the significant impacts of increasing premiums and enrollment, as premiums generally are collected in advance of claim payments by a period of up to several months, higher earnings, the timing of other working capital items, and the impact of an approximately $245 million payment related to reinsuring certain voluntary benefit and financial protection products to a third party in connection with the sale of KMG in 2018.</w:t>
      </w:r>
    </w:p>
    <w:p>
      <w:pPr>
        <w:spacing w:after="0" w:line="2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operating cash flows in 2018 primarily was due to the receipt of the merger termination fee in 2017, net of related expenses and taxes paid, funding the reinsurance of certain voluntary benefit and financial protection products to a third party in connection with the sale of KMG in 2018 and the timing of working capital items.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most significant drivers of changes in our working capital are typically the timing of payments of benefits expense and receipts for premiums. We illustrate these changes with the following summaries of benefits payable and receivables.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6"/>
          <w:szCs w:val="16"/>
          <w:color w:val="auto"/>
        </w:rPr>
        <w:t>The detail of benefits payable was as follows at December 31, 2019, 2018 and 2017:</w:t>
      </w: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IBNR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Reported claims in process (2)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benefits payable (3)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benefits payable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Payables from disposition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Change in benefits payable per cash</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flow statement resulting in cash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from operations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230"/>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-1354455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-1011555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-650875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540" w:space="720"/>
            <w:col w:w="6160"/>
          </w:cols>
          <w:pgMar w:left="240" w:top="503" w:right="239" w:bottom="1440" w:gutter="0" w:footer="0" w:header="0"/>
          <w:type w:val="continuous"/>
        </w:sectPr>
      </w:pPr>
    </w:p>
    <w:p>
      <w:pPr>
        <w:jc w:val="both"/>
        <w:ind w:left="540" w:hanging="316"/>
        <w:spacing w:after="0" w:line="25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IBNR represents an estimate of benefits payable for claims incurred but not reported (IBNR) at the balance sheet date and includes unprocessed claim inventories. The level of IBNR is primarily impacted by membership levels, medical claim trends and the receipt cycle time, which represents the length of time between when a claim is initially incurred and when the claim form is received and processed (i.e. a shorter time span results in a lower IBNR). IBNR includes unprocessed claims inventories.</w:t>
      </w:r>
    </w:p>
    <w:p>
      <w:pPr>
        <w:spacing w:after="0" w:line="2" w:lineRule="exact"/>
        <w:rPr>
          <w:rFonts w:ascii="Arial" w:cs="Arial" w:eastAsia="Arial" w:hAnsi="Arial"/>
          <w:sz w:val="18"/>
          <w:szCs w:val="18"/>
          <w:color w:val="auto"/>
        </w:rPr>
      </w:pPr>
    </w:p>
    <w:p>
      <w:pPr>
        <w:jc w:val="both"/>
        <w:ind w:left="54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Reported claims in process represents the estimated valuation of processed claims that are in the post claim adjudication process, which consists of administrative functions such as audit and check batching and handling, as well as amounts owed to our pharmacy benefit administrator which fluctuate due to bi-weekly payments and the month-end cutoff.</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benefits payable include amounts owed to providers under capitated and risk sharing arrangements.</w:t>
      </w:r>
    </w:p>
    <w:p>
      <w:pPr>
        <w:spacing w:after="0" w:line="15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increase in benefits payable in 2019 and 2018 was primarily due to an increase in IBNR, mainly as a result of Medicare Advantage membership growth. In addition, 2019 was impacted by an increase in the amounts owed to providers under capitated and risk sharing arrangements.</w:t>
      </w: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total net receivables was as follows at December 31, 2019, 2018 and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Commercial and other</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Military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net receivables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Reconciliation to cash flow statement:</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receivables from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380"/>
              <w:spacing w:after="0"/>
              <w:rPr>
                <w:sz w:val="20"/>
                <w:szCs w:val="20"/>
                <w:color w:val="auto"/>
              </w:rPr>
            </w:pPr>
            <w:r>
              <w:rPr>
                <w:rFonts w:ascii="Arial" w:cs="Arial" w:eastAsia="Arial" w:hAnsi="Arial"/>
                <w:sz w:val="18"/>
                <w:szCs w:val="18"/>
                <w:color w:val="auto"/>
              </w:rPr>
              <w:t>Change in receivables disposed from sale of</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business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receivables per cash flow statement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resulting in cash used by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Medicare receivables are impacted by changes in revenue associated with individual and group Medicare membership changes as well as the timing of accruals and related collections associated with the CMS risk-adjustment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03" w:right="239" w:bottom="1440" w:gutter="0" w:footer="0" w:header="0"/>
          <w:type w:val="continuous"/>
        </w:sectPr>
      </w:pPr>
    </w:p>
    <w:bookmarkStart w:id="53" w:name="page54"/>
    <w:bookmarkEnd w:id="53"/>
    <w:p>
      <w:pPr>
        <w:jc w:val="both"/>
        <w:ind w:firstLine="324"/>
        <w:spacing w:after="0" w:line="342" w:lineRule="auto"/>
        <w:rPr>
          <w:sz w:val="20"/>
          <w:szCs w:val="20"/>
          <w:color w:val="auto"/>
        </w:rPr>
      </w:pPr>
      <w:r>
        <w:rPr>
          <w:rFonts w:ascii="Arial" w:cs="Arial" w:eastAsia="Arial" w:hAnsi="Arial"/>
          <w:sz w:val="16"/>
          <w:szCs w:val="16"/>
          <w:color w:val="auto"/>
        </w:rPr>
        <w:t>The decrease in commercial and other receivables in 2018 as compared to 2017, was due primarily to a decrease in our receivable associated with the commercial risk adjustment provision of the Health Care Reform Law. This decrease corresponds with our exit from the Individual Commercial business.</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Military services receivables at December 31, 2019, 2018, and 2017 primarily consist of administrative services only fees owed from the federal government for administrative services provided under our TRICARE contracts. The 2017 balance also includes transition-in receivables under our T2017 East Region contract collected in 2018.</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Many provisions of the Health Care Reform Law became effective in 2014, including the non-deductible health insurance industry fee. The annual health insurance industry fee was suspended for the calendar year 2017, but resumed in calendar year 2018.The annual health insurance industry fee was again suspended in 2019, but will resume for calendar year 2020, not be deductible for income tax purposes, and significantly increase our effective tax rate. Under current law, the health industry fee will be permanently repealed beginning in calendar year 2021. We paid the federal government annual health insurance industry fees of $1.04 billion in 2018.</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timing of payments of benefits expense, receipts for premiums and services revenues, and amounts due under the health insurance industry fee provisions of the Health Care Reform Law, other items impacting operating cash flows include income tax payments and the timing of payroll cycles.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ongoing capital expenditures primarily relate to our information technology initiatives, support of services in our provider services operations including medical and administrative facility improvements necessary for activities such as the provision of care to members, claims processing, billing and collections, wellness solutions, care coordination, regulatory compliance and customer service. Total capital expenditures, excluding acquisitions, were $736 million in 2019, $612 million in 2018, and $524 million in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we completed the sale of our wholly-owned subsidiary KMG to CGIC. Upon closing, we funded the transaction with approximately $190 million of parent company cash contributed into KMG, subject to customary adjustments, in addition to the transfer of approximately $160 million of statutory capital with the sale. Total cash and cash equivalents, including parent company funding, disposed at the time of sale, was $805 million. See Note 3 to the consolidated financial statements included in Item 8. – Financial Statements and Supplementary Data</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2018 we paid cash consideration of approximately $1.1 billion to acquire a 40% minority interest in Kindred at Home, $169 million to acquire the remaining interest in MCCI, and $185 million to acquire all of FPG, as discussed in Notes 3 and 4 to the consolidated financial statements included in Item 8. – Financial Statements and Supplementary Data.</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reinvested a portion of our operating cash flows in investment securities, primarily investment-grade fixed income securities, totaling $542 million, $221 million, and $2.4 billion, during 2019, 2018 and 2017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financing cash flows are significantly impacted by the timing of claims payments and the related receipts from CMS associated with Medicare Part D claim subsidies for which we do not assume risk. Monthly prospective payments from CMS for reinsurance and low-income cost subsidies are based on assumptions submitted with our annual bid. Settlement of the reinsurance and low-income cost subsidies is based on a reconciliation made approximately 9 months after the close of each calendar year. Claims payments were $560 million higher than receipts from CMS associated with Medicare Part D claim subsidies for which we do not assume risk during 2019 and $653 million higher during 2018. Receipts from CMS associated with Medicare Part D claims subsidies for which we do not assume risk were $1.9 billion higher than claims payments during 2017. Our net payable for CMS subsidies and brand name prescription drug discounts was $229 million at December 31, 2019 compared to a net payable of $331 million at December 31, 2018.</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our administrative services only TRICARE contract, health care cost payments for which we do not assume risk exceeded reimbursements from the federal government by $63 million in 2019 and reimbursements from the federal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03"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government exceeded health care cost payments for which we do not assume risk by $38 million in 2018 and $11 million in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Claims payments associated with cost sharing provisions of the Health Care Reform Law for which we do not assume risk were $25 million in 2018. Claims payments associated with cost sharing provisions of the Health Care Reform Law for which we do not assume risk were higher than reimbursements from HHS by $44 million in 2017.</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repurchased common shares for $1.07 billion, $1.09 billion and $3.37 billion in 2019, 2018 and 2017 under share repurchase plans authorized by the Board of Directors and in connection with employee stock plans.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further below, we paid dividends to stockholders of $291 million in 2019, $265 million in 2018, and $220 million in 2017.</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entered into a commercial paper program in October 2014. Net repayments of commercial paper were $360 million in 2019 and the maximum principal amount outstanding at any one time during 2019 was $801 million. Net proceeds from the issuance of commercial paper were $485 million in 2018 and the maximum principal amount outstanding at any one time during 2018 was $923 million. Net repayments of commercial paper were $153 million in 2017 and the maximum principal amount outstanding at any one time during 2017 was $500 million.</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November 2018, we entered into a $1.0 billion term note agreement with a bank at a variable rate of interest due within one year. For a detailed discussion of our debt please refer to Note 13 to the consolidated financial statements included in Item 8. – Financial Statements and Supplementary Data.</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2019, we issued $500 million of 3.125% senior notes due August 15, 2029 and $500 million of 3.950% senior notes due August 15, 2049. Our net proceeds, reduced for the underwriters' discount and commission and offering expenses paid were $987 million. We used the net proceeds from this offering, together with available cash, to repay the $650 million outstanding amount due under our term note in August 2019, and the $400 million aggregate principal amount of our 2.625% senior notes due on maturity at October 1, 2019. In December 2017, we issued $400 million of 2.50% senior notes due December 15, 2020 and $400 million of 2.90% senior notes due December 15, 2022. Our net proceeds, reduced for the underwriters' discount and commission and offering expenses paid as of December 31, 2017, were $794 million. We used the net proceeds, together with available cash, to fund the redemption of our $300 million aggregate principal amount of 6.30% senior notes maturing in August 2018 and our $500 million aggregate principal amount of 7.20% senior notes maturing in June 2018 at 100% of the principal amount plus applicable premium for early redemption and accrued and unpaid interest to the redemption date, for cash totaling approximately $829 million.</w:t>
      </w:r>
    </w:p>
    <w:p>
      <w:pPr>
        <w:spacing w:after="0" w:line="29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remainder of the cash used in or provided by financing activities in 2019, 2018, and 2017 primarily resulted from proceeds from stock option exercises and the change in book overdraft.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Liquidity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detailed discussion of dividends to stockholders, please refer to Note 16 to the consolidated financial statements included in Item 8. – Financial Statements and Supplementary Data.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detailed discussion of stock repurchases, please refer to Note 16 to the consolidated financial statements included in Item 8. – Financial Statements and Supplementary Data.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2020, we entered into a new $1 billion term loan commitment with a bank that allows for up to three draws with the initial draw at a minimum of $300 million that matures 1 year after the first draw, subject to a 1 year extension. Following any initial draw, any unused commitments in excess of $300 million expire on June 30, 2020,</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with the remaining commitments of up to $300 million available until September 30, 2020. If the initial draw has not been made by June 30, 2020, then all commitments expire on June 30, 2020. The facility fee, interest rate and financial covenants are consistent with those of our revolving credit agreement. There is no prepayment penalty.</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detailed discussion of our debt, including our senior notes, credit agreement and commercial paper program, please refer to Note 13 to the consolidated financial statements included in Item 8. – Financial Statements and Supplementary Data.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and Divestiture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detailed discussion of our acquisitions and divestitures, please refer to Notes 3 and 4 to the consolidated financial statements included in Item 8. – Financial Statements and Supplementary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cash balances, investment securities, operating cash flows, and funds available under our credit agreement and our commercial paper program or from other public or private financing sources, taken together, provide adequate resources to fund ongoing operating and regulatory requirements, acquisitions, future expansion opportunities, and capital expenditures for at least the next twelve months, as well as to refinance or repay debt, and repurchase shares.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Adverse changes in our credit rating may increase the rate of interest we pay and may impact the amount of credit available to us in the future. Our investment-grade credit rating at December 31, 2019 was BBB+ according to Standard &amp; Poor’s Rating Services, or S&amp;P, and Baa3 according to Moody’s Investors Services, Inc., or Moody’s. A downgrade by S&amp;P to BB+ or by Moody’s to Ba1 triggers an interest rate increase of 25 basis points with respect to $250 million of our senior notes. Successive one notch downgrades increase the interest rate an additional 25 basis points, or annual interest expense by $1 million, up to a maximum 100 basis points, or annual interest expense by $3 million.</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we operate as a holding company in a highly regulated industry. Humana Inc., our parent company, is dependent upon dividends and administrative expense reimbursements from our subsidiaries, most of which are subject to regulatory restrictions. We continue to maintain significant levels of aggregate excess statutory capital and surplus in our state-regulated operating subsidiaries. Cash, cash equivalents, and short-term investments at the parent company increased to $1.4 billion at December 31, 2019 from $578 million at December 31, 2018. This increase primarily reflects insurance subsidiaries dividends, non-insurance subsidiaries' profits and net proceeds from debt issuance, partially offset by common stock repurchases, insurance subsidiaries' capital contributions, repayment of debt and capital expenditures. Our use of operating cash derived from our non-insurance subsidiaries, such as our Healthcare Services segment, is generally not restricted by Departments of Insurance (or comparable state regulatory agencies). Our regulated insurance subsidiaries paid dividends to the parent of $1.8 billion in 2019, $2.3 billion in 2018, and $1.4 billion in 2017. Refer to our parent company financial statements and accompanying notes in Schedule I - Parent Company Financial Information. The amount of ordinary dividends that may be paid to our parent company in 2020 is approximately $1 billion, in the aggregate. Actual dividends paid may vary due to consideration of excess statutory capital and surplus and expected future surplus requirements related to, for example, premium volume and product mix.</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Requirements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 detailed discussion of our regulatory requirements, including aggregate statutory capital and surplus as well as dividends paid from the subsidiaries to the parent, please refer to Note 16 to the consolidated financial statements included in Item 8. – Financial Statements and Supplementary Data.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contractually obligated to make payments for years subsequent to December 31, 2019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Payments Due by Period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1-3 Years</w:t>
            </w:r>
          </w:p>
        </w:tc>
        <w:tc>
          <w:tcPr>
            <w:tcW w:w="24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0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(1)</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 (2)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obligations (3)</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Future policy benefits payable and other long-term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includes the estimated contractual interest payments under our debt agreements.</w:t>
      </w:r>
    </w:p>
    <w:p>
      <w:pPr>
        <w:spacing w:after="0" w:line="63" w:lineRule="exact"/>
        <w:rPr>
          <w:rFonts w:ascii="Arial" w:cs="Arial" w:eastAsia="Arial" w:hAnsi="Arial"/>
          <w:sz w:val="18"/>
          <w:szCs w:val="18"/>
          <w:color w:val="auto"/>
        </w:rPr>
      </w:pPr>
    </w:p>
    <w:p>
      <w:pPr>
        <w:jc w:val="both"/>
        <w:ind w:left="540" w:hanging="316"/>
        <w:spacing w:after="0" w:line="259"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lease facilities, computer hardware, and other furniture and equipment under long-term operating leases that are noncancelable and expire on various dates through 2046 . We sublease facilities or partial facilities to third party tenants for space not used in our operations which partially mitigates our operating lease commitments. See also Note 10 to the consolidated financial statements included in Item 8. – Financial Statements and Supplementary Data.</w:t>
      </w:r>
    </w:p>
    <w:p>
      <w:pPr>
        <w:spacing w:after="0" w:line="24" w:lineRule="exact"/>
        <w:rPr>
          <w:rFonts w:ascii="Arial" w:cs="Arial" w:eastAsia="Arial" w:hAnsi="Arial"/>
          <w:sz w:val="18"/>
          <w:szCs w:val="18"/>
          <w:color w:val="auto"/>
        </w:rPr>
      </w:pPr>
    </w:p>
    <w:p>
      <w:pPr>
        <w:jc w:val="both"/>
        <w:ind w:left="540" w:hanging="316"/>
        <w:spacing w:after="0" w:line="259"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obligations include agreements to purchase services, primarily information technology related services, or to make improvements to real estate, in each case that are enforceable and legally binding on us and that specify all significant terms, including: fixed or minimum levels of service to be purchased; fixed, minimum or variable price provisions; and the appropriate timing of the transaction. Purchase obligations exclude agreements that are cancelable without penalty.</w:t>
      </w:r>
    </w:p>
    <w:p>
      <w:pPr>
        <w:spacing w:after="0" w:line="24" w:lineRule="exact"/>
        <w:rPr>
          <w:rFonts w:ascii="Arial" w:cs="Arial" w:eastAsia="Arial" w:hAnsi="Arial"/>
          <w:sz w:val="18"/>
          <w:szCs w:val="18"/>
          <w:color w:val="auto"/>
        </w:rPr>
      </w:pPr>
    </w:p>
    <w:p>
      <w:pPr>
        <w:jc w:val="both"/>
        <w:ind w:left="540" w:hanging="316"/>
        <w:spacing w:after="0" w:line="30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future policy benefits payable ceded to third parties through 100% coinsurance agreements as more fully described in Note 19 to the consolidated financial statements included in Item 8. – Financial Statements and Supplementary Data. We expect the assuming reinsurance carriers to fund these obligations and reflected these amounts as reinsurance recoverables included in other long-term assets on our consolidated balance sheet. Amounts payable in less than one year are included in trade accounts payable and accrued expenses in the consolidated balance sheet.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left="60" w:right="20" w:firstLine="324"/>
        <w:spacing w:after="0" w:line="308" w:lineRule="auto"/>
        <w:rPr>
          <w:sz w:val="20"/>
          <w:szCs w:val="20"/>
          <w:color w:val="auto"/>
        </w:rPr>
      </w:pPr>
      <w:r>
        <w:rPr>
          <w:rFonts w:ascii="Arial" w:cs="Arial" w:eastAsia="Arial" w:hAnsi="Arial"/>
          <w:sz w:val="17"/>
          <w:szCs w:val="17"/>
          <w:color w:val="auto"/>
        </w:rPr>
        <w:t>As of December 31, 2019, we were not involved in any special purpose entity, or SPE, transactions. For a detailed discussion of off-balance sheet arrangements, please refer to Note 17 to the consolidated financial statements included in Item 8. – Financial Statements and Supplementary Data.</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left="60" w:right="20" w:firstLine="324"/>
        <w:spacing w:after="0" w:line="277" w:lineRule="auto"/>
        <w:rPr>
          <w:sz w:val="20"/>
          <w:szCs w:val="20"/>
          <w:color w:val="auto"/>
        </w:rPr>
      </w:pPr>
      <w:r>
        <w:rPr>
          <w:rFonts w:ascii="Arial" w:cs="Arial" w:eastAsia="Arial" w:hAnsi="Arial"/>
          <w:sz w:val="18"/>
          <w:szCs w:val="18"/>
          <w:color w:val="auto"/>
        </w:rPr>
        <w:t>For a detailed discussion of our guarantees and indemnifications, please refer to Note 17 to the consolidated financial statements included in Item 8. – Financial Statements and Supplementary Data.</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171"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For a detailed discussion of our government contracts, including our Medicare, Military, and Medicaid contracts, please refer to Note 17 to the consolidated financial statements included in Item 8. – 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0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and accompanying notes, which have been prepared in accordance with accounting principles generally accepted in the United States of America. The preparation of these financial statements and accompanying notes requires us to make estimates and assumptions that affect the amounts reported in the consolidated financial statements and accompanying notes. We continuously evaluate our estimates and those critical accounting policies primarily related to benefits expense and revenue recognition as well as accounting for impairments related to our investment securities, goodwill, and long-lived assets. These estimates are based on knowledge of current events and anticipated future events and, accordingly, actual results ultimately may differ from those estimates. We believe the following critical accounting policies involve the most significant judgments and estimates used in the preparation of our consolidated financial statements.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Expense Recognition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Benefits expense is recognized in the period in which services are provided and includes an estimate of the cost of services which have been incurred but not yet reported, or IBNR. IBNR represents a substantial portion of our benefits payable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2019</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December 31, 2018</w:t>
            </w: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of Total</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6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5"/>
          </w:tcPr>
          <w:p>
            <w:pPr>
              <w:ind w:left="1120"/>
              <w:spacing w:after="0"/>
              <w:rPr>
                <w:sz w:val="20"/>
                <w:szCs w:val="20"/>
                <w:color w:val="auto"/>
              </w:rPr>
            </w:pPr>
            <w:r>
              <w:rPr>
                <w:rFonts w:ascii="Arial" w:cs="Arial" w:eastAsia="Arial" w:hAnsi="Arial"/>
                <w:sz w:val="14"/>
                <w:szCs w:val="14"/>
                <w:b w:val="1"/>
                <w:bCs w:val="1"/>
                <w:color w:val="auto"/>
              </w:rPr>
              <w:t>(dollars in millions)</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Reported claims in process</w:t>
            </w: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benefits payable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Total benefits payable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reserving practice is to consistently recognize the actuarial best point estimate within a level of confidence required by actuarial standards. For further discussion of our reserving methodology, including our use of completion and claims per member per month trend factors to estimate IBNR, refer to Note 2 to the consolidated financial statements included in Item 8. – Financial Statements and Supplementary Data.</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completion and claims per member per month trend factors are the most significant factors impacting the IBNR estimate. The portion of IBNR estimated using completion factors for claims incurred prior to the most recent two months is generally less variable than the portion of IBNR estimated using trend factors. The following table illustrates the sensitivity of these factors assuming moderately adverse experience and the estimated potential impact on our operating results caused by reasonably likely changes in these factors based on December 31, 2019 data:</w:t>
      </w:r>
    </w:p>
    <w:p>
      <w:pPr>
        <w:spacing w:after="0" w:line="285"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29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Completion Factor (a):</w:t>
            </w:r>
          </w:p>
        </w:tc>
        <w:tc>
          <w:tcPr>
            <w:tcW w:w="100" w:type="dxa"/>
            <w:vAlign w:val="bottom"/>
          </w:tcPr>
          <w:p>
            <w:pPr>
              <w:spacing w:after="0"/>
              <w:rPr>
                <w:sz w:val="16"/>
                <w:szCs w:val="16"/>
                <w:color w:val="auto"/>
              </w:rPr>
            </w:pPr>
          </w:p>
        </w:tc>
        <w:tc>
          <w:tcPr>
            <w:tcW w:w="30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Claims Trend Factor (b):</w:t>
            </w:r>
          </w:p>
        </w:tc>
      </w:tr>
      <w:tr>
        <w:trPr>
          <w:trHeight w:val="152"/>
        </w:trPr>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Factor</w:t>
            </w:r>
          </w:p>
        </w:tc>
        <w:tc>
          <w:tcPr>
            <w:tcW w:w="16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Decrease in</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Factor</w:t>
            </w:r>
          </w:p>
        </w:tc>
        <w:tc>
          <w:tcPr>
            <w:tcW w:w="1600" w:type="dxa"/>
            <w:vAlign w:val="bottom"/>
          </w:tcPr>
          <w:p>
            <w:pPr>
              <w:jc w:val="center"/>
              <w:ind w:left="54"/>
              <w:spacing w:after="0" w:line="153" w:lineRule="exact"/>
              <w:rPr>
                <w:sz w:val="20"/>
                <w:szCs w:val="20"/>
                <w:color w:val="auto"/>
              </w:rPr>
            </w:pPr>
            <w:r>
              <w:rPr>
                <w:rFonts w:ascii="Arial" w:cs="Arial" w:eastAsia="Arial" w:hAnsi="Arial"/>
                <w:sz w:val="14"/>
                <w:szCs w:val="14"/>
                <w:b w:val="1"/>
                <w:bCs w:val="1"/>
                <w:color w:val="auto"/>
                <w:w w:val="89"/>
              </w:rPr>
              <w:t>Decrease in</w:t>
            </w:r>
          </w:p>
        </w:tc>
      </w:tr>
      <w:tr>
        <w:trPr>
          <w:trHeight w:val="192"/>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 (c)</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Benefits Payable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Change (c)</w:t>
            </w:r>
          </w:p>
        </w:tc>
        <w:tc>
          <w:tcPr>
            <w:tcW w:w="16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b w:val="1"/>
                <w:bCs w:val="1"/>
                <w:color w:val="auto"/>
                <w:w w:val="90"/>
              </w:rPr>
              <w:t>Benefits Payable</w:t>
            </w:r>
          </w:p>
        </w:tc>
      </w:tr>
      <w:tr>
        <w:trPr>
          <w:trHeight w:val="196"/>
        </w:trPr>
        <w:tc>
          <w:tcPr>
            <w:tcW w:w="1400" w:type="dxa"/>
            <w:vAlign w:val="bottom"/>
          </w:tcPr>
          <w:p>
            <w:pPr>
              <w:spacing w:after="0"/>
              <w:rPr>
                <w:sz w:val="17"/>
                <w:szCs w:val="17"/>
                <w:color w:val="auto"/>
              </w:rPr>
            </w:pPr>
          </w:p>
        </w:tc>
        <w:tc>
          <w:tcPr>
            <w:tcW w:w="3100" w:type="dxa"/>
            <w:vAlign w:val="bottom"/>
            <w:gridSpan w:val="3"/>
          </w:tcPr>
          <w:p>
            <w:pPr>
              <w:ind w:left="106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tcPr>
          <w:p>
            <w:pPr>
              <w:spacing w:after="0"/>
              <w:rPr>
                <w:sz w:val="17"/>
                <w:szCs w:val="17"/>
                <w:color w:val="auto"/>
              </w:rPr>
            </w:pPr>
          </w:p>
        </w:tc>
      </w:tr>
      <w:tr>
        <w:trPr>
          <w:trHeight w:val="256"/>
        </w:trPr>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0.70%</w:t>
            </w:r>
          </w:p>
        </w:tc>
        <w:tc>
          <w:tcPr>
            <w:tcW w:w="1580" w:type="dxa"/>
            <w:vAlign w:val="bottom"/>
            <w:tcBorders>
              <w:bottom w:val="single" w:sz="8" w:color="CCEEFF"/>
            </w:tcBorders>
            <w:shd w:val="clear" w:color="auto" w:fill="CCEEFF"/>
          </w:tcPr>
          <w:p>
            <w:pPr>
              <w:jc w:val="center"/>
              <w:ind w:left="55"/>
              <w:spacing w:after="0"/>
              <w:rPr>
                <w:sz w:val="20"/>
                <w:szCs w:val="20"/>
                <w:color w:val="auto"/>
              </w:rPr>
            </w:pPr>
            <w:r>
              <w:rPr>
                <w:rFonts w:ascii="Arial" w:cs="Arial" w:eastAsia="Arial" w:hAnsi="Arial"/>
                <w:sz w:val="18"/>
                <w:szCs w:val="18"/>
                <w:color w:val="auto"/>
                <w:w w:val="92"/>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600" w:type="dxa"/>
            <w:vAlign w:val="bottom"/>
            <w:tcBorders>
              <w:bottom w:val="single" w:sz="8" w:color="CCEEFF"/>
            </w:tcBorders>
            <w:shd w:val="clear" w:color="auto" w:fill="CCEEFF"/>
          </w:tcPr>
          <w:p>
            <w:pPr>
              <w:jc w:val="center"/>
              <w:ind w:left="74"/>
              <w:spacing w:after="0"/>
              <w:rPr>
                <w:sz w:val="20"/>
                <w:szCs w:val="20"/>
                <w:color w:val="auto"/>
              </w:rPr>
            </w:pPr>
            <w:r>
              <w:rPr>
                <w:rFonts w:ascii="Arial" w:cs="Arial" w:eastAsia="Arial" w:hAnsi="Arial"/>
                <w:sz w:val="18"/>
                <w:szCs w:val="18"/>
                <w:color w:val="auto"/>
                <w:w w:val="92"/>
              </w:rPr>
              <w:t>$(270)</w:t>
            </w:r>
          </w:p>
        </w:tc>
      </w:tr>
      <w:tr>
        <w:trPr>
          <w:trHeight w:val="243"/>
        </w:trPr>
        <w:tc>
          <w:tcPr>
            <w:tcW w:w="1400" w:type="dxa"/>
            <w:vAlign w:val="bottom"/>
          </w:tcPr>
          <w:p>
            <w:pPr>
              <w:jc w:val="center"/>
              <w:spacing w:after="0"/>
              <w:rPr>
                <w:sz w:val="20"/>
                <w:szCs w:val="20"/>
                <w:color w:val="auto"/>
              </w:rPr>
            </w:pPr>
            <w:r>
              <w:rPr>
                <w:rFonts w:ascii="Arial" w:cs="Arial" w:eastAsia="Arial" w:hAnsi="Arial"/>
                <w:sz w:val="18"/>
                <w:szCs w:val="18"/>
                <w:color w:val="auto"/>
                <w:w w:val="93"/>
              </w:rPr>
              <w:t>0.60%</w:t>
            </w:r>
          </w:p>
        </w:tc>
        <w:tc>
          <w:tcPr>
            <w:tcW w:w="1580" w:type="dxa"/>
            <w:vAlign w:val="bottom"/>
          </w:tcPr>
          <w:p>
            <w:pPr>
              <w:jc w:val="center"/>
              <w:ind w:left="55"/>
              <w:spacing w:after="0"/>
              <w:rPr>
                <w:sz w:val="20"/>
                <w:szCs w:val="20"/>
                <w:color w:val="auto"/>
              </w:rPr>
            </w:pPr>
            <w:r>
              <w:rPr>
                <w:rFonts w:ascii="Arial" w:cs="Arial" w:eastAsia="Arial" w:hAnsi="Arial"/>
                <w:sz w:val="18"/>
                <w:szCs w:val="18"/>
                <w:color w:val="auto"/>
                <w:w w:val="92"/>
              </w:rPr>
              <w:t>$(264)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(2.75)%</w:t>
            </w:r>
          </w:p>
        </w:tc>
        <w:tc>
          <w:tcPr>
            <w:tcW w:w="1600" w:type="dxa"/>
            <w:vAlign w:val="bottom"/>
          </w:tcPr>
          <w:p>
            <w:pPr>
              <w:jc w:val="center"/>
              <w:ind w:left="74"/>
              <w:spacing w:after="0"/>
              <w:rPr>
                <w:sz w:val="20"/>
                <w:szCs w:val="20"/>
                <w:color w:val="auto"/>
              </w:rPr>
            </w:pPr>
            <w:r>
              <w:rPr>
                <w:rFonts w:ascii="Arial" w:cs="Arial" w:eastAsia="Arial" w:hAnsi="Arial"/>
                <w:sz w:val="18"/>
                <w:szCs w:val="18"/>
                <w:color w:val="auto"/>
                <w:w w:val="92"/>
              </w:rPr>
              <w:t>$(248)</w:t>
            </w:r>
          </w:p>
        </w:tc>
      </w:tr>
      <w:tr>
        <w:trPr>
          <w:trHeight w:val="27"/>
        </w:trPr>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0.50%</w:t>
            </w:r>
          </w:p>
        </w:tc>
        <w:tc>
          <w:tcPr>
            <w:tcW w:w="1580" w:type="dxa"/>
            <w:vAlign w:val="bottom"/>
            <w:tcBorders>
              <w:bottom w:val="single" w:sz="8" w:color="CCEEFF"/>
            </w:tcBorders>
            <w:shd w:val="clear" w:color="auto" w:fill="CCEEFF"/>
          </w:tcPr>
          <w:p>
            <w:pPr>
              <w:jc w:val="center"/>
              <w:ind w:left="55"/>
              <w:spacing w:after="0"/>
              <w:rPr>
                <w:sz w:val="20"/>
                <w:szCs w:val="20"/>
                <w:color w:val="auto"/>
              </w:rPr>
            </w:pPr>
            <w:r>
              <w:rPr>
                <w:rFonts w:ascii="Arial" w:cs="Arial" w:eastAsia="Arial" w:hAnsi="Arial"/>
                <w:sz w:val="18"/>
                <w:szCs w:val="18"/>
                <w:color w:val="auto"/>
                <w:w w:val="92"/>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1600" w:type="dxa"/>
            <w:vAlign w:val="bottom"/>
            <w:tcBorders>
              <w:bottom w:val="single" w:sz="8" w:color="CCEEFF"/>
            </w:tcBorders>
            <w:shd w:val="clear" w:color="auto" w:fill="CCEEFF"/>
          </w:tcPr>
          <w:p>
            <w:pPr>
              <w:jc w:val="center"/>
              <w:ind w:left="74"/>
              <w:spacing w:after="0"/>
              <w:rPr>
                <w:sz w:val="20"/>
                <w:szCs w:val="20"/>
                <w:color w:val="auto"/>
              </w:rPr>
            </w:pPr>
            <w:r>
              <w:rPr>
                <w:rFonts w:ascii="Arial" w:cs="Arial" w:eastAsia="Arial" w:hAnsi="Arial"/>
                <w:sz w:val="18"/>
                <w:szCs w:val="18"/>
                <w:color w:val="auto"/>
                <w:w w:val="92"/>
              </w:rPr>
              <w:t>$(225)</w:t>
            </w:r>
          </w:p>
        </w:tc>
      </w:tr>
      <w:tr>
        <w:trPr>
          <w:trHeight w:val="243"/>
        </w:trPr>
        <w:tc>
          <w:tcPr>
            <w:tcW w:w="1400" w:type="dxa"/>
            <w:vAlign w:val="bottom"/>
          </w:tcPr>
          <w:p>
            <w:pPr>
              <w:jc w:val="center"/>
              <w:spacing w:after="0"/>
              <w:rPr>
                <w:sz w:val="20"/>
                <w:szCs w:val="20"/>
                <w:color w:val="auto"/>
              </w:rPr>
            </w:pPr>
            <w:r>
              <w:rPr>
                <w:rFonts w:ascii="Arial" w:cs="Arial" w:eastAsia="Arial" w:hAnsi="Arial"/>
                <w:sz w:val="18"/>
                <w:szCs w:val="18"/>
                <w:color w:val="auto"/>
                <w:w w:val="93"/>
              </w:rPr>
              <w:t>0.40%</w:t>
            </w:r>
          </w:p>
        </w:tc>
        <w:tc>
          <w:tcPr>
            <w:tcW w:w="1580" w:type="dxa"/>
            <w:vAlign w:val="bottom"/>
          </w:tcPr>
          <w:p>
            <w:pPr>
              <w:jc w:val="center"/>
              <w:ind w:left="55"/>
              <w:spacing w:after="0"/>
              <w:rPr>
                <w:sz w:val="20"/>
                <w:szCs w:val="20"/>
                <w:color w:val="auto"/>
              </w:rPr>
            </w:pPr>
            <w:r>
              <w:rPr>
                <w:rFonts w:ascii="Arial" w:cs="Arial" w:eastAsia="Arial" w:hAnsi="Arial"/>
                <w:sz w:val="18"/>
                <w:szCs w:val="18"/>
                <w:color w:val="auto"/>
                <w:w w:val="92"/>
              </w:rPr>
              <w:t>$(176)</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(2.25)%</w:t>
            </w:r>
          </w:p>
        </w:tc>
        <w:tc>
          <w:tcPr>
            <w:tcW w:w="1600" w:type="dxa"/>
            <w:vAlign w:val="bottom"/>
          </w:tcPr>
          <w:p>
            <w:pPr>
              <w:jc w:val="center"/>
              <w:ind w:left="74"/>
              <w:spacing w:after="0"/>
              <w:rPr>
                <w:sz w:val="20"/>
                <w:szCs w:val="20"/>
                <w:color w:val="auto"/>
              </w:rPr>
            </w:pPr>
            <w:r>
              <w:rPr>
                <w:rFonts w:ascii="Arial" w:cs="Arial" w:eastAsia="Arial" w:hAnsi="Arial"/>
                <w:sz w:val="18"/>
                <w:szCs w:val="18"/>
                <w:color w:val="auto"/>
                <w:w w:val="92"/>
              </w:rPr>
              <w:t>$(203)</w:t>
            </w:r>
          </w:p>
        </w:tc>
      </w:tr>
      <w:tr>
        <w:trPr>
          <w:trHeight w:val="27"/>
        </w:trPr>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c>
          <w:tcPr>
            <w:tcW w:w="1580" w:type="dxa"/>
            <w:vAlign w:val="bottom"/>
            <w:tcBorders>
              <w:bottom w:val="single" w:sz="8" w:color="CCEEFF"/>
            </w:tcBorders>
            <w:shd w:val="clear" w:color="auto" w:fill="CCEEFF"/>
          </w:tcPr>
          <w:p>
            <w:pPr>
              <w:jc w:val="center"/>
              <w:ind w:left="55"/>
              <w:spacing w:after="0"/>
              <w:rPr>
                <w:sz w:val="20"/>
                <w:szCs w:val="20"/>
                <w:color w:val="auto"/>
              </w:rPr>
            </w:pPr>
            <w:r>
              <w:rPr>
                <w:rFonts w:ascii="Arial" w:cs="Arial" w:eastAsia="Arial" w:hAnsi="Arial"/>
                <w:sz w:val="18"/>
                <w:szCs w:val="18"/>
                <w:color w:val="auto"/>
                <w:w w:val="92"/>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1600" w:type="dxa"/>
            <w:vAlign w:val="bottom"/>
            <w:tcBorders>
              <w:bottom w:val="single" w:sz="8" w:color="CCEEFF"/>
            </w:tcBorders>
            <w:shd w:val="clear" w:color="auto" w:fill="CCEEFF"/>
          </w:tcPr>
          <w:p>
            <w:pPr>
              <w:jc w:val="center"/>
              <w:ind w:left="74"/>
              <w:spacing w:after="0"/>
              <w:rPr>
                <w:sz w:val="20"/>
                <w:szCs w:val="20"/>
                <w:color w:val="auto"/>
              </w:rPr>
            </w:pPr>
            <w:r>
              <w:rPr>
                <w:rFonts w:ascii="Arial" w:cs="Arial" w:eastAsia="Arial" w:hAnsi="Arial"/>
                <w:sz w:val="18"/>
                <w:szCs w:val="18"/>
                <w:color w:val="auto"/>
                <w:w w:val="92"/>
              </w:rPr>
              <w:t>$(180)</w:t>
            </w:r>
          </w:p>
        </w:tc>
      </w:tr>
      <w:tr>
        <w:trPr>
          <w:trHeight w:val="243"/>
        </w:trPr>
        <w:tc>
          <w:tcPr>
            <w:tcW w:w="1400" w:type="dxa"/>
            <w:vAlign w:val="bottom"/>
          </w:tcPr>
          <w:p>
            <w:pPr>
              <w:jc w:val="center"/>
              <w:spacing w:after="0"/>
              <w:rPr>
                <w:sz w:val="20"/>
                <w:szCs w:val="20"/>
                <w:color w:val="auto"/>
              </w:rPr>
            </w:pPr>
            <w:r>
              <w:rPr>
                <w:rFonts w:ascii="Arial" w:cs="Arial" w:eastAsia="Arial" w:hAnsi="Arial"/>
                <w:sz w:val="18"/>
                <w:szCs w:val="18"/>
                <w:color w:val="auto"/>
                <w:w w:val="93"/>
              </w:rPr>
              <w:t>0.20%</w:t>
            </w:r>
          </w:p>
        </w:tc>
        <w:tc>
          <w:tcPr>
            <w:tcW w:w="1580" w:type="dxa"/>
            <w:vAlign w:val="bottom"/>
          </w:tcPr>
          <w:p>
            <w:pPr>
              <w:jc w:val="center"/>
              <w:ind w:left="55"/>
              <w:spacing w:after="0"/>
              <w:rPr>
                <w:sz w:val="20"/>
                <w:szCs w:val="20"/>
                <w:color w:val="auto"/>
              </w:rPr>
            </w:pPr>
            <w:r>
              <w:rPr>
                <w:rFonts w:ascii="Arial" w:cs="Arial" w:eastAsia="Arial" w:hAnsi="Arial"/>
                <w:sz w:val="18"/>
                <w:szCs w:val="18"/>
                <w:color w:val="auto"/>
                <w:w w:val="95"/>
              </w:rPr>
              <w:t>$(88)</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(1.75)%</w:t>
            </w:r>
          </w:p>
        </w:tc>
        <w:tc>
          <w:tcPr>
            <w:tcW w:w="1600" w:type="dxa"/>
            <w:vAlign w:val="bottom"/>
          </w:tcPr>
          <w:p>
            <w:pPr>
              <w:jc w:val="center"/>
              <w:ind w:left="74"/>
              <w:spacing w:after="0"/>
              <w:rPr>
                <w:sz w:val="20"/>
                <w:szCs w:val="20"/>
                <w:color w:val="auto"/>
              </w:rPr>
            </w:pPr>
            <w:r>
              <w:rPr>
                <w:rFonts w:ascii="Arial" w:cs="Arial" w:eastAsia="Arial" w:hAnsi="Arial"/>
                <w:sz w:val="18"/>
                <w:szCs w:val="18"/>
                <w:color w:val="auto"/>
                <w:w w:val="92"/>
              </w:rPr>
              <w:t>$(158)</w:t>
            </w:r>
          </w:p>
        </w:tc>
      </w:tr>
      <w:tr>
        <w:trPr>
          <w:trHeight w:val="27"/>
        </w:trPr>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0.10%</w:t>
            </w:r>
          </w:p>
        </w:tc>
        <w:tc>
          <w:tcPr>
            <w:tcW w:w="15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5"/>
              </w:rPr>
              <w:t>$(44)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16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2"/>
              </w:rPr>
              <w:t>$(135)</w:t>
            </w:r>
          </w:p>
        </w:tc>
      </w:tr>
      <w:tr>
        <w:trPr>
          <w:trHeight w:val="27"/>
        </w:trPr>
        <w:tc>
          <w:tcPr>
            <w:tcW w:w="1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40" w:hanging="316"/>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estimated potential changes in benefits payable at December 31, 2019 caused by changes in completion factors for incurred months prior to the most recent two months.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58" w:name="page59"/>
    <w:bookmarkEnd w:id="58"/>
    <w:p>
      <w:pPr>
        <w:ind w:left="480" w:hanging="316"/>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estimated potential changes in benefits payable at December 31, 2019 caused by changes in annualized claims trend used for the estimation of per member per month incurred claims for the most recent two months.</w:t>
      </w:r>
    </w:p>
    <w:p>
      <w:pPr>
        <w:spacing w:after="0" w:line="8" w:lineRule="exact"/>
        <w:rPr>
          <w:rFonts w:ascii="Arial" w:cs="Arial" w:eastAsia="Arial" w:hAnsi="Arial"/>
          <w:sz w:val="18"/>
          <w:szCs w:val="18"/>
          <w:color w:val="auto"/>
        </w:rPr>
      </w:pPr>
    </w:p>
    <w:p>
      <w:pPr>
        <w:ind w:left="480" w:hanging="316"/>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factor change indicated represents the percentage point change.</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following table provides a historical perspective regarding the accrual and payment of our benefits payable, excluding military services. Components of the total incurred claims for each year include amounts accrued for current year estimated benefits expense as well as adjustments to prior year estimated accruals. Refer to Note 11 to the consolidated financial statements included in Item 8. – Financial Statements and Supplementary Data for Retail and Group and Specialty segment tables including information about incurred and paid claims development as of December 31, 2019, net of reinsurance, as well as cumulative claim frequency and the total of IBNR included within the net incurred claims amounts.</w:t>
      </w:r>
    </w:p>
    <w:p>
      <w:pPr>
        <w:spacing w:after="0" w:line="28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w:t>
            </w:r>
          </w:p>
        </w:tc>
        <w:tc>
          <w:tcPr>
            <w:tcW w:w="2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Less: Reinsurance recoverables</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net</w:t>
            </w:r>
          </w:p>
        </w:tc>
        <w:tc>
          <w:tcPr>
            <w:tcW w:w="2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Incurred related to:</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2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44,001</w:t>
            </w:r>
          </w:p>
        </w:tc>
        <w:tc>
          <w:tcPr>
            <w:tcW w:w="0" w:type="dxa"/>
            <w:vAlign w:val="bottom"/>
          </w:tcPr>
          <w:p>
            <w:pPr>
              <w:spacing w:after="0"/>
              <w:rPr>
                <w:sz w:val="1"/>
                <w:szCs w:val="1"/>
                <w:color w:val="auto"/>
              </w:rPr>
            </w:pPr>
          </w:p>
        </w:tc>
      </w:tr>
      <w:tr>
        <w:trPr>
          <w:trHeight w:val="243"/>
        </w:trPr>
        <w:tc>
          <w:tcPr>
            <w:tcW w:w="338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incurred</w:t>
            </w:r>
          </w:p>
        </w:tc>
        <w:tc>
          <w:tcPr>
            <w:tcW w:w="2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43,518</w:t>
            </w:r>
          </w:p>
        </w:tc>
        <w:tc>
          <w:tcPr>
            <w:tcW w:w="0" w:type="dxa"/>
            <w:vAlign w:val="bottom"/>
          </w:tcPr>
          <w:p>
            <w:pPr>
              <w:spacing w:after="0"/>
              <w:rPr>
                <w:sz w:val="1"/>
                <w:szCs w:val="1"/>
                <w:color w:val="auto"/>
              </w:rPr>
            </w:pPr>
          </w:p>
        </w:tc>
      </w:tr>
      <w:tr>
        <w:trPr>
          <w:trHeight w:val="223"/>
        </w:trPr>
        <w:tc>
          <w:tcPr>
            <w:tcW w:w="3380" w:type="dxa"/>
            <w:vAlign w:val="bottom"/>
          </w:tcPr>
          <w:p>
            <w:pPr>
              <w:ind w:left="40"/>
              <w:spacing w:after="0"/>
              <w:rPr>
                <w:sz w:val="20"/>
                <w:szCs w:val="20"/>
                <w:color w:val="auto"/>
              </w:rPr>
            </w:pPr>
            <w:r>
              <w:rPr>
                <w:rFonts w:ascii="Arial" w:cs="Arial" w:eastAsia="Arial" w:hAnsi="Arial"/>
                <w:sz w:val="18"/>
                <w:szCs w:val="18"/>
                <w:color w:val="auto"/>
              </w:rPr>
              <w:t>Paid related to:</w:t>
            </w:r>
          </w:p>
        </w:tc>
        <w:tc>
          <w:tcPr>
            <w:tcW w:w="2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3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2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(39,496)</w:t>
            </w:r>
          </w:p>
        </w:tc>
        <w:tc>
          <w:tcPr>
            <w:tcW w:w="0" w:type="dxa"/>
            <w:vAlign w:val="bottom"/>
          </w:tcPr>
          <w:p>
            <w:pPr>
              <w:spacing w:after="0"/>
              <w:rPr>
                <w:sz w:val="1"/>
                <w:szCs w:val="1"/>
                <w:color w:val="auto"/>
              </w:rPr>
            </w:pPr>
          </w:p>
        </w:tc>
      </w:tr>
      <w:tr>
        <w:trPr>
          <w:trHeight w:val="243"/>
        </w:trPr>
        <w:tc>
          <w:tcPr>
            <w:tcW w:w="338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paid</w:t>
            </w:r>
          </w:p>
        </w:tc>
        <w:tc>
          <w:tcPr>
            <w:tcW w:w="2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Reinsurance recoverable</w:t>
            </w:r>
          </w:p>
        </w:tc>
        <w:tc>
          <w:tcPr>
            <w:tcW w:w="2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w:t>
            </w:r>
          </w:p>
        </w:tc>
        <w:tc>
          <w:tcPr>
            <w:tcW w:w="2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Arial" w:cs="Arial" w:eastAsia="Arial" w:hAnsi="Arial"/>
                <w:sz w:val="18"/>
                <w:szCs w:val="18"/>
                <w:color w:val="auto"/>
              </w:rPr>
              <w:t>59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3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341" w:right="239" w:bottom="1440" w:gutter="0" w:footer="0" w:header="0"/>
        </w:sectPr>
      </w:pPr>
    </w:p>
    <w:bookmarkStart w:id="59" w:name="page60"/>
    <w:bookmarkEnd w:id="59"/>
    <w:p>
      <w:pPr>
        <w:jc w:val="both"/>
        <w:ind w:firstLine="324"/>
        <w:spacing w:after="0" w:line="312" w:lineRule="auto"/>
        <w:rPr>
          <w:sz w:val="20"/>
          <w:szCs w:val="20"/>
          <w:color w:val="auto"/>
        </w:rPr>
      </w:pPr>
      <w:r>
        <w:rPr>
          <w:rFonts w:ascii="Arial" w:cs="Arial" w:eastAsia="Arial" w:hAnsi="Arial"/>
          <w:sz w:val="16"/>
          <w:szCs w:val="16"/>
          <w:color w:val="auto"/>
        </w:rPr>
        <w:t>The following table summarizes the changes in estimate for incurred claims related to prior years attributable to our key assumptions. As previously described, our key assumptions consist of trend and completion factors estimated using an assumption of moderately adverse conditions. The amounts below represent the difference between our original estimates and the actual benefits expense ultimately incurred as determined from subsequent claim payments.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gridSpan w:val="9"/>
          </w:tcPr>
          <w:p>
            <w:pPr>
              <w:jc w:val="center"/>
              <w:ind w:left="208"/>
              <w:spacing w:after="0"/>
              <w:rPr>
                <w:sz w:val="20"/>
                <w:szCs w:val="20"/>
                <w:color w:val="auto"/>
              </w:rPr>
            </w:pPr>
            <w:r>
              <w:rPr>
                <w:rFonts w:ascii="Arial" w:cs="Arial" w:eastAsia="Arial" w:hAnsi="Arial"/>
                <w:sz w:val="14"/>
                <w:szCs w:val="14"/>
                <w:b w:val="1"/>
                <w:bCs w:val="1"/>
                <w:color w:val="auto"/>
                <w:w w:val="91"/>
              </w:rPr>
              <w:t>Favorable Development by Changes in Key Assumptions</w:t>
            </w: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88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34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3"/>
              </w:rPr>
              <w:t>Factor</w:t>
            </w:r>
          </w:p>
        </w:tc>
        <w:tc>
          <w:tcPr>
            <w:tcW w:w="180" w:type="dxa"/>
            <w:vAlign w:val="bottom"/>
          </w:tcPr>
          <w:p>
            <w:pPr>
              <w:spacing w:after="0"/>
              <w:rPr>
                <w:sz w:val="13"/>
                <w:szCs w:val="13"/>
                <w:color w:val="auto"/>
              </w:rPr>
            </w:pPr>
          </w:p>
        </w:tc>
        <w:tc>
          <w:tcPr>
            <w:tcW w:w="8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3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8"/>
              </w:rPr>
              <w:t>Factor</w:t>
            </w:r>
          </w:p>
        </w:tc>
        <w:tc>
          <w:tcPr>
            <w:tcW w:w="200" w:type="dxa"/>
            <w:vAlign w:val="bottom"/>
          </w:tcPr>
          <w:p>
            <w:pPr>
              <w:spacing w:after="0"/>
              <w:rPr>
                <w:sz w:val="13"/>
                <w:szCs w:val="13"/>
                <w:color w:val="auto"/>
              </w:rPr>
            </w:pPr>
          </w:p>
        </w:tc>
        <w:tc>
          <w:tcPr>
            <w:tcW w:w="7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24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Factor</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Change (a)</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Change (a)</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(a)</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Trend factors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Completion factors</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The factor change indicated represents the percentage point change.</w:t>
      </w:r>
    </w:p>
    <w:p>
      <w:pPr>
        <w:spacing w:after="0" w:line="171"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As previously discussed, our reserving practice is to consistently recognize the actuarial best estimate of our ultimate liability for claims. Actuarial standards require the use of assumptions based on moderately adverse experience, which generally results in favorable reserve development, or reserves that are considered redundant. We experienced favorable medical claims reserve development related to prior fiscal years of $336 million in 2019, $503 million in 2018, and $483 million in 2017. The table below details our favorable medical claims reserve development related to prior fiscal years by segment for 2019,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44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3"/>
              </w:rPr>
              <w:t>(Favorable) Unfavorable Medical Claims Reserve</w:t>
            </w:r>
          </w:p>
        </w:tc>
        <w:tc>
          <w:tcPr>
            <w:tcW w:w="320" w:type="dxa"/>
            <w:vAlign w:val="bottom"/>
          </w:tcPr>
          <w:p>
            <w:pPr>
              <w:spacing w:after="0"/>
              <w:rPr>
                <w:sz w:val="14"/>
                <w:szCs w:val="14"/>
                <w:color w:val="auto"/>
              </w:rPr>
            </w:pPr>
          </w:p>
        </w:tc>
        <w:tc>
          <w:tcPr>
            <w:tcW w:w="152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Development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Segment</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Group and Specialty Segment</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Individual Commercial Segment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Businesses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favorable medical claims reserve development for 2019, 2018, and 2017 primarily reflects the consistent application of trend and completion factors estimated using an assumption of moderately adverse conditions. Our favorable development for each of the years presented above is discussed further in Note 11 to the consolidated financial statements included in Item 8. – Financial Statements and Supplementary Data.</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adjust our historical trend and completion factor experience with our knowledge of recent events that may impact current trends and completion factors when establishing our reserves. Because our reserving practice is to consistently recognize the actuarial best point estimate using an assumption of moderately adverse conditions as required by actuarial standards, there is a reasonable possibility that variances between actual trend and completion factors and those assumed in our December 31, 2019 estimates would fall towards the middle of the ranges previously presented in our sensitivity table.</w:t>
      </w:r>
    </w:p>
    <w:p>
      <w:pPr>
        <w:spacing w:after="0" w:line="29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was no benefit expense excluded from the previous table for the years ended December 31, 2019 and 2018. Benefits expense reduced by $22 million associated with future policy benefits for the year ended December 31, 2017 was excluded from the previous table.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establish one-year commercial membership contracts with employer groups, subject to cancellation by the employer group on 30-day written notice. Our Medicare contracts with CMS renew annually. Our military services contracts with the federal government and certain contracts with various state Medicaid programs generally are multi-year contracts subject to annual renewal provisions.</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receive monthly premiums from the federal government and various states according to government specified payment rates and various contractual terms. We bill and collect premium from employer groups and members in our Medicare and other individual products monthly. Changes in premium revenues resulting from the periodic changes in risk-adjustment scores derived from medical diagnoses for our membership are estimated by projecting the ultimate annual premium and recognized ratably during the year with adjustments each period to reflect changes in the ultimate premium.</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Premiums revenue is estimated by multiplying the membership covered under the various contracts by the contractual rates. Premiums revenue is recognized as income in the period members are entitled to receive services, and is net of estimated uncollectible amounts, retroactive membership adjustments, and adjustments to recognize rebates under the minimum benefit ratios required under the Health Care Reform Law. We estimate policyholder rebates by projecting calendar year minimum benefit ratios for the small group and large group markets, as defined by the Health Care Reform Law using a methodology prescribed by HHS, separately by state and legal entity. Medicare Advantage products are also subject to minimum benefit ratio requirements under the Health Care Reform Law. Estimated calendar year rebates recognized ratably during the year are revised each period to reflect current experience. Retroactive membership adjustments result from enrollment changes not yet processed, or not yet reported by an employer group or the government. We routinely monitor the collectability of specific accounts, the aging of receivables, historical retroactivity trends, estimated rebates, as well as prevailing and anticipated economic conditions, and reflect any required adjustments in current operations. Premiums received prior to the service period are recorded as unearned revenues.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Medicare Risk-Adjustment Provisions</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CMS utilizes a risk-adjustment model which apportions premiums paid to Medicare Advantage, or MA, plans according to health severity. The risk-adjustment model, which CMS implemented pursuant to the Balanced Budget Act of 1997(BBA) and the Benefits Improvement and Protection Act of 2000 (BIPA), generally pays more for enrollees with predictably higher costs. Under the risk-adjustment methodology, all MA plans must collect and submit the necessary diagnosis code information from hospital inpatient, hospital outpatient, and physician providers to CMS within prescribed deadlines. The CMS risk-adjustment model uses this diagnosis data to calculate the risk-adjusted premium payment to MA plans. Rates paid to MA plans are established under an actuarial bid model, including a process that bases our payments on a comparison of our beneficiaries’ risk scores, derived from medical diagnoses, to those enrolled in the government’s Medicare FFS program. We generally rely on providers, including certain providers in our network who are our employees, to code their claim submissions with appropriate diagnoses, which we send to CMS as the basis for our payment received from CMS under the actuarial risk-adjustment model. We also rely on providers to appropriately document all medical data, including the diagnosis data submitted with claims. CMS is phasing-in the process of calculating risk scores using diagnoses data from the Risk Adjustment Processing System, or RAPS, to diagnoses data from the Encounter Data System, or EDS. The RAPS process requires MA plans to apply a filter logic based on CMS guidelines and only submit diagnoses that satisfy those guidelines. For submissions through EDS, CMS requires MA plans to submit all the encounter data and CMS will apply the risk adjustment filtering logic to determine the risk scores. For 2019, 25% of the risk score was calculated from claims data submitted through EDS. CMS will increase that percentage to 50% in 2020 and has proposed to increase that percentage to 75% in 2021. The phase-in from RAPS to EDS could result in different risk scores from each dataset as a result of plan processing issues, CMS processing issues, or filtering logic differences between RAPS and EDS, and could have a material adverse effect on our results of operations, financial position, or cash flows. We estimate risk-adjustment revenues based on medical diagnoses for our membership. The risk-adjustment model, including CMS changes to the submission process, is more fully described in Item 1. – Business under the section titled “Individual Medicare,” and in Item 1A. - Risk Factors.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securities totaled $11.4 billion, or 39% of total assets at December 31, 2019, and $10.4 billion, or 41% of total assets at December 31, 2018. The investment portfolio was primarily comprised of debt securities, detailed below, at December 31, 2019 and entirely at December 31, 2018. The fair value of debt securities were as follows at December 31, 2019 and 2018: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12/31/2019</w:t>
            </w:r>
          </w:p>
        </w:tc>
        <w:tc>
          <w:tcPr>
            <w:tcW w:w="120" w:type="dxa"/>
            <w:vAlign w:val="bottom"/>
          </w:tcPr>
          <w:p>
            <w:pPr>
              <w:spacing w:after="0"/>
              <w:rPr>
                <w:sz w:val="14"/>
                <w:szCs w:val="14"/>
                <w:color w:val="auto"/>
              </w:rPr>
            </w:pPr>
          </w:p>
        </w:tc>
        <w:tc>
          <w:tcPr>
            <w:tcW w:w="1760" w:type="dxa"/>
            <w:vAlign w:val="bottom"/>
            <w:gridSpan w:val="2"/>
          </w:tcPr>
          <w:p>
            <w:pPr>
              <w:ind w:left="48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13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12/31/2018</w:t>
            </w:r>
          </w:p>
        </w:tc>
        <w:tc>
          <w:tcPr>
            <w:tcW w:w="100" w:type="dxa"/>
            <w:vAlign w:val="bottom"/>
          </w:tcPr>
          <w:p>
            <w:pPr>
              <w:spacing w:after="0"/>
              <w:rPr>
                <w:sz w:val="14"/>
                <w:szCs w:val="14"/>
                <w:color w:val="auto"/>
              </w:rPr>
            </w:pPr>
          </w:p>
        </w:tc>
        <w:tc>
          <w:tcPr>
            <w:tcW w:w="1660" w:type="dxa"/>
            <w:vAlign w:val="bottom"/>
          </w:tcPr>
          <w:p>
            <w:pPr>
              <w:jc w:val="right"/>
              <w:ind w:right="41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of Total</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588"/>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5"/>
          </w:tcPr>
          <w:p>
            <w:pPr>
              <w:ind w:left="1120"/>
              <w:spacing w:after="0"/>
              <w:rPr>
                <w:sz w:val="20"/>
                <w:szCs w:val="20"/>
                <w:color w:val="auto"/>
              </w:rPr>
            </w:pPr>
            <w:r>
              <w:rPr>
                <w:rFonts w:ascii="Arial" w:cs="Arial" w:eastAsia="Arial" w:hAnsi="Arial"/>
                <w:sz w:val="14"/>
                <w:szCs w:val="14"/>
                <w:b w:val="1"/>
                <w:bCs w:val="1"/>
                <w:color w:val="auto"/>
              </w:rPr>
              <w:t>(dollars in millions)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U.S. Treasury and other U.S. government corporations and</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Tax-exempt municipal securities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7"/>
        </w:trPr>
        <w:tc>
          <w:tcPr>
            <w:tcW w:w="4620" w:type="dxa"/>
            <w:vAlign w:val="bottom"/>
          </w:tcPr>
          <w:p>
            <w:pPr>
              <w:ind w:left="720"/>
              <w:spacing w:after="0"/>
              <w:rPr>
                <w:sz w:val="20"/>
                <w:szCs w:val="20"/>
                <w:color w:val="auto"/>
              </w:rPr>
            </w:pPr>
            <w:r>
              <w:rPr>
                <w:rFonts w:ascii="Arial" w:cs="Arial" w:eastAsia="Arial" w:hAnsi="Arial"/>
                <w:sz w:val="18"/>
                <w:szCs w:val="18"/>
                <w:color w:val="auto"/>
              </w:rPr>
              <w:t>Total debt securities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11,371</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96% of our debt securities were investment-grade quality, with a weighted average credit rating of AA by S&amp;P at December 31, 2019. Most of the debt securities that were below investment-grade were rated BB, the higher end of the below investment-grade rating scale. Tax-exempt municipal securities were diversified among general obligation bonds of states and local municipalities in the United States as well as special revenue bonds issued by municipalities to finance specific public works projects such as utilities, water and sewer, transportation, or education. Our general obligation bonds are diversified across the United States with no individual state exceeding 1% of our total debt securities. Our investment policy limits investments in a single issuer and requires diversification among various asset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2" w:name="page63"/>
    <w:bookmarkEnd w:id="62"/>
    <w:p>
      <w:pPr>
        <w:jc w:val="both"/>
        <w:ind w:right="20" w:firstLine="324"/>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December 31, 2019:</w:t>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right="155"/>
              <w:spacing w:after="0"/>
              <w:rPr>
                <w:sz w:val="20"/>
                <w:szCs w:val="20"/>
                <w:color w:val="auto"/>
              </w:rPr>
            </w:pPr>
            <w:r>
              <w:rPr>
                <w:rFonts w:ascii="Arial" w:cs="Arial" w:eastAsia="Arial" w:hAnsi="Arial"/>
                <w:sz w:val="14"/>
                <w:szCs w:val="14"/>
                <w:b w:val="1"/>
                <w:bCs w:val="1"/>
                <w:color w:val="auto"/>
                <w:w w:val="92"/>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2019</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U.S. Treasury and other U.S. government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and agency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municipal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the other-than-temporary impairment model for debt securities held, we recognize an impairment loss in income in an amount equal to the full difference between the amortized cost basis and the fair value when we have the intent to sell the debt security or it is more likely than not we will be required to sell the debt security before recovery of our amortized cost basis. However, if we do not intend to sell the debt security, we evaluate the expected cash flows to be received as compared to amortized cost and determine if a credit loss has occurred. In the event of a credit loss, only the amount of the impairment associated with the credit loss is recognized currently in income with the remainder of the loss recognized in other comprehensive income.</w:t>
      </w:r>
    </w:p>
    <w:p>
      <w:pPr>
        <w:spacing w:after="0" w:line="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When we do not intend to sell a security in an unrealized loss position, potential other-than-temporary impairment is considered using a variety of factors, including the length of time and extent to which the fair value has been less than cost; adverse conditions specifically related to the industry, geographic area or financial condition of the issuer or underlying collateral of a security; payment structure of the security; changes in credit rating of the security by the rating agencies; the volatility of the fair value changes; and changes in fair value of the security after the balance sheet date. For debt securities, we take into account expectations of relevant market and economic data. For example, with respect to mortgage and asset-backed securities, such data includes underlying loan level data and structural features such as seniority and other forms of credit enhancements. A decline in fair value is considered other-than-temporary when we do not expect to recover the entire amortized cost basis of the security. We estimate the amount of the credit loss component of a debt security as the difference between the amortized cost and the present value of the expected cash flows of the security. The present value is determined using the best estimate of future cash flows discounted at the implicit interest rate at the date of purchase. The risks inherent in assessing the impairment of an investment include the risk that market factors may differ from our expectations, facts and circumstances factored into our assessment may change with the passage of time, or we may decide to subsequently sell the investment. The determination of whether a decline in the value of an investment is other than temporary requires us to exercise significant diligence and judgment. The discovery of new information and the passage of time can significantly change these judgments. The status of the general economic environment and significant changes in the national securities markets influence the determination of fair value and the assessment of investment impairment. There is a continuing risk that declines in fair value may occur and additional material realized losses from sales or other-than-temporary impairments may be recorded in future periods.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3" w:name="page64"/>
    <w:bookmarkEnd w:id="63"/>
    <w:p>
      <w:pPr>
        <w:jc w:val="both"/>
        <w:ind w:firstLine="324"/>
        <w:spacing w:after="0" w:line="255" w:lineRule="auto"/>
        <w:rPr>
          <w:sz w:val="20"/>
          <w:szCs w:val="20"/>
          <w:color w:val="auto"/>
        </w:rPr>
      </w:pPr>
      <w:r>
        <w:rPr>
          <w:rFonts w:ascii="Arial" w:cs="Arial" w:eastAsia="Arial" w:hAnsi="Arial"/>
          <w:sz w:val="18"/>
          <w:szCs w:val="18"/>
          <w:color w:val="auto"/>
        </w:rPr>
        <w:t>All issuers of securities we own that were trading at an unrealized loss at December 31, 2019 remain current on all contractual payments. After taking into account these and other factors previously described, we believe these unrealized losses primarily were caused by an increase in market interest rates in the current markets since the time the securities were purchased. At December 31, 2019, we did not intend to sell the securities with an unrealized loss position in accumulated other comprehensive income, and it is not likely that we will be required to sell these securities before recovery of their amortized cost basis. As a result, we believe that the securities with an unrealized loss were not other-than-temporarily impaired at December 31, 2019. There were no material other-than-temporary impairments in 2019, 2018, or 2017.</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Long-lived Assets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goodwill and other long-lived assets represented 21% of total assets and 50% of total stockholders’ equity, compared to 23% and 58%, respectively, at December 31, 2018.</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required to test at least annually for impairment at a level of reporting referred to as the reporting unit, and more frequently if adverse events or changes in circumstances indicate that the asset may be impaired. A reporting unit either is our operating segments or one level below the operating segments, referred to as a component, which comprise our reportable segments. A component is considered a reporting unit if the component constitutes a business for which discrete financial information is available that is regularly reviewed by management. We are required to aggregate the components of an operating segment into one reporting unit if they have similar economic characteristics. Goodwill is assigned to the reporting unit that is expected to benefit from a specific acquisition.</w:t>
      </w:r>
    </w:p>
    <w:p>
      <w:pPr>
        <w:spacing w:after="0" w:line="8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use the one-step process to review goodwill for impairment to determine both the existence and amount of goodwill impairment, if any. Our strategy, long-range business plan, and annual planning process support our goodwill impairment tests. These tests are performed, at a minimum, annually in the fourth quarter, and are based on an evaluation of future discounted cash flows. We rely on this discounted cash flow analysis to determine fair value. However outcomes from the discounted cash flow analysis are compared to other market approach valuation methodologies for reasonableness. We use discount rates that correspond to a market-based weighted-average cost of capital and terminal growth rates that correspond to long-term growth prospects, consistent with the long-term inflation rate. Key assumptions in our cash flow projections, including changes in membership, premium yields, medical and operating cost trends, and certain government contract extensions, are consistent with those utilized in our long-range business plan and annual planning process. If these assumptions differ from actual, including the impact of the Health Care Reform Law or changes in Government rates, the estimates underlying our goodwill impairment tests could be adversely affected. Goodwill impairment tests completed in each of the last three years did not result in an impairment loss. The fair value of our reporting units with significant goodwill exceeded carrying amounts by a substantial margin. A 100 basis point increase in the discount rate would not have a significant impact on the amount of margin for any of our reporting units with significant goodwill, with the exception of our clinical and provider reporting units in our Healthcare Services segment. Our clinical and provider reporting units primarily provide services to our Retail members. A significant increase in the discount rate, decrease in the long-term growth rate, or substantial reductions in our underlying cash flow assumptions, including revenue growth rates, medical and operating cost trends, and projected operating income, could have a negative impact on the estimated fair value of these reporting units. The clinical reporting unit had a fair value of $544 million which exceeded its carrying value of $533 million by $11 million or 2%. If the discount rate increased 100 basis points, then the clinical reporting unit would incur an impairment loss of approximately $62 million. The provider reporting unit had a fair value of $2.3 billion which exceeded its carrying value of $1.3 billion by $1.0 billion or 78%. The provider reporting unit estimate of fair value relies on multiple assumptions regarding the underlying long-term cash flows, any one of which may be significantly impacted by future changes in estimates and may negatively impact fair value. The clinical and provider reporting units account for $524 million and $761 million, respectively, of goodwill. Impairment tests completed for 2019, 2018, and 2017 did not result in an impairment loss.</w:t>
      </w:r>
    </w:p>
    <w:p>
      <w:pPr>
        <w:spacing w:after="0" w:line="6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Long-lived assets consist of property and equipment and other finite-lived intangible assets. These assets are depreciated or amortized over their estimated useful life, and are subject to impairment reviews. We periodically review long-lived assets whenever adverse events or changes in circumstances indicate the carrying value of the asset may not be recoverable. In assessing recoverability, we must make assumptions regarding estimated future cash flows and other factors to determine if an impairment loss may exist, and, if so, estimate fair value. We also must estimate and make assumptions regarding the useful life we assign to our long-lived assets. If these estimates or their related assumptions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4" w:name="page65"/>
    <w:bookmarkEnd w:id="64"/>
    <w:p>
      <w:pPr>
        <w:jc w:val="both"/>
        <w:ind w:right="20"/>
        <w:spacing w:after="0" w:line="277" w:lineRule="auto"/>
        <w:rPr>
          <w:sz w:val="20"/>
          <w:szCs w:val="20"/>
          <w:color w:val="auto"/>
        </w:rPr>
      </w:pPr>
      <w:r>
        <w:rPr>
          <w:rFonts w:ascii="Arial" w:cs="Arial" w:eastAsia="Arial" w:hAnsi="Arial"/>
          <w:sz w:val="18"/>
          <w:szCs w:val="18"/>
          <w:color w:val="auto"/>
        </w:rPr>
        <w:t>change in the future, we may be required to record impairment losses or change the useful life, including accelerating depreciation or amortization for these assets. There were no material impairment losses in the last three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earnings and financial position are exposed to financial market risk, including those resulting from changes in interest rates.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level of our pretax earnings is subject to market risk due to changes in interest rates and the resulting impact on investment income and interest expense. In the past we have, and in the future we may enter into interest rate swap agreements depending on market conditions and other factors. Amounts borrowed under the revolving credit portion of our $2.0 billion unsecured revolving credit agreement bear interest at either LIBOR plus a spread or the base rate plus a spread. There were no borrowings outstanding under our credit agreement at December 31, 2019 or December 31, 2018.</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rate risk also represents a market risk factor affecting our consolidated financial position due to our significant investment portfolio, consisting primarily of fixed maturity securities of investment-grade quality with a weighted average S&amp;P credit rating of AA at December 31, 2019. Our net unrealized position increased $415 million from a net unrealized loss position of $204 million at December 31, 2018 to a net unrealized gain position of $211 million at December 31, 2019. At December 31, 2019, we had gross unrealized losses of $8 million on our investment portfolio primarily due to an increase in market interest rates since the time the securities were purchased. There were no material other-than-temporary impairments during 2019. While we believe that these impairments are temporary and we currently do not have the intent to sell such securities, given the current market conditions and the significant judgments involved, there is a continuing risk that future declines in fair value may occur and material realized losses from sales or other-than-temporary impairments may be recorded in future periods.</w:t>
      </w:r>
    </w:p>
    <w:p>
      <w:pPr>
        <w:spacing w:after="0" w:line="13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Duration is the time-weighted average of the present value of the bond portfolio’s cash flow. Duration is indicative of the relationship between changes in fair value and changes in interest rates, providing a general indication of the sensitivity of the fair values of our fixed maturity securities to changes in interest rates. However, actual fair values may differ significantly from estimates based on duration. The average duration of our investment portfolio, including cash and cash equivalents, was approximately 2.5 years as of December 31, 2019 and 2.9 years as of December 31, 2018. Based on the duration including cash equivalents, a 1% increase in interest rates would generally decrease the fair value of our securities by approximately $373 million.</w:t>
      </w:r>
    </w:p>
    <w:p>
      <w:pPr>
        <w:spacing w:after="0" w:line="10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also evaluated the impact on our investment income and interest expense resulting from a hypothetical change in interest rates of 100, 200, and 300 basis points over the next twelve-month period, as reflected in the following table. The evaluation was based on our investment portfolio and our outstanding indebtedness at December 31, 2019 and 2018. Our investment portfolio consists of cash, cash equivalents, and investment securities. The modeling technique used to calculate the pro forma net change in pretax earnings considered the cash flows related to fixed income investments and debt, which are subject to interest rate changes during a prospective twelve-month period. This evaluation measures parallel shifts in interest rates and may not account for certain unpredictable events that may affect interest income, including unexpected changes of cash flows into and out of the portfolio, changes in the asset allocation, including shifts between taxable and tax-exempt securities, and spread changes specific to various investment categories. In the past ten years, changes in 10 year US treasury rates during the year have not exceeded 300 basis points, have changed between 200 and 300 basis points once, have changed between 100 and 200 basis points four times, and have changed by less than 100 basis points five times.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Increase (decrease)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Increase (decrease) in</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pretax earnings given an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gridSpan w:val="6"/>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pretax earnings given an</w:t>
            </w:r>
          </w:p>
        </w:tc>
        <w:tc>
          <w:tcPr>
            <w:tcW w:w="94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interest rate decrease of</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interest rate increase of</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2"/>
        </w:trPr>
        <w:tc>
          <w:tcPr>
            <w:tcW w:w="3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0"/>
              </w:rPr>
              <w:t>X basis points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X basis points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w:t>
            </w: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7"/>
              </w:rPr>
              <w:t>(200)</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100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200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300</w:t>
            </w:r>
          </w:p>
        </w:tc>
      </w:tr>
      <w:tr>
        <w:trPr>
          <w:trHeight w:val="250"/>
        </w:trPr>
        <w:tc>
          <w:tcPr>
            <w:tcW w:w="3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8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Investment income (a)</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(150)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235</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(b)</w:t>
            </w: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Pretax</w:t>
            </w:r>
          </w:p>
        </w:tc>
        <w:tc>
          <w:tcPr>
            <w:tcW w:w="80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w:t>
            </w:r>
          </w:p>
        </w:tc>
      </w:tr>
      <w:tr>
        <w:trPr>
          <w:trHeight w:val="67"/>
        </w:trPr>
        <w:tc>
          <w:tcPr>
            <w:tcW w:w="334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Investment income (a)</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(154)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175</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(b)</w:t>
            </w: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Pretax</w:t>
            </w:r>
          </w:p>
        </w:tc>
        <w:tc>
          <w:tcPr>
            <w:tcW w:w="80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w:t>
            </w:r>
          </w:p>
        </w:tc>
      </w:tr>
      <w:tr>
        <w:trPr>
          <w:trHeight w:val="27"/>
        </w:trPr>
        <w:tc>
          <w:tcPr>
            <w:tcW w:w="3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hanging="316"/>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2019 and 2018, some of our investments had interest rates below 2% so the assumed hypothetical change in pretax earnings does not reflect the full 2% point reduction.</w:t>
      </w:r>
    </w:p>
    <w:p>
      <w:pPr>
        <w:spacing w:after="0" w:line="8" w:lineRule="exact"/>
        <w:rPr>
          <w:rFonts w:ascii="Arial" w:cs="Arial" w:eastAsia="Arial" w:hAnsi="Arial"/>
          <w:sz w:val="18"/>
          <w:szCs w:val="18"/>
          <w:color w:val="auto"/>
        </w:rPr>
      </w:pPr>
    </w:p>
    <w:p>
      <w:pPr>
        <w:jc w:val="both"/>
        <w:ind w:left="540" w:hanging="316"/>
        <w:spacing w:after="0" w:line="259"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interest rate under our senior notes is fixed. There were no borrowings outstanding under the credit agreement at December 31, 2019 or December 31, 2018. There was $300 million and $645 million outstanding under our commercial paper program at December 31, 2019 and 2018, respectively. As of December 31, 2019, our interest rate under our commercial paper program was less than 3% so the assumed hypothetical change in pretax earnings does not reflect the full 3% point reduction.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8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Humana Inc.</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0"/>
              </w:rPr>
              <w:t>(in millions, except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 amounts)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Investment securities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10,972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Receivables, less allowance for doubtful accounts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 $69 in 2019 and $79 in 2018</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19,888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 in Kindred at Home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29,074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Benefits payable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 and accrued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Book overdraft</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10,929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policy benefits payable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17,037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15,252</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$1 par; 10,000,000 shares authorized; none issued</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$0.16 2/3 par; 300,000,000 shares authorized;</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198,629,992 shares issued at December 31, 2019 and 198,594,841</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at December 31, 2018</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Capital in excess of par value</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17,483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stock, at cost, 66,524,771 shares at December 31, 2019</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63,028,169 shares at December 31, 2018</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4"/>
              </w:rPr>
              <w:t>12,037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29,074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960" w:type="dxa"/>
            <w:vAlign w:val="bottom"/>
            <w:gridSpan w:val="2"/>
          </w:tcPr>
          <w:p>
            <w:pPr>
              <w:ind w:left="2640"/>
              <w:spacing w:after="0"/>
              <w:rPr>
                <w:sz w:val="20"/>
                <w:szCs w:val="20"/>
                <w:color w:val="auto"/>
              </w:rPr>
            </w:pPr>
            <w:r>
              <w:rPr>
                <w:rFonts w:ascii="Arial" w:cs="Arial" w:eastAsia="Arial" w:hAnsi="Arial"/>
                <w:sz w:val="18"/>
                <w:szCs w:val="18"/>
                <w:color w:val="auto"/>
                <w:w w:val="92"/>
              </w:rPr>
              <w:t>The accompanying notes are an integral part of the consolidated financial statements.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7900" w:type="dxa"/>
            <w:vAlign w:val="bottom"/>
          </w:tcPr>
          <w:p>
            <w:pPr>
              <w:ind w:left="5620"/>
              <w:spacing w:after="0"/>
              <w:rPr>
                <w:sz w:val="20"/>
                <w:szCs w:val="20"/>
                <w:color w:val="auto"/>
              </w:rPr>
            </w:pPr>
            <w:r>
              <w:rPr>
                <w:rFonts w:ascii="Arial" w:cs="Arial" w:eastAsia="Arial" w:hAnsi="Arial"/>
                <w:sz w:val="18"/>
                <w:szCs w:val="18"/>
                <w:color w:val="auto"/>
              </w:rPr>
              <w:t>67</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7" w:name="page68"/>
    <w:bookmarkEnd w:id="6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For the year ended December 31,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196"/>
        </w:trPr>
        <w:tc>
          <w:tcPr>
            <w:tcW w:w="5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80" w:type="dxa"/>
            <w:vAlign w:val="bottom"/>
            <w:gridSpan w:val="7"/>
          </w:tcPr>
          <w:p>
            <w:pPr>
              <w:jc w:val="right"/>
              <w:ind w:right="230"/>
              <w:spacing w:after="0"/>
              <w:rPr>
                <w:sz w:val="20"/>
                <w:szCs w:val="20"/>
                <w:color w:val="auto"/>
              </w:rPr>
            </w:pPr>
            <w:r>
              <w:rPr>
                <w:rFonts w:ascii="Arial" w:cs="Arial" w:eastAsia="Arial" w:hAnsi="Arial"/>
                <w:sz w:val="14"/>
                <w:szCs w:val="14"/>
                <w:b w:val="1"/>
                <w:bCs w:val="1"/>
                <w:color w:val="auto"/>
              </w:rPr>
              <w:t>(in millions, except per share results)</w:t>
            </w:r>
          </w:p>
        </w:tc>
        <w:tc>
          <w:tcPr>
            <w:tcW w:w="1380" w:type="dxa"/>
            <w:vAlign w:val="bottom"/>
          </w:tcPr>
          <w:p>
            <w:pPr>
              <w:spacing w:after="0"/>
              <w:rPr>
                <w:sz w:val="17"/>
                <w:szCs w:val="17"/>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Premiums</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62,948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54,941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52,380</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11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64,888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56,912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53,767</w:t>
            </w:r>
          </w:p>
        </w:tc>
      </w:tr>
      <w:tr>
        <w:trPr>
          <w:trHeight w:val="223"/>
        </w:trPr>
        <w:tc>
          <w:tcPr>
            <w:tcW w:w="57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5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43,496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costs</w:t>
            </w:r>
          </w:p>
        </w:tc>
        <w:tc>
          <w:tcPr>
            <w:tcW w:w="11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6,567</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termination fee and related costs, net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49,505</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4,262</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242</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 net earnings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4,020</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in net earnings of Kindred at Home</w:t>
            </w:r>
          </w:p>
        </w:tc>
        <w:tc>
          <w:tcPr>
            <w:tcW w:w="11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2,448</w:t>
            </w: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common share</w:t>
            </w:r>
          </w:p>
        </w:tc>
        <w:tc>
          <w:tcPr>
            <w:tcW w:w="114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16.94</w:t>
            </w:r>
          </w:p>
        </w:tc>
      </w:tr>
      <w:tr>
        <w:trPr>
          <w:trHeight w:val="251"/>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20.10</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40" w:right="239" w:bottom="1440" w:gutter="0" w:footer="0" w:header="0"/>
        </w:sectPr>
      </w:pPr>
    </w:p>
    <w:bookmarkStart w:id="68" w:name="page69"/>
    <w:bookmarkEnd w:id="68"/>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196"/>
        </w:trPr>
        <w:tc>
          <w:tcPr>
            <w:tcW w:w="6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2,707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gross unrealized investment losses/gains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Effect of income taxes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change in unrealized investment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gains/losses, net of tax</w:t>
            </w: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09"/>
        </w:trPr>
        <w:tc>
          <w:tcPr>
            <w:tcW w:w="6400" w:type="dxa"/>
            <w:vAlign w:val="bottom"/>
          </w:tcPr>
          <w:p>
            <w:pPr>
              <w:ind w:left="380"/>
              <w:spacing w:after="0"/>
              <w:rPr>
                <w:sz w:val="20"/>
                <w:szCs w:val="20"/>
                <w:color w:val="auto"/>
              </w:rPr>
            </w:pPr>
            <w:r>
              <w:rPr>
                <w:rFonts w:ascii="Arial" w:cs="Arial" w:eastAsia="Arial" w:hAnsi="Arial"/>
                <w:sz w:val="18"/>
                <w:szCs w:val="18"/>
                <w:color w:val="auto"/>
              </w:rPr>
              <w:t>Reclassification adjustment for net realized</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gains included in investment income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income taxes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reclassification adjustment, net of tax</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09"/>
        </w:trPr>
        <w:tc>
          <w:tcPr>
            <w:tcW w:w="6400" w:type="dxa"/>
            <w:vAlign w:val="bottom"/>
          </w:tcPr>
          <w:p>
            <w:pPr>
              <w:ind w:left="40"/>
              <w:spacing w:after="0"/>
              <w:rPr>
                <w:sz w:val="20"/>
                <w:szCs w:val="20"/>
                <w:color w:val="auto"/>
              </w:rPr>
            </w:pPr>
            <w:r>
              <w:rPr>
                <w:rFonts w:ascii="Arial" w:cs="Arial" w:eastAsia="Arial" w:hAnsi="Arial"/>
                <w:sz w:val="18"/>
                <w:szCs w:val="18"/>
                <w:color w:val="auto"/>
              </w:rPr>
              <w:t>Comprehensive income attributable to our equity method</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investment in Kindred at Home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Comprehensive income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3,022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40" w:right="239" w:bottom="1440" w:gutter="0" w:footer="0" w:header="0"/>
        </w:sectPr>
      </w:pPr>
    </w:p>
    <w:bookmarkStart w:id="69" w:name="page70"/>
    <w:bookmarkEnd w:id="69"/>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98"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22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220" w:type="dxa"/>
            <w:vAlign w:val="bottom"/>
            <w:tcBorders>
              <w:bottom w:val="single" w:sz="8" w:color="auto"/>
            </w:tcBorders>
            <w:gridSpan w:val="2"/>
            <w:vMerge w:val="continue"/>
          </w:tcPr>
          <w:p>
            <w:pPr>
              <w:spacing w:after="0"/>
              <w:rPr>
                <w:sz w:val="9"/>
                <w:szCs w:val="9"/>
                <w:color w:val="auto"/>
              </w:rPr>
            </w:pPr>
          </w:p>
        </w:tc>
        <w:tc>
          <w:tcPr>
            <w:tcW w:w="13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Capital In</w:t>
            </w:r>
          </w:p>
        </w:tc>
        <w:tc>
          <w:tcPr>
            <w:tcW w:w="1220" w:type="dxa"/>
            <w:vAlign w:val="bottom"/>
          </w:tcPr>
          <w:p>
            <w:pPr>
              <w:spacing w:after="0"/>
              <w:rPr>
                <w:sz w:val="9"/>
                <w:szCs w:val="9"/>
                <w:color w:val="auto"/>
              </w:rPr>
            </w:pPr>
          </w:p>
        </w:tc>
        <w:tc>
          <w:tcPr>
            <w:tcW w:w="16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Other</w:t>
            </w:r>
          </w:p>
        </w:tc>
        <w:tc>
          <w:tcPr>
            <w:tcW w:w="1160" w:type="dxa"/>
            <w:vAlign w:val="bottom"/>
          </w:tcPr>
          <w:p>
            <w:pPr>
              <w:spacing w:after="0"/>
              <w:rPr>
                <w:sz w:val="9"/>
                <w:szCs w:val="9"/>
                <w:color w:val="auto"/>
              </w:rPr>
            </w:pPr>
          </w:p>
        </w:tc>
        <w:tc>
          <w:tcPr>
            <w:tcW w:w="1140" w:type="dxa"/>
            <w:vAlign w:val="bottom"/>
          </w:tcPr>
          <w:p>
            <w:pPr>
              <w:jc w:val="center"/>
              <w:ind w:left="231"/>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1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Amount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5"/>
              </w:rPr>
              <w:t>Excess of</w:t>
            </w:r>
          </w:p>
        </w:tc>
        <w:tc>
          <w:tcPr>
            <w:tcW w:w="1220" w:type="dxa"/>
            <w:vAlign w:val="bottom"/>
          </w:tcPr>
          <w:p>
            <w:pPr>
              <w:ind w:left="360"/>
              <w:spacing w:after="0"/>
              <w:rPr>
                <w:sz w:val="20"/>
                <w:szCs w:val="20"/>
                <w:color w:val="auto"/>
              </w:rPr>
            </w:pPr>
            <w:r>
              <w:rPr>
                <w:rFonts w:ascii="Arial" w:cs="Arial" w:eastAsia="Arial" w:hAnsi="Arial"/>
                <w:sz w:val="14"/>
                <w:szCs w:val="14"/>
                <w:b w:val="1"/>
                <w:bCs w:val="1"/>
                <w:color w:val="auto"/>
              </w:rPr>
              <w:t>Retained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140" w:type="dxa"/>
            <w:vAlign w:val="bottom"/>
          </w:tcPr>
          <w:p>
            <w:pPr>
              <w:jc w:val="center"/>
              <w:ind w:left="231"/>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114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Par Value</w:t>
            </w:r>
          </w:p>
        </w:tc>
        <w:tc>
          <w:tcPr>
            <w:tcW w:w="122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ind w:left="23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7620</wp:posOffset>
            </wp:positionV>
            <wp:extent cx="5651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10"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(dollars in millions, share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80"/>
          </w:cols>
          <w:pgMar w:left="280" w:top="1440" w:right="23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Balances, January 1, 2017</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198,495</w:t>
            </w:r>
          </w:p>
        </w:tc>
        <w:tc>
          <w:tcPr>
            <w:tcW w:w="12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Common stock repurchases</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69"/>
        </w:trPr>
        <w:tc>
          <w:tcPr>
            <w:tcW w:w="2480" w:type="dxa"/>
            <w:vAlign w:val="bottom"/>
          </w:tcPr>
          <w:p>
            <w:pPr>
              <w:spacing w:after="0"/>
              <w:rPr>
                <w:sz w:val="20"/>
                <w:szCs w:val="20"/>
                <w:color w:val="auto"/>
              </w:rPr>
            </w:pPr>
            <w:r>
              <w:rPr>
                <w:rFonts w:ascii="Arial" w:cs="Arial" w:eastAsia="Arial" w:hAnsi="Arial"/>
                <w:sz w:val="14"/>
                <w:szCs w:val="14"/>
                <w:color w:val="auto"/>
              </w:rPr>
              <w:t>Dividends and dividend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equivalents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Restricted stock unit vesting</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276"/>
        </w:trPr>
        <w:tc>
          <w:tcPr>
            <w:tcW w:w="2480" w:type="dxa"/>
            <w:vAlign w:val="bottom"/>
          </w:tcPr>
          <w:p>
            <w:pPr>
              <w:spacing w:after="0"/>
              <w:rPr>
                <w:sz w:val="20"/>
                <w:szCs w:val="20"/>
                <w:color w:val="auto"/>
              </w:rPr>
            </w:pPr>
            <w:r>
              <w:rPr>
                <w:rFonts w:ascii="Arial" w:cs="Arial" w:eastAsia="Arial" w:hAnsi="Arial"/>
                <w:sz w:val="14"/>
                <w:szCs w:val="14"/>
                <w:color w:val="auto"/>
              </w:rPr>
              <w:t>Stock option exercises</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r>
      <w:tr>
        <w:trPr>
          <w:trHeight w:val="244"/>
        </w:trPr>
        <w:tc>
          <w:tcPr>
            <w:tcW w:w="2480" w:type="dxa"/>
            <w:vAlign w:val="bottom"/>
          </w:tcPr>
          <w:p>
            <w:pPr>
              <w:spacing w:after="0"/>
              <w:rPr>
                <w:sz w:val="20"/>
                <w:szCs w:val="20"/>
                <w:color w:val="auto"/>
              </w:rPr>
            </w:pPr>
            <w:r>
              <w:rPr>
                <w:rFonts w:ascii="Arial" w:cs="Arial" w:eastAsia="Arial" w:hAnsi="Arial"/>
                <w:sz w:val="14"/>
                <w:szCs w:val="14"/>
                <w:color w:val="auto"/>
              </w:rPr>
              <w:t>Balances, December 31, 2017</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198,572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21"/>
                <w:szCs w:val="2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Common stock repurchases</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69"/>
        </w:trPr>
        <w:tc>
          <w:tcPr>
            <w:tcW w:w="2480" w:type="dxa"/>
            <w:vAlign w:val="bottom"/>
          </w:tcPr>
          <w:p>
            <w:pPr>
              <w:spacing w:after="0"/>
              <w:rPr>
                <w:sz w:val="20"/>
                <w:szCs w:val="20"/>
                <w:color w:val="auto"/>
              </w:rPr>
            </w:pPr>
            <w:r>
              <w:rPr>
                <w:rFonts w:ascii="Arial" w:cs="Arial" w:eastAsia="Arial" w:hAnsi="Arial"/>
                <w:sz w:val="14"/>
                <w:szCs w:val="14"/>
                <w:color w:val="auto"/>
              </w:rPr>
              <w:t>Dividends and dividend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equivalents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Restricted stock unit vesting</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276"/>
        </w:trPr>
        <w:tc>
          <w:tcPr>
            <w:tcW w:w="2480" w:type="dxa"/>
            <w:vAlign w:val="bottom"/>
          </w:tcPr>
          <w:p>
            <w:pPr>
              <w:spacing w:after="0"/>
              <w:rPr>
                <w:sz w:val="20"/>
                <w:szCs w:val="20"/>
                <w:color w:val="auto"/>
              </w:rPr>
            </w:pPr>
            <w:r>
              <w:rPr>
                <w:rFonts w:ascii="Arial" w:cs="Arial" w:eastAsia="Arial" w:hAnsi="Arial"/>
                <w:sz w:val="14"/>
                <w:szCs w:val="14"/>
                <w:color w:val="auto"/>
              </w:rPr>
              <w:t>Stock option exercises</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r>
      <w:tr>
        <w:trPr>
          <w:trHeight w:val="258"/>
        </w:trPr>
        <w:tc>
          <w:tcPr>
            <w:tcW w:w="2480" w:type="dxa"/>
            <w:vAlign w:val="bottom"/>
          </w:tcPr>
          <w:p>
            <w:pPr>
              <w:spacing w:after="0"/>
              <w:rPr>
                <w:sz w:val="20"/>
                <w:szCs w:val="20"/>
                <w:color w:val="auto"/>
              </w:rPr>
            </w:pPr>
            <w:r>
              <w:rPr>
                <w:rFonts w:ascii="Arial" w:cs="Arial" w:eastAsia="Arial" w:hAnsi="Arial"/>
                <w:sz w:val="14"/>
                <w:szCs w:val="14"/>
                <w:color w:val="auto"/>
              </w:rPr>
              <w:t>Balances, December 31, 2018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198,595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22"/>
                <w:szCs w:val="22"/>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Common stock repurchases</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69"/>
        </w:trPr>
        <w:tc>
          <w:tcPr>
            <w:tcW w:w="2480" w:type="dxa"/>
            <w:vAlign w:val="bottom"/>
          </w:tcPr>
          <w:p>
            <w:pPr>
              <w:spacing w:after="0"/>
              <w:rPr>
                <w:sz w:val="20"/>
                <w:szCs w:val="20"/>
                <w:color w:val="auto"/>
              </w:rPr>
            </w:pPr>
            <w:r>
              <w:rPr>
                <w:rFonts w:ascii="Arial" w:cs="Arial" w:eastAsia="Arial" w:hAnsi="Arial"/>
                <w:sz w:val="14"/>
                <w:szCs w:val="14"/>
                <w:color w:val="auto"/>
              </w:rPr>
              <w:t>Dividends and dividend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equivalents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color w:val="auto"/>
              </w:rPr>
              <w:t>Restricted stock unit vesting</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276"/>
        </w:trPr>
        <w:tc>
          <w:tcPr>
            <w:tcW w:w="2480" w:type="dxa"/>
            <w:vAlign w:val="bottom"/>
          </w:tcPr>
          <w:p>
            <w:pPr>
              <w:spacing w:after="0"/>
              <w:rPr>
                <w:sz w:val="20"/>
                <w:szCs w:val="20"/>
                <w:color w:val="auto"/>
              </w:rPr>
            </w:pPr>
            <w:r>
              <w:rPr>
                <w:rFonts w:ascii="Arial" w:cs="Arial" w:eastAsia="Arial" w:hAnsi="Arial"/>
                <w:sz w:val="14"/>
                <w:szCs w:val="14"/>
                <w:color w:val="auto"/>
              </w:rPr>
              <w:t>Stock option exercises</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r>
      <w:tr>
        <w:trPr>
          <w:trHeight w:val="243"/>
        </w:trPr>
        <w:tc>
          <w:tcPr>
            <w:tcW w:w="2480" w:type="dxa"/>
            <w:vAlign w:val="bottom"/>
          </w:tcPr>
          <w:p>
            <w:pPr>
              <w:spacing w:after="0"/>
              <w:rPr>
                <w:sz w:val="20"/>
                <w:szCs w:val="20"/>
                <w:color w:val="auto"/>
              </w:rPr>
            </w:pPr>
            <w:r>
              <w:rPr>
                <w:rFonts w:ascii="Arial" w:cs="Arial" w:eastAsia="Arial" w:hAnsi="Arial"/>
                <w:sz w:val="14"/>
                <w:szCs w:val="14"/>
                <w:color w:val="auto"/>
              </w:rPr>
              <w:t>Balances, December 31, 2019</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198,630</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2,562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11,454</w:t>
            </w:r>
          </w:p>
        </w:tc>
        <w:tc>
          <w:tcPr>
            <w:tcW w:w="100" w:type="dxa"/>
            <w:vAlign w:val="bottom"/>
          </w:tcPr>
          <w:p>
            <w:pPr>
              <w:spacing w:after="0"/>
              <w:rPr>
                <w:sz w:val="15"/>
                <w:szCs w:val="15"/>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(3,298)</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10,685</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2,448</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70"/>
        </w:trPr>
        <w:tc>
          <w:tcPr>
            <w:tcW w:w="560" w:type="dxa"/>
            <w:vAlign w:val="bottom"/>
          </w:tcPr>
          <w:p>
            <w:pPr>
              <w:jc w:val="right"/>
              <w:ind w:right="128"/>
              <w:spacing w:after="0"/>
              <w:rPr>
                <w:sz w:val="20"/>
                <w:szCs w:val="20"/>
                <w:color w:val="auto"/>
              </w:rPr>
            </w:pPr>
            <w:r>
              <w:rPr>
                <w:rFonts w:ascii="Arial" w:cs="Arial" w:eastAsia="Arial" w:hAnsi="Arial"/>
                <w:sz w:val="14"/>
                <w:szCs w:val="14"/>
                <w:color w:val="auto"/>
              </w:rPr>
              <w:t>(200)</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(3,365)</w:t>
            </w:r>
          </w:p>
        </w:tc>
      </w:tr>
      <w:tr>
        <w:trPr>
          <w:trHeight w:val="351"/>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157</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270"/>
        </w:trPr>
        <w:tc>
          <w:tcPr>
            <w:tcW w:w="560" w:type="dxa"/>
            <w:vAlign w:val="bottom"/>
          </w:tcPr>
          <w:p>
            <w:pPr>
              <w:jc w:val="right"/>
              <w:ind w:right="128"/>
              <w:spacing w:after="0"/>
              <w:rPr>
                <w:sz w:val="20"/>
                <w:szCs w:val="20"/>
                <w:color w:val="auto"/>
              </w:rPr>
            </w:pPr>
            <w:r>
              <w:rPr>
                <w:rFonts w:ascii="Arial" w:cs="Arial" w:eastAsia="Arial" w:hAnsi="Arial"/>
                <w:sz w:val="14"/>
                <w:szCs w:val="14"/>
                <w:color w:val="auto"/>
              </w:rPr>
              <w:t>(138)</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64</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44"/>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2,445</w:t>
            </w: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13,670</w:t>
            </w: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(6,325)</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9,842</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1,683</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50</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(1,090)</w:t>
            </w:r>
          </w:p>
        </w:tc>
      </w:tr>
      <w:tr>
        <w:trPr>
          <w:trHeight w:val="351"/>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137</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70"/>
        </w:trPr>
        <w:tc>
          <w:tcPr>
            <w:tcW w:w="560" w:type="dxa"/>
            <w:vAlign w:val="bottom"/>
          </w:tcPr>
          <w:p>
            <w:pPr>
              <w:jc w:val="right"/>
              <w:ind w:right="128"/>
              <w:spacing w:after="0"/>
              <w:rPr>
                <w:sz w:val="20"/>
                <w:szCs w:val="20"/>
                <w:color w:val="auto"/>
              </w:rPr>
            </w:pPr>
            <w:r>
              <w:rPr>
                <w:rFonts w:ascii="Arial" w:cs="Arial" w:eastAsia="Arial" w:hAnsi="Arial"/>
                <w:sz w:val="14"/>
                <w:szCs w:val="14"/>
                <w:color w:val="auto"/>
              </w:rPr>
              <w:t>(145)</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48</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58"/>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2,535</w:t>
            </w:r>
          </w:p>
        </w:tc>
        <w:tc>
          <w:tcPr>
            <w:tcW w:w="3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15,072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(7,320)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10,161</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2,707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2,707</w:t>
            </w:r>
          </w:p>
        </w:tc>
      </w:tr>
      <w:tr>
        <w:trPr>
          <w:trHeight w:val="270"/>
        </w:trPr>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315</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150</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351"/>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163</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163</w:t>
            </w:r>
          </w:p>
        </w:tc>
      </w:tr>
      <w:tr>
        <w:trPr>
          <w:trHeight w:val="270"/>
        </w:trPr>
        <w:tc>
          <w:tcPr>
            <w:tcW w:w="56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20</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r>
      <w:tr>
        <w:trPr>
          <w:trHeight w:val="237"/>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2,820</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17,483</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12,037</w:t>
            </w:r>
          </w:p>
        </w:tc>
      </w:tr>
      <w:tr>
        <w:trPr>
          <w:trHeight w:val="20"/>
        </w:trPr>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-4124325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-3781425</wp:posOffset>
            </wp:positionV>
            <wp:extent cx="72466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-3387090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-2700655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-2357755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-1963420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-1268730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-925830</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-530860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-1619885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-3043555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920" w:space="620"/>
            <w:col w:w="5840"/>
          </w:cols>
          <w:pgMar w:left="280" w:top="1440" w:right="239" w:bottom="1440" w:gutter="0" w:footer="0" w:header="0"/>
          <w:type w:val="continuous"/>
        </w:sect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80" w:top="1440" w:right="239" w:bottom="1440" w:gutter="0" w:footer="0" w:header="0"/>
          <w:type w:val="continuous"/>
        </w:sectPr>
      </w:pPr>
    </w:p>
    <w:bookmarkStart w:id="70" w:name="page71"/>
    <w:bookmarkEnd w:id="70"/>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40" w:type="dxa"/>
            <w:vAlign w:val="bottom"/>
            <w:gridSpan w:val="4"/>
          </w:tcPr>
          <w:p>
            <w:pPr>
              <w:jc w:val="center"/>
              <w:ind w:left="59"/>
              <w:spacing w:after="0"/>
              <w:rPr>
                <w:sz w:val="20"/>
                <w:szCs w:val="20"/>
                <w:color w:val="auto"/>
              </w:rPr>
            </w:pPr>
            <w:r>
              <w:rPr>
                <w:rFonts w:ascii="Arial" w:cs="Arial" w:eastAsia="Arial" w:hAnsi="Arial"/>
                <w:sz w:val="16"/>
                <w:szCs w:val="16"/>
                <w:b w:val="1"/>
                <w:bCs w:val="1"/>
                <w:color w:val="auto"/>
                <w:w w:val="91"/>
              </w:rPr>
              <w:t>For the year ended December 31,</w:t>
            </w:r>
          </w:p>
        </w:tc>
        <w:tc>
          <w:tcPr>
            <w:tcW w:w="11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2018</w:t>
            </w:r>
          </w:p>
        </w:tc>
        <w:tc>
          <w:tcPr>
            <w:tcW w:w="500" w:type="dxa"/>
            <w:vAlign w:val="bottom"/>
          </w:tcPr>
          <w:p>
            <w:pPr>
              <w:spacing w:after="0"/>
              <w:rPr>
                <w:sz w:val="20"/>
                <w:szCs w:val="20"/>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(in millions)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2,707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1,683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2,448</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600"/>
              <w:spacing w:after="0"/>
              <w:rPr>
                <w:sz w:val="20"/>
                <w:szCs w:val="20"/>
                <w:color w:val="auto"/>
              </w:rPr>
            </w:pPr>
            <w:r>
              <w:rPr>
                <w:rFonts w:ascii="Arial" w:cs="Arial" w:eastAsia="Arial" w:hAnsi="Arial"/>
                <w:sz w:val="16"/>
                <w:szCs w:val="16"/>
                <w:color w:val="auto"/>
              </w:rPr>
              <w:t>Loss on sale of business</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786</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realized capital gains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6400" w:type="dxa"/>
            <w:vAlign w:val="bottom"/>
          </w:tcPr>
          <w:p>
            <w:pPr>
              <w:ind w:left="600"/>
              <w:spacing w:after="0"/>
              <w:rPr>
                <w:sz w:val="20"/>
                <w:szCs w:val="20"/>
                <w:color w:val="auto"/>
              </w:rPr>
            </w:pPr>
            <w:r>
              <w:rPr>
                <w:rFonts w:ascii="Arial" w:cs="Arial" w:eastAsia="Arial" w:hAnsi="Arial"/>
                <w:sz w:val="16"/>
                <w:szCs w:val="16"/>
                <w:color w:val="auto"/>
              </w:rPr>
              <w:t>Equity in net earnings of Kindred at Home</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Stock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37"/>
        </w:trPr>
        <w:tc>
          <w:tcPr>
            <w:tcW w:w="6400" w:type="dxa"/>
            <w:vAlign w:val="bottom"/>
          </w:tcPr>
          <w:p>
            <w:pPr>
              <w:ind w:left="600"/>
              <w:spacing w:after="0"/>
              <w:rPr>
                <w:sz w:val="20"/>
                <w:szCs w:val="20"/>
                <w:color w:val="auto"/>
              </w:rPr>
            </w:pPr>
            <w:r>
              <w:rPr>
                <w:rFonts w:ascii="Arial" w:cs="Arial" w:eastAsia="Arial" w:hAnsi="Arial"/>
                <w:sz w:val="16"/>
                <w:szCs w:val="16"/>
                <w:color w:val="auto"/>
              </w:rPr>
              <w:t>Depreciation</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505</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444</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6400" w:type="dxa"/>
            <w:vAlign w:val="bottom"/>
          </w:tcPr>
          <w:p>
            <w:pPr>
              <w:ind w:left="600"/>
              <w:spacing w:after="0"/>
              <w:rPr>
                <w:sz w:val="20"/>
                <w:szCs w:val="20"/>
                <w:color w:val="auto"/>
              </w:rPr>
            </w:pPr>
            <w:r>
              <w:rPr>
                <w:rFonts w:ascii="Arial" w:cs="Arial" w:eastAsia="Arial" w:hAnsi="Arial"/>
                <w:sz w:val="16"/>
                <w:szCs w:val="16"/>
                <w:color w:val="auto"/>
              </w:rPr>
              <w:t>Provision for deferred income taxes</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162</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194</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640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7"/>
              </w:rPr>
              <w:t>Changes in operating assets and liabilities, net of effect of businesses acquired and</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dispositions:</w:t>
            </w:r>
          </w:p>
        </w:tc>
        <w:tc>
          <w:tcPr>
            <w:tcW w:w="1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7"/>
        </w:trPr>
        <w:tc>
          <w:tcPr>
            <w:tcW w:w="6400" w:type="dxa"/>
            <w:vAlign w:val="bottom"/>
          </w:tcPr>
          <w:p>
            <w:pPr>
              <w:ind w:left="820"/>
              <w:spacing w:after="0"/>
              <w:rPr>
                <w:sz w:val="20"/>
                <w:szCs w:val="20"/>
                <w:color w:val="auto"/>
              </w:rPr>
            </w:pPr>
            <w:r>
              <w:rPr>
                <w:rFonts w:ascii="Arial" w:cs="Arial" w:eastAsia="Arial" w:hAnsi="Arial"/>
                <w:sz w:val="16"/>
                <w:szCs w:val="16"/>
                <w:color w:val="auto"/>
              </w:rPr>
              <w:t>Receivables</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426</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37"/>
        </w:trPr>
        <w:tc>
          <w:tcPr>
            <w:tcW w:w="6400" w:type="dxa"/>
            <w:vAlign w:val="bottom"/>
          </w:tcPr>
          <w:p>
            <w:pPr>
              <w:ind w:left="820"/>
              <w:spacing w:after="0"/>
              <w:rPr>
                <w:sz w:val="20"/>
                <w:szCs w:val="20"/>
                <w:color w:val="auto"/>
              </w:rPr>
            </w:pPr>
            <w:r>
              <w:rPr>
                <w:rFonts w:ascii="Arial" w:cs="Arial" w:eastAsia="Arial" w:hAnsi="Arial"/>
                <w:sz w:val="16"/>
                <w:szCs w:val="16"/>
                <w:color w:val="auto"/>
              </w:rPr>
              <w:t>Benefits payable</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1,142</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252</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471</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37"/>
        </w:trPr>
        <w:tc>
          <w:tcPr>
            <w:tcW w:w="6400" w:type="dxa"/>
            <w:vAlign w:val="bottom"/>
          </w:tcPr>
          <w:p>
            <w:pPr>
              <w:ind w:left="820"/>
              <w:spacing w:after="0"/>
              <w:rPr>
                <w:sz w:val="20"/>
                <w:szCs w:val="20"/>
                <w:color w:val="auto"/>
              </w:rPr>
            </w:pPr>
            <w:r>
              <w:rPr>
                <w:rFonts w:ascii="Arial" w:cs="Arial" w:eastAsia="Arial" w:hAnsi="Arial"/>
                <w:sz w:val="16"/>
                <w:szCs w:val="16"/>
                <w:color w:val="auto"/>
              </w:rPr>
              <w:t>Unearned revenues</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31"/>
        </w:trPr>
        <w:tc>
          <w:tcPr>
            <w:tcW w:w="640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5,284</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2,173</w:t>
            </w:r>
          </w:p>
        </w:tc>
        <w:tc>
          <w:tcPr>
            <w:tcW w:w="5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4,051</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(354)</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equity method investment in Kindred at Home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Cash transferred in sale of business</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Purchases of investment securities</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8"/>
              </w:rPr>
              <w:t>(6,361)</w:t>
            </w:r>
          </w:p>
        </w:tc>
        <w:tc>
          <w:tcPr>
            <w:tcW w:w="3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(4,687)</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(6,265)</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investment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972</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sales of investment securities</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4,086</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3,494</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2,768</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(1,278)</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c>
          <w:tcPr>
            <w:tcW w:w="5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r>
      <w:tr>
        <w:trPr>
          <w:trHeight w:val="20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(Receipts) withdrawals from contract deposits, net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issuance of senior notes, net</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987</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1,779</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proceeds from issuance of commercial paper, net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485</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term loan</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term loan</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Repayment of long-term debt</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repurchases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(1,070)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(1,090)</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(3,365)</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3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book overdraft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stock option exercises &amp; other</w:t>
            </w:r>
          </w:p>
        </w:tc>
        <w:tc>
          <w:tcPr>
            <w:tcW w:w="1040" w:type="dxa"/>
            <w:vAlign w:val="bottom"/>
          </w:tcPr>
          <w:p>
            <w:pPr>
              <w:spacing w:after="0"/>
              <w:rPr>
                <w:sz w:val="20"/>
                <w:szCs w:val="20"/>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5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(2,295)</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5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Increase (decrease) in cash and cash equivalents</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1,711</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(1,699)</w:t>
            </w:r>
          </w:p>
        </w:tc>
        <w:tc>
          <w:tcPr>
            <w:tcW w:w="5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2,343</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4,042</w:t>
            </w:r>
          </w:p>
        </w:tc>
        <w:tc>
          <w:tcPr>
            <w:tcW w:w="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3,877</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4,054</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2,343</w:t>
            </w:r>
          </w:p>
        </w:tc>
        <w:tc>
          <w:tcPr>
            <w:tcW w:w="5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4,042</w:t>
            </w: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440" w:right="239" w:bottom="0" w:gutter="0" w:footer="0" w:header="0"/>
          <w:type w:val="continuous"/>
        </w:sectPr>
      </w:pPr>
    </w:p>
    <w:bookmarkStart w:id="71" w:name="page72"/>
    <w:bookmarkEnd w:id="7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For the 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Supplemental cash flow disclosures:</w:t>
            </w: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(in millions)</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payments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Details of businesses acquired in purchase transactions: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6"/>
                <w:szCs w:val="16"/>
                <w:color w:val="auto"/>
              </w:rPr>
              <w:t>Fair value of assets acquired, net of cash acquired</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Less: Fair value of liabilities assumed</w:t>
            </w: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6"/>
                <w:szCs w:val="16"/>
                <w:color w:val="auto"/>
              </w:rPr>
              <w:t>Cash paid for acquired businesses, net of cash acquired</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4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REPORTING ENTITY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Humana Inc., headquartered in Louisville, Kentucky, is a leading health and well-being company committed to helping our millions of medical and specialty members achieve their best health. Our successful history in care delivery and health plan administration is helping us create a new kind of integrated care with the power to improve health and well</w:t>
      </w:r>
      <w:r>
        <w:rPr>
          <w:rFonts w:ascii="MS PGothic" w:cs="MS PGothic" w:eastAsia="MS PGothic" w:hAnsi="MS PGothic"/>
          <w:sz w:val="17"/>
          <w:szCs w:val="17"/>
          <w:color w:val="auto"/>
        </w:rPr>
        <w:t>‐</w:t>
      </w:r>
      <w:r>
        <w:rPr>
          <w:rFonts w:ascii="Arial" w:cs="Arial" w:eastAsia="Arial" w:hAnsi="Arial"/>
          <w:sz w:val="17"/>
          <w:szCs w:val="17"/>
          <w:color w:val="auto"/>
        </w:rPr>
        <w:t>being and lower costs. Our efforts are leading to a better quality of life for people with Medicare, families, individuals, military service personnel, and communities at large. To accomplish that, we support physicians and other health care professionals as they work to deliver the right care in the right place for their patients, our members. Our range of clinical capabilities, resources and tools, such as in</w:t>
      </w:r>
      <w:r>
        <w:rPr>
          <w:rFonts w:ascii="MS PGothic" w:cs="MS PGothic" w:eastAsia="MS PGothic" w:hAnsi="MS PGothic"/>
          <w:sz w:val="17"/>
          <w:szCs w:val="17"/>
          <w:color w:val="auto"/>
        </w:rPr>
        <w:t>‐</w:t>
      </w:r>
      <w:r>
        <w:rPr>
          <w:rFonts w:ascii="Arial" w:cs="Arial" w:eastAsia="Arial" w:hAnsi="Arial"/>
          <w:sz w:val="17"/>
          <w:szCs w:val="17"/>
          <w:color w:val="auto"/>
        </w:rPr>
        <w:t>home care, behavioral health, pharmacy services, data analytics and wellness solutions, combine to produce a simplified experience that makes health care easier to navigate and more effective. References throughout these notes to consolidated financial statements to “we,” “us,” “our,” “Company,” and “Humana,” mean Humana Inc. and its subsidiaries. We derived approximately 82% of our total premiums and services revenue from contracts with the federal government in 2019, including 15% related to our federal government contracts with the Centers for Medicare and Medicaid Services, or CMS, to provide health insurance coverage for individual Medicare Advantage members in Florida. CMS is the federal government’s agency responsible for administering the Medicare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financial statements and accompanying notes are prepared in accordance with accounting principles generally accepted in the United States of America. Our consolidated financial statements include the accounts of Humana Inc. and subsidiaries that the Company controls, including variable interest entities associated with medical practices for which we are the primary beneficiary. We do not own many of our medical practices but instead enter into exclusive management agreements with the affiliated Professional Associations, or P.A.s, that operate these medical practices. Based upon the provisions of these agreements, these affiliated P.A.s are variable interest entities and we are the primary beneficiary, and accordingly we consolidate the affiliated P.A.s. All significant intercompany balances and transactions have been eliminated.</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of America requires us to make estimates and assumptions that affect the amounts reported in the consolidated financial statements and accompanying notes. The areas involving the most significant use of estimates are the estimation of benefits payable, the impact of risk adjustment provisions related to our Medicare contracts, the valuation and related impairment recognition of investment securities, and the valuation and related impairment recognition of long-lived assets, including goodwill. These estimates are based on knowledge of current events and anticipated future events, and accordingly, actual results may ultimately differ materially from those estimates.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Workforce Optimization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initiated involuntary workforce reduction programs during 2019 and 2017, as well as a voluntary early retirement program during 2017. These programs impacted approximately 1,000 associates in 2019 and 3,600 associates in 2017. As a result, we recorded charges of $47 million in 2019 and $148 million in 2017. Payments under these programs are made upon termination during the early retirement or severance pay period. The 2017 workforce optimization obligation was $12 million at December 31, 2018 and was fully settled as of December 31, 2019. The remaining 2019 workforce optimization obligation was $45 million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98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Aetna Merger</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February 16, 2017, under the terms of the Agreement and Plan of Merger, or Merger Agreement, with Aetna Inc., and certain wholly owned subsidiaries of Aetna Inc., which we collectively refer to as Aetna, we received a breakup fee of $1 billion from Aetna, which is included in our consolidated statement of income in the line captioned "Merger termination fee and related costs, net."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 Care Reform</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Patient Protection and Affordable Care Act and The Health Care and Education Reconciliation Act of 2010 (which we collectively refer to as the Health Care Reform Law) enacted significant reforms to various aspects of the U.S. health insurance industry. Certain of these reforms became effective January 1, 2014, including an annual insurance industry premium-based fee and the establishment of federally-facilitated or state-based exchanges. Operating results for our individual commercial medical business compliant with the Health Care Reform Law were challenged primarily due to unanticipated modifications in the program subsequent to the passing of the Health Care Reform Law, resulting in higher covered population morbidity and the ensuing enrollment and claims issues causing volatility in claims experience. As a result of these and other factors, we exited our individual commercial medical business effective January 1, 2018.</w:t>
      </w:r>
    </w:p>
    <w:p>
      <w:pPr>
        <w:spacing w:after="0" w:line="1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annual premium-based fee on health insurers is not deductible for tax purposes. We estimate a liability for the health insurance industry fee and record it in full once qualifying insurance coverage is provided in the applicable calendar year in which the fee is payable with a corresponding deferred cost that is amortized ratably to expense over the same calendar year. We record the liability for the health insurance industry fee in trade accounts payable and accrued expenses and record the deferred cost in other current assets in our consolidated financial statements. We pay the health insurance industry fee in September or October of each year. The Consolidated Appropriations Act enacted on December 18, 2015, included a one year suspension in 2017 of the health insurance industry fee. In 2018, we paid the federal government $1.04 billion for the annual health insurance industry fee attributed to calendar year 2018. The Continuing Resolution bill, H.R. 195, enacted on January 22, 2018, included a one year suspension in 2019 of the health insurance industry fee, but the fee will resume for calendar year 2020. The Further Consolidated Appropriations Act, 2020, enacted on December 20, 2019, permanently repealed the health insurance industry fee beginning in calendar year 2021.</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and cash equivalents include cash, time deposits, money market funds, commercial paper, other money market instruments, and certain U.S. Government securities with an original maturity of three months or less. Carrying value approximates fair value due to the short-term maturity of the investments.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Investment securities, which consist primarily of debt securities, have been categorized as available for sale and, as a result, are stated at fair value. Investment securities available for current operations are classified as current assets. Investment securities available for our long-term insurance products and professional liability funding requirements, as well as restricted statutory deposits, are classified as long-term assets. For the purpose of determining gross realized gains and losses, which are included as a component of investment income in the consolidated statements of income, the cost of investment securities sold is based upon specific identification. Unrealized holding gains and losses, net of applicable deferred taxes, are included as a component of stockholders’ equity and comprehensive income until realized from a sale or other-than-temporary impairment.</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other-than-temporary impairment model for debt securities held, we recognize an impairment loss in income in an amount equal to the full difference between the amortized cost basis and the fair value when we have the intent to sell the debt security or it is more likely than not we will be required to sell the debt security before recovery of our amortized cost basis. However, if we do not intend to sell the debt security, we evaluate the expected cash flows to be received as compared to amortized cost and determine if a credit loss has occurred. In the event of a credit loss,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5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the amount of the impairment associated with the credit loss is recognized currently in income with the remainder of the loss recognized in other comprehensive income.</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When we do not intend to sell a security in an unrealized loss position, potential other-than-temporary impairment is considered using a variety of factors, including the length of time and extent to which the fair value has been less than cost; adverse conditions specifically related to the industry, geographic area or financial condition of the issuer or underlying collateral of a security; payment structure of the security; changes in credit rating of the security by the rating agencies; the volatility of the fair value changes; and changes in fair value of the security after the balance sheet date. For debt securities, we take into account expectations of relevant market and economic data. For example, with respect to mortgage and asset-backed securities, such data includes underlying loan level data and structural features such as seniority and other forms of credit enhancements. A decline in fair value is considered other-than-temporary when we do not expect to recover the entire amortized cost basis of the security. We estimate the amount of the credit loss component of a debt security as the difference between the amortized cost and the present value of the expected cash flows of the security. The present value is determined using the best estimate of future cash flows discounted at the implicit interest rate at the date of purchase.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Receivables and Revenue Recognition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establish one-year commercial membership contracts with employer groups, subject to cancellation by the employer group on 30-day written notice. Our Medicare contracts with CMS renew annually. Our military services contracts with the federal government and certain contracts with various state Medicaid programs generally are multi-year contracts subject to annual renewal provisions.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receive monthly premiums from the federal government and various states according to government specified payment rates and various contractual terms. We bill and collect premium from employer groups and members in our Medicare and other individual products monthly. Changes in premium revenues resulting from the periodic changes in risk-adjustment scores derived from medical diagnoses for our membership are estimated by projecting the ultimate annual premium and are recognized ratably during the year, with adjustments each period to reflect changes in the ultimate premium. Receivables or payables are classified as current or long-term in our consolidated balance sheet based on the timing of the expected settlement.</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Premiums revenue is estimated by multiplying the membership covered under the various contracts by the contractual rates. Premiums revenue is recognized as income in the period members are entitled to receive services, and is net of estimated uncollectible amounts, retroactive membership adjustments, and adjustments to recognize rebates under the minimum benefit ratios required under the Health Care Reform Law. We estimate policyholder rebates by projecting calendar year minimum benefit ratios for the small group and large group markets, as defined by the Health Care Reform Law using a methodology prescribed by HHS, separately by state and legal entity. Medicare Advantage and Medicaid products are also subject to minimum benefit ratio requirements. Estimated calendar year rebates recognized ratably during the year are revised each period to reflect current experience. Retroactive membership adjustments result from enrollment changes not yet processed, or not yet reported by an employer group or the government. We routinely monitor the collectability of specific accounts, the aging of receivables, historical retroactivity trends, estimated rebates, as well as prevailing and anticipated economic conditions, and reflect any required adjustments in current operations. Premiums received prior to the service period are recorded as unearned revenues.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5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Medicare Part D</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cover prescription drug benefits in accordance with Medicare Part D under multiple contracts with CMS. The payments we receive monthly from CMS and members, which are determined from our annual bid, represent amounts for providing prescription drug insurance coverage. We recognize premiums revenue for providing this insurance coverage ratably over the term of our annual contract. Our CMS payment is subject to risk sharing through the Medicare Part D risk corridor provisions. In addition, receipts for reinsurance and low-income cost subsidies as well as receipts for certain discounts on brand name prescription drugs in the coverage gap represent payments for prescription drug costs for which we are not at risk.</w:t>
      </w:r>
    </w:p>
    <w:p>
      <w:pPr>
        <w:spacing w:after="0" w:line="1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risk corridor provisions compare costs targeted in our bids to actual prescription drug costs, limited to actual costs that would have been incurred under the standard coverage as defined by CMS. Variances exceeding certain thresholds may result in CMS making additional payments to us or require us to refund to CMS a portion of the premiums we received. As risk corridor provisions are considered in our overall annual bid process, we estimate and recognize an adjustment to premiums revenue related to these provisions based upon pharmacy claims experience. We record a receivable or payable at the contract level and classify the amount as current or long-term in our consolidated balance sheets based on the timing of expected settlement.</w:t>
      </w:r>
    </w:p>
    <w:p>
      <w:pPr>
        <w:spacing w:after="0" w:line="10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Reinsurance and low-income cost subsidies represent funding from CMS in connection with the Medicare Part D program for which we assume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related settlement of CMS’s prospective subsidies against actual prescription drug costs we paid is made after the end of the year. The Health Care Reform Law mandates consumer discounts of 50% on brand name prescription drugs for Part D plan participants in the coverage gap. These discounts are funded by CMS and pharmaceutical manufacturers while we administer the application of these funds. We account for these subsidies and discounts as a deposit in our consolidated balance sheets and as a financing activity under receipts (withdrawals) from contract deposits in our consolidated statements of cash flows. For 2019, subsidy and discount payments of $11.8 billion exceeded reimbursements of $11.2 billion by $0.6 billion. For 2018, subsidy and discount payments of $10.3 billion exceeded reimbursements of $9.6 billion by $0.7 billion. For 2017, subsidy and discount reimbursements of $12.1 billion exceeded payments of $10.2 billion by $1.9 billion. We do not recognize premiums revenue or benefit expenses for these subsidies or discounts. Receipt and payment activity is accumulated at the contract level and recorded in our consolidated balance sheets in other current assets or trade accounts payable and accrued expenses depending on the contract balance at the end of the reporting period.</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Settlement of the reinsurance and low-income cost subsidies as well as the risk corridor payment is based on a reconciliation made approximately 9 months after the close of each calendar year. Settlement with CMS for brand name prescription drug discounts is based on a reconciliation made approximately 14 to 18 months after the close of each calendar year. We continue to revise our estimates with respect to the risk corridor provisions based on subsequent period pharmacy claims data. See Note 7 for detail regarding amounts recorded to our consolidated balance sheets related to the risk corridor settlement and subsidies from CMS with respect to the Medicare Part D program.</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Patient services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Patient services include injury and illness care and related services as well as other healthcare services related to customer needs or as required by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Patient services revenues are recognized in the period services are provided to the customer and are net of contractual allowances.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5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services fees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Administrative services fees cover the processing of claims, offering access to our provider networks and clinical programs, and responding to customer service inquiries from members of self-funded groups. Revenues from providing administration services, also known as administrative services only, or ASO, are recognized in the period services are performed and are net of estimated uncollectible amounts. ASO fees are estimated by multiplying the membership covered under the various contracts by the contractual rates. Under ASO contracts, self-funded employers retain the risk of financing substantially all of the cost of health benefits. However, many ASO customers purchase stop loss insurance coverage from us to cover catastrophic claims or to limit aggregate annual costs. Accordingly, we have recorded premiums revenue and benefits expense related to these stop loss insurance contracts. We routinely monitor the collectability of specific accounts, the aging of receivables, as well as prevailing and anticipated economic conditions, and reflect any required adjustments in current operations. ASO fees received prior to the service period are recorded as unearned revenues.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our TRICARE contracts with the Department of Defense (DoD) we provide administrative services, including offering access to our provider networks and clinical programs, claim processing, customer service, enrollment, and other services, while the federal government retains all of the risk of the cost of health benefits. We account for revenues under our contracts net of estimated health care costs similar to an administrative services fee only agreement. Our contracts include fixed administrative services fees and incentive fees and penalties. Administrative services fees are recognized as services are performed.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TRICARE members are served by both in-network and out-of-network providers in accordance with our contracts. We pay health care costs related to these services to the providers and are subsequently reimbursed by the DoD for such payments. We account for the payments of the federal government’s claims and the related reimbursements under deposit accounting in our consolidated balance sheets and as a financing activity under receipts (withdrawals) from contract deposits in our consolidated statements of cash flows. For 2019, health care cost payments of approximately $6.5 billion exceeded reimbursements of approximately $6.4 billion by $63 million. For 2018, health care cost reimbursements and payments were each approximately $5.6 billion, with reimbursements exceeding payments by $38 million for the year. For 2017, health care cost reimbursements and payments were each approximately $3.4 billion with reimbursements exceeding payments by $11 million for the year.</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Receivables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Receivables, including premium receivables, patient services revenue receivables, and ASO fee receivables, are shown net of allowances for estimated uncollectible accounts, retroactive membership adjustments, and contractual allowances.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and 2018, accounts receivable related to services were $141 million and $123 million, respectively. For the year ended December 31, 2019, we had no material bad-debt expense and there were no material contract assets, contract liabilities or deferred contract costs recorded on the consolidated balance sheet at December 31, 2019.</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 ended December 31, 2019, revenue recognized from performance obligations related to prior periods (for example, due to changes in transaction price), was not material. Further, revenue expected to be recognized in any future year related to remaining performance obligations was not material.</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current assets includes amounts associated with Medicare Part D as discussed above and in Note 7, rebates due from pharmaceutical manufacturers and other amounts due within one year. We accrue pharmaceutical rebates as they are earned based on contractual terms and usage of the product. The balance of pharmaceutical rebates receivable was $1.3 billion at December 31, 2019 and 2018.</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5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Policy Acquisition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 acquisition costs are those costs that relate directly to the successful acquisition of new and renewal insurance policies. Such costs include commissions, costs of policy issuance and underwriting, and other costs we incur to acquire new business or renew existing business. We expense policy acquisition costs related to our employer-group prepaid health services policies as incurred. These short-duration employer-group prepaid health services policies typically have a 1-year term and may be canceled upon 30 days notice by the employer group.</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Life insurance, annuities, certain health and other supplemental, and, prior to the sale of our wholly-owned subsidiary, KMG America Corporation, or KMG, in 2018, long term care policies sold to individuals are accounted for as long-duration insurance products because they are expected to remain in force for an extended period beyond one year and premium received in the earlier years is intended to pay anticipated benefits to be incurred in future years</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we defer policy acquisition costs, primarily consisting of commissions, and amortize them over the estimated life of the policies in proportion to premiums earned. Deferred acquisition costs are reviewed to determine if they are recoverable from future income.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Property and equipment is recorded at cost. Gains and losses on sales or disposals of property and equipment are included in operating costs. Certain costs related to the development or purchase of internal-use software are capitalized. Depreciation is computed using the straight-line method over estimated useful lives ranging from 3 to 10 years for equipment, 3 to 5 years for computer software, and 10 to 20 years for buildings. Improvements to leased facilities are depreciated over the shorter of the remaining lease term or the anticipated life of the improvement.</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periodically review long-lived assets, including property and equipment and definite-lived intangible assets, for impairment whenever adverse events or changes in circumstances indicate the carrying value of the asset may not be recoverable. Losses are recognized for a long-lived asset to be held and used in our operations when the undiscounted future cash flows expected to result from the use of the asset are less than its carrying value. We recognize an impairment loss based on the excess of the carrying value over the fair value of the asset. A long-lived asset held for sale is reported at the lower of the carrying amount or fair value less costs to sell. Depreciation expense is not recognized on assets held for sale. Losses are recognized for a long-lived asset to be abandoned when the asset ceases to be used. In addition, we periodically review the estimated lives of all long-lived assets for reasonableness.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the equity method of accounting for equity investments in companies where we are able to exercise significant influence, but not control, over operating and financial policies of the investee. Judgment regarding the level of influence over each equity method investment includes considering key factors such as our ownership interest, representation on the board of directors, organizational structure, participation in policy-making decisions and material intra-entity transactions.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under the equity method, original investments in these entities are recorded at cost and subsequently adjusted by our share of equity in income or losses after the date of acquisition as well as capital contributions to and distributions from these companies. Our proportionate share of the net income or loss of these companies is included in consolidated net income. Investment amounts in excess of our share of an investee's net assets are amortized over the life of the related asset creating the excess. Excess goodwill is not amortized.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evaluate equity method investments for impairment whenever events or changes in circumstances indicate that the carrying amount of the investment might not be recoverable. Factors considered by us when reviewing an equity method investment for impairment include the length of time (duration) and the extent (severity) to which the fair value of the equity method investment has been less than carrying value, the investee’s financial condition and near-term prospects and the intent and ability to hold the investment for a period of time sufficient to allow for anticipated recovery. An impairment that is other-than-temporary is recognized in the period identified.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for further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5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Definite-Lived Intangible Assets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represents the unamortized excess of cost over the fair value of the net tangible and other intangible assets acquired. We are required to test at least annually for impairment at a level of reporting referred to as the reporting unit, and more frequently if adverse events or changes in circumstances indicate that the asset may be impaired. A reporting unit either is our operating segments or one level below the operating segments, referred to as a component, which comprise our reportable segments. A component is considered a reporting unit if the component constitutes a business for which discrete financial information is available that is regularly reviewed by management. We aggregate the components of an operating segment into one reporting unit if they have similar economic characteristics. Goodwill is assigned to the reporting units that are expected to benefit from the specific synergies of the business combination.</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use the one-step process to review goodwill for impairment to determine both the existence and amount of goodwill impairment, if any. Impairment tests are performed, at a minimum, in the fourth quarter of each year supported by our long-range business plan and annual planning process. We rely on an evaluation of future discounted cash flows to determine fair value of our reporting units. The fair value of our reporting units with significant goodwill exceeded carrying amounts by a substantial margin. A 100 basis point increase in the discount rate would not have a significant impact on the amount of margin for any of our reporting units with significant goodwill, with the exception of our clinical and provider reporting units in our Healthcare Services segment. Our clinical and provider reporting units primarily provide services to our Retail members. A significant increase in the discount rate, decrease in the long-term growth rate, or substantial reductions in our underlying cash flow assumptions, including revenue growth rates, medical and operating cost trends, and projected operating income, could have a negative impact on the estimated fair value of these reporting units. The clinical reporting unit had a fair value of $544 million which exceeded its carrying value of $533 million by $11 million or 2%. If the discount rate increased 100 basis points, then the clinical reporting unit would incur an impairment loss of approximately $62 million. The provider reporting unit had a fair value of $2.3 billion which exceeded its carrying value of $1.3 billion by $1.0 billion or 78%. The provider reporting unit estimate of fair value relies on multiple assumptions regarding the underlying long-term cash flows, any one of which may be significantly impacted by future changes in estimates and may negatively impact fair value. The clinical and provider reporting units account for $524 million and $761 million, respectively, of goodwill. Impairment tests completed for 2019, 2018, and 2017 did not result in an impairment loss.</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Definite-lived intangible assets primarily relate to acquired customer contracts/relationships and are included with other long-term assets in the consolidated balance sheets. Definite-lived intangible assets are amortized over the useful life generally using the straight-line method. We review definite-lived intangible assets for impairment under our long-lived asset policy.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Payable and Benefits Expense Recognition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Benefits expense includes claim payments, capitation payments, pharmacy costs net of rebates, allocations of certain centralized expenses and various other costs incurred to provide health insurance coverage to members, as well as estimates of future payments to hospitals and others for medical care and other supplemental benefits provided on or prior to the balance sheet date. Capitation payments represent monthly contractual fees disbursed to primary care and other providers who are responsible for providing medical care to members. Pharmacy costs represent payments for members’ prescription drug benefits, net of rebates from drug manufacturers. Receivables for such pharmacy rebates are included in other current assets in our consolidated balance sheets. Other supplemental benefits include dental, vision, and other supplemental health products.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the costs of our benefits expense payments using actuarial methods and assumptions based upon claim payment patterns, medical cost inflation, historical developments such as claim inventory levels and claim receipt patterns, and other relevant factors, and record benefit reserves for future payments. We continually review estimates of future payments relating to claims costs for services incurred in the current and prior periods and make necessary adjustments to our reserves.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5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Benefits expense is recognized in the period in which services are provided and includes an estimate of the cost of services which have been incurred but not yet reported, or IBNR. Our reserving practice is to consistently recognize the actuarial best point estimate within a level of confidence required by actuarial standards. Actuarial standards of practice generally require a level of confidence such that the liabilities established for IBNR have a greater probability of being adequate versus being insufficient, or such that the liabilities established for IBNR are sufficient to cover obligations under an assumption of moderately adverse conditions. Adverse conditions are situations in which the actual claims are expected to be higher than the otherwise estimated value of such claims at the time of the estimate. Therefore, in many situations, the claim amounts ultimately settled will be less than the estimate that satisfies the actuarial standards of practice.</w:t>
      </w:r>
    </w:p>
    <w:p>
      <w:pPr>
        <w:spacing w:after="0" w:line="13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develop our estimate for IBNR using actuarial methodologies and assumptions, primarily based upon historical claim experience. Depending on the period for which incurred claims are estimated, we apply a different method in determining our estimate. For periods prior to the most recent two months, the key assumption used in estimating our IBNR is that the completion factor pattern remains consistent over a rolling 12-month period after adjusting for known changes in claim inventory levels and known changes in claim payment processes. Completion factors result from the calculation of the percentage of claims incurred during a given period that have historically been adjudicated as of the reporting period. For the most recent two months, the incurred claims are estimated primarily from a trend analysis based upon per member per month claims trends developed from our historical experience in the preceding months, adjusted for known changes in estimates of recent hospital and drug utilization data, provider contracting changes, changes in benefit levels, changes in member cost sharing, changes in medical management processes, product mix, and workday seasonality.</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completion factor method is used for the months of incurred claims prior to the most recent two months because the historical percentage of claims processed for those months is at a level sufficient to produce a consistently reliable result. Conversely, for the most recent two months of incurred claims, the volume of claims processed historically is not at a level sufficient to produce a reliable result, which therefore requires us to examine historical trend patterns as the primary method of evaluation. Changes in claim processes, including recoveries of overpayments, receipt cycle times, claim inventory levels, outsourcing, system conversions, and processing disruptions due to weather or other events affect views regarding the reasonable choice of completion factors. Claim payments to providers for services rendered are often net of overpayment recoveries for claims paid previously, as contractually allowed. Claim overpayment recoveries can result from many different factors, including retroactive enrollment activity, audits of provider billings, and/or payment errors. Changes in patterns of claim overpayment recoveries can be unpredictable and result in completion factor volatility, as they often impact older dates of service. The receipt cycle time measures the average length of time between when a medical claim was initially incurred and when the claim form was received. Increases in electronic claim submissions from providers decrease the receipt cycle time. If claims are submitted or processed on a faster (slower) pace than prior periods, the actual claim may be more (less) complete than originally estimated using our completion factors, which may result in reserves that are higher (lower) than required.</w:t>
      </w:r>
    </w:p>
    <w:p>
      <w:pPr>
        <w:spacing w:after="0" w:line="12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Medical cost trends potentially are more volatile than other segments of the economy. The drivers of medical cost trends include increases in the utilization of hospital facilities, physician services, new higher priced technologies and medical procedures, and new prescription drugs and therapies, as well as the inflationary effect on the cost per unit of each of these expense components. Other external factors such as government-mandated benefits or other regulatory changes, the tort liability system, increases in medical services capacity, direct to consumer advertising for prescription drugs and medical services, an aging population, lifestyle changes including diet and smoking, catastrophes, and epidemics also may impact medical cost trends. Internal factors such as system conversions, claims processing cycle times, changes in medical management practices and changes in provider contracts also may impact our ability to accurately predict estimates of historical completion factors or medical cost trends. All of these factors are considered in estimating IBNR and in estimating the per member per month claims trend for purposes of determining the reserve for the most recent two months. Additionally, we continually prepare and review follow-up studies to assess the reasonableness of the estimates generated by our process and methods over time. The results of these studies are also considered in determining the reserve for the most recent two months. Each of these factors requires significant judgment by management.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5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reassess the profitability of our contracts for providing insurance coverage to our members when current operating results or forecasts indicate probable future losses. We establish a premium deficiency reserve in current operations to the extent that the sum of expected future costs, claim adjustment expenses, and maintenance costs exceeds related future premiums under contracts without consideration of investment income. For purposes of determining premium deficiencies, contracts are grouped in a manner consistent with our method of acquiring, servicing, and measuring the profitability of such contracts. Losses recognized as a premium deficiency result in a beneficial effect in subsequent periods as operating losses under these contracts are charged to the liability previously established. Because the majority of our member contracts renew annually, we would not record a material premium deficiency reserve, except when unanticipated adverse events or changes in circumstances indicate otherwise.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our benefits payable are adequate to cover future claims payments required. However, such estimates are based on knowledge of current events and anticipated future events. Therefore, the actual liability could differ materially from the amounts provided.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policy benefits payable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Future policy benefits payable include liabilities for long-duration insurance policies including life insurance, annuities, certain health and other supplemental, and prior to the sale of KMG in 2018, long-term care policies sold to individuals for which some of the premium received in the earlier years is intended to pay anticipated benefits to be incurred in future years. At policy issuance, these reserves are recognized on a net level premium method based on interest rates, mortality, morbidity, and maintenance expense assumptions. Interest rates are based on our expected net investment returns on the investment portfolio supporting the reserves for these blocks of business. Mortality, a measure of expected death, and morbidity, a measure of health status, assumptions are based on industry actuarial tables, modified based upon actual experience. Changes in estimates of these reserves are recognized as an adjustment to benefits expense in the period the changes occur. We perform loss recognition tests at least annually in the fourth quarter, and more frequently if adverse events or changes in circumstances indicate that the level of the liability, together with the present value of future gross premiums, may not be adequate to provide for future expected policy benefits and maintenance costs.</w:t>
      </w:r>
    </w:p>
    <w:p>
      <w:pPr>
        <w:spacing w:after="0" w:line="12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adjust future policy benefits payable for the additional liability that would have been recorded if investment securities backing the liability had been sold at their stated aggregate fair value and the proceeds reinvested at current yields. We include the impact of this adjustment, if any, net of applicable deferred taxes, with the change in unrealized investment gain (loss) in accumulated other comprehensive income in stockholders’ equity. Health policies sold to individuals that conform to the Health Care Reform Law are accounted for under a short-duration model under which policy reserves are not established because premiums received in the current year are intended to pay anticipated benefits in that year</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as previously underwritten members transition to plans compliant with the Health Care Reform Law, it results in policy lapses and the release of reserves for future policy benefits.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Book Overdraft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our cash management system, checks issued but not yet presented to banks that would result in negative bank balances when presented are classified as a current liability in the consolidated balance sheets. Changes in book overdrafts from period to period are reported in the consolidated statement of cash flows as a financing activity.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We also recognize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5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tax benefits when it is more likely than not that the tax return position taken with respect to a particular transaction will be sustained. A liability, if recorded, is not considered resolved until the statute of limitations for the relevant taxing authority to examine and challenge the tax position has expired, or the tax position is ultimately settled through examination, negotiation, or litigation. We classify interest and penalties associated with uncertain tax positions in our provision for income taxes.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generally recognize stock-based compensation expense, as determined on the date of grant at fair value, on a straight-line basis over the period during which an employee is required to provide service in exchange for the award (the vesting period). In addition, for awards with both time and performance-based conditions, we generally recognize compensation expense on a straight line basis over the vesting period when it is probable that the performance condition will be achieved. We estimate expected forfeitures and recognize compensation expense only for those awards which are expected to vest. We estimate the grant-date fair value of stock options using the Black-Scholes option-pricing model.</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detail regarding our stock-based compensation plans is included in Note 14.</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compute basic earnings per common share on the basis of the weighted-average number of unrestricted common shares outstanding. Diluted earnings per common share is computed on the basis of the weighted-average number of unrestricted common shares outstanding plus the dilutive effect of outstanding employee stock options and restricted shares, or units, using the treasury stock method.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detail regarding earnings per common share is included in Note 15.</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Assets and liabilities measured at fair value are categorized into a fair value hierarchy based on whether the inputs to valuation techniques are observable or unobservable. Observable inputs reflect market data obtained from independent sources, while unobservable inputs reflect our own assumptions about the assumptions market participants would use. The fair value hierarchy includes three levels of inputs that may be used to measure fair value as described below.</w:t>
      </w:r>
    </w:p>
    <w:p>
      <w:pPr>
        <w:spacing w:after="0" w:line="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Quoted prices in active markets for identical assets or liabilities. Level 1 assets and liabilities include securities that are traded in an active exchange market.</w:t>
      </w:r>
    </w:p>
    <w:p>
      <w:pPr>
        <w:spacing w:after="0" w:line="11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Level 2 – Observable inputs other than Level 1 prices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as well as debt securities whose value is determined using a pricing model with inputs that are observable in the market or can be derived principally from or corroborated by observable market data.</w:t>
      </w:r>
    </w:p>
    <w:p>
      <w:pPr>
        <w:spacing w:after="0" w:line="11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Level 3 – Unobservable inputs that are supported by little or no market activity and are significant to the fair value of the assets or liabilities. Level 3 includes assets and liabilities whose value is determined using pricing models, discounted cash flow methodologies, or similar techniques reflecting our own assumptions about the assumptions market participants would use as well as those requiring significant management judgment.</w:t>
      </w:r>
    </w:p>
    <w:p>
      <w:pPr>
        <w:spacing w:after="0" w:line="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of actively traded debt securities are based on quoted market prices. Fair value of other debt securities are based on quoted market prices of identical or similar securities or based on observable inputs like interest rates generally using a market valuation approach, or, less frequently, an income valuation approach and are generally classified as Level 2. We obtain at least one price for each security from a third party pricing service. These prices are generally derived from recently reported trades for identical or similar securities, including adjustments through the reporting date based upon observable market information. When quoted prices are not available, the third party pricing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53"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service may use quoted market prices of comparable securities or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 We are responsible for the determination of fair value and as such we perform analysis on the prices received from the third party pricing service to determine whether the prices are reasonable estimates of fair value. Our analysis includes a review of monthly price fluctuations as well as a quarterly comparison of the prices received from the pricing service to prices reported by our third party investment adviser. In addition, on a quarterly basis we examine the underlying inputs and assumptions for a sample of individual securities across asset classes, credit rating levels, and various durations.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of privately held debt securities are estimated using a variety of valuation methodologies, including both market and income approaches, where an observable quoted market does not exist and are generally classified as Level 3. For privately-held debt securities, such methodologies include reviewing the value ascribed to the most recent financing, comparing the security with securities of publicly-traded companies in similar lines of business, and reviewing the underlying financial performance including estimating discounted cash flows.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February 2016, the FASB issued new guidance related to accounting for leases which requires lessees to record assets and liabilities reflecting the leased assets and lease obligations, respectively, while following the dual model for recognition in statements of income requiring leases to be classified as either operating or finance. Operating leases will result in straight-line expense (similar to current operating leases) while finance leases will result in a front-loaded expense pattern (similar to current capital leases). We adopted the new standard effective January 1, 2019, as allowed, using the modified retrospective approach. We elected the practical expedients of not reassessing whether any expired or existing contracts are or contain leases, not reassessing the lease classification for any expired or existing leases and not reassessing any initial direct costs for existing leases. In addition, we elected the practical expedient to not separate lease and nonlease components for all of our asset classes. We made a permitted accounting policy election to not apply the new guidance to leases with an initial term of 12 months or less. We recognize those lease payments in the condensed consolidated statement of income on a straight-line basis over the lease term. As of January 1, 2019, the adoption of the standard resulted in recognition of lease liabilities of approximately $470 million and right-of-use, or ROU, assets of $436 million, which equals the lease liabilities net of accrued rent and lease incentives. The standard does not materially affect our results of operations, cash flows and liquidity. See Note 10 for further information.</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2017, the FASB issued new guidance that amends the accounting for premium amortization on purchased callable debt securities by shortening the amortization period. This amended guidance requires the premium to be amortized to the earliest call date instead of maturity date. The new guidance was effective for us beginning with annual and interim periods in 2019. This guidance did not have a material impact on our results of operations, financial condition or cash flows.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2018, the FASB issued guidance which allows a reclassification from accumulated other comprehensive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to retained earnings for stranded tax effects resulting from the December 22, 2017 enactment of the Tax Cuts and Jobs Act. The new guidance is effective for us beginning January 1, 2019, with early adoption permitted. We early adopted this guidance in the first quarter of 2018 and it did not have a material impact on our results of operations, financial condition or cash flows.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2016, the FASB issued guidance introducing a new model for recognizing credit losses on financial instruments based on an estimate of current expected credit losses. The guidance is effective for us beginning January 1, 2020. The new current expected credit losses (CECL) model generally calls for the immediate recognition of all expected credit losses and applies to loans, accounts and trade receivables as well as other financial assets measured at amortized cost, loan commitments and off-balance sheet credit exposures, debt securities and other financial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5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measured at fair value through other comprehensive income, and beneficial interests in securitized financial assets. The new guidance replaces the current incurred loss model for measuring expected credit losses, requires expected losses on available for sale debt securities to be recognized through an allowance for credit losses rather than as reductions in the amortized cost of the securities, and provides for additional disclosure requirements. Our investment portfolio consists primarily of available for sale debt securities. We adopted the new standard effective January 1, 2020. Due to the high concentration of our financial assets measured at amortized cost being with the federal government resulting in zero nonpayment risk as well as our available for sale debt securities primarily being in an unrealized gain position, the adoption of the new standard did not have a material impact on our results of operations, financial condition, or cash flows.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September 2018, the FASB issued new guidance related to accounting for long-duration contracts of insurers which revises key elements of the measurement models and disclosure requirements for long-duration contracts issued by insurers and reinsurers. The new guidance is effective for us beginning with annual and interim periods in 2022, with earlier adoption permitted, and requires retrospective application to previously issued annual and interim financial statements. We are currently evaluating the impact on our results of operations, financial position and cash flows.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other recently issued accounting standards that apply to us or that are expected to have a material impact on our results of operations, financial condition,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2020, we acquired privately held Enclara Healthcare, or Enclara, one of the nation’s largest hospice pharmacy and benefit management providers for cash consideration of approximately $707 million, net of cash received. The purchase accounting is incomplete due to the timing of the availability of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Also in the first quarter of 2020, our Partners in Primary Care wholly-owned subsidiary entered into a strategic partnership with Welsh, Carson, Anderson</w:t>
      </w:r>
    </w:p>
    <w:p>
      <w:pPr>
        <w:spacing w:after="0" w:line="46" w:lineRule="exact"/>
        <w:rPr>
          <w:sz w:val="20"/>
          <w:szCs w:val="20"/>
          <w:color w:val="auto"/>
        </w:rPr>
      </w:pPr>
    </w:p>
    <w:p>
      <w:pPr>
        <w:jc w:val="both"/>
        <w:ind w:firstLine="8"/>
        <w:spacing w:after="0" w:line="273" w:lineRule="auto"/>
        <w:tabs>
          <w:tab w:leader="none" w:pos="199"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Stowe, or WCAS, to accelerate the expansion of our primary care model. The WCAS partnership is expected to open approximately 50 payor-agnostic, senior-focused primary care centers over 3 years beginning in 2020. Partners in Primary Care committed to the acquisition of a non-controlling interest in the approximately $600 million entity. In addition, the agreement includes a series of put and call options through which WCAS may require us to purchase their interest in the entity and, through which we may acquire WCAS’s interest over the next 5 - 10 years.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 of Closed Block of Commercial Long-Term Care Insurance Business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9, 2018, we completed the sale of KMG to Continental General Insurance Company, or CGIC, a Texas-based insurance company wholly owned by HC2 Holdings, Inc., a diversified holding company. KMG's subsidiary, Kanawha Insurance Company, or KIC, included our closed block of non-strategic commercial long-term care policies. Upon closing, we funded the transaction with approximately $190 million of parent company cash contributed into KMG, subject to customary adjustments, in addition to the transfer of approximately $160 million of statutory capital with the sale. In connection with the sale of KMG, we recognized a pretax loss, including transaction costs, of $786 million and a corresponding $452 million tax benefit.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sale of KMG, we entered into reinsurance contracts to transfer the risk associated with certain voluntary benefit and financial protection products previously issued primarily by KIC to a third party. We transferred approximately $245 million of cash to the third party and recorded a commensurate reinsurance recoverable as a result of these transactions. The reinsurance recoverable was included as part of the net assets disposed. There was no material impact to operating results from these reinsurance transactions.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KMG revenues and net income for the 2018 period prior to the date of sale was $182 million and $47 million, respectively. KMG revenues and net loss were $261 million and $117 million, respectively, for the year ended December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5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assets and liabilities of KMG that were disposed of on August 9, 2018 were as follows:</w:t>
      </w:r>
    </w:p>
    <w:p>
      <w:pPr>
        <w:spacing w:after="0" w:line="185" w:lineRule="exact"/>
        <w:rPr>
          <w:sz w:val="20"/>
          <w:szCs w:val="20"/>
          <w:color w:val="auto"/>
        </w:rPr>
      </w:pPr>
    </w:p>
    <w:tbl>
      <w:tblPr>
        <w:tblLayout w:type="fixed"/>
        <w:tblInd w:w="30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292"/>
              <w:spacing w:after="0"/>
              <w:rPr>
                <w:sz w:val="20"/>
                <w:szCs w:val="20"/>
                <w:color w:val="auto"/>
              </w:rPr>
            </w:pPr>
            <w:r>
              <w:rPr>
                <w:rFonts w:ascii="Arial" w:cs="Arial" w:eastAsia="Arial" w:hAnsi="Arial"/>
                <w:sz w:val="16"/>
                <w:szCs w:val="16"/>
                <w:b w:val="1"/>
                <w:bCs w:val="1"/>
                <w:color w:val="auto"/>
                <w:w w:val="99"/>
              </w:rPr>
              <w:t>August 9, 2018</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160" w:type="dxa"/>
            <w:vAlign w:val="bottom"/>
            <w:vMerge w:val="restart"/>
          </w:tcPr>
          <w:p>
            <w:pPr>
              <w:jc w:val="center"/>
              <w:ind w:right="127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3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Investment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43"/>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assets disposed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160" w:type="dxa"/>
            <w:vAlign w:val="bottom"/>
          </w:tcPr>
          <w:p>
            <w:pPr>
              <w:jc w:val="center"/>
              <w:ind w:right="1270"/>
              <w:spacing w:after="0"/>
              <w:rPr>
                <w:sz w:val="20"/>
                <w:szCs w:val="20"/>
                <w:color w:val="auto"/>
              </w:rPr>
            </w:pPr>
            <w:r>
              <w:rPr>
                <w:rFonts w:ascii="Arial" w:cs="Arial" w:eastAsia="Arial" w:hAnsi="Arial"/>
                <w:sz w:val="18"/>
                <w:szCs w:val="18"/>
                <w:b w:val="1"/>
                <w:bCs w:val="1"/>
                <w:color w:val="auto"/>
                <w:w w:val="91"/>
              </w:rPr>
              <w:t>Liabilities</w:t>
            </w: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shd w:val="clear" w:color="auto" w:fill="CCEEFF"/>
              </w:rPr>
              <w:t>Benefits payable</w:t>
            </w:r>
          </w:p>
        </w:tc>
        <w:tc>
          <w:tcPr>
            <w:tcW w:w="2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520" w:type="dxa"/>
            <w:vAlign w:val="bottom"/>
            <w:gridSpan w:val="2"/>
          </w:tcPr>
          <w:p>
            <w:pPr>
              <w:ind w:left="160"/>
              <w:spacing w:after="0"/>
              <w:rPr>
                <w:sz w:val="20"/>
                <w:szCs w:val="20"/>
                <w:color w:val="auto"/>
              </w:rPr>
            </w:pPr>
            <w:r>
              <w:rPr>
                <w:rFonts w:ascii="Arial" w:cs="Arial" w:eastAsia="Arial" w:hAnsi="Arial"/>
                <w:sz w:val="18"/>
                <w:szCs w:val="18"/>
                <w:color w:val="auto"/>
                <w:w w:val="88"/>
              </w:rPr>
              <w:t>Trade accounts payable and accrued expenses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Future policy benefits payable</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37"/>
        </w:trPr>
        <w:tc>
          <w:tcPr>
            <w:tcW w:w="3520" w:type="dxa"/>
            <w:vAlign w:val="bottom"/>
            <w:gridSpan w:val="2"/>
          </w:tcPr>
          <w:p>
            <w:pPr>
              <w:ind w:left="280"/>
              <w:spacing w:after="0"/>
              <w:rPr>
                <w:sz w:val="20"/>
                <w:szCs w:val="20"/>
                <w:color w:val="auto"/>
              </w:rPr>
            </w:pPr>
            <w:r>
              <w:rPr>
                <w:rFonts w:ascii="Arial" w:cs="Arial" w:eastAsia="Arial" w:hAnsi="Arial"/>
                <w:sz w:val="18"/>
                <w:szCs w:val="18"/>
                <w:color w:val="auto"/>
              </w:rPr>
              <w:t>Total liabilities disposed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Acquisitions and Divestitures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quarter of 2018, we acquired the remaining equity interest in MCCI Holdings, LLC, or MCCI, a privately held management service organization and healthcare provider headquartered in Miami, Florida, that primarily coordinates medical care for Medicare Advantage beneficiaries in Florida and Texas. The purchase price consisted primarily of $169 million cash, as well as our existing investment in MCCI and a note receivable and a revolving note with an aggregate balance of $383 million. This resulted in a purchase price allocation to goodwill of $483 million, other intangible assets of $80 million, and net tangible assets of $24 million. The goodwill was assigned to the Retail and Healthcare Services segments. The other intangible assets, which primarily consist of customer contracts, have an estimated weighted average useful life of 8 years. Goodwill and other intangible assets are amortizable as deductible expense for tax purposes.</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second quarter of 2018, we acquired Family Physicians Group, or FPG, for cash consideration of approximately $185 million, net of cash received. FPG serves Medicare Advantage and Managed Medicaid HMO patients in Greater Orlando, Florida with a footprint that includes clinics located in Lake, Orange, Osceola and Seminole counties. This resulted in a purchase price allocation to goodwill of $133 million, other intangible assets of $38 million and net tangible assets of $14 million. The goodwill was assigned to the Retail and Healthcare Services segments. The other intangible assets, which primarily consist of customer contracts, have an estimated weighted average useful life of 4.9 years. The purchase price allocations for MCCI and FPG are final.</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2019 and 2018, we acquired other health and wellness related businesses which, individually or in the aggregate, have not had a material impact on our results of operations, financial condition, or cash flows. The results of operations and financial condition of these businesses have been included in our consolidated statements of income and consolidated balance sheets from the respective acquisition dates. Acquisition-related costs recognized in each of 2019, 2018 and 2017 were not material to our results of operations. Goodwill and other intangible assets acquired are partially amortizable as deductible expenses for tax purposes. The pro forma financial information assuming the acquisitions had occurred as of the beginning of the calendar year prior to the year of acquisition, as well as the revenues and earnings generated during the year of acquisition, were not material for disclosure purposes.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5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METHOD INVESTMENT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third quarter of 2018, we, along with TPG Capital, or TPG, and Welsh, Carson, Anderson &amp; Stowe, or WCAS (together, the "Sponsors"), completed the acquisitions of Kindred Healthcare, Inc., or Kindred, and privately-held Curo Health Services, or Curo, respectively, merging Curo with the hospice business of the Kindred at Home Division, or Kindred at Home. As part of these transactions, we acquired a 40% minority interest in Kindred at Home, a leading home health and hospice company, for total cash consideration of approximately $1.1 billion.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our 40% investment in Kindred at Home using the equity method of accounting. This investment is reflected as "Equity method investment in Kindred at Home" in our consolidated balance sheets, with our share of income or loss reported as "Equity in net earnings of Kindred at Home" in our consolidated statements of income.</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entered into a shareholders agreement with the Sponsors that provides for certain rights and obligations of each party. The shareholders agreement with the Sponsors includes a put option under which they have the right to require us to purchase their interest in the joint venture starting at the end of year three and ending at the end of year four following the closing. Likewise, we have a call option under which we have the right to require the Sponsors to sell their interest in the joint venture to Humana beginning at the end of 2022 and ending at the end of 2023 following the closing. The put and call options, which are exercisable at a fixed EBITDA multiple and provide a minimum return on the Sponsor's investment if exercised, are measured at fair value each period using a Monte Carlo simulation. The simulation relies on assumptions around Kindred at Home's equity value, risk free interest rates, volatility, and the details specific to the put and call options. The final purchase price allocation resulted in approximately $1 billion being allocated to the investment and $236 million and $291 million allocated to the put and call options, respectively. The fair values of the put option and call option were $28 million and $557 million, respectively, at December 31, 2019. The fair values of the put option and call option were $224 million and $246 million, respectively, at December 31, 2018.</w:t>
      </w:r>
    </w:p>
    <w:p>
      <w:pPr>
        <w:spacing w:after="0" w:line="1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put option is included within other long-term liabilities and the call option is included within other long term assets. The change in fair value of the put and call options for the years ended December 31, 2019 and 2018 of $(506) million and $33 million, respectively, are reported as "Other (income) expense, net" in our consolidated statements of income.</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summarized balance sheets at December 31, 2019 and 2018, and income statement for the year ended December 31, 2019 and period beginning July 2, 2018 through December 31, 2018 of Kindred at Home were as follows:</w:t>
      </w: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3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Balance sheets</w:t>
            </w:r>
          </w:p>
        </w:tc>
        <w:tc>
          <w:tcPr>
            <w:tcW w:w="2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434"/>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563</w:t>
            </w: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4,967</w:t>
            </w:r>
          </w:p>
        </w:tc>
        <w:tc>
          <w:tcPr>
            <w:tcW w:w="5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405</w:t>
            </w:r>
          </w:p>
        </w:tc>
        <w:tc>
          <w:tcPr>
            <w:tcW w:w="52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2,637</w:t>
            </w:r>
          </w:p>
        </w:tc>
        <w:tc>
          <w:tcPr>
            <w:tcW w:w="5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2,488</w:t>
            </w:r>
          </w:p>
        </w:tc>
        <w:tc>
          <w:tcPr>
            <w:tcW w:w="52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561"/>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Statements of income</w:t>
            </w: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For the year ended December 31, 2019</w:t>
            </w: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July 2, 2018 through December 31,</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20" w:type="dxa"/>
            <w:vAlign w:val="bottom"/>
            <w:tcBorders>
              <w:bottom w:val="single" w:sz="8" w:color="auto"/>
            </w:tcBorders>
            <w:gridSpan w:val="2"/>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43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tcPr>
          <w:p>
            <w:pPr>
              <w:spacing w:after="0"/>
              <w:rPr>
                <w:sz w:val="21"/>
                <w:szCs w:val="21"/>
                <w:color w:val="auto"/>
              </w:rPr>
            </w:pPr>
          </w:p>
        </w:tc>
        <w:tc>
          <w:tcPr>
            <w:tcW w:w="26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0" w:type="dxa"/>
            <w:vAlign w:val="bottom"/>
            <w:tcBorders>
              <w:bottom w:val="single" w:sz="8" w:color="CCEEFF"/>
            </w:tcBorders>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3,100</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2,835</w:t>
            </w:r>
          </w:p>
        </w:tc>
        <w:tc>
          <w:tcPr>
            <w:tcW w:w="52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5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810"/>
        </w:trPr>
        <w:tc>
          <w:tcPr>
            <w:tcW w:w="3500" w:type="dxa"/>
            <w:vAlign w:val="bottom"/>
          </w:tcPr>
          <w:p>
            <w:pPr>
              <w:spacing w:after="0"/>
              <w:rPr>
                <w:sz w:val="24"/>
                <w:szCs w:val="24"/>
                <w:color w:val="auto"/>
              </w:rPr>
            </w:pPr>
          </w:p>
        </w:tc>
        <w:tc>
          <w:tcPr>
            <w:tcW w:w="2620" w:type="dxa"/>
            <w:vAlign w:val="bottom"/>
          </w:tcPr>
          <w:p>
            <w:pPr>
              <w:jc w:val="right"/>
              <w:ind w:right="47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securities classified as current and long-term were as follows at December 31, 2019 and 2018,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Amortized</w:t>
            </w:r>
          </w:p>
        </w:tc>
        <w:tc>
          <w:tcPr>
            <w:tcW w:w="1260" w:type="dxa"/>
            <w:vAlign w:val="bottom"/>
          </w:tcPr>
          <w:p>
            <w:pPr>
              <w:jc w:val="center"/>
              <w:ind w:left="358"/>
              <w:spacing w:after="0"/>
              <w:rPr>
                <w:sz w:val="20"/>
                <w:szCs w:val="20"/>
                <w:color w:val="auto"/>
              </w:rPr>
            </w:pPr>
            <w:r>
              <w:rPr>
                <w:rFonts w:ascii="Arial" w:cs="Arial" w:eastAsia="Arial" w:hAnsi="Arial"/>
                <w:sz w:val="14"/>
                <w:szCs w:val="14"/>
                <w:b w:val="1"/>
                <w:bCs w:val="1"/>
                <w:color w:val="auto"/>
                <w:w w:val="83"/>
              </w:rPr>
              <w:t>Gross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398"/>
              <w:spacing w:after="0"/>
              <w:rPr>
                <w:sz w:val="20"/>
                <w:szCs w:val="20"/>
                <w:color w:val="auto"/>
              </w:rPr>
            </w:pPr>
            <w:r>
              <w:rPr>
                <w:rFonts w:ascii="Arial" w:cs="Arial" w:eastAsia="Arial" w:hAnsi="Arial"/>
                <w:sz w:val="14"/>
                <w:szCs w:val="14"/>
                <w:b w:val="1"/>
                <w:bCs w:val="1"/>
                <w:color w:val="auto"/>
                <w:w w:val="88"/>
              </w:rPr>
              <w:t>Gross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260" w:type="dxa"/>
            <w:vAlign w:val="bottom"/>
          </w:tcPr>
          <w:p>
            <w:pPr>
              <w:jc w:val="center"/>
              <w:ind w:left="3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left="398"/>
              <w:spacing w:after="0" w:line="149" w:lineRule="exact"/>
              <w:rPr>
                <w:sz w:val="20"/>
                <w:szCs w:val="20"/>
                <w:color w:val="auto"/>
              </w:rPr>
            </w:pPr>
            <w:r>
              <w:rPr>
                <w:rFonts w:ascii="Arial" w:cs="Arial" w:eastAsia="Arial" w:hAnsi="Arial"/>
                <w:sz w:val="14"/>
                <w:szCs w:val="14"/>
                <w:b w:val="1"/>
                <w:bCs w:val="1"/>
                <w:color w:val="auto"/>
                <w:w w:val="95"/>
              </w:rPr>
              <w:t>Unrealized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338"/>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398"/>
              <w:spacing w:after="0"/>
              <w:rPr>
                <w:sz w:val="20"/>
                <w:szCs w:val="20"/>
                <w:color w:val="auto"/>
              </w:rPr>
            </w:pPr>
            <w:r>
              <w:rPr>
                <w:rFonts w:ascii="Arial" w:cs="Arial" w:eastAsia="Arial" w:hAnsi="Arial"/>
                <w:sz w:val="14"/>
                <w:szCs w:val="14"/>
                <w:b w:val="1"/>
                <w:bCs w:val="1"/>
                <w:color w:val="auto"/>
                <w:w w:val="82"/>
              </w:rPr>
              <w:t>Losses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3"/>
          </w:tcPr>
          <w:p>
            <w:pPr>
              <w:jc w:val="right"/>
              <w:ind w:right="83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December 31, 2019</w:t>
            </w: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89"/>
              </w:rPr>
              <w:t>U.S. Treasury and other U.S. government</w:t>
            </w:r>
          </w:p>
        </w:tc>
        <w:tc>
          <w:tcPr>
            <w:tcW w:w="116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corporations and agencies: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U.S. Treasury and agency obligations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4240" w:type="dxa"/>
            <w:vAlign w:val="bottom"/>
            <w:gridSpan w:val="3"/>
          </w:tcPr>
          <w:p>
            <w:pPr>
              <w:ind w:left="380"/>
              <w:spacing w:after="0"/>
              <w:rPr>
                <w:sz w:val="20"/>
                <w:szCs w:val="20"/>
                <w:color w:val="auto"/>
              </w:rPr>
            </w:pPr>
            <w:r>
              <w:rPr>
                <w:rFonts w:ascii="Arial" w:cs="Arial" w:eastAsia="Arial" w:hAnsi="Arial"/>
                <w:sz w:val="18"/>
                <w:szCs w:val="18"/>
                <w:color w:val="auto"/>
              </w:rPr>
              <w:t>Mortgage-backed securities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Tax-exempt municipal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Commercial</w:t>
            </w: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Corporate debt securities</w:t>
            </w: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gridSpan w:val="3"/>
          </w:tcPr>
          <w:p>
            <w:pPr>
              <w:ind w:left="720"/>
              <w:spacing w:after="0"/>
              <w:rPr>
                <w:sz w:val="20"/>
                <w:szCs w:val="20"/>
                <w:color w:val="auto"/>
              </w:rPr>
            </w:pPr>
            <w:r>
              <w:rPr>
                <w:rFonts w:ascii="Arial" w:cs="Arial" w:eastAsia="Arial" w:hAnsi="Arial"/>
                <w:sz w:val="18"/>
                <w:szCs w:val="18"/>
                <w:color w:val="auto"/>
              </w:rPr>
              <w:t>Total debt securities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11,160</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8"/>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3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December 31, 2018</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89"/>
              </w:rPr>
              <w:t>U.S. Treasury and other U.S. government</w:t>
            </w:r>
          </w:p>
        </w:tc>
        <w:tc>
          <w:tcPr>
            <w:tcW w:w="116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corporations and agencies: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U.S. Treasury and agency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4240" w:type="dxa"/>
            <w:vAlign w:val="bottom"/>
            <w:gridSpan w:val="3"/>
          </w:tcPr>
          <w:p>
            <w:pPr>
              <w:ind w:left="380"/>
              <w:spacing w:after="0"/>
              <w:rPr>
                <w:sz w:val="20"/>
                <w:szCs w:val="20"/>
                <w:color w:val="auto"/>
              </w:rPr>
            </w:pPr>
            <w:r>
              <w:rPr>
                <w:rFonts w:ascii="Arial" w:cs="Arial" w:eastAsia="Arial" w:hAnsi="Arial"/>
                <w:sz w:val="18"/>
                <w:szCs w:val="18"/>
                <w:color w:val="auto"/>
              </w:rPr>
              <w:t>Mortgage-backed securities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2,595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Tax-exempt municipal securities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Residential</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240" w:type="dxa"/>
            <w:vAlign w:val="bottom"/>
            <w:gridSpan w:val="3"/>
          </w:tcPr>
          <w:p>
            <w:pPr>
              <w:ind w:left="38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Asset-backed securities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Corporate debt securities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Total debt securities</w:t>
            </w:r>
          </w:p>
        </w:tc>
        <w:tc>
          <w:tcPr>
            <w:tcW w:w="1200" w:type="dxa"/>
            <w:vAlign w:val="bottom"/>
            <w:tcBorders>
              <w:bottom w:val="single" w:sz="8" w:color="CCEEFF"/>
            </w:tcBorders>
            <w:gridSpan w:val="2"/>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10,641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held $7 million of equity securities carried at fair value as of December 31, 2019 consisting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5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December 31, 2019 and 2018, respectively:</w:t>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December 31, 2019</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U.S. Treasury and other U.S. government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U.S. Treasury and agency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gridSpan w:val="3"/>
          </w:tcPr>
          <w:p>
            <w:pPr>
              <w:ind w:left="38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Tax-exempt municipal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Commercial</w:t>
            </w: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Corporate debt securities</w:t>
            </w: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gridSpan w:val="3"/>
          </w:tcPr>
          <w:p>
            <w:pPr>
              <w:ind w:left="720"/>
              <w:spacing w:after="0"/>
              <w:rPr>
                <w:sz w:val="20"/>
                <w:szCs w:val="20"/>
                <w:color w:val="auto"/>
              </w:rPr>
            </w:pPr>
            <w:r>
              <w:rPr>
                <w:rFonts w:ascii="Arial" w:cs="Arial" w:eastAsia="Arial" w:hAnsi="Arial"/>
                <w:sz w:val="18"/>
                <w:szCs w:val="18"/>
                <w:color w:val="auto"/>
              </w:rPr>
              <w:t>Total debt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8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December 31, 2018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U.S. Treasury and other U.S. government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U.S. Treasury and agency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38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Tax-exempt municipal securities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Residential</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gridSpan w:val="3"/>
          </w:tcPr>
          <w:p>
            <w:pPr>
              <w:ind w:left="38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Asset-backed securities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Total debt securities</w:t>
            </w:r>
          </w:p>
        </w:tc>
        <w:tc>
          <w:tcPr>
            <w:tcW w:w="120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96% of our debt securities were investment-grade quality, with a weighted average credit rating of AA by S&amp;P at December 31, 2019. Most of the debt securities that were below investment-grade were rated BB, the higher end of the below investment-grade rating scale. Tax-exempt municipal securities were diversified among general obligation bonds of states and local municipalities in the United States as well as special revenue bonds issued by municipalities to finance specific public works projects such as utilities, water and sewer, transportation, or education. Our general obligation bonds are diversified across the United States with no individual state exceeding 1% of our total debt securities. Our investment policy limits investments in a single issuer and requires diversification among various asset types.</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unrealized loss from all securities was generated from approximately 235 positions out of a total of approximately 1,515 positions at December 31, 2019. All issuers of securities we own that were trading at an unrealized loss at December 31, 2019 remain current on all contractual payments. After taking into account these and other factors previously described, we believe these unrealized losses primarily were caused by an increase in market interest rates in the current markets since the time the securities were purchased. At December 31, 2019, we did not intend to sell the securities with an unrealized loss position in accumulated other comprehensive income, and it is not likely that we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5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will be required to sell these securities before recovery of their amortized cost basis. As a result, we believe that the securities with an unrealized loss were not other-than-temporarily impaired at December 31,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detail of realized gains (losses) related to investment securities and included within investment income was as follows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378"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4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realized capital gains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other-than-temporary impairments in 2019, 2018, or 2017.</w:t>
      </w:r>
    </w:p>
    <w:p>
      <w:pPr>
        <w:spacing w:after="0" w:line="17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contractual maturities of debt securities available for sale at December 31, 2019, regardless of their balance sheet classification, are shown below. Expected maturities may differ from contractual maturities because borrowers may have the right to call or prepay obligations with or without call or prepayment penalties.</w:t>
      </w:r>
    </w:p>
    <w:p>
      <w:pPr>
        <w:spacing w:after="0" w:line="106"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38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rPr>
              <w:t>Fair</w:t>
            </w:r>
          </w:p>
        </w:tc>
      </w:tr>
      <w:tr>
        <w:trPr>
          <w:trHeight w:val="192"/>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Value</w:t>
            </w:r>
          </w:p>
        </w:tc>
      </w:tr>
      <w:tr>
        <w:trPr>
          <w:trHeight w:val="19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 and 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5,607</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debt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11,371</w:t>
            </w:r>
          </w:p>
        </w:tc>
      </w:tr>
      <w:tr>
        <w:trPr>
          <w:trHeight w:val="27"/>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5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220" w:right="9960" w:hanging="212"/>
        <w:spacing w:after="0" w:line="528" w:lineRule="auto"/>
        <w:tabs>
          <w:tab w:leader="none" w:pos="184"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w:t>
      </w:r>
      <w:r>
        <w:rPr>
          <w:rFonts w:ascii="Arial" w:cs="Arial" w:eastAsia="Arial" w:hAnsi="Arial"/>
          <w:sz w:val="15"/>
          <w:szCs w:val="15"/>
          <w:b w:val="1"/>
          <w:bCs w:val="1"/>
          <w:i w:val="1"/>
          <w:iCs w:val="1"/>
          <w:color w:val="auto"/>
        </w:rPr>
        <w:t>Financial Assets</w:t>
      </w:r>
    </w:p>
    <w:p>
      <w:pPr>
        <w:spacing w:after="0" w:line="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our fair value measurements at December 31, 2019 and 2018, respectively, for financial assets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30" w:type="dxa"/>
            <w:vAlign w:val="bottom"/>
          </w:tcPr>
          <w:p>
            <w:pPr>
              <w:spacing w:after="0"/>
              <w:rPr>
                <w:sz w:val="16"/>
                <w:szCs w:val="16"/>
                <w:color w:val="auto"/>
              </w:rPr>
            </w:pPr>
          </w:p>
        </w:tc>
        <w:tc>
          <w:tcPr>
            <w:tcW w:w="283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974"/>
              <w:spacing w:after="0"/>
              <w:rPr>
                <w:sz w:val="20"/>
                <w:szCs w:val="20"/>
                <w:color w:val="auto"/>
              </w:rPr>
            </w:pPr>
            <w:r>
              <w:rPr>
                <w:rFonts w:ascii="Arial" w:cs="Arial" w:eastAsia="Arial" w:hAnsi="Arial"/>
                <w:sz w:val="14"/>
                <w:szCs w:val="14"/>
                <w:b w:val="1"/>
                <w:bCs w:val="1"/>
                <w:color w:val="auto"/>
                <w:w w:val="92"/>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30" w:type="dxa"/>
            <w:vAlign w:val="bottom"/>
          </w:tcPr>
          <w:p>
            <w:pPr>
              <w:spacing w:after="0"/>
              <w:rPr>
                <w:sz w:val="13"/>
                <w:szCs w:val="13"/>
                <w:color w:val="auto"/>
              </w:rPr>
            </w:pPr>
          </w:p>
        </w:tc>
        <w:tc>
          <w:tcPr>
            <w:tcW w:w="283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36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24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1130" w:type="dxa"/>
            <w:vAlign w:val="bottom"/>
          </w:tcPr>
          <w:p>
            <w:pPr>
              <w:spacing w:after="0"/>
              <w:rPr>
                <w:sz w:val="12"/>
                <w:szCs w:val="12"/>
                <w:color w:val="auto"/>
              </w:rPr>
            </w:pPr>
          </w:p>
        </w:tc>
        <w:tc>
          <w:tcPr>
            <w:tcW w:w="283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3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30" w:type="dxa"/>
            <w:vAlign w:val="bottom"/>
          </w:tcPr>
          <w:p>
            <w:pPr>
              <w:spacing w:after="0"/>
              <w:rPr>
                <w:sz w:val="12"/>
                <w:szCs w:val="12"/>
                <w:color w:val="auto"/>
              </w:rPr>
            </w:pPr>
          </w:p>
        </w:tc>
        <w:tc>
          <w:tcPr>
            <w:tcW w:w="283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3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1130" w:type="dxa"/>
            <w:vAlign w:val="bottom"/>
          </w:tcPr>
          <w:p>
            <w:pPr>
              <w:spacing w:after="0"/>
              <w:rPr>
                <w:sz w:val="16"/>
                <w:szCs w:val="16"/>
                <w:color w:val="auto"/>
              </w:rPr>
            </w:pPr>
          </w:p>
        </w:tc>
        <w:tc>
          <w:tcPr>
            <w:tcW w:w="283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1130" w:type="dxa"/>
            <w:vAlign w:val="bottom"/>
          </w:tcPr>
          <w:p>
            <w:pPr>
              <w:spacing w:after="0"/>
              <w:rPr>
                <w:sz w:val="17"/>
                <w:szCs w:val="17"/>
                <w:color w:val="auto"/>
              </w:rPr>
            </w:pPr>
          </w:p>
        </w:tc>
        <w:tc>
          <w:tcPr>
            <w:tcW w:w="283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30" w:type="dxa"/>
            <w:vAlign w:val="bottom"/>
            <w:shd w:val="clear" w:color="auto" w:fill="CCEEFF"/>
          </w:tcPr>
          <w:p>
            <w:pPr>
              <w:spacing w:after="0"/>
              <w:rPr>
                <w:sz w:val="22"/>
                <w:szCs w:val="22"/>
                <w:color w:val="auto"/>
              </w:rPr>
            </w:pPr>
          </w:p>
        </w:tc>
        <w:tc>
          <w:tcPr>
            <w:tcW w:w="283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December 31, 2019</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Cash equivalents</w:t>
            </w:r>
          </w:p>
        </w:tc>
        <w:tc>
          <w:tcPr>
            <w:tcW w:w="116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3,660</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CCEEFF"/>
            </w:tcBorders>
          </w:tcPr>
          <w:p>
            <w:pPr>
              <w:jc w:val="right"/>
              <w:ind w:right="14"/>
              <w:spacing w:after="0"/>
              <w:rPr>
                <w:sz w:val="20"/>
                <w:szCs w:val="20"/>
                <w:color w:val="auto"/>
              </w:rPr>
            </w:pPr>
            <w:r>
              <w:rPr>
                <w:rFonts w:ascii="Arial" w:cs="Arial" w:eastAsia="Arial" w:hAnsi="Arial"/>
                <w:sz w:val="18"/>
                <w:szCs w:val="18"/>
                <w:color w:val="auto"/>
              </w:rPr>
              <w:t>3,660</w:t>
            </w: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U.S. Treasury and other U.S. government corporations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agencies: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720"/>
              <w:spacing w:after="0"/>
              <w:rPr>
                <w:sz w:val="20"/>
                <w:szCs w:val="20"/>
                <w:color w:val="auto"/>
              </w:rPr>
            </w:pPr>
            <w:r>
              <w:rPr>
                <w:rFonts w:ascii="Arial" w:cs="Arial" w:eastAsia="Arial" w:hAnsi="Arial"/>
                <w:sz w:val="18"/>
                <w:szCs w:val="18"/>
                <w:color w:val="auto"/>
              </w:rPr>
              <w:t>U.S. Treasury and agency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720"/>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Tax-exempt 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Commercial</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Corporate debt securities</w:t>
            </w:r>
          </w:p>
        </w:tc>
        <w:tc>
          <w:tcPr>
            <w:tcW w:w="1200" w:type="dxa"/>
            <w:vAlign w:val="bottom"/>
            <w:tcBorders>
              <w:bottom w:val="single" w:sz="8" w:color="CCEEFF"/>
            </w:tcBorders>
            <w:gridSpan w:val="2"/>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debt securities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Borders>
              <w:bottom w:val="single" w:sz="8" w:color="CCEEFF"/>
            </w:tcBorders>
          </w:tcPr>
          <w:p>
            <w:pPr>
              <w:spacing w:after="0"/>
              <w:rPr>
                <w:sz w:val="2"/>
                <w:szCs w:val="2"/>
                <w:color w:val="auto"/>
              </w:rPr>
            </w:pPr>
          </w:p>
        </w:tc>
        <w:tc>
          <w:tcPr>
            <w:tcW w:w="283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3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Common stock</w:t>
            </w:r>
          </w:p>
        </w:tc>
        <w:tc>
          <w:tcPr>
            <w:tcW w:w="283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invested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1130" w:type="dxa"/>
            <w:vAlign w:val="bottom"/>
            <w:tcBorders>
              <w:bottom w:val="single" w:sz="8" w:color="CCEEFF"/>
            </w:tcBorders>
          </w:tcPr>
          <w:p>
            <w:pPr>
              <w:spacing w:after="0"/>
              <w:rPr>
                <w:sz w:val="5"/>
                <w:szCs w:val="5"/>
                <w:color w:val="auto"/>
              </w:rPr>
            </w:pPr>
          </w:p>
        </w:tc>
        <w:tc>
          <w:tcPr>
            <w:tcW w:w="283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130" w:type="dxa"/>
            <w:vAlign w:val="bottom"/>
            <w:shd w:val="clear" w:color="auto" w:fill="CCEEFF"/>
          </w:tcPr>
          <w:p>
            <w:pPr>
              <w:spacing w:after="0"/>
              <w:rPr>
                <w:sz w:val="20"/>
                <w:szCs w:val="20"/>
                <w:color w:val="auto"/>
              </w:rPr>
            </w:pPr>
          </w:p>
        </w:tc>
        <w:tc>
          <w:tcPr>
            <w:tcW w:w="283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December 31, 2018</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Cash equivalents</w:t>
            </w:r>
          </w:p>
        </w:tc>
        <w:tc>
          <w:tcPr>
            <w:tcW w:w="116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CCEEFF"/>
            </w:tcBorders>
          </w:tcPr>
          <w:p>
            <w:pPr>
              <w:jc w:val="right"/>
              <w:ind w:right="14"/>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Debt securities: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U.S. Treasury and other U.S. government corporations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agencies: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U.S. Treasury and agency obligations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720"/>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Tax-exempt municipal securities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Residential</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72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Pr>
          <w:p>
            <w:pPr>
              <w:spacing w:after="0"/>
              <w:rPr>
                <w:sz w:val="2"/>
                <w:szCs w:val="2"/>
                <w:color w:val="auto"/>
              </w:rPr>
            </w:pPr>
          </w:p>
        </w:tc>
        <w:tc>
          <w:tcPr>
            <w:tcW w:w="283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Asset-backed securities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30" w:type="dxa"/>
            <w:vAlign w:val="bottom"/>
            <w:tcBorders>
              <w:bottom w:val="single" w:sz="8" w:color="CCEEFF"/>
            </w:tcBorders>
          </w:tcPr>
          <w:p>
            <w:pPr>
              <w:spacing w:after="0"/>
              <w:rPr>
                <w:sz w:val="2"/>
                <w:szCs w:val="2"/>
                <w:color w:val="auto"/>
              </w:rPr>
            </w:pPr>
          </w:p>
        </w:tc>
        <w:tc>
          <w:tcPr>
            <w:tcW w:w="283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30" w:type="dxa"/>
            <w:vAlign w:val="bottom"/>
            <w:tcBorders>
              <w:bottom w:val="single" w:sz="8" w:color="CCEEFF"/>
            </w:tcBorders>
            <w:shd w:val="clear" w:color="auto" w:fill="CCEEFF"/>
          </w:tcPr>
          <w:p>
            <w:pPr>
              <w:spacing w:after="0"/>
              <w:rPr>
                <w:sz w:val="22"/>
                <w:szCs w:val="22"/>
                <w:color w:val="auto"/>
              </w:rPr>
            </w:pPr>
          </w:p>
        </w:tc>
        <w:tc>
          <w:tcPr>
            <w:tcW w:w="2830" w:type="dxa"/>
            <w:vAlign w:val="bottom"/>
            <w:tcBorders>
              <w:bottom w:val="single" w:sz="8" w:color="CCEEFF"/>
            </w:tcBorders>
            <w:shd w:val="clear" w:color="auto" w:fill="CCEEFF"/>
          </w:tcPr>
          <w:p>
            <w:pPr>
              <w:ind w:left="10"/>
              <w:spacing w:after="0"/>
              <w:rPr>
                <w:sz w:val="20"/>
                <w:szCs w:val="20"/>
                <w:color w:val="auto"/>
              </w:rPr>
            </w:pPr>
            <w:r>
              <w:rPr>
                <w:rFonts w:ascii="Arial" w:cs="Arial" w:eastAsia="Arial" w:hAnsi="Arial"/>
                <w:sz w:val="18"/>
                <w:szCs w:val="18"/>
                <w:color w:val="auto"/>
                <w:shd w:val="clear" w:color="auto" w:fill="CCEEFF"/>
              </w:rPr>
              <w:t>Total debt securities</w:t>
            </w:r>
          </w:p>
        </w:tc>
        <w:tc>
          <w:tcPr>
            <w:tcW w:w="120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gridSpan w:val="4"/>
          </w:tcPr>
          <w:p>
            <w:pPr>
              <w:ind w:left="380"/>
              <w:spacing w:after="0"/>
              <w:rPr>
                <w:sz w:val="20"/>
                <w:szCs w:val="20"/>
                <w:color w:val="auto"/>
              </w:rPr>
            </w:pPr>
            <w:r>
              <w:rPr>
                <w:rFonts w:ascii="Arial" w:cs="Arial" w:eastAsia="Arial" w:hAnsi="Arial"/>
                <w:sz w:val="18"/>
                <w:szCs w:val="18"/>
                <w:color w:val="auto"/>
              </w:rPr>
              <w:t>Total invested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12,461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30" w:type="dxa"/>
            <w:vAlign w:val="bottom"/>
          </w:tcPr>
          <w:p>
            <w:pPr>
              <w:spacing w:after="0" w:line="20" w:lineRule="exact"/>
              <w:rPr>
                <w:sz w:val="1"/>
                <w:szCs w:val="1"/>
                <w:color w:val="auto"/>
              </w:rPr>
            </w:pPr>
          </w:p>
        </w:tc>
        <w:tc>
          <w:tcPr>
            <w:tcW w:w="283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553"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debt is recorded at carrying value in our consolidated balance sheets. The carrying value of our senior notes debt outstanding, net of unamortized debt issuance costs, was $5,366 million at December 31, 2019 and $4,774 million at December 31, 2018. The fair value of our senior note debt was $5,916 million at December 31, 2019 and $4,885 million at December 31, 2018. The fair value of our senior note debt is determined based on Level 2 inputs, including quoted market prices for the same or similar debt, or if no quoted market prices are available, on the current prices estimated to be available to us for debt with similar terms and remaining maturities.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short-term nature, carrying value approximates fair value for our term note and commercial paper borrowings. The outstanding commercial paper borrowings were $300 million at December 31, 2019 and we repaid the term note balance in August 2019. The term note outstanding and commercial paper borrowings were $1,295 million at December 31, 2018.</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Put and Call Options Measured at Fair Value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put and call options fair values, derived from the Monte Carlo simulation, were $28 million and $557 million, respectively at December 31, 2019 and $224 million and $246 million, respectively at December 31, 2018. The significant unobservable inputs utilized in these Level 3 fair value measurements (and selected values) include the enterprise value of Kindred at Home, annualized volatility (19.8%) and secured credit rate (2.2%). Enterprise value was derived from a discounted cash flow model, which utilized significant unobservable inputs for long-term net operating profit after tax margin, or NOPAT, (12.0%) to measure underlying cash flows, weighted average cost of capital (10.0%) and long term growth rate (3.0%). The calculation of NOPAT utilized net income plus after tax interest expense.</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regularly evaluate each of the assumptions used in establishing these assets and liabilities. Significant changes in assumptions for weighted average cost of capital, long term growth rates, NOPAT, volatility, credit spreads, risk free rate, and underlying cash flow estimates, could result in significantly lower or higher fair value measurements. A change in one of these assumptions is not necessarily accompanied by a change in another assumption.</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disclosed in Note 3, we acquired MCCI, FPG, and other health and wellness related businesses during 2019, 2018, and 2017. The values of net tangible assets acquired and the resulting goodwill and other intangible assets were recorded at fair value using Level 3 inputs. The majority of the tangible assets acquired and liabilities assumed were recorded at their carrying values as of the respective dates of acquisition, as their carrying values approximated their fair values due to their short-term nature. The fair values of goodwill and other intangible assets acquired in these acquisitions were internally estimated primarily based on the income approach. The income approach estimates fair value based on the present value of the cash flows that the assets are expected to generate in the future. We developed internal estimates for the expected future cash flows and discount rates used in the present value calculations. Other than assets acquired and liabilities assumed in these acquisitions, there were no material assets or liabilities measured at fair value on a nonrecurring basis during 2019, 2018, or 2017.</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5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MEDICARE PART D</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discussed in Note 2, we cover prescription drug benefits in accordance with Medicare Part D under multiple contracts with CMS. The accompanying consolidated balance sheets include the following amounts associated with Medicare Part D as of December 31, 2019 and 2018. CMS subsidies/discounts in the table below include the reinsurance and low-income cost subsidies funded by CMS for which we assume no risk as well as brand name prescription drug discounts for Part D plan participants in the coverage gap funded by CMS and pharmaceutical manufacturers.</w:t>
      </w:r>
    </w:p>
    <w:p>
      <w:pPr>
        <w:spacing w:after="0" w:line="339"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16"/>
                <w:szCs w:val="16"/>
                <w:color w:val="auto"/>
              </w:rPr>
            </w:pPr>
          </w:p>
        </w:tc>
      </w:tr>
      <w:tr>
        <w:trPr>
          <w:trHeight w:val="152"/>
        </w:trPr>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Risk</w:t>
            </w: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CMS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Risk</w:t>
            </w:r>
          </w:p>
        </w:tc>
        <w:tc>
          <w:tcPr>
            <w:tcW w:w="200" w:type="dxa"/>
            <w:vAlign w:val="bottom"/>
          </w:tcPr>
          <w:p>
            <w:pPr>
              <w:spacing w:after="0"/>
              <w:rPr>
                <w:sz w:val="13"/>
                <w:szCs w:val="13"/>
                <w:color w:val="auto"/>
              </w:rPr>
            </w:pPr>
          </w:p>
        </w:tc>
        <w:tc>
          <w:tcPr>
            <w:tcW w:w="10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rPr>
              <w:t>CMS</w:t>
            </w:r>
          </w:p>
        </w:tc>
      </w:tr>
      <w:tr>
        <w:trPr>
          <w:trHeight w:val="149"/>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Corridor</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Subsidies/</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Corridor</w:t>
            </w:r>
          </w:p>
        </w:tc>
        <w:tc>
          <w:tcPr>
            <w:tcW w:w="20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Subsidies/</w:t>
            </w:r>
          </w:p>
        </w:tc>
      </w:tr>
      <w:tr>
        <w:trPr>
          <w:trHeight w:val="192"/>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Settlement</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Discounts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Settlement</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8"/>
              </w:rPr>
              <w:t>Discounts</w:t>
            </w:r>
          </w:p>
        </w:tc>
      </w:tr>
      <w:tr>
        <w:trPr>
          <w:trHeight w:val="250"/>
        </w:trPr>
        <w:tc>
          <w:tcPr>
            <w:tcW w:w="4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Trade accounts payable and accrued expenses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current (liability) asset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Net long-term liability</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(liability)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comprised of the following at December 31, 2019 and 2018.</w:t>
      </w:r>
    </w:p>
    <w:p>
      <w:pPr>
        <w:spacing w:after="0" w:line="392"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4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Depreciation expense was $505 million in 2019, $444 million in 2018, and $410 million in 2017, including amortization expense for capitalized internally developed and purchased software of $343 million in 2019, $298 million in 2018, and $287 million in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5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our reportable segments for the years ended December 31, 2019 and 2018 were as follows:</w:t>
      </w:r>
    </w:p>
    <w:p>
      <w:pPr>
        <w:spacing w:after="0" w:line="392"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Retail</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Group and Specialty</w:t>
            </w: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Healthcare Services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4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1,059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3,281</w:t>
            </w:r>
          </w:p>
        </w:tc>
      </w:tr>
      <w:tr>
        <w:trPr>
          <w:trHeight w:val="243"/>
        </w:trPr>
        <w:tc>
          <w:tcPr>
            <w:tcW w:w="40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616</w:t>
            </w:r>
          </w:p>
        </w:tc>
      </w:tr>
      <w:tr>
        <w:trPr>
          <w:trHeight w:val="27"/>
        </w:trPr>
        <w:tc>
          <w:tcPr>
            <w:tcW w:w="4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3,897</w:t>
            </w:r>
          </w:p>
        </w:tc>
      </w:tr>
      <w:tr>
        <w:trPr>
          <w:trHeight w:val="243"/>
        </w:trPr>
        <w:tc>
          <w:tcPr>
            <w:tcW w:w="40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8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31</w:t>
            </w:r>
          </w:p>
        </w:tc>
      </w:tr>
      <w:tr>
        <w:trPr>
          <w:trHeight w:val="27"/>
        </w:trPr>
        <w:tc>
          <w:tcPr>
            <w:tcW w:w="4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details of our other intangible assets included in other long-term assets in the accompanying consolidated balance sheets at December 31, 2019 and 2018.</w:t>
      </w:r>
    </w:p>
    <w:p>
      <w:pPr>
        <w:spacing w:after="0" w:line="338" w:lineRule="exact"/>
        <w:rPr>
          <w:sz w:val="20"/>
          <w:szCs w:val="20"/>
          <w:color w:val="auto"/>
        </w:rPr>
      </w:pPr>
    </w:p>
    <w:tbl>
      <w:tblPr>
        <w:tblLayout w:type="fixed"/>
        <w:tblInd w:w="3660" w:type="dxa"/>
        <w:tblCellMar>
          <w:top w:w="0" w:type="dxa"/>
          <w:left w:w="0" w:type="dxa"/>
          <w:bottom w:w="0" w:type="dxa"/>
          <w:right w:w="0" w:type="dxa"/>
        </w:tblCellMar>
      </w:tblPr>
      <w:tr>
        <w:trPr>
          <w:trHeight w:val="192"/>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46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44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Accumulated</w:t>
            </w:r>
          </w:p>
        </w:tc>
        <w:tc>
          <w:tcPr>
            <w:tcW w:w="8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Amortization</w:t>
            </w:r>
          </w:p>
        </w:tc>
        <w:tc>
          <w:tcPr>
            <w:tcW w:w="92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Amortization</w:t>
            </w: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intangible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Customer contracts/relationships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8.7 years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3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 and technology</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 years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Provider contracts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11.8 years</w:t>
            </w:r>
          </w:p>
        </w:tc>
        <w:tc>
          <w:tcPr>
            <w:tcW w:w="3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3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Noncompetes and other</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 years</w:t>
            </w: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3340" w:type="dxa"/>
            <w:vAlign w:val="bottom"/>
          </w:tcPr>
          <w:p>
            <w:pPr>
              <w:ind w:left="500"/>
              <w:spacing w:after="0"/>
              <w:rPr>
                <w:sz w:val="20"/>
                <w:szCs w:val="20"/>
                <w:color w:val="auto"/>
              </w:rPr>
            </w:pPr>
            <w:r>
              <w:rPr>
                <w:rFonts w:ascii="Arial" w:cs="Arial" w:eastAsia="Arial" w:hAnsi="Arial"/>
                <w:sz w:val="18"/>
                <w:szCs w:val="18"/>
                <w:color w:val="auto"/>
              </w:rPr>
              <w:t>Total other intangible assets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8.7 years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r>
      <w:tr>
        <w:trPr>
          <w:trHeight w:val="20"/>
        </w:trPr>
        <w:tc>
          <w:tcPr>
            <w:tcW w:w="3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Amortization expense for other intangible assets was approximately $70 million in 2019, $90 million in 2018, and $75 million in 2017. Amortization expense for 2018 included $12 million associated with the write-off of a trade name value reflecting the re-branding of certain provider assets.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estimate of amortization expense for each of the five next succeeding fiscal years:</w:t>
      </w:r>
    </w:p>
    <w:p>
      <w:pPr>
        <w:spacing w:after="0" w:line="325" w:lineRule="exact"/>
        <w:rPr>
          <w:sz w:val="20"/>
          <w:szCs w:val="20"/>
          <w:color w:val="auto"/>
        </w:rPr>
      </w:pPr>
    </w:p>
    <w:tbl>
      <w:tblPr>
        <w:tblLayout w:type="fixed"/>
        <w:tblInd w:w="3120" w:type="dxa"/>
        <w:tblCellMar>
          <w:top w:w="0" w:type="dxa"/>
          <w:left w:w="0" w:type="dxa"/>
          <w:bottom w:w="0" w:type="dxa"/>
          <w:right w:w="0" w:type="dxa"/>
        </w:tblCellMar>
      </w:tblPr>
      <w:tr>
        <w:trPr>
          <w:trHeight w:val="192"/>
        </w:trPr>
        <w:tc>
          <w:tcPr>
            <w:tcW w:w="3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396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89"/>
              </w:rPr>
              <w:t>For the years ending December 31,</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jc w:val="right"/>
              <w:ind w:right="303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960" w:type="dxa"/>
            <w:vAlign w:val="bottom"/>
          </w:tcPr>
          <w:p>
            <w:pPr>
              <w:jc w:val="right"/>
              <w:ind w:right="30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960" w:type="dxa"/>
            <w:vAlign w:val="bottom"/>
          </w:tcPr>
          <w:p>
            <w:pPr>
              <w:jc w:val="right"/>
              <w:ind w:right="303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determine if a contract contains a lease by evaluating the nature and substance of the agreement. We lease facilities, computer hardware, and other furniture and equipment. Leases with an initial term of 12 months or less are not recorded on the balance sheet; we recognize lease expense for these leases on a straight-line basis over the lease term. For new lease agreements, we combine lease and nonlease components for all of our asset classes. See Note 2 for further information.</w:t>
      </w:r>
    </w:p>
    <w:p>
      <w:pPr>
        <w:sectPr>
          <w:pgSz w:w="11900" w:h="16838" w:orient="portrait"/>
          <w:cols w:equalWidth="0" w:num="1">
            <w:col w:w="11420"/>
          </w:cols>
          <w:pgMar w:left="240" w:top="553"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553" w:right="23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When portions of the lease payments are not fixed or depend on an index or rate, we consider those payments to be variable in nature. Our variable lease payments include, but are not limited to, common area maintenance, taxes and insurance which are not dependent upon an index or rate. Variable lease payments are recorded in the period in which the obligation for the payment is incurred. Most leases include options to renew, with renewal terms that can extend the lease term. The exercise of lease renewal options is at our sole discretion. Certain leases also include options to purchase the leased property. The depreciable life of assets and leasehold improvements are limited by the expected lease term, unless there is a transfer of title or purchase option reasonably certain of exercise. Our lease agreements do not contain any material residual value guarantees or material restrictive covenants.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$410 million of operating ROU assets are included within other long-term assets in our consolidated balance sheet. Additionally, at December 31, 2019, $116 million and $332 million of operating lease liabilities are included within trade accounts payable and accrued expenses and other long-term liabilities, respectively, in our consolidated balance sheet based on the remaining lease term.</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year-ended December 31, 2019, total fixed operating lease costs, excluding short-term lease costs, were $154 million and are included within operating costs in our consolidated statement of income. Short-term lease costs were not material. In addition, for the year-ended December 31, 2019, total variable operating lease costs were $82 million and are included within operating costs in our consolidated statement of income. We sublease facilities or partial facilities to third party tenants for space not used in our operations. For the year-ended December 31, 2019, sublease rental income was $45 million and is included within operating costs in our consolidated statement of income.</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weighted average remaining lease term is 4.9 years with a weighted average discount rate of 4.1% at December 31, 2019. For the year-ended December 31, 2019, cash paid for amounts included in the measurement of lease liabilities included within our operating cash flows was $151 million.</w:t>
      </w:r>
    </w:p>
    <w:p>
      <w:pPr>
        <w:spacing w:after="0" w:line="269" w:lineRule="exact"/>
        <w:rPr>
          <w:sz w:val="20"/>
          <w:szCs w:val="20"/>
          <w:color w:val="auto"/>
        </w:rPr>
      </w:pPr>
    </w:p>
    <w:tbl>
      <w:tblPr>
        <w:tblLayout w:type="fixed"/>
        <w:tblInd w:w="2420" w:type="dxa"/>
        <w:tblCellMar>
          <w:top w:w="0" w:type="dxa"/>
          <w:left w:w="0" w:type="dxa"/>
          <w:bottom w:w="0" w:type="dxa"/>
          <w:right w:w="0" w:type="dxa"/>
        </w:tblCellMar>
      </w:tblPr>
      <w:tr>
        <w:trPr>
          <w:trHeight w:val="210"/>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Maturity of Lease Liabilities</w:t>
            </w:r>
          </w:p>
        </w:tc>
        <w:tc>
          <w:tcPr>
            <w:tcW w:w="24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4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8"/>
        </w:trPr>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53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After 2024</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as adjusted for collateralized borrowings, based on the information available at date of adoption or commencement date in determining the present value of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53"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 ended 2018, under prior lease disclosure requirements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lease facilities, computer hardware, and other furniture and equipment under long-term operating leases that are noncancelable and expire on various dates through 2046. We sublease facilities or partial facilities to third party tenants for space not used in our operations. Rent with scheduled escalation terms are accounted for on a straight-line basis over the lease term. Rent expense and sublease rental income, which are recorded net as an operating cost, for all operating leases were as follows for the years ended December 31, 2018 and 2017:</w:t>
      </w:r>
    </w:p>
    <w:p>
      <w:pPr>
        <w:spacing w:after="0" w:line="192" w:lineRule="exact"/>
        <w:rPr>
          <w:sz w:val="20"/>
          <w:szCs w:val="20"/>
          <w:color w:val="auto"/>
        </w:rPr>
      </w:pPr>
    </w:p>
    <w:tbl>
      <w:tblPr>
        <w:tblLayout w:type="fixed"/>
        <w:tblInd w:w="200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4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Sublease rental income</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rent expense</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Future annual minimum payments due subsequent to December 31, 2018 under all of our noncancelable operating leases with initial terms in excess of one year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jc w:val="center"/>
              <w:ind w:left="364"/>
              <w:spacing w:after="0"/>
              <w:rPr>
                <w:sz w:val="20"/>
                <w:szCs w:val="20"/>
                <w:color w:val="auto"/>
              </w:rPr>
            </w:pPr>
            <w:r>
              <w:rPr>
                <w:rFonts w:ascii="Arial" w:cs="Arial" w:eastAsia="Arial" w:hAnsi="Arial"/>
                <w:sz w:val="14"/>
                <w:szCs w:val="14"/>
                <w:b w:val="1"/>
                <w:bCs w:val="1"/>
                <w:color w:val="auto"/>
              </w:rPr>
              <w:t>Minimum</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302"/>
              <w:spacing w:after="0"/>
              <w:rPr>
                <w:sz w:val="20"/>
                <w:szCs w:val="20"/>
                <w:color w:val="auto"/>
              </w:rPr>
            </w:pPr>
            <w:r>
              <w:rPr>
                <w:rFonts w:ascii="Arial" w:cs="Arial" w:eastAsia="Arial" w:hAnsi="Arial"/>
                <w:sz w:val="14"/>
                <w:szCs w:val="14"/>
                <w:b w:val="1"/>
                <w:bCs w:val="1"/>
                <w:color w:val="auto"/>
                <w:w w:val="84"/>
              </w:rPr>
              <w:t>Sublease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Net Lease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5"/>
              </w:rPr>
              <w:t>Lease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3"/>
              </w:rPr>
              <w:t>Rental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8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0"/>
              </w:rPr>
              <w:t>Payments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89"/>
              </w:rPr>
              <w:t>Receipts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left="322"/>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years ending December 31,:</w:t>
            </w:r>
          </w:p>
        </w:tc>
        <w:tc>
          <w:tcPr>
            <w:tcW w:w="2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2019</w:t>
            </w:r>
          </w:p>
        </w:tc>
        <w:tc>
          <w:tcPr>
            <w:tcW w:w="346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147</w:t>
            </w:r>
          </w:p>
        </w:tc>
        <w:tc>
          <w:tcPr>
            <w:tcW w:w="100" w:type="dxa"/>
            <w:vAlign w:val="bottom"/>
          </w:tcPr>
          <w:p>
            <w:pPr>
              <w:spacing w:after="0"/>
              <w:rPr>
                <w:sz w:val="21"/>
                <w:szCs w:val="21"/>
                <w:color w:val="auto"/>
              </w:rPr>
            </w:pPr>
          </w:p>
        </w:tc>
        <w:tc>
          <w:tcPr>
            <w:tcW w:w="1220" w:type="dxa"/>
            <w:vAlign w:val="bottom"/>
          </w:tcPr>
          <w:p>
            <w:pPr>
              <w:jc w:val="right"/>
              <w:ind w:right="102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2021</w:t>
            </w:r>
          </w:p>
        </w:tc>
        <w:tc>
          <w:tcPr>
            <w:tcW w:w="2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2023</w:t>
            </w:r>
          </w:p>
        </w:tc>
        <w:tc>
          <w:tcPr>
            <w:tcW w:w="2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20"/>
                <w:szCs w:val="20"/>
                <w:color w:val="auto"/>
              </w:rPr>
            </w:pPr>
          </w:p>
        </w:tc>
        <w:tc>
          <w:tcPr>
            <w:tcW w:w="1180" w:type="dxa"/>
            <w:vAlign w:val="bottom"/>
            <w:tcBorders>
              <w:top w:val="single" w:sz="8" w:color="auto"/>
            </w:tcBorders>
          </w:tcPr>
          <w:p>
            <w:pPr>
              <w:jc w:val="right"/>
              <w:ind w:right="98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519</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2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80" w:type="dxa"/>
            <w:vAlign w:val="bottom"/>
            <w:vMerge w:val="restart"/>
          </w:tcPr>
          <w:p>
            <w:pPr>
              <w:jc w:val="right"/>
              <w:ind w:right="510"/>
              <w:spacing w:after="0"/>
              <w:rPr>
                <w:sz w:val="20"/>
                <w:szCs w:val="20"/>
                <w:color w:val="auto"/>
              </w:rPr>
            </w:pPr>
            <w:r>
              <w:rPr>
                <w:rFonts w:ascii="Arial" w:cs="Arial" w:eastAsia="Arial" w:hAnsi="Arial"/>
                <w:sz w:val="18"/>
                <w:szCs w:val="18"/>
                <w:color w:val="auto"/>
              </w:rPr>
              <w:t>95</w:t>
            </w: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BENEFITS PAYABLE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 consolidated basis, activity in benefits payable, excluding military services, was as follows for the years ended December 31, 2019, 2018 and 2017:</w:t>
      </w:r>
    </w:p>
    <w:p>
      <w:pPr>
        <w:spacing w:after="0" w:line="307"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3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January 1</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Less: Reinsurance recoverables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January 1, net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54,193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44,001</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incurred</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53,857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43,518</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3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(48,421)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(39,496)</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(3,911)</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paid</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(52,688)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(43,407)</w:t>
            </w: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Reinsurance recoverable</w:t>
            </w:r>
          </w:p>
        </w:tc>
        <w:tc>
          <w:tcPr>
            <w:tcW w:w="9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w:t>
      </w:r>
    </w:p>
    <w:p>
      <w:pPr>
        <w:spacing w:after="0" w:line="93"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As previously discussed, our reserving practice is to consistently recognize the actuarial best estimate of our ultimate liability for claims. Actuarial standards require the use of assumptions based on moderately adverse experience, which generally results in favorable reserve development, or reserves that are considered redundant. We experienced favorable medical claims reserve development related to prior fiscal years of $336 million in 2019, $503 million in 2018, and $483 million in 2017. The table below details our favorable medical claims reserve development related to prior fiscal years by segment for 2019, 2018, and 2017.</w:t>
      </w:r>
    </w:p>
    <w:p>
      <w:pPr>
        <w:spacing w:after="0" w:line="288"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(Favorable) Unfavorable Medical Claims Reserve</w:t>
      </w:r>
    </w:p>
    <w:p>
      <w:pPr>
        <w:spacing w:after="0" w:line="4"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13335</wp:posOffset>
            </wp:positionV>
            <wp:extent cx="32327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87"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70"/>
        </w:trPr>
        <w:tc>
          <w:tcPr>
            <w:tcW w:w="3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 Segment</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Group and Specialty Segment</w:t>
            </w:r>
          </w:p>
        </w:tc>
        <w:tc>
          <w:tcPr>
            <w:tcW w:w="10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Individual Commercial Segment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Other Businesses</w:t>
            </w:r>
          </w:p>
        </w:tc>
        <w:tc>
          <w:tcPr>
            <w:tcW w:w="10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medical claims reserve development for 2019, 2018, and 2017 primarily reflects the consistent application of trend and completion factors estimated using an assumption of moderately adverse conditions. Favorable prior period development primarily resulted from our Medicare Advantage medical business. The unfavorable Group and Specialty medical claims reserve development for 2019 reflects higher than expected claims trend and provider settlements.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553"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Benefits expense reduction of $22 million associated with long-duration future policy benefits for the year ended December 31, 2017 was excluded from the previous short duration benefits payable rollforward table.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Incurred and Paid Claims Development</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discussion provides information about incurred and paid claims development for our segments as of December 31, 2019, net of reinsurance, as well as cumulative claim frequency and the total of IBNR included within the net incurred claims amounts. The information about incurred and paid claims development for the years ended December 31, 2017 and 2018 is presented as supplementary information.</w:t>
      </w:r>
    </w:p>
    <w:p>
      <w:pPr>
        <w:spacing w:after="0" w:line="1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Claims frequency is measured as medical fee-for-service claims for each service encounter with a unique provider identification number. Our claims frequency measure includes claims covered by deductibles as well as claims under capitated arrangements. Claim counts may vary based on product mix and the percentage of delegated capitation arrangements.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Segment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Activity in benefits payable for our Retail segment was as follows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100330</wp:posOffset>
            </wp:positionV>
            <wp:extent cx="32499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3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January 1</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Less: Reinsurance recoverables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January 1, net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48,983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38,604</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incurred</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48,597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3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(43,831)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(34,781)</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paid</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(47,545)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(37,755)</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Reinsurance recoverable</w:t>
            </w: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At December 31, 2019, benefits payable for our Retail segment included IBNR of approximately $3.6 billion, primarily associated with claims incurred in 2019. The cumulative number of reported claims as of December 31, 2019 was approximately 123.0 million for claims incurred in 2019, 109.6 million for claims incurred in 2018, and 104.7 million for claims incurred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53"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information about incurred and paid claims development for the Retail segment as of December 31, 2019, net of reinsurance.</w:t>
      </w:r>
    </w:p>
    <w:p>
      <w:pPr>
        <w:spacing w:after="0" w:line="253" w:lineRule="exact"/>
        <w:rPr>
          <w:sz w:val="20"/>
          <w:szCs w:val="20"/>
          <w:color w:val="auto"/>
        </w:rPr>
      </w:pPr>
    </w:p>
    <w:tbl>
      <w:tblPr>
        <w:tblLayout w:type="fixed"/>
        <w:tblInd w:w="140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gridSpan w:val="5"/>
          </w:tcPr>
          <w:p>
            <w:pPr>
              <w:jc w:val="center"/>
              <w:ind w:left="584"/>
              <w:spacing w:after="0"/>
              <w:rPr>
                <w:sz w:val="20"/>
                <w:szCs w:val="20"/>
                <w:color w:val="auto"/>
              </w:rPr>
            </w:pPr>
            <w:r>
              <w:rPr>
                <w:rFonts w:ascii="Arial" w:cs="Arial" w:eastAsia="Arial" w:hAnsi="Arial"/>
                <w:sz w:val="14"/>
                <w:szCs w:val="14"/>
                <w:b w:val="1"/>
                <w:bCs w:val="1"/>
                <w:color w:val="auto"/>
                <w:w w:val="93"/>
              </w:rPr>
              <w:t>Incurred Claims, Net of Reinsurance</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jc w:val="center"/>
              <w:ind w:left="584"/>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Claims Incurred Year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684"/>
              <w:spacing w:after="0" w:line="153"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380" w:type="dxa"/>
            <w:vAlign w:val="bottom"/>
          </w:tcPr>
          <w:p>
            <w:pPr>
              <w:jc w:val="center"/>
              <w:ind w:right="401"/>
              <w:spacing w:after="0" w:line="153"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404"/>
              <w:spacing w:after="0"/>
              <w:rPr>
                <w:sz w:val="20"/>
                <w:szCs w:val="20"/>
                <w:color w:val="auto"/>
              </w:rPr>
            </w:pPr>
            <w:r>
              <w:rPr>
                <w:rFonts w:ascii="Arial" w:cs="Arial" w:eastAsia="Arial" w:hAnsi="Arial"/>
                <w:sz w:val="14"/>
                <w:szCs w:val="14"/>
                <w:b w:val="1"/>
                <w:bCs w:val="1"/>
                <w:color w:val="auto"/>
                <w:w w:val="96"/>
              </w:rPr>
              <w:t>Unaudited</w:t>
            </w:r>
          </w:p>
        </w:tc>
        <w:tc>
          <w:tcPr>
            <w:tcW w:w="380" w:type="dxa"/>
            <w:vAlign w:val="bottom"/>
          </w:tcPr>
          <w:p>
            <w:pPr>
              <w:spacing w:after="0"/>
              <w:rPr>
                <w:sz w:val="16"/>
                <w:szCs w:val="16"/>
                <w:color w:val="auto"/>
              </w:rPr>
            </w:pPr>
          </w:p>
        </w:tc>
        <w:tc>
          <w:tcPr>
            <w:tcW w:w="1380" w:type="dxa"/>
            <w:vAlign w:val="bottom"/>
          </w:tcPr>
          <w:p>
            <w:pPr>
              <w:jc w:val="center"/>
              <w:ind w:right="401"/>
              <w:spacing w:after="0"/>
              <w:rPr>
                <w:sz w:val="20"/>
                <w:szCs w:val="20"/>
                <w:color w:val="auto"/>
              </w:rPr>
            </w:pPr>
            <w:r>
              <w:rPr>
                <w:rFonts w:ascii="Arial" w:cs="Arial" w:eastAsia="Arial" w:hAnsi="Arial"/>
                <w:sz w:val="14"/>
                <w:szCs w:val="14"/>
                <w:b w:val="1"/>
                <w:bCs w:val="1"/>
                <w:color w:val="auto"/>
                <w:w w:val="96"/>
              </w:rPr>
              <w:t>Unaudited</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38,604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38,341</w:t>
            </w:r>
          </w:p>
        </w:tc>
        <w:tc>
          <w:tcPr>
            <w:tcW w:w="6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jc w:val="right"/>
              <w:ind w:right="121"/>
              <w:spacing w:after="0"/>
              <w:rPr>
                <w:sz w:val="20"/>
                <w:szCs w:val="20"/>
                <w:color w:val="auto"/>
              </w:rPr>
            </w:pPr>
            <w:r>
              <w:rPr>
                <w:rFonts w:ascii="Arial" w:cs="Arial" w:eastAsia="Arial" w:hAnsi="Arial"/>
                <w:sz w:val="18"/>
                <w:szCs w:val="18"/>
                <w:color w:val="auto"/>
              </w:rPr>
              <w:t>41,323</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5"/>
          </w:tcPr>
          <w:p>
            <w:pPr>
              <w:jc w:val="center"/>
              <w:ind w:left="784"/>
              <w:spacing w:after="0"/>
              <w:rPr>
                <w:sz w:val="20"/>
                <w:szCs w:val="20"/>
                <w:color w:val="auto"/>
              </w:rPr>
            </w:pPr>
            <w:r>
              <w:rPr>
                <w:rFonts w:ascii="Arial" w:cs="Arial" w:eastAsia="Arial" w:hAnsi="Arial"/>
                <w:sz w:val="14"/>
                <w:szCs w:val="14"/>
                <w:b w:val="1"/>
                <w:bCs w:val="1"/>
                <w:color w:val="auto"/>
                <w:w w:val="93"/>
              </w:rPr>
              <w:t>Cumulative Paid Claims, Net of Reinsurance</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jc w:val="center"/>
              <w:ind w:left="784"/>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42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w w:val="95"/>
              </w:rPr>
              <w:t>Claims Incurred Year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44"/>
              <w:spacing w:after="0" w:line="153"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380" w:type="dxa"/>
            <w:vAlign w:val="bottom"/>
          </w:tcPr>
          <w:p>
            <w:pPr>
              <w:jc w:val="right"/>
              <w:ind w:right="561"/>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Unaudited</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60" w:type="dxa"/>
            <w:vAlign w:val="bottom"/>
            <w:gridSpan w:val="2"/>
            <w:shd w:val="clear" w:color="auto" w:fill="CCEEFF"/>
          </w:tcPr>
          <w:p>
            <w:pPr>
              <w:jc w:val="center"/>
              <w:ind w:left="12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38,232</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60" w:type="dxa"/>
            <w:vAlign w:val="bottom"/>
            <w:gridSpan w:val="2"/>
          </w:tcPr>
          <w:p>
            <w:pPr>
              <w:jc w:val="center"/>
              <w:ind w:left="12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Arial" w:cs="Arial" w:eastAsia="Arial" w:hAnsi="Arial"/>
                <w:sz w:val="18"/>
                <w:szCs w:val="18"/>
                <w:color w:val="auto"/>
              </w:rPr>
              <w:t>37,189</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gridSpan w:val="2"/>
            <w:shd w:val="clear" w:color="auto" w:fill="CCEEFF"/>
          </w:tcPr>
          <w:p>
            <w:pPr>
              <w:jc w:val="center"/>
              <w:ind w:left="12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43,831</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122,982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All outstanding benefit liabilities before 2017, net of reinsurance</w:t>
            </w:r>
          </w:p>
        </w:tc>
        <w:tc>
          <w:tcPr>
            <w:tcW w:w="3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gridSpan w:val="3"/>
          </w:tcPr>
          <w:p>
            <w:pPr>
              <w:ind w:left="20"/>
              <w:spacing w:after="0"/>
              <w:rPr>
                <w:sz w:val="20"/>
                <w:szCs w:val="20"/>
                <w:color w:val="auto"/>
              </w:rPr>
            </w:pPr>
            <w:r>
              <w:rPr>
                <w:rFonts w:ascii="Arial" w:cs="Arial" w:eastAsia="Arial" w:hAnsi="Arial"/>
                <w:sz w:val="16"/>
                <w:szCs w:val="16"/>
                <w:color w:val="auto"/>
              </w:rPr>
              <w:t>Benefits payable, net of reinsurance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Group and Specialty Segment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Activity in benefits payable for our Group and Specialty segment, excluding military services, was as follows for the years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3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January 1</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10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incurred</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3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Prior years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
        </w:trPr>
        <w:tc>
          <w:tcPr>
            <w:tcW w:w="3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paid</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Balances at December 31</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3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At December 31, 2019, benefits payable for our Group and Specialty segment included IBNR of approximately $567 million, primarily associated with claims incurred in 2019. The cumulative number of reported claims as of December 31, 2019 was approximately 9.7 million for claims incurred in 2019, 10.8 million for claims incurred in 2018, and 11.1 million for claims incurred in 2017.</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553" w:right="239"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tables provide information about incurred and paid claims development for the Group and Specialty segment as of December 31, 2019, net of reinsurance.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40" w:type="dxa"/>
            <w:vAlign w:val="bottom"/>
            <w:gridSpan w:val="5"/>
          </w:tcPr>
          <w:p>
            <w:pPr>
              <w:jc w:val="center"/>
              <w:ind w:left="724"/>
              <w:spacing w:after="0"/>
              <w:rPr>
                <w:sz w:val="20"/>
                <w:szCs w:val="20"/>
                <w:color w:val="auto"/>
              </w:rPr>
            </w:pPr>
            <w:r>
              <w:rPr>
                <w:rFonts w:ascii="Arial" w:cs="Arial" w:eastAsia="Arial" w:hAnsi="Arial"/>
                <w:sz w:val="14"/>
                <w:szCs w:val="14"/>
                <w:b w:val="1"/>
                <w:bCs w:val="1"/>
                <w:color w:val="auto"/>
                <w:w w:val="93"/>
              </w:rPr>
              <w:t>Incurred Claims, Net of Reinsurance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center"/>
              <w:ind w:left="724"/>
              <w:spacing w:after="0"/>
              <w:rPr>
                <w:sz w:val="20"/>
                <w:szCs w:val="20"/>
                <w:color w:val="auto"/>
              </w:rPr>
            </w:pPr>
            <w:r>
              <w:rPr>
                <w:rFonts w:ascii="Arial" w:cs="Arial" w:eastAsia="Arial" w:hAnsi="Arial"/>
                <w:sz w:val="14"/>
                <w:szCs w:val="14"/>
                <w:b w:val="1"/>
                <w:bCs w:val="1"/>
                <w:color w:val="auto"/>
                <w:w w:val="92"/>
              </w:rPr>
              <w:t>For the 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Claims Incurred Year</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624"/>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1440" w:type="dxa"/>
            <w:vAlign w:val="bottom"/>
          </w:tcPr>
          <w:p>
            <w:pPr>
              <w:jc w:val="center"/>
              <w:ind w:right="301"/>
              <w:spacing w:after="0" w:line="153"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34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444"/>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Unaudited</w:t>
            </w:r>
          </w:p>
        </w:tc>
        <w:tc>
          <w:tcPr>
            <w:tcW w:w="5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5,403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5,358</w:t>
            </w: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64"/>
        </w:trPr>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jc w:val="right"/>
              <w:ind w:right="101"/>
              <w:spacing w:after="0"/>
              <w:rPr>
                <w:sz w:val="20"/>
                <w:szCs w:val="20"/>
                <w:color w:val="auto"/>
              </w:rPr>
            </w:pPr>
            <w:r>
              <w:rPr>
                <w:rFonts w:ascii="Arial" w:cs="Arial" w:eastAsia="Arial" w:hAnsi="Arial"/>
                <w:sz w:val="18"/>
                <w:szCs w:val="18"/>
                <w:color w:val="auto"/>
              </w:rPr>
              <w:t>5,466</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70"/>
        </w:trPr>
        <w:tc>
          <w:tcPr>
            <w:tcW w:w="342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Total</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5"/>
          </w:tcPr>
          <w:p>
            <w:pPr>
              <w:jc w:val="center"/>
              <w:ind w:left="724"/>
              <w:spacing w:after="0"/>
              <w:rPr>
                <w:sz w:val="20"/>
                <w:szCs w:val="20"/>
                <w:color w:val="auto"/>
              </w:rPr>
            </w:pPr>
            <w:r>
              <w:rPr>
                <w:rFonts w:ascii="Arial" w:cs="Arial" w:eastAsia="Arial" w:hAnsi="Arial"/>
                <w:sz w:val="14"/>
                <w:szCs w:val="14"/>
                <w:b w:val="1"/>
                <w:bCs w:val="1"/>
                <w:color w:val="auto"/>
                <w:w w:val="93"/>
              </w:rPr>
              <w:t>Cumulative Paid Claims, Net of Reinsurance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center"/>
              <w:ind w:left="724"/>
              <w:spacing w:after="0"/>
              <w:rPr>
                <w:sz w:val="20"/>
                <w:szCs w:val="20"/>
                <w:color w:val="auto"/>
              </w:rPr>
            </w:pPr>
            <w:r>
              <w:rPr>
                <w:rFonts w:ascii="Arial" w:cs="Arial" w:eastAsia="Arial" w:hAnsi="Arial"/>
                <w:sz w:val="14"/>
                <w:szCs w:val="14"/>
                <w:b w:val="1"/>
                <w:bCs w:val="1"/>
                <w:color w:val="auto"/>
                <w:w w:val="92"/>
              </w:rPr>
              <w:t>For the 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5"/>
              </w:rPr>
              <w:t>Claims Incurred Year</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604"/>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1440" w:type="dxa"/>
            <w:vAlign w:val="bottom"/>
          </w:tcPr>
          <w:p>
            <w:pPr>
              <w:jc w:val="center"/>
              <w:ind w:right="281"/>
              <w:spacing w:after="0" w:line="153"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34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424"/>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Unaudited</w:t>
            </w:r>
          </w:p>
        </w:tc>
        <w:tc>
          <w:tcPr>
            <w:tcW w:w="5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4,843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5,351</w:t>
            </w: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64"/>
        </w:trPr>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jc w:val="right"/>
              <w:ind w:right="81"/>
              <w:spacing w:after="0"/>
              <w:rPr>
                <w:sz w:val="20"/>
                <w:szCs w:val="20"/>
                <w:color w:val="auto"/>
              </w:rPr>
            </w:pPr>
            <w:r>
              <w:rPr>
                <w:rFonts w:ascii="Arial" w:cs="Arial" w:eastAsia="Arial" w:hAnsi="Arial"/>
                <w:sz w:val="18"/>
                <w:szCs w:val="18"/>
                <w:color w:val="auto"/>
              </w:rPr>
              <w:t>4,957</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64"/>
        </w:trPr>
        <w:tc>
          <w:tcPr>
            <w:tcW w:w="3420" w:type="dxa"/>
            <w:vAlign w:val="bottom"/>
            <w:gridSpan w:val="3"/>
          </w:tcPr>
          <w:p>
            <w:pPr>
              <w:ind w:left="15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15,940</w:t>
            </w:r>
          </w:p>
        </w:tc>
        <w:tc>
          <w:tcPr>
            <w:tcW w:w="0" w:type="dxa"/>
            <w:vAlign w:val="bottom"/>
          </w:tcPr>
          <w:p>
            <w:pPr>
              <w:spacing w:after="0"/>
              <w:rPr>
                <w:sz w:val="1"/>
                <w:szCs w:val="1"/>
                <w:color w:val="auto"/>
              </w:rPr>
            </w:pPr>
          </w:p>
        </w:tc>
      </w:tr>
      <w:tr>
        <w:trPr>
          <w:trHeight w:val="276"/>
        </w:trPr>
        <w:tc>
          <w:tcPr>
            <w:tcW w:w="51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All outstanding benefit liabilities before 2017, net of reinsurance</w:t>
            </w:r>
          </w:p>
        </w:tc>
        <w:tc>
          <w:tcPr>
            <w:tcW w:w="3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420" w:type="dxa"/>
            <w:vAlign w:val="bottom"/>
            <w:gridSpan w:val="3"/>
          </w:tcPr>
          <w:p>
            <w:pPr>
              <w:ind w:left="20"/>
              <w:spacing w:after="0"/>
              <w:rPr>
                <w:sz w:val="20"/>
                <w:szCs w:val="20"/>
                <w:color w:val="auto"/>
              </w:rPr>
            </w:pPr>
            <w:r>
              <w:rPr>
                <w:rFonts w:ascii="Arial" w:cs="Arial" w:eastAsia="Arial" w:hAnsi="Arial"/>
                <w:sz w:val="16"/>
                <w:szCs w:val="16"/>
                <w:color w:val="auto"/>
              </w:rPr>
              <w:t>Benefits payable, net of reinsurance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Reconciliation to Consolidated</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reconciliation of the net incurred and paid claims development tables to benefits payable in the consolidated statement of financial position is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 outstanding liabilities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Group and Specialty</w:t>
            </w:r>
          </w:p>
        </w:tc>
        <w:tc>
          <w:tcPr>
            <w:tcW w:w="22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641</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 payable, net of reinsurance</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5,936</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Reinsurance recoverable on unpaid claims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w:t>
            </w:r>
          </w:p>
        </w:tc>
      </w:tr>
      <w:tr>
        <w:trPr>
          <w:trHeight w:val="257"/>
        </w:trPr>
        <w:tc>
          <w:tcPr>
            <w:tcW w:w="8580" w:type="dxa"/>
            <w:vAlign w:val="bottom"/>
          </w:tcPr>
          <w:p>
            <w:pPr>
              <w:ind w:left="260"/>
              <w:spacing w:after="0"/>
              <w:rPr>
                <w:sz w:val="20"/>
                <w:szCs w:val="20"/>
                <w:color w:val="auto"/>
              </w:rPr>
            </w:pPr>
            <w:r>
              <w:rPr>
                <w:rFonts w:ascii="Arial" w:cs="Arial" w:eastAsia="Arial" w:hAnsi="Arial"/>
                <w:sz w:val="18"/>
                <w:szCs w:val="18"/>
                <w:color w:val="auto"/>
              </w:rPr>
              <w:t>Total benefits payable, gross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6,004</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553"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consisted of the following for the years ended December 31, 2019, 2018 and 2017:</w:t>
      </w:r>
    </w:p>
    <w:p>
      <w:pPr>
        <w:spacing w:after="0" w:line="392"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196"/>
        </w:trPr>
        <w:tc>
          <w:tcPr>
            <w:tcW w:w="4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provision:</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1,324</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States and Puerto Rico</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37"/>
        </w:trPr>
        <w:tc>
          <w:tcPr>
            <w:tcW w:w="4820" w:type="dxa"/>
            <w:vAlign w:val="bottom"/>
          </w:tcPr>
          <w:p>
            <w:pPr>
              <w:ind w:left="680"/>
              <w:spacing w:after="0"/>
              <w:rPr>
                <w:sz w:val="20"/>
                <w:szCs w:val="20"/>
                <w:color w:val="auto"/>
              </w:rPr>
            </w:pPr>
            <w:r>
              <w:rPr>
                <w:rFonts w:ascii="Arial" w:cs="Arial" w:eastAsia="Arial" w:hAnsi="Arial"/>
                <w:sz w:val="18"/>
                <w:szCs w:val="18"/>
                <w:color w:val="auto"/>
              </w:rPr>
              <w:t>Total current provision</w:t>
            </w: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1,440</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expense</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r>
      <w:tr>
        <w:trPr>
          <w:trHeight w:val="237"/>
        </w:trPr>
        <w:tc>
          <w:tcPr>
            <w:tcW w:w="4820" w:type="dxa"/>
            <w:vAlign w:val="bottom"/>
          </w:tcPr>
          <w:p>
            <w:pPr>
              <w:ind w:left="68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391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1,572</w:t>
            </w:r>
          </w:p>
        </w:tc>
      </w:tr>
      <w:tr>
        <w:trPr>
          <w:trHeight w:val="27"/>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income taxes was different from the amount computed using the federal statutory rate for the years ended December 31, 2019, 2018 and 2017 due to the following:</w:t>
      </w:r>
    </w:p>
    <w:p>
      <w:pPr>
        <w:spacing w:after="0" w:line="338"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196"/>
        </w:trPr>
        <w:tc>
          <w:tcPr>
            <w:tcW w:w="4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at federal statutory rate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States, net of federal benefit, and Puerto Rico</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exempt investment income</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Health insurance industry fee</w:t>
            </w:r>
          </w:p>
        </w:tc>
        <w:tc>
          <w:tcPr>
            <w:tcW w:w="10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executive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Tax reform</w:t>
            </w:r>
          </w:p>
        </w:tc>
        <w:tc>
          <w:tcPr>
            <w:tcW w:w="10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KMG sale</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7"/>
          <w:szCs w:val="17"/>
          <w:color w:val="auto"/>
        </w:rPr>
        <w:t>The tax reform law enacted on December 22, 2017 (the "Tax Reform Law") reduced the statutory federal corporate income tax rate to 21 percent from 35 percent, beginning in 2018, and required a mandatory deemed repatriation of undistributed foreign earnings. The rate reduction required a remeasurement of our net deferred tax asset</w:t>
      </w:r>
      <w:r>
        <w:rPr>
          <w:rFonts w:ascii="Arial" w:cs="Arial" w:eastAsia="Arial" w:hAnsi="Arial"/>
          <w:sz w:val="18"/>
          <w:szCs w:val="18"/>
          <w:color w:val="auto"/>
        </w:rPr>
        <w:t>.</w:t>
      </w:r>
      <w:r>
        <w:rPr>
          <w:rFonts w:ascii="Arial" w:cs="Arial" w:eastAsia="Arial" w:hAnsi="Arial"/>
          <w:sz w:val="17"/>
          <w:szCs w:val="17"/>
          <w:color w:val="auto"/>
        </w:rPr>
        <w:t xml:space="preserve"> These items resulted in an estimated increase in our 2017 tax provision of approximately $133 million, including approximately $10 million for the deemed repatriation tax imposed on the undistributed earnings of our Puerto Rico operations. Revisions to our prior estimate for the income tax effects of the Tax Reform Law decreased our 2018 tax provision by approximately $39 million.</w:t>
      </w:r>
    </w:p>
    <w:p>
      <w:pPr>
        <w:spacing w:after="0" w:line="1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incremental tax benefit on the sale of KMG of $272 million resulted from a tax loss higher than the loss recorded in the statement of income for the year ended December 31, 2018 due to a higher tax basis in KMG than book basis. In addition, the amount reflects our ability to carryback the capital loss to tax years 2015, 2016 and 2017 at the historical tax rate of 35 percent instead of the current tax rate of 21 percent.</w:t>
      </w:r>
    </w:p>
    <w:p>
      <w:pPr>
        <w:spacing w:after="0" w:line="12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Deferred income tax balances reflect the impact of temporary differences between the tax bases of assets or liabilities and their reported amounts in our consolidated financial statements, and are stated at enacted tax rates expected to be in effect when the reported amounts are actually recovered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53"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components of our net deferred tax balances at December 31, 2019 and 2018 were as follows:</w:t>
      </w:r>
    </w:p>
    <w:p>
      <w:pPr>
        <w:spacing w:after="0" w:line="325"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Assets (Liabilities)</w:t>
            </w:r>
          </w:p>
        </w:tc>
        <w:tc>
          <w:tcPr>
            <w:tcW w:w="1000" w:type="dxa"/>
            <w:vAlign w:val="bottom"/>
            <w:tcBorders>
              <w:bottom w:val="single" w:sz="8" w:color="auto"/>
            </w:tcBorders>
          </w:tcPr>
          <w:p>
            <w:pPr>
              <w:spacing w:after="0"/>
              <w:rPr>
                <w:sz w:val="16"/>
                <w:szCs w:val="16"/>
                <w:color w:val="auto"/>
              </w:rPr>
            </w:pPr>
          </w:p>
        </w:tc>
      </w:tr>
      <w:tr>
        <w:trPr>
          <w:trHeight w:val="264"/>
        </w:trPr>
        <w:tc>
          <w:tcPr>
            <w:tcW w:w="64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196"/>
        </w:trPr>
        <w:tc>
          <w:tcPr>
            <w:tcW w:w="6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other accrued expense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Benefits payable</w:t>
            </w:r>
          </w:p>
        </w:tc>
        <w:tc>
          <w:tcPr>
            <w:tcW w:w="10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6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10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6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loss carryforward</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Investment securities</w:t>
            </w:r>
          </w:p>
        </w:tc>
        <w:tc>
          <w:tcPr>
            <w:tcW w:w="10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 net of valuation allowance</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Depreciable property and intangible assets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6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Future policy benefits payable</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color w:val="auto"/>
              </w:rPr>
              <w:t>Total deferred income tax liabilities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net deferred income tax liabilities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deferred tax liabilities and assets are classified as noncurrent in our consolidated balance sheets as other long-term liabilities at December 31, 2019 and 2018.</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At December 31, 2019, we had approximately $114 million of net operating losses and $2 million of capital losses to carry forward. These loss carryforwards, if not used to offset future taxable income or capital gain, will expire from 2020 through 2033. Due to limitations and uncertainty regarding our ability to use some of the loss carryforwards and certain other deferred tax assets, a valuation allowance of $45 million was established. For the remainder of the net operating loss carryforwards and other cumulative temporary differences, based on our historical record of producing taxable income and profitability, we have concluded that future operating income will be sufficient to give rise to tax expense to recover these deferred tax assets.</w:t>
      </w:r>
    </w:p>
    <w:p>
      <w:pPr>
        <w:spacing w:after="0" w:line="10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file income tax returns in the United States and Puerto Rico. The U.S. Internal Revenue Service, or IRS, has completed its examinations of our consolidated income tax returns for 2017 and prior years. Our 2018 tax return is in the post-filing review period under the Compliance Assurance Process, or CAP. Our 2019 tax return is under advance review by the IRS under CAP. With a few exceptions, which are immaterial in the aggregate, we no longer are subject to state, local and foreign tax examinations for years before 2016. We are not aware of any material adjustments that may be proposed as a result of any ongoing or future examinations. We do not have material uncertain tax positions reflected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53"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debt outstanding was as follows at December 31, 2019 and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2018</w:t>
            </w:r>
          </w:p>
        </w:tc>
      </w:tr>
      <w:tr>
        <w:trPr>
          <w:trHeight w:val="196"/>
        </w:trPr>
        <w:tc>
          <w:tcPr>
            <w:tcW w:w="7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7"/>
                <w:szCs w:val="17"/>
                <w:color w:val="auto"/>
              </w:rPr>
            </w:pPr>
          </w:p>
        </w:tc>
      </w:tr>
      <w:tr>
        <w:trPr>
          <w:trHeight w:val="25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Commercial paper</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645</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note</w:t>
            </w:r>
          </w:p>
        </w:tc>
        <w:tc>
          <w:tcPr>
            <w:tcW w:w="1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Senior notes:</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$400 million, 2.625% due October 1, 2019</w:t>
            </w:r>
          </w:p>
        </w:tc>
        <w:tc>
          <w:tcPr>
            <w:tcW w:w="1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43"/>
        </w:trPr>
        <w:tc>
          <w:tcPr>
            <w:tcW w:w="7200" w:type="dxa"/>
            <w:vAlign w:val="bottom"/>
            <w:gridSpan w:val="2"/>
          </w:tcPr>
          <w:p>
            <w:pPr>
              <w:ind w:left="380"/>
              <w:spacing w:after="0"/>
              <w:rPr>
                <w:sz w:val="20"/>
                <w:szCs w:val="20"/>
                <w:color w:val="auto"/>
              </w:rPr>
            </w:pPr>
            <w:r>
              <w:rPr>
                <w:rFonts w:ascii="Arial" w:cs="Arial" w:eastAsia="Arial" w:hAnsi="Arial"/>
                <w:sz w:val="18"/>
                <w:szCs w:val="18"/>
                <w:color w:val="auto"/>
              </w:rPr>
              <w:t>$400 million, 2.50% due December 15, 2020</w:t>
            </w:r>
          </w:p>
        </w:tc>
        <w:tc>
          <w:tcPr>
            <w:tcW w:w="13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2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short-term debt</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Senior notes:</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$400 million, 2.50% due December 15, 2020</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7200" w:type="dxa"/>
            <w:vAlign w:val="bottom"/>
            <w:gridSpan w:val="2"/>
          </w:tcPr>
          <w:p>
            <w:pPr>
              <w:ind w:left="380"/>
              <w:spacing w:after="0"/>
              <w:rPr>
                <w:sz w:val="20"/>
                <w:szCs w:val="20"/>
                <w:color w:val="auto"/>
              </w:rPr>
            </w:pPr>
            <w:r>
              <w:rPr>
                <w:rFonts w:ascii="Arial" w:cs="Arial" w:eastAsia="Arial" w:hAnsi="Arial"/>
                <w:sz w:val="18"/>
                <w:szCs w:val="18"/>
                <w:color w:val="auto"/>
              </w:rPr>
              <w:t>$600 million, 3.15% due December 1, 2022</w:t>
            </w:r>
          </w:p>
        </w:tc>
        <w:tc>
          <w:tcPr>
            <w:tcW w:w="13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596</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$400 million, 2.90% due December 15, 2022</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r>
      <w:tr>
        <w:trPr>
          <w:trHeight w:val="243"/>
        </w:trPr>
        <w:tc>
          <w:tcPr>
            <w:tcW w:w="7200" w:type="dxa"/>
            <w:vAlign w:val="bottom"/>
            <w:gridSpan w:val="2"/>
          </w:tcPr>
          <w:p>
            <w:pPr>
              <w:ind w:left="380"/>
              <w:spacing w:after="0"/>
              <w:rPr>
                <w:sz w:val="20"/>
                <w:szCs w:val="20"/>
                <w:color w:val="auto"/>
              </w:rPr>
            </w:pPr>
            <w:r>
              <w:rPr>
                <w:rFonts w:ascii="Arial" w:cs="Arial" w:eastAsia="Arial" w:hAnsi="Arial"/>
                <w:sz w:val="18"/>
                <w:szCs w:val="18"/>
                <w:color w:val="auto"/>
              </w:rPr>
              <w:t>$600 million, 3.85% due October 1, 2024</w:t>
            </w:r>
          </w:p>
        </w:tc>
        <w:tc>
          <w:tcPr>
            <w:tcW w:w="13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597</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$600 million, 3.95% due March 15, 2027</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r>
      <w:tr>
        <w:trPr>
          <w:trHeight w:val="243"/>
        </w:trPr>
        <w:tc>
          <w:tcPr>
            <w:tcW w:w="7200" w:type="dxa"/>
            <w:vAlign w:val="bottom"/>
            <w:gridSpan w:val="2"/>
          </w:tcPr>
          <w:p>
            <w:pPr>
              <w:ind w:left="380"/>
              <w:spacing w:after="0"/>
              <w:rPr>
                <w:sz w:val="20"/>
                <w:szCs w:val="20"/>
                <w:color w:val="auto"/>
              </w:rPr>
            </w:pPr>
            <w:r>
              <w:rPr>
                <w:rFonts w:ascii="Arial" w:cs="Arial" w:eastAsia="Arial" w:hAnsi="Arial"/>
                <w:sz w:val="18"/>
                <w:szCs w:val="18"/>
                <w:color w:val="auto"/>
              </w:rPr>
              <w:t>$500 million, 3.125% due August 15, 2029</w:t>
            </w:r>
          </w:p>
        </w:tc>
        <w:tc>
          <w:tcPr>
            <w:tcW w:w="13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$250 million, 8.15% due June 15, 2038</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43"/>
        </w:trPr>
        <w:tc>
          <w:tcPr>
            <w:tcW w:w="7200" w:type="dxa"/>
            <w:vAlign w:val="bottom"/>
            <w:gridSpan w:val="2"/>
          </w:tcPr>
          <w:p>
            <w:pPr>
              <w:ind w:left="380"/>
              <w:spacing w:after="0"/>
              <w:rPr>
                <w:sz w:val="20"/>
                <w:szCs w:val="20"/>
                <w:color w:val="auto"/>
              </w:rPr>
            </w:pPr>
            <w:r>
              <w:rPr>
                <w:rFonts w:ascii="Arial" w:cs="Arial" w:eastAsia="Arial" w:hAnsi="Arial"/>
                <w:sz w:val="18"/>
                <w:szCs w:val="18"/>
                <w:color w:val="auto"/>
              </w:rPr>
              <w:t>$400 million, 4.625% due December 1, 2042</w:t>
            </w:r>
          </w:p>
        </w:tc>
        <w:tc>
          <w:tcPr>
            <w:tcW w:w="13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$750 million, 4.95% due October 1, 2044</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r>
      <w:tr>
        <w:trPr>
          <w:trHeight w:val="243"/>
        </w:trPr>
        <w:tc>
          <w:tcPr>
            <w:tcW w:w="7200" w:type="dxa"/>
            <w:vAlign w:val="bottom"/>
            <w:gridSpan w:val="2"/>
          </w:tcPr>
          <w:p>
            <w:pPr>
              <w:ind w:left="380"/>
              <w:spacing w:after="0"/>
              <w:rPr>
                <w:sz w:val="20"/>
                <w:szCs w:val="20"/>
                <w:color w:val="auto"/>
              </w:rPr>
            </w:pPr>
            <w:r>
              <w:rPr>
                <w:rFonts w:ascii="Arial" w:cs="Arial" w:eastAsia="Arial" w:hAnsi="Arial"/>
                <w:sz w:val="18"/>
                <w:szCs w:val="18"/>
                <w:color w:val="auto"/>
              </w:rPr>
              <w:t>$400 million, 4.80% due March 15, 2047</w:t>
            </w:r>
          </w:p>
        </w:tc>
        <w:tc>
          <w:tcPr>
            <w:tcW w:w="13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$500 million, 3.95% due August 15, 2049</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 long-term debt</w:t>
            </w:r>
          </w:p>
        </w:tc>
        <w:tc>
          <w:tcPr>
            <w:tcW w:w="1360" w:type="dxa"/>
            <w:vAlign w:val="bottom"/>
            <w:tcBorders>
              <w:top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4,375</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the short-term and long-term debt for the years ending December 31, are as follows:</w:t>
      </w:r>
    </w:p>
    <w:p>
      <w:pPr>
        <w:spacing w:after="0" w:line="325" w:lineRule="exact"/>
        <w:rPr>
          <w:sz w:val="20"/>
          <w:szCs w:val="20"/>
          <w:color w:val="auto"/>
        </w:rPr>
      </w:pPr>
    </w:p>
    <w:tbl>
      <w:tblPr>
        <w:tblLayout w:type="fixed"/>
        <w:tblInd w:w="3120" w:type="dxa"/>
        <w:tblCellMar>
          <w:top w:w="0" w:type="dxa"/>
          <w:left w:w="0" w:type="dxa"/>
          <w:bottom w:w="0" w:type="dxa"/>
          <w:right w:w="0" w:type="dxa"/>
        </w:tblCellMar>
      </w:tblPr>
      <w:tr>
        <w:trPr>
          <w:trHeight w:val="239"/>
        </w:trPr>
        <w:tc>
          <w:tcPr>
            <w:tcW w:w="3220" w:type="dxa"/>
            <w:vAlign w:val="bottom"/>
          </w:tcPr>
          <w:p>
            <w:pPr>
              <w:ind w:left="20"/>
              <w:spacing w:after="0"/>
              <w:rPr>
                <w:sz w:val="20"/>
                <w:szCs w:val="20"/>
                <w:color w:val="auto"/>
              </w:rPr>
            </w:pPr>
            <w:r>
              <w:rPr>
                <w:rFonts w:ascii="Arial" w:cs="Arial" w:eastAsia="Arial" w:hAnsi="Arial"/>
                <w:sz w:val="18"/>
                <w:szCs w:val="18"/>
                <w:color w:val="auto"/>
              </w:rPr>
              <w:t>For the years ending December 31,</w:t>
            </w:r>
          </w:p>
        </w:tc>
        <w:tc>
          <w:tcPr>
            <w:tcW w:w="820" w:type="dxa"/>
            <w:vAlign w:val="bottom"/>
          </w:tcPr>
          <w:p>
            <w:pPr>
              <w:spacing w:after="0"/>
              <w:rPr>
                <w:sz w:val="20"/>
                <w:szCs w:val="20"/>
                <w:color w:val="auto"/>
              </w:rPr>
            </w:pPr>
          </w:p>
        </w:tc>
        <w:tc>
          <w:tcPr>
            <w:tcW w:w="1160" w:type="dxa"/>
            <w:vAlign w:val="bottom"/>
          </w:tcPr>
          <w:p>
            <w:pPr>
              <w:jc w:val="right"/>
              <w:ind w:right="233"/>
              <w:spacing w:after="0"/>
              <w:rPr>
                <w:sz w:val="20"/>
                <w:szCs w:val="20"/>
                <w:color w:val="auto"/>
              </w:rPr>
            </w:pPr>
            <w:r>
              <w:rPr>
                <w:rFonts w:ascii="Arial" w:cs="Arial" w:eastAsia="Arial" w:hAnsi="Arial"/>
                <w:sz w:val="14"/>
                <w:szCs w:val="14"/>
                <w:b w:val="1"/>
                <w:bCs w:val="1"/>
                <w:color w:val="auto"/>
              </w:rPr>
              <w:t>(in millions)</w:t>
            </w:r>
          </w:p>
        </w:tc>
      </w:tr>
      <w:tr>
        <w:trPr>
          <w:trHeight w:val="27"/>
        </w:trPr>
        <w:tc>
          <w:tcPr>
            <w:tcW w:w="3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3,400</w:t>
            </w:r>
          </w:p>
        </w:tc>
      </w:tr>
    </w:tbl>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2019, we issued $500 million of 3.125% senior notes due August 15, 2029 and $500 million of 3.950% senior notes due August 15, 2049. Our net proceeds, reduced for the underwriters' discount and commission and offering expenses paid were $987 million. We used the net proceeds from this offering, together with available cash, to repay the $650 million outstanding amount due under our term note in August 2019, and the $400 million aggregate principal amount of our 2.625% senior notes due on its maturity date of October 1, 2019.</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553"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senior notes, which are unsecured, may be redeemed at our option at any time at 100% of the principal amount plus accrued interest and a specified make-whole amount. The 8.15% senior notes are subject to an interest rate adjustment if the debt ratings assigned to the notes are downgraded (or subsequently upgraded). In addition, our senior notes contain a change of control provision that may require us to purchase the notes under certain circumstances. We recognized a loss on extinguishment of debt of approximately $17 million in 2017 for the early redemption of senior notes, which is included in interest expense in the consolidated statements of income.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5-year, $2.0 billion unsecured revolving credit agreement expires May 2022. Under the credit agreement, at our option, we can borrow on either a competitive advance basis or a revolving credit basis. The revolving credit portion bears interest at either LIBOR plus a spread or the base rate plus a spread. If drawn upon, the revolving credit would revert to using the alternative base rate once LIBOR is discontinued. The LIBOR spread, currently 110.0 basis points, varies depending on our credit ratings ranging from 91.0 to 150.0 basis points. We also pay an annual facility fee regardless of utilization. This facility fee, currently 15.0 basis points, may fluctuate between 9.0 and 25.0 basis points, depending upon our credit ratings. The competitive advance portion of any borrowings will bear interest at market rates prevailing at the time of borrowing on either a fixed rate or a floating rate based on LIBOR, at our option.</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terms of the credit agreement include standard provisions related to conditions of borrowing which could limit our ability to borrow additional funds. In addition, the credit agreement contains customary restrictive covenants and a financial covenant regarding maximum debt to capitalization of 50% as well as customary events of default. We are in compliance with this financial covenant, with an actual debt to capitalization of 32% as measured in accordance with the credit agreement as of December 31, 2019. Upon our agreement with one or more financial institutions, we may expand the aggregate commitments under the credit agreement to a maximum of $2.5 billion, through a $500 million incremental loan facility.</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2019, we had no borrowings and no letters of credit outstanding under the credit agreement. Accordingly, as of December 31, 2019, we had $2 billion of remaining borrowing capacity (which excludes the uncommitted $500 million incremental loan facility under the credit agreement), none of which would be restricted by our financial covenant compliance requirement. We have other customary, arms-length relationships, including financial advisory and banking, with some parties to the credit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71" w:lineRule="exact"/>
        <w:rPr>
          <w:sz w:val="20"/>
          <w:szCs w:val="20"/>
          <w:color w:val="auto"/>
        </w:rPr>
      </w:pPr>
    </w:p>
    <w:p>
      <w:pPr>
        <w:jc w:val="both"/>
        <w:ind w:firstLine="239"/>
        <w:spacing w:after="0" w:line="297" w:lineRule="auto"/>
        <w:rPr>
          <w:sz w:val="20"/>
          <w:szCs w:val="20"/>
          <w:color w:val="auto"/>
        </w:rPr>
      </w:pPr>
      <w:r>
        <w:rPr>
          <w:rFonts w:ascii="Arial" w:cs="Arial" w:eastAsia="Arial" w:hAnsi="Arial"/>
          <w:sz w:val="16"/>
          <w:szCs w:val="16"/>
          <w:color w:val="auto"/>
        </w:rPr>
        <w:t>Under our commercial paper program we may issue short-term, unsecured commercial paper notes privately placed on a discount basis through certain broker dealers at any time not to exceed $2 billion. Amounts available under the program may be borrowed, repaid and re-borrowed from time to time. The net proceeds of issuances have been and are expected to be used for general corporate purposes. The maximum principal amount outstanding at any one time during the year ended December 31, 2019 was $801 million, with $300 million outstanding at December 31, 2019 compared to $645 million outstanding at December 31, 2018. The outstanding commercial paper at December 31, 2019 had a weighted average annual interest rate of 2%.</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Note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2018, we entered into a $1.0 billion term note agreement with a bank at a variable rate of interest due within one year. We may elect to incur interest at either the bank's base rate or LIBOR plus 115 basis points. The base rate is defined as the higher of the daily federal funds rate plus 50 basis points; or the bank's prime rate; or LIBOR plus 100 basis points. The term note shares the customary terms and provisions as well as financial covenants of our credit agreement, as discussed above. The note was prepayable without penalty. We repaid $350 million prior to December 31, 2018 and repaid the outstanding balance of $650 million in August 2019.</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February 2020, we entered into a new $1 billion term loan commitment with a bank that allows for up to three draws with the initial draw at a minimum of $300 million that matures 1 year after the first draw, subject to a 1 year extension. Following any initial draw, any unused commitments in excess of $300 million expire on June 30, 2020, with the remaining commitments of up to $300 million available until September 30, 2020. If the initial draw</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53"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has not been made by June 30, 2020, then all commitments expire on June 30, 2020. The facility fee, interest rate and financial covenants are consistent with those of our revolving credit agreement. There is no prepayment penalty.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defined contribution retirement savings plans covering eligible employees which include matching contributions based on the amount of our employees’ contributions to the plans. The cost of these plans amounted to approximately $221 million in 2019, $197 million in 2018, and $217 million in 2017. The Company’s cash match is invested pursuant to the participant’s contribution direction. Based on the closing price of our common stock of $366.52 on December 31, 2019, approximately 11% of the retirement and savings plan’s assets were invested in our common stock, or approximately 1.6 million shares, representing approximately 1.2% of the shares outstanding as of December 31, 2019. At December 31, 2019, approximately 1.8 million shares of our common stock were reserved for issuance under our defined contribution retirement savings plans.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plans under which options to purchase our common stock and restricted stock units have been granted to executive officers, directors and key employees. Awards generally require both a change in control and termination of employment within 2 years of the date of the change in control to accelerate the vesting, including those granted to retirement-eligible participants.</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terms and vesting schedules for stock-based awards vary by type of grant. Generally, the awards vest upon time-based conditions. We have also granted awards to certain employees that vest upon a combination of time and performance-based conditions. The stock awards of retirement-eligible participants are generally earned ratably over the service period for each tranche. Accordingly, upon retirement the earned portion of the current tranche will continue to vest on the originally scheduled vest date and any remaining unearned portion of the award will be forfeited. Our equity award program includes a retirement provision that generally treats employees with a combination of age and years of services with the Company totaling 65 or greater, with a minimum required age of 55 and a minimum requirement of 5 years of service, as retirement-eligible. Upon exercise, stock-based compensation awards are settled with authorized but unissued company stock or treasury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expense that has been charged against income for these plans was as follows for the years ended December 31, 2019, 2018, and 2017:</w:t>
      </w:r>
    </w:p>
    <w:p>
      <w:pPr>
        <w:spacing w:after="0" w:line="200" w:lineRule="exact"/>
        <w:rPr>
          <w:sz w:val="20"/>
          <w:szCs w:val="20"/>
          <w:color w:val="auto"/>
        </w:rPr>
      </w:pP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196"/>
        </w:trPr>
        <w:tc>
          <w:tcPr>
            <w:tcW w:w="5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by type:</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ind w:left="140"/>
              <w:spacing w:after="0"/>
              <w:rPr>
                <w:sz w:val="20"/>
                <w:szCs w:val="20"/>
                <w:color w:val="auto"/>
              </w:rPr>
            </w:pPr>
            <w:r>
              <w:rPr>
                <w:rFonts w:ascii="Arial" w:cs="Arial" w:eastAsia="Arial" w:hAnsi="Arial"/>
                <w:sz w:val="18"/>
                <w:szCs w:val="18"/>
                <w:color w:val="auto"/>
              </w:rPr>
              <w:t>Restricted stock</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145</w:t>
            </w:r>
          </w:p>
        </w:tc>
      </w:tr>
      <w:tr>
        <w:trPr>
          <w:trHeight w:val="27"/>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37"/>
        </w:trPr>
        <w:tc>
          <w:tcPr>
            <w:tcW w:w="558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w:t>
            </w:r>
          </w:p>
        </w:tc>
      </w:tr>
      <w:tr>
        <w:trPr>
          <w:trHeight w:val="27"/>
        </w:trPr>
        <w:tc>
          <w:tcPr>
            <w:tcW w:w="5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benefit recognized</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580" w:type="dxa"/>
            <w:vAlign w:val="bottom"/>
          </w:tcPr>
          <w:p>
            <w:pPr>
              <w:ind w:left="680"/>
              <w:spacing w:after="0"/>
              <w:rPr>
                <w:sz w:val="20"/>
                <w:szCs w:val="20"/>
                <w:color w:val="auto"/>
              </w:rPr>
            </w:pPr>
            <w:r>
              <w:rPr>
                <w:rFonts w:ascii="Arial" w:cs="Arial" w:eastAsia="Arial" w:hAnsi="Arial"/>
                <w:sz w:val="18"/>
                <w:szCs w:val="18"/>
                <w:color w:val="auto"/>
              </w:rPr>
              <w:t>Stock-based compensation expense, net of tax</w:t>
            </w:r>
          </w:p>
        </w:tc>
        <w:tc>
          <w:tcPr>
            <w:tcW w:w="106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5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for certain restricted stock in 2017 included a $29 million modification expense for certain awards.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tax benefit recognized in our consolidated financial statements is based on the amount of compensation expense recorded for book purposes, subject to limitations on the deductibility of annual compensation in excess of $500,000 per employee as mandated by the Health Care Reform Law. The actual tax benefit realized in our tax return is based on the intrinsic value, or the excess of the market value over the exercise or purchase price, of stock options exercised and restricted stock vested during the period, subject to limitations on the deductibility of annual compensation in excess of $500,000 per employee as mandated by the Health Care Reform Law. The actual tax benefit realized for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53"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deductions taken on our tax returns from option exercises and restricted stock vesting totaled $25 million in 2019, $49 million in 2018, and $68 million in 2017. There was no capitalized stock-based compensation expense during these years.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December 31, 2019, there were 12.5 million shares reserved for stock award plans under the Humana Inc. 2011 Stock Incentive Plan, or 2011 Plan, and 16.0 million shares reserved for stock award plans under the Humana Inc. 2019 Stock Incentive Plan, or 2019 Plan. These reserved shares included giving effect to, under the 2011 Plan, 3.8 million shares of common stock available for future grants assuming all stock options were granted or 1.7 million shares available for future grants assuming all restricted stock were granted. These reserved shares included giving effect to, under the 2019 Plan, 15.8 million shares of common stock available for future grants assuming all stock options were granted or 4.7 million shares available for future grants assuming all restricted stock were granted. Shares may be issued from authorized but unissued company stock or treasury stock.</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Restricted stock is granted with a fair value equal to the market price of our common stock on the date of grant and generally vests in equal annual tranches over a three year period from the date of grant. Certain of our restricted stock grants also include performance-based conditions generally associated with return on invested capital and strategic membership growth. Restricted stock units have forfeitable dividend equivalent rights equal to the dividend paid on common stock. The weighted-average grant date fair value of our restricted stock was $302.09 in 2019, $276.62 in 2018, and $222.35 in 2017. Activity for our restricted stock was as follows for the year ended December 31, 2019:</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00" w:type="dxa"/>
            <w:vAlign w:val="bottom"/>
            <w:gridSpan w:val="4"/>
          </w:tcPr>
          <w:p>
            <w:pPr>
              <w:jc w:val="right"/>
              <w:ind w:right="918"/>
              <w:spacing w:after="0"/>
              <w:rPr>
                <w:sz w:val="20"/>
                <w:szCs w:val="20"/>
                <w:color w:val="auto"/>
              </w:rPr>
            </w:pPr>
            <w:r>
              <w:rPr>
                <w:rFonts w:ascii="Arial" w:cs="Arial" w:eastAsia="Arial" w:hAnsi="Arial"/>
                <w:sz w:val="14"/>
                <w:szCs w:val="14"/>
                <w:b w:val="1"/>
                <w:bCs w:val="1"/>
                <w:color w:val="auto"/>
                <w:w w:val="87"/>
              </w:rPr>
              <w:t>(shares in thousands)</w:t>
            </w: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at December 31, 2018</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269.06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at December 31, 2019</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Approximately 22% of the nonvested restricted stock at December 31, 2019 included performance-based conditions.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shares vested was $141 million during 2019, $298 million during 2018, and $306 million during 2017. Total compensation expense not yet recognized related to nonvested restricted stock was $164 million at December 31, 2019. We expect to recognize this compensation expense over a weighted-average period of approximately 1.7 years. There are no other contractual terms covering restricted stock once vested.</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 options are granted with an exercise price equal to the fair market value of the underlying common stock on the date of grant. Our stock plans, as approved by the Board of Directors and stockholders, define fair market value as the average of the highest and lowest stock prices reported on the composite tape by the New York Stock Exchange on a given date. Exercise provisions vary, but most options vest in whole or in part 1 to 3 years after grant and expire 7 years after grant.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53"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fair value of each option granted during 2019, 2018, and 2017 is provided below. The fair value was estimated on the date of grant using the Black-Scholes pricing model with the weighted-average assumptions indicated below:</w:t>
      </w:r>
    </w:p>
    <w:p>
      <w:pPr>
        <w:spacing w:after="0" w:line="33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3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at grant date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49.81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Expected option life (years)</w:t>
            </w:r>
          </w:p>
        </w:tc>
        <w:tc>
          <w:tcPr>
            <w:tcW w:w="400" w:type="dxa"/>
            <w:vAlign w:val="bottom"/>
          </w:tcPr>
          <w:p>
            <w:pPr>
              <w:spacing w:after="0"/>
              <w:rPr>
                <w:sz w:val="21"/>
                <w:szCs w:val="21"/>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4.1 years</w:t>
            </w:r>
          </w:p>
        </w:tc>
        <w:tc>
          <w:tcPr>
            <w:tcW w:w="400" w:type="dxa"/>
            <w:vAlign w:val="bottom"/>
          </w:tcPr>
          <w:p>
            <w:pPr>
              <w:spacing w:after="0"/>
              <w:rPr>
                <w:sz w:val="21"/>
                <w:szCs w:val="21"/>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4.1 years</w:t>
            </w: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4.1 years</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Risk-free interest rate at grant date</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When valuing employee stock options, we stratify the employee population into three homogeneous groups that historically have exhibited similar exercise behaviors. These groups are executive officers, directors, and all other employees. We value the stock options based on the unique assumptions for each of these employee groups.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calculate the expected term for our employee stock options based on historical employee exercise behavior and base the risk-free interest rate on a traded zero-coupon U.S. Treasury bond with a term substantially equal to the option’s expected term.</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volatility used to value employee stock options is based on historical volatility. We calculate historical volatility using a simple-average calculation methodology based on daily price intervals as measured over the expected term of the option.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for our option plans was as follows for the year ended December 31, 2019:</w:t>
      </w:r>
    </w:p>
    <w:p>
      <w:pPr>
        <w:spacing w:after="0" w:line="31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Shares Under</w:t>
            </w:r>
          </w:p>
        </w:tc>
        <w:tc>
          <w:tcPr>
            <w:tcW w:w="180" w:type="dxa"/>
            <w:vAlign w:val="bottom"/>
          </w:tcPr>
          <w:p>
            <w:pPr>
              <w:spacing w:after="0"/>
              <w:rPr>
                <w:sz w:val="14"/>
                <w:szCs w:val="14"/>
                <w:color w:val="auto"/>
              </w:rPr>
            </w:pPr>
          </w:p>
        </w:tc>
        <w:tc>
          <w:tcPr>
            <w:tcW w:w="144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Weighted-Average</w:t>
            </w:r>
          </w:p>
        </w:tc>
      </w:tr>
      <w:tr>
        <w:trPr>
          <w:trHeight w:val="192"/>
        </w:trPr>
        <w:tc>
          <w:tcPr>
            <w:tcW w:w="5520" w:type="dxa"/>
            <w:vAlign w:val="bottom"/>
          </w:tcPr>
          <w:p>
            <w:pPr>
              <w:spacing w:after="0"/>
              <w:rPr>
                <w:sz w:val="16"/>
                <w:szCs w:val="16"/>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5520" w:type="dxa"/>
            <w:vAlign w:val="bottom"/>
          </w:tcPr>
          <w:p>
            <w:pPr>
              <w:spacing w:after="0"/>
              <w:rPr>
                <w:sz w:val="17"/>
                <w:szCs w:val="17"/>
                <w:color w:val="auto"/>
              </w:rPr>
            </w:pPr>
          </w:p>
        </w:tc>
        <w:tc>
          <w:tcPr>
            <w:tcW w:w="332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(shares in thousands)</w:t>
            </w: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2018</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213.17</w:t>
            </w: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304.59</w:t>
            </w:r>
          </w:p>
        </w:tc>
      </w:tr>
      <w:tr>
        <w:trPr>
          <w:trHeight w:val="27"/>
        </w:trPr>
        <w:tc>
          <w:tcPr>
            <w:tcW w:w="5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189.24</w:t>
            </w: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250.46</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Options exercisable at December 31, 2019</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216.49</w:t>
            </w:r>
          </w:p>
        </w:tc>
      </w:tr>
    </w:tbl>
    <w:p>
      <w:pPr>
        <w:spacing w:after="0" w:line="3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outstanding stock options, substantially all of which are expected to vest, had an aggregate intrinsic value of $56 million, and a weighted-average remaining contractual term of 4.8 years. As of December 31, 2019, exercisable stock options had an aggregate intrinsic value of $16 million, and a weighted-average remaining contractual term of 3.9 years. The total intrinsic value of stock options exercised during 2019 was $43 million, compared with $43 million during 2018 and $44 million during 2017. Cash received from stock option exercises totaled $58 million in 2019, $50 million in 2018, and $63 million in 2017.</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compensation expense not yet recognized related to nonvested options was $11 million at December 31, 2019. We expect to recognize this compensation expense over a weighted-average period of approximately 1.7 years.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53"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COMMON SHARE COMPUTATION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Detail supporting the computation of basic and diluted earnings per common share was as follows for the years ended December 31, 2019, 2018 and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60" w:type="dxa"/>
            <w:vAlign w:val="bottom"/>
            <w:gridSpan w:val="6"/>
          </w:tcPr>
          <w:p>
            <w:pPr>
              <w:jc w:val="center"/>
              <w:ind w:right="230"/>
              <w:spacing w:after="0" w:line="153" w:lineRule="exact"/>
              <w:rPr>
                <w:sz w:val="20"/>
                <w:szCs w:val="20"/>
                <w:color w:val="auto"/>
              </w:rPr>
            </w:pPr>
            <w:r>
              <w:rPr>
                <w:rFonts w:ascii="Arial" w:cs="Arial" w:eastAsia="Arial" w:hAnsi="Arial"/>
                <w:sz w:val="14"/>
                <w:szCs w:val="14"/>
                <w:b w:val="1"/>
                <w:bCs w:val="1"/>
                <w:color w:val="auto"/>
                <w:w w:val="92"/>
              </w:rPr>
              <w:t>(dollars in millions, except per</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gridSpan w:val="7"/>
          </w:tcPr>
          <w:p>
            <w:pPr>
              <w:jc w:val="center"/>
              <w:ind w:left="754"/>
              <w:spacing w:after="0" w:line="149" w:lineRule="exact"/>
              <w:rPr>
                <w:sz w:val="20"/>
                <w:szCs w:val="20"/>
                <w:color w:val="auto"/>
              </w:rPr>
            </w:pPr>
            <w:r>
              <w:rPr>
                <w:rFonts w:ascii="Arial" w:cs="Arial" w:eastAsia="Arial" w:hAnsi="Arial"/>
                <w:sz w:val="14"/>
                <w:szCs w:val="14"/>
                <w:b w:val="1"/>
                <w:bCs w:val="1"/>
                <w:color w:val="auto"/>
                <w:w w:val="91"/>
              </w:rPr>
              <w:t>common share results, number of</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shares/options in thousands)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stockholders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outstanding shares of common stock used to</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compute basic earnings per common share</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134,055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137,486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144,493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Employee stock options</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Shares used to compute diluted earnings per common share</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134,727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138,403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145,585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20.10</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4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Number of antidilutive stock options and restricted stock awards</w:t>
            </w: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excluded from computation</w:t>
            </w: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details of dividend payments, excluding dividend equivalent rights, in 2017, 2018, and 2019 under our Board approved quarterly cash dividend policy:</w:t>
      </w:r>
    </w:p>
    <w:p>
      <w:pPr>
        <w:spacing w:after="0" w:line="258"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Payment</w:t>
            </w: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92"/>
        </w:trPr>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r>
      <w:tr>
        <w:trPr>
          <w:trHeight w:val="264"/>
        </w:trPr>
        <w:tc>
          <w:tcPr>
            <w:tcW w:w="1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56"/>
        </w:trPr>
        <w:tc>
          <w:tcPr>
            <w:tcW w:w="186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$216</w:t>
            </w:r>
          </w:p>
        </w:tc>
      </w:tr>
      <w:tr>
        <w:trPr>
          <w:trHeight w:val="243"/>
        </w:trPr>
        <w:tc>
          <w:tcPr>
            <w:tcW w:w="1860" w:type="dxa"/>
            <w:vAlign w:val="bottom"/>
          </w:tcPr>
          <w:p>
            <w:pPr>
              <w:jc w:val="right"/>
              <w:ind w:right="937"/>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$1.90</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$262</w:t>
            </w:r>
          </w:p>
        </w:tc>
      </w:tr>
      <w:tr>
        <w:trPr>
          <w:trHeight w:val="27"/>
        </w:trPr>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186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$2.15</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$289</w:t>
            </w:r>
          </w:p>
        </w:tc>
      </w:tr>
      <w:tr>
        <w:trPr>
          <w:trHeight w:val="27"/>
        </w:trPr>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24, 2019, the Board declared a cash dividend of $0.55 per share that was paid on January 31, 2020 to stockholders of record on December 31, 2019, for an aggregate amount of $73 million. Declaration and payment of future quarterly dividends is at the discretion of our Board and may be adjusted as business needs or market conditions change.</w:t>
      </w:r>
    </w:p>
    <w:p>
      <w:pPr>
        <w:spacing w:after="0" w:line="127" w:lineRule="exact"/>
        <w:rPr>
          <w:sz w:val="20"/>
          <w:szCs w:val="20"/>
          <w:color w:val="auto"/>
        </w:rPr>
      </w:pPr>
    </w:p>
    <w:p>
      <w:pPr>
        <w:ind w:left="220" w:right="560" w:firstLine="108"/>
        <w:spacing w:after="0" w:line="438" w:lineRule="auto"/>
        <w:rPr>
          <w:sz w:val="20"/>
          <w:szCs w:val="20"/>
          <w:color w:val="auto"/>
        </w:rPr>
      </w:pPr>
      <w:r>
        <w:rPr>
          <w:rFonts w:ascii="Arial" w:cs="Arial" w:eastAsia="Arial" w:hAnsi="Arial"/>
          <w:sz w:val="18"/>
          <w:szCs w:val="18"/>
          <w:color w:val="auto"/>
        </w:rPr>
        <w:t xml:space="preserve">In February 2020, the Board declared a cash dividend of $0.625 per share payable on April 24, 2020 to stockholders of record on March 31, 2020. </w:t>
      </w:r>
      <w:r>
        <w:rPr>
          <w:rFonts w:ascii="Arial" w:cs="Arial" w:eastAsia="Arial" w:hAnsi="Arial"/>
          <w:sz w:val="18"/>
          <w:szCs w:val="18"/>
          <w:b w:val="1"/>
          <w:bCs w:val="1"/>
          <w:i w:val="1"/>
          <w:iCs w:val="1"/>
          <w:color w:val="auto"/>
        </w:rPr>
        <w:t>Stock Repurchases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may authorize the purchase of our common shares. Under our share repurchase authorization, shares may have been purchased from time to time at prevailing prices in the open market, by block purchases, through plans designed to comply with Rule 10b5-1 under the Securities Exchange Act of 1934, as amended, or in privately-negotiated transactions (including pursuant to accelerated share repurchase agreements with investment banks), subject to certain regulatory restrictions on volume, pricing, and timing.</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14, 2017, our Board of Directors authorized the repurchase of up to $2.25 billion of our common shares expiring on December 31, 2017, exclusive of shares repurchased in connection with employee stock plans.</w:t>
      </w:r>
    </w:p>
    <w:p>
      <w:pPr>
        <w:sectPr>
          <w:pgSz w:w="11900" w:h="16838" w:orient="portrait"/>
          <w:cols w:equalWidth="0" w:num="1">
            <w:col w:w="11420"/>
          </w:cols>
          <w:pgMar w:left="240" w:top="553"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553"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16, 2017, we entered into an accelerated share repurchase agreement, the February 2017 ASR, with Goldman, Sachs &amp; Co. LLC, or Goldman Sachs, to repurchase $1.5 billion of our common stock as part of the $2.25 billion share repurchase authorized on February 14, 2017. On February 22, 2017, we made a payment of $1.5 billion to Goldman Sachs from available cash on hand and received an initial delivery of 5.83 million shares of our common stock from Goldman Sachs based on the then current market price of Humana common stock. The payment to Goldman Sachs was recorded as a reduction to stockholders’ equity, consisting of a $1.2 billion increase in treasury stock, which reflected the value of the initial 5.83 million shares received upon initial settlement, and a $300 million decrease in capital in excess of par value, which reflected the value of stock held back by Goldman Sachs pending final settlement of the February 2017 ASR. Upon settlement of the February 2017 ASR on August 28, 2017, we received an additional 0.84 million shares as determined by the average daily volume weighted-average share price of our common stock during the term of the agreement, less a discount, of $224.81, bringing the total shares received under this program to 6.67 million. In addition, upon settlement we reclassified the $300 million value of stock initially held back by Goldman Sachs from capital in excess of par value to treasury stock. Subsequent to settlement of the February 2017 ASR, we repurchased an additional 3.04 million shares in the open market, utilizing the remaining $750 million of the $2.25 billion authorization prior to expiration.</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14, 2017, our Board of Directors authorized the repurchase of up to $3.0 billion of our common shares expiring on December 31, 2020, exclusive of shares repurchased in connection with employee stock plans.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21, 2017, we entered into an accelerated stock repurchase agreement, the December 2017 ASR, with Bank of America, N.A., or BofA, to repurchase $1.0 billion of our common stock as part of the $3.0 billion share repurchase program authorized on December 14, 2017. On December 22, 2017, we made a payment of $1.0 billion to BofA from available cash on hand and received an initial delivery of 3.28 million shares of our common stock from BofA based on the then current market price of Humana common stock. The payment to BofA was recorded as a reduction to stockholders’ equity, consisting of an $800 million increase in treasury stock, which reflected the value of the initial 3.28 million shares received upon initial settlement, and a $200 million decrease in capital in excess of par value, which reflected the value of stock held back by BofA pending final settlement of the December 2017 ASR. Upon settlement of the ASR on March 26, 2018, we received an additional 0.46 million shares as determined by the average daily volume weighted-average share price of our common stock during the term of the ASR Agreement, less a discount, of $267.55, bringing the total shares received under this program to 3.74 million. In addition, upon settlement we reclassified the $200 million value of stock initially held back by BofA from capital in excess of par value to treasury stock.</w:t>
      </w:r>
    </w:p>
    <w:p>
      <w:pPr>
        <w:spacing w:after="0" w:line="15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November 28, 2018, we entered into an accelerated stock repurchase agreement, the November 2018 ASR, with Goldman Sachs to repurchase $750 million of our common stock as part of the $3.0 billion share repurchase program authorized by the Board of Directors on December 14, 2017. On November 29, 2018, we made a payment of $750 million to Goldman Sachs from available cash on hand and received an initial delivery of 1.94 million shares of our common stock from Goldman Sachs. The payment to Goldman Sachs was recorded as a reduction to stockholders’ equity, consisting of a $600 million increase in treasury stock, which reflected the value of the initial 1.94 million shares received upon initial settlement, and a $150 million decrease in capital in excess of par value, which reflected the value of stock held back by Goldman Sachs pending final settlement of the November 2018 ASR. Upon final settlement of the November 2018 ASR on February 28, 2019, we received an additional 0.6 million shares as determined by the average daily volume weighted-averages share price of our common stock during the term of the agreement, less a discount, of $295.15, bringing the total shares received under this program to 2.54 million. In addition, upon settlement we reclassified the $150 million value of stock initially held back by Goldman Sachs from capital in excess of par value to treasury stock.</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30, 2019, the Board of Directors replaced a previous share repurchase authorization of up to $3 billion (of which approximately $1.03 billion remained unused) with a new authorization for repurchases of up to $3 billion of our common shares exclusive of shares repurchased in connection with employee stock plans, expiring on June 30, 2022.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31, 2019, we entered into an accelerated stock repurchase agreement, the July 2019 ASR, with Citibank, N.A., or Citi, to repurchase $1 billion of our common stock. On August 2, 2019, we made a payment of $1 billion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5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Citi and received an initial delivery of 2.7 million shares of our common stock. We recorded the payment to Citi as a reduction to stockholders’ equity, consisting of an $800 million increase in treasury stock, which reflected the value of the initial 2.7 million shares received upon initial settlement, and a $200 million decrease in capital in excess of par value, which reflected the value of stock held back by Citi pending final settlement of the July 2019 ASR. Upon final settlement of the July 2019 ASR on December 26, 2019, we received an additional 0.7 million shares as determined by the average daily volume weighted-averages share price of our common stock during the term of the agreement, less a discount, of $296.19, bringing the total shares received under the July 2019 ASR to 3.4 million. In addition, upon settlement we reclassified the $200 million value of stock initially held back by Citi from capital in excess of par value to treasury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remaining repurchase authorization was approximately $2.0 billion as of February 19, 2020.</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Excluding shares acquired in connection with employee stock plans, share repurchases were as follows during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288925</wp:posOffset>
            </wp:positionV>
            <wp:extent cx="3387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2"/>
        </w:trPr>
        <w:tc>
          <w:tcPr>
            <w:tcW w:w="21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Authorization Date</w:t>
            </w: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Purchase Not to</w:t>
            </w:r>
          </w:p>
        </w:tc>
        <w:tc>
          <w:tcPr>
            <w:tcW w:w="7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7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7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92"/>
        </w:trPr>
        <w:tc>
          <w:tcPr>
            <w:tcW w:w="2160" w:type="dxa"/>
            <w:vAlign w:val="bottom"/>
            <w:gridSpan w:val="2"/>
            <w:vMerge w:val="continue"/>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Exceed</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February 2017</w:t>
            </w:r>
          </w:p>
        </w:tc>
        <w:tc>
          <w:tcPr>
            <w:tcW w:w="130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2017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July 2019</w:t>
            </w:r>
          </w:p>
        </w:tc>
        <w:tc>
          <w:tcPr>
            <w:tcW w:w="13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repurchases</w:t>
            </w: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1,024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3,050</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employee stock plans, we acquired 0.2 million common shares for $70 million in 2019, 0.4 million common shares for $116 million in 2018, and 0.5 million common shares for $115 million in 2017.</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Regulatory Requirements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of our subsidiaries operate in states that regulate the payment of dividends, loans, or other cash transfers to Humana Inc., our parent company, and require minimum levels of equity as well as limit investments to approved securities. The amount of dividends that may be paid to Humana Inc. by these subsidiaries, without prior approval by state regulatory authorities, or ordinary dividends, is limited based on the entity’s level of statutory income and statutory capital and surplus. If the dividend, together with other dividends paid within the preceding twelve months, exceeds a specified statutory limit or is paid from sources other than earned surplus, it is generally considered an extraordinary dividend requiring prior regulatory approval. In most states, prior notification is provided before paying a dividend even if approval is not required.</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minimum required levels of equity are largely based on premium volume, product mix, and the quality of assets held, minimum requirements vary significantly at the state level. Our state regulated insurances subsidiaries had aggregate statutory capital and surplus of approximately $8.0 billion and $7.6 billion as of December 31, 2019 and 2018, respectively, which exceeded aggregate minimum regulatory requirements of $5.9 billion and $5.2 billion, respectively. The amount of ordinary dividends that may be paid to our parent company in 2020 is approximately $1.0 billion in the aggregate. The amount, timing and mix of ordinary and extraordinary dividend payments will vary due to state regulatory requirements, the level of excess statutory capital and surplus and expected future surplus requirements related to, for example, premium volume and product mix. Actual dividends that were paid to our parent company were approximately $1.8 billion in 2019, $2.3 billion in 2018, and $1.4 billion in 2017.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5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GUARANTEES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agreements to purchase services, primarily information technology related services, or to make improvements to real estate, in each case that are enforceable and legally binding on us and that specify all significant terms, including: fixed or minimum levels of service to be purchased; fixed, minimum or variable price provisions; and the appropriate timing of the transaction. We have purchase obligation commitments of $922 million in 2020, $647 million in 2021, $489 million in 2022, $246 million in 2023, and $100 million in 2024. Purchase obligations exclude agreements that are cancelable without penalty.</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our ongoing business, we do not participate or knowingly seek to participate in transactions that generate relationships with unconsolidated entities or financial partnerships, such as entities often referred to as structured finance or special purpose entities, or SPEs, which would have been established for the purpose of facilitating off-balance sheet arrangements or other contractually narrow or limited purposes. As of December 31, 2019, we were not involved in any SPE transactions.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Through indemnity agreements approved by the state regulatory authorities, certain of our regulated subsidiaries generally are guaranteed by Humana Inc., our parent company, in the event of insolvency for (1) member coverage for which premium payment has been made prior to insolvency; (2) benefits for members then hospitalized until discharged; and (3) payment to providers for services rendered prior to insolvency. Our parent also has guaranteed the obligations of certain of our non-regulated subsidiaries and funding to maintain required statutory capital levels of certain regulated subsidiaries.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we enter into contractual arrangements under which we may agree to indemnify a third party to such arrangement from any losses incurred relating to the services they perform on behalf of us, or for losses arising from certain events as defined within the particular contract, which may include, for example, litigation or claims relating to past performance. Such indemnification obligations may not be subject to maximum loss clauses. Historically, payments made related to these indemnifications have been immaterial.</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Medicare products, which accounted for approximately 82% of our total premiums and services revenue for the year ended December 31, 2019, primarily consisted of products covered under the Medicare Advantage and Medicare Part D Prescription Drug Plan contracts with the federal government. These contracts are renewed generally for a calendar year term unless CMS notifies us of its decision not to renew by May 1 of the calendar year in which the contract would end, or we notify CMS of our decision not to renew by the first Monday in June of the calendar year in which the contract would end. All material contracts between Humana and CMS relating to our Medicare products have been renewed for 2020, and all of our product offerings filed with CMS for 2020 have been approved.</w:t>
      </w:r>
    </w:p>
    <w:p>
      <w:pPr>
        <w:spacing w:after="0" w:line="1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CMS uses a risk-adjustment model which adjusts premiums paid to Medicare Advantage, or MA, plans according to health status of covered members. The risk-adjustment model, which CMS implemented pursuant to the Balanced Budget Act of 1997 (BBA) and the Benefits Improvement and Protection Act of 2000 (BIPA), generally pays more where a plan's membership has higher expected costs. Under this model, rates paid to MA plans are based on actuarially determined bids, which include a process whereby our prospective payments are based on our estimated cost of providing standard Medicare-covered benefits to an enrollee with a "national average risk profile." That baseline payment amount is adjusted to reflect the health status of our enrolled membership. Under the risk-adjustment methodology, all MA plans must collect and submit the necessary diagnosis code information from hospital inpatient, hospital outpatient, and physician providers to CMS within prescribed deadlines. The CMS risk-adjustment model uses the diagnosis data to calculate the risk-adjusted premium payment to MA plans, which CMS adjusts for coding pattern differences between the health plans and the government fee-for-service program. We generally rely on providers, including certain providers in our network who are our employees, to code their claim submissions with appropriate diagnoses, which we send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53"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CMS as the basis for our payment received from CMS under the actuarial risk-adjustment model. We also rely on these providers to document appropriately all medical data, including the diagnosis data submitted with claims. In addition, we conduct medical record reviews as part of our data and payment accuracy compliance efforts, to more accurately reflect diagnosis conditions under the risk adjustment model. These compliance efforts include the internal contract level audits described in more detail below, as well as ordinary course reviews of our internal business processes.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CMS is phasing-in the process of calculating risk scores using diagnoses data from the Risk Adjustment Processing System, or RAPS, to diagnoses data from the Encounter Data System, or EDS. The RAPS process requires MA plans to apply a filter logic based on CMS guidelines and only submit diagnoses that satisfy those guidelines. For submissions through EDS, CMS requires MA plans to submit all the encounter data and CMS will apply the risk adjustment filtering logic to determine the risk scores. For 2019, 25% of the risk score was calculated from claims data submitted through EDS. CMS will increase that percentage to 50% in 2020 and has proposed to increase that percentage to 75% in 2021. The phase-in from RAPS to EDS could result in different risk scores from each dataset as a result of plan processing issues, CMS processing issues, or filtering logic differences between RAPS and EDS, and could have a material adverse effect on our results of operations, financial position, or cash flows.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CMS and the Office of the Inspector General of Health and Human Services, or HHS-OIG, are continuing to perform audits of various companies’ selected MA contracts related to this risk adjustment diagnosis data. We refer to these audits as Risk-Adjustment Data Validation Audits, or RADV audits. RADV audits review medical records in an attempt to validate provider medical record documentation and coding practices which influence the calculation of premium payments to MA plans.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2012, CMS released a “Notice of Final Payment Error Calculation Methodology for Part C Medicare Advantage Risk Adjustment Data Validation (RADV) Contract-Level Audits.” The payment error calculation methodology provided that, in calculating the economic impact of audit results for an MA contract, if any, the results of the RADV audit sample would be extrapolated to the entire MA contract after a comparison of the audit results to a similar audit of the government’s traditional fee-for-service Medicare program, or Medicare FFS. We refer to the process of accounting for errors in FFS claims as the "FFS Adjuster." This comparison of RADV audit results to the FFS error rate is necessary to determine the economic impact, if any, of RADV audit results because the government used the Medicare FFS program data set, including any attendant errors that are present in that data set, to estimate the costs of various health status conditions and to set the resulting adjustments to MA plans’ payment rates in order to establish actuarial equivalence in payment rates as required under the Medicare statute. CMS already makes other adjustments to payment rates based on a comparison of coding pattern differences between MA plans and Medicare FFS data (such as for frequency of coding for certain diagnoses in MA plan data versus the Medicare FFS program dataset).</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final RADV extrapolation methodology, including the first application of extrapolated audit results to determine audit settlements, is expected to be applied to CMS RADV contract level audits conducted for contract year 2011 and subsequent years. CMS is currently conducting RADV contract level audits for certain of our Medicare Advantage plans.</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Estimated audit settlements are recorded as a reduction of premiums revenue in our consolidated statements of income, based upon available information. We perform internal contract level audits based on the RADV audit methodology prescribed by CMS. Included in these internal contract level audits is an audit of our Private Fee-For Service business which we used to represent a proxy of the FFS Adjuster which has not yet been finalized. We based our accrual of estimated audit settlements for each contract year on the results of these internal contract level audits and update our estimates as each audit is completed. Estimates derived from these results were not material to our results of operations, financial position, or cash flows. We report the results of these internal contract level audits to CMS, including identified overpayments, if any.</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October 26, 2018, CMS issued a proposed rule and accompanying materials (which we refer to as the “Proposed Rule”) related to, among other things, the RADV audit methodology described above. If implemented, the Proposed Rule would use extrapolation in RADV audits applicable to payment year 2011 contract-level audits and all subsequent audits, without the application of a FFS Adjuster to audit findings. We believe that the Proposed Rule fails to address adequately the statutory requirement of actuarial equivalence, and have provided substantive comments to CMS on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5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Proposed Rule as part of the notice-and-comment rulemaking process. Whether, and to what extent, CMS finalizes the Proposed Rule, and any related regulatory, industry or company reactions, could have a material adverse effect on our results of operations, financial position, or cash flows.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part of our internal compliance efforts, we routinely perform ordinary course reviews of our internal business processes related to, among other things, our risk coding and data submissions in connection with the risk- adjustment model. These reviews may also result in the identification of errors and the submission of corrections to CMS, that may, either individually or in the aggregate, be material. As such, the result of these reviews may have a material adverse effect on our results of operations, financial position, or cash flows.</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CMS' statements and policies regarding the requirement to report and return identified overpayments received by MA plans are inconsistent with CMS' 2012 RADV audit methodology, and the Medicare statute's requirements. These statements and policies, such as certain statements contained in the preamble to CMS’ final rule release regarding Medicare Advantage and Part D prescription drug benefit program regulations for Contract Year 2015 (which we refer to as the "Overpayment Rule"), and the Proposed Rule, appear to equate each Medicare Advantage risk adjustment data error with an “overpayment” without addressing the principles underlying the FFS Adjuster referenced above. On September 7, 2018, the Federal District Court for the District of Columbia vacated CMS's Overpayment Rule, concluding that it violated the Medicare statute, including the requirement for actuarial equivalence, and that the Overpayment Rule was also arbitrary and capricious in departing from CMS's RADV methodology without adequate explanation (among other reasons). CMS has appealed the decision to the Circuit Court of Appeals.</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will continue to work with CMS to ensure that MA plans are paid accurately and that payment model principles are in accordance with the requirements of the Social Security Act, which, if not implemented correctly could have a material adverse effect on our results of operations, financial position, or cash flows.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our military services business, which accounted for approximately 1% of our total premiums and services revenue for the year ended December 31, 2019, primarily consisted of the TRICARE T2017 East Region contract. The T2017 East Region contract is a consolidation of the former T3 North and South Regions, comprising thirty-two states and approximately 6 million TRICARE beneficiaries, under which delivery of health care services commenced on January 1, 2018. The T2017 East Region contract is a 5-year contract set to expire on December 31, 2022 and is subject to renewals on January 1 of each year during its term at the government's option.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state-based Medicaid business accounted for approximately 4% of our total premiums and services revenue for the year ended December 31, 2019. In addition to our state-based Temporary Assistance for Needy Families, or TANF, Medicaid contracts in Florida and Kentucky, we have contracts in Florida for Long Term Support Services (LTSS), and in Illinois for stand-alone dual eligible demonstration programs serving individuals dually eligible for both the federal Medicare program and the applicable state-based Medicaid program.</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loss of any of the contracts above or significant changes in these programs as a result of legislative or regulatory action, including reductions in premium payments to us, regulatory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 they remain within certain ranges of each other, or increases in member benefits or member eligibility criteria without corresponding increases in premium payments to us, may have a material adverse effect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53"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Certain Regulatory Matters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previously disclosed, the Civil Division of the United States Department of Justice provided us with an information request in December 2014, concerning our Medicare Part C risk adjustment practices. The request relates to our oversight and submission of risk adjustment data generated by providers in our Medicare Advantage network, as well as to our business and compliance practices related to risk adjustment data generated by our providers and by us, including medical record reviews conducted as part of our data and payment accuracy compliance efforts, the use of health and well-being assessments, and our fraud detection efforts. We believe that this request for information is in connection with a wider review of Medicare Risk Adjustment generally that includes a number of Medicare Advantage plans, providers and vendors. We continue to cooperate with and voluntarily respond to the information requests from the Department of Justice. These matters are expected to result in additional qui tam litigation.</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As previously disclosed, on January 19, 2016, an individual filed a qui tam suit captioned </w:t>
      </w:r>
      <w:r>
        <w:rPr>
          <w:rFonts w:ascii="Arial" w:cs="Arial" w:eastAsia="Arial" w:hAnsi="Arial"/>
          <w:sz w:val="16"/>
          <w:szCs w:val="16"/>
          <w:i w:val="1"/>
          <w:iCs w:val="1"/>
          <w:color w:val="auto"/>
        </w:rPr>
        <w:t>United States of America ex rel. Steven Scott v. Humana, Inc.,</w:t>
      </w:r>
      <w:r>
        <w:rPr>
          <w:rFonts w:ascii="Arial" w:cs="Arial" w:eastAsia="Arial" w:hAnsi="Arial"/>
          <w:sz w:val="16"/>
          <w:szCs w:val="16"/>
          <w:color w:val="auto"/>
        </w:rPr>
        <w:t xml:space="preserve"> in United States District Court, Central District of California, Western Division. The complaint alleges certain civil violations by us in connection with the actuarial equivalence of the plan benefits under Humana’s Basic PDP plan, a prescription drug plan offered by us under Medicare Part D. The action seeks damages and penalties on behalf of the United States under the False Claims Act. The court ordered the qui tam action unsealed on September 13, 2017, so that the relator could proceed, following notice from the U.S. Government that it was not intervening at that time. On January 29, 2018, the suit was transferred to the United States District Court, Western District of Kentucky, Louisville Division. We take seriously our obligations to comply with applicable CMS requirements and actuarial standards of practice, and continue to vigorously defend against these allegations since the transfer to the Western District of Kentucky. We have engaged in active discovery with the relator who has pursued the matter on behalf of the United States following its unsealing, and expect that discovery process to conclude in the near future and for the Court to consider our motion for summary judgment.</w:t>
      </w:r>
    </w:p>
    <w:p>
      <w:pPr>
        <w:spacing w:after="0" w:line="11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November 2, 2017, we filed suit against the United States of America in the United States Court of Federal Claims, on behalf of our health plans seeking recovery from the federal government of approximately $611 million in payments under the risk corridor premium stabilization program established under Health Care Reform , for years 2014, 2015 and 2016. Our case has been stayed by the Court, pending resolution of similar cases filed by other insurers. We have not recognized revenue, nor have we recorded a receivable, for any amount due from the federal government for unpaid risk corridor payments as of December 31, 2019. We have fully recognized all liabilities due to the federal government that we have incurred under the risk corridor program, and have paid all amounts due to the federal government as required. There is no assurance that we will prevail in the lawsuit.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Lawsuits and Regulatory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current and past business practices are subject to review or other investigations by various state insurance and health care regulatory authorities and other state and federal regulatory authorities. These authorities regularly scrutinize the business practices of health insurance, health care delivery and benefits companies. These reviews focus on numerous facets of our business, including claims payment practices, statutory capital requirements, provider contracting, risk adjustment, competitive practices, commission payments, privacy issues, utilization management practices, pharmacy benefits, access to care, and sales practices, among others. Some of these reviews have historically resulted in fines imposed on us and some have required changes to some of our practices. We continue to be subject to these reviews, which could result in additional fines or other sanctions being imposed on us or additional changes in some of our practices.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are involved in various other lawsuits that arise, for the most part, in the ordinary course of our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operations, certain of which may be styled as class-action lawsuits. Among other matters, this litigation may include employment matters, claims of medical malpractice, bad faith, nonacceptance or termination of providers, anticompetitive practices, improper rate setting, provider contract rate and payment disputes, including disputes over reimbursement rates required by statute, general contractual matters, intellectual property matters, and challenges to subrogation practices. Under state guaranty assessment laws, including those related to state cooperative failures in the industry, we may be assessed (up to prescribed limits) for certain obligations to the policyholders and claimants of insolvent insurance companies that write the same line or lines of business as we do.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53"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government contractor, we may also be subject to qui tam litigation brought by individuals who seek to sue on behalf of the government, alleging that the government contractor submitted false claims to the government including, among other allegations, those resulting from coding and review practices under the Medicare risk adjustment model. Qui tam litigation is filed under seal to allow the government an opportunity to investigate and to decide if it wishes to intervene and assume control of the litigation. If the government does not intervene, the individual may continue to prosecute the action on his or her own, on behalf of the government. We also are subject to other allegations of non-performance of contractual obligations to providers, members, and others, including failure to properly pay claims, improper policy terminations, challenges to our implementation of the Medicare Part D prescription drug program and other litigation.</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limited number of the claims asserted against us are subject to insurance coverage. Personal injury claims, claims for extra contractual damages, care delivery malpractice, and claims arising from medical benefit denials are covered by insurance from our wholly owned captive insurance subsidiary and excess carriers, except to the extent that claimants seek punitive damages, which may not be covered by insurance in certain states in which insurance coverage for punitive damages is not permitted. In addition, insurance coverage for all or certain forms of liability has become increasingly costly and may become unavailable or prohibitively expensive in the future.</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accruals for the contingencies discussed in the sections above to the extent that we conclude it is probable that a liability has been incurred and the amount of the loss can be reasonably estimated. No estimate of the possible loss or range of loss in excess of amounts accrued, if any, can be made at this time regarding the matters specifically described above because of the inherently unpredictable nature of legal proceedings, which also may be exacerbated by various factors, including: (i) the damages sought in the proceedings are unsubstantiated or indeterminate; (ii) discovery is not complete; (iii) the proceeding is in its early stages; (iv) the matters present legal uncertainties; (v) there are significant facts in dispute; (vi) there are a large number of parties (including where it is uncertain how liability, if any, will be shared among multiple defendants); or (vii) there is a wide range of potential outcomes.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outcome of any current or future litigation or governmental or internal investigations, including the matters described above, cannot be accurately predicted, nor can we predict any resulting judgments, penalties, fines or other sanctions that may be imposed at the discretion of federal or state regulatory authorities or as a result of actions by third parties. Nevertheless, it is reasonably possible that any such outcome of litigation, judgments, penalties, fines or other sanctions could be substantial, and the outcome of these matters may have a material adverse effect on our results of operations, financial position, and cash flows, and may also affect our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manage our business with three </w:t>
      </w:r>
      <w:r>
        <w:rPr>
          <w:rFonts w:ascii="Arial" w:cs="Arial" w:eastAsia="Arial" w:hAnsi="Arial"/>
          <w:sz w:val="20"/>
          <w:szCs w:val="20"/>
          <w:color w:val="auto"/>
        </w:rPr>
        <w:t>reportable segments: Retail, Group and Specialty, and Healthcare Services. Beginning January 1,</w:t>
      </w:r>
      <w:r>
        <w:rPr>
          <w:rFonts w:ascii="Arial" w:cs="Arial" w:eastAsia="Arial" w:hAnsi="Arial"/>
          <w:sz w:val="17"/>
          <w:szCs w:val="17"/>
          <w:color w:val="auto"/>
        </w:rPr>
        <w:t xml:space="preserve"> </w:t>
      </w:r>
      <w:r>
        <w:rPr>
          <w:rFonts w:ascii="Arial" w:cs="Arial" w:eastAsia="Arial" w:hAnsi="Arial"/>
          <w:sz w:val="20"/>
          <w:szCs w:val="20"/>
          <w:color w:val="auto"/>
        </w:rPr>
        <w:t>2018, we exited the individual commercial fully-insured medical health insurance business, as well as certain other business in 2018, and therefore no longer report separately the Individual Commercial segment and the Other Businesses category in the current year. Previously, the Other Businesses category included businesses that were not individually reportable because they did not meet the quantitative thresholds required by generally accepted accounting principles, primarily our closed-block of commercial long-term care insurance policies which were sold in 2018.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dual eligible,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 benefits, as well as administrative services only, or ASO products. In addition, our Group and Specialty segment includes our military services business, primarily our TRICARE T2017 East Region contract. The Healthcare Services segment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53"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includes our services offered to our health plan members as well as to third parties, including pharmacy solutions, provider services, and clinical care service, such as home health and other services and capabilities to promote wellness and advance population health, including our minority investment in Kindred at Home.</w:t>
      </w:r>
    </w:p>
    <w:p>
      <w:pPr>
        <w:spacing w:after="0" w:line="12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Healthcare Services intersegment revenues primarily relate to managing prescription drug coverage for members of our other segments through Humana Pharmacy Solutions®, or HPS, and includes the operations of Humana Pharmacy, Inc., our mail order pharmacy business. These revenues consist of the prescription price (ingredient cost plus dispensing fee), including the portion to be settled with the member (co-share) or with the government (subsidies), plus any associated administrative fees. Services revenues related to the distribution of prescriptions by third party retail pharmacies in our networks are recognized when the claim is processed and product revenues from dispensing prescriptions from our mail order pharmacies are recorded when the prescription or product is shipped. Our pharmacy operations, which are responsible for designing pharmacy benefits, including defining member co-share responsibilities, determining formulary listings, contracting with retail pharmacies, confirming member eligibility, reviewing drug utilization, and processing claims, act as a principal in the arrangement on behalf of members in our other segments. As principal, our Healthcare Services segment reports revenues on a gross basis, including co-share amounts from members collected by third party retail pharmacies at the point of service.</w:t>
      </w:r>
    </w:p>
    <w:p>
      <w:pPr>
        <w:spacing w:after="0" w:line="11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our Healthcare Services intersegment revenues include revenues earned by certain owned providers derived from risk-based and non-risk-based managed care agreements with our health plans. Under risk based agreements, the provider receives a monthly capitated fee that varies depending on the demographics and health status of the member, for each member assigned to these owned providers by our health plans. The owned provider assumes the economic risk of funding the assigned members’ healthcare services. Under non risk-based agreements, our health plans retain the economic risk of funding the assigned members' healthcare services. Our Healthcare Services segment reports provider services revenues associated with risk-based agreements on a gross basis, whereby capitation fee revenue is recognized in the period in which the assigned members are entitled to receive healthcare services. Provider services revenues associated with non-risk-based agreements are presented net of associated healthcare costs.</w:t>
      </w:r>
    </w:p>
    <w:p>
      <w:pPr>
        <w:spacing w:after="0" w:line="1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our consolidated results of operations from the perspective of the health plans. As a result, the cost of providing benefits to our members, whether provided via a third party provider or internally through a stand-alone subsidiary, is classified as benefits expense and excludes the portion of the cost for which the health plans do not bear responsibility, including member co-share amounts and government subsidies of $14.9 billion in 2019, $13.4 billion in 2018, and $13.5 billion in 2017. In addition, depreciation and amortization expense associated with certain businesses in our Healthcare Services segment delivering benefits to our members, primarily associated with our provider services and pharmacy operations, are included with benefits expense. The amount of this expense was $117 million in 2019, $129 million in 2018, and $107 million in 2017.</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Other than those described previously, the accounting policies of each segment are the same and are described in Note 2. Transactions between reportable segments primarily consist of sales of services rendered by our Healthcare Services segment, primarily pharmacy, provider, and clinical care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 in the tables presenting segment results below.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53"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Group and</w:t>
            </w: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Healthcare</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Specialty</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2019</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External revenues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500"/>
              <w:spacing w:after="0"/>
              <w:rPr>
                <w:sz w:val="20"/>
                <w:szCs w:val="20"/>
                <w:color w:val="auto"/>
              </w:rPr>
            </w:pPr>
            <w:r>
              <w:rPr>
                <w:rFonts w:ascii="Arial" w:cs="Arial" w:eastAsia="Arial" w:hAnsi="Arial"/>
                <w:sz w:val="18"/>
                <w:szCs w:val="18"/>
                <w:color w:val="auto"/>
              </w:rPr>
              <w:t>Individual Medicare Advantage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43,128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43,128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Group Medicare Advantage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43"/>
        </w:trPr>
        <w:tc>
          <w:tcPr>
            <w:tcW w:w="4360" w:type="dxa"/>
            <w:vAlign w:val="bottom"/>
          </w:tcPr>
          <w:p>
            <w:pPr>
              <w:ind w:left="500"/>
              <w:spacing w:after="0"/>
              <w:rPr>
                <w:sz w:val="20"/>
                <w:szCs w:val="20"/>
                <w:color w:val="auto"/>
              </w:rPr>
            </w:pPr>
            <w:r>
              <w:rPr>
                <w:rFonts w:ascii="Arial" w:cs="Arial" w:eastAsia="Arial" w:hAnsi="Arial"/>
                <w:sz w:val="18"/>
                <w:szCs w:val="18"/>
                <w:color w:val="auto"/>
              </w:rPr>
              <w:t>Medicare stand-alone PDP</w:t>
            </w: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Medicare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52,768</w:t>
            </w:r>
          </w:p>
        </w:tc>
        <w:tc>
          <w:tcPr>
            <w:tcW w:w="0" w:type="dxa"/>
            <w:vAlign w:val="bottom"/>
          </w:tcPr>
          <w:p>
            <w:pPr>
              <w:spacing w:after="0"/>
              <w:rPr>
                <w:sz w:val="1"/>
                <w:szCs w:val="1"/>
                <w:color w:val="auto"/>
              </w:rPr>
            </w:pPr>
          </w:p>
        </w:tc>
      </w:tr>
      <w:tr>
        <w:trPr>
          <w:trHeight w:val="237"/>
        </w:trPr>
        <w:tc>
          <w:tcPr>
            <w:tcW w:w="4360" w:type="dxa"/>
            <w:vAlign w:val="bottom"/>
          </w:tcPr>
          <w:p>
            <w:pPr>
              <w:ind w:left="500"/>
              <w:spacing w:after="0"/>
              <w:rPr>
                <w:sz w:val="20"/>
                <w:szCs w:val="20"/>
                <w:color w:val="auto"/>
              </w:rPr>
            </w:pPr>
            <w:r>
              <w:rPr>
                <w:rFonts w:ascii="Arial" w:cs="Arial" w:eastAsia="Arial" w:hAnsi="Arial"/>
                <w:sz w:val="18"/>
                <w:szCs w:val="18"/>
                <w:color w:val="auto"/>
              </w:rPr>
              <w:t>Fully-insured</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Specialty</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43"/>
        </w:trPr>
        <w:tc>
          <w:tcPr>
            <w:tcW w:w="4360" w:type="dxa"/>
            <w:vAlign w:val="bottom"/>
          </w:tcPr>
          <w:p>
            <w:pPr>
              <w:ind w:left="500"/>
              <w:spacing w:after="0"/>
              <w:rPr>
                <w:sz w:val="20"/>
                <w:szCs w:val="20"/>
                <w:color w:val="auto"/>
              </w:rPr>
            </w:pPr>
            <w:r>
              <w:rPr>
                <w:rFonts w:ascii="Arial" w:cs="Arial" w:eastAsia="Arial" w:hAnsi="Arial"/>
                <w:sz w:val="18"/>
                <w:szCs w:val="18"/>
                <w:color w:val="auto"/>
              </w:rPr>
              <w:t>Medicaid and other</w:t>
            </w: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premiums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62,948</w:t>
            </w:r>
          </w:p>
        </w:tc>
        <w:tc>
          <w:tcPr>
            <w:tcW w:w="0" w:type="dxa"/>
            <w:vAlign w:val="bottom"/>
          </w:tcPr>
          <w:p>
            <w:pPr>
              <w:spacing w:after="0"/>
              <w:rPr>
                <w:sz w:val="1"/>
                <w:szCs w:val="1"/>
                <w:color w:val="auto"/>
              </w:rPr>
            </w:pPr>
          </w:p>
        </w:tc>
      </w:tr>
      <w:tr>
        <w:trPr>
          <w:trHeight w:val="223"/>
        </w:trPr>
        <w:tc>
          <w:tcPr>
            <w:tcW w:w="4360" w:type="dxa"/>
            <w:vAlign w:val="bottom"/>
          </w:tcPr>
          <w:p>
            <w:pPr>
              <w:ind w:left="280"/>
              <w:spacing w:after="0"/>
              <w:rPr>
                <w:sz w:val="20"/>
                <w:szCs w:val="20"/>
                <w:color w:val="auto"/>
              </w:rPr>
            </w:pPr>
            <w:r>
              <w:rPr>
                <w:rFonts w:ascii="Arial" w:cs="Arial" w:eastAsia="Arial" w:hAnsi="Arial"/>
                <w:sz w:val="18"/>
                <w:szCs w:val="18"/>
                <w:color w:val="auto"/>
              </w:rPr>
              <w:t>Services revenue: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Provider</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4360" w:type="dxa"/>
            <w:vAlign w:val="bottom"/>
          </w:tcPr>
          <w:p>
            <w:pPr>
              <w:ind w:left="500"/>
              <w:spacing w:after="0"/>
              <w:rPr>
                <w:sz w:val="20"/>
                <w:szCs w:val="20"/>
                <w:color w:val="auto"/>
              </w:rPr>
            </w:pPr>
            <w:r>
              <w:rPr>
                <w:rFonts w:ascii="Arial" w:cs="Arial" w:eastAsia="Arial" w:hAnsi="Arial"/>
                <w:sz w:val="18"/>
                <w:szCs w:val="18"/>
                <w:color w:val="auto"/>
              </w:rPr>
              <w:t>ASO and other</w:t>
            </w: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Pharmacy</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7"/>
        </w:trPr>
        <w:tc>
          <w:tcPr>
            <w:tcW w:w="4360" w:type="dxa"/>
            <w:vAlign w:val="bottom"/>
          </w:tcPr>
          <w:p>
            <w:pPr>
              <w:ind w:left="920"/>
              <w:spacing w:after="0"/>
              <w:rPr>
                <w:sz w:val="20"/>
                <w:szCs w:val="20"/>
                <w:color w:val="auto"/>
              </w:rPr>
            </w:pPr>
            <w:r>
              <w:rPr>
                <w:rFonts w:ascii="Arial" w:cs="Arial" w:eastAsia="Arial" w:hAnsi="Arial"/>
                <w:sz w:val="18"/>
                <w:szCs w:val="18"/>
                <w:color w:val="auto"/>
              </w:rPr>
              <w:t>Total services revenue</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64,387</w:t>
            </w:r>
          </w:p>
        </w:tc>
        <w:tc>
          <w:tcPr>
            <w:tcW w:w="0" w:type="dxa"/>
            <w:vAlign w:val="bottom"/>
          </w:tcPr>
          <w:p>
            <w:pPr>
              <w:spacing w:after="0"/>
              <w:rPr>
                <w:sz w:val="1"/>
                <w:szCs w:val="1"/>
                <w:color w:val="auto"/>
              </w:rPr>
            </w:pPr>
          </w:p>
        </w:tc>
      </w:tr>
      <w:tr>
        <w:trPr>
          <w:trHeight w:val="223"/>
        </w:trPr>
        <w:tc>
          <w:tcPr>
            <w:tcW w:w="436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intersegment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64,888</w:t>
            </w:r>
          </w:p>
        </w:tc>
        <w:tc>
          <w:tcPr>
            <w:tcW w:w="0" w:type="dxa"/>
            <w:vAlign w:val="bottom"/>
          </w:tcPr>
          <w:p>
            <w:pPr>
              <w:spacing w:after="0"/>
              <w:rPr>
                <w:sz w:val="1"/>
                <w:szCs w:val="1"/>
                <w:color w:val="auto"/>
              </w:rPr>
            </w:pPr>
          </w:p>
        </w:tc>
      </w:tr>
      <w:tr>
        <w:trPr>
          <w:trHeight w:val="223"/>
        </w:trPr>
        <w:tc>
          <w:tcPr>
            <w:tcW w:w="4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53,857</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4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61,696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w w:val="98"/>
              </w:rPr>
              <w:t>Income before income taxes and equity in net earnings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of Kindred at Home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Segment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Premium and services revenues derived from our contracts with the federal government, as a percentage of our total premium and services revenues, was approximately 82% for 2019, compared to 81% for 2018, and 79% for 2017.</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53"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Group and</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Healthcare</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Individual</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Specialty</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Businesses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External revenues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Individual Medicare Advantage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35,656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35,656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Group Medicare Advantage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Medicare stand-alone PDP</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Medicare</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45,343</w:t>
            </w:r>
          </w:p>
        </w:tc>
        <w:tc>
          <w:tcPr>
            <w:tcW w:w="0" w:type="dxa"/>
            <w:vAlign w:val="bottom"/>
          </w:tcPr>
          <w:p>
            <w:pPr>
              <w:spacing w:after="0"/>
              <w:rPr>
                <w:sz w:val="1"/>
                <w:szCs w:val="1"/>
                <w:color w:val="auto"/>
              </w:rPr>
            </w:pPr>
          </w:p>
        </w:tc>
      </w:tr>
      <w:tr>
        <w:trPr>
          <w:trHeight w:val="237"/>
        </w:trPr>
        <w:tc>
          <w:tcPr>
            <w:tcW w:w="3100" w:type="dxa"/>
            <w:vAlign w:val="bottom"/>
          </w:tcPr>
          <w:p>
            <w:pPr>
              <w:ind w:left="500"/>
              <w:spacing w:after="0"/>
              <w:rPr>
                <w:sz w:val="20"/>
                <w:szCs w:val="20"/>
                <w:color w:val="auto"/>
              </w:rPr>
            </w:pPr>
            <w:r>
              <w:rPr>
                <w:rFonts w:ascii="Arial" w:cs="Arial" w:eastAsia="Arial" w:hAnsi="Arial"/>
                <w:sz w:val="18"/>
                <w:szCs w:val="18"/>
                <w:color w:val="auto"/>
              </w:rPr>
              <w:t>Fully-insured</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Specialty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Medicaid and other</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premiums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54,941</w:t>
            </w:r>
          </w:p>
        </w:tc>
        <w:tc>
          <w:tcPr>
            <w:tcW w:w="0" w:type="dxa"/>
            <w:vAlign w:val="bottom"/>
          </w:tcPr>
          <w:p>
            <w:pPr>
              <w:spacing w:after="0"/>
              <w:rPr>
                <w:sz w:val="1"/>
                <w:szCs w:val="1"/>
                <w:color w:val="auto"/>
              </w:rPr>
            </w:pPr>
          </w:p>
        </w:tc>
      </w:tr>
      <w:tr>
        <w:trPr>
          <w:trHeight w:val="223"/>
        </w:trPr>
        <w:tc>
          <w:tcPr>
            <w:tcW w:w="3100" w:type="dxa"/>
            <w:vAlign w:val="bottom"/>
          </w:tcPr>
          <w:p>
            <w:pPr>
              <w:ind w:left="280"/>
              <w:spacing w:after="0"/>
              <w:rPr>
                <w:sz w:val="20"/>
                <w:szCs w:val="20"/>
                <w:color w:val="auto"/>
              </w:rPr>
            </w:pPr>
            <w:r>
              <w:rPr>
                <w:rFonts w:ascii="Arial" w:cs="Arial" w:eastAsia="Arial" w:hAnsi="Arial"/>
                <w:sz w:val="18"/>
                <w:szCs w:val="18"/>
                <w:color w:val="auto"/>
              </w:rPr>
              <w:t>Services revenue:</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Provider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ASO and other</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Pharmacy</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3100" w:type="dxa"/>
            <w:vAlign w:val="bottom"/>
          </w:tcPr>
          <w:p>
            <w:pPr>
              <w:ind w:left="920"/>
              <w:spacing w:after="0"/>
              <w:rPr>
                <w:sz w:val="20"/>
                <w:szCs w:val="20"/>
                <w:color w:val="auto"/>
              </w:rPr>
            </w:pPr>
            <w:r>
              <w:rPr>
                <w:rFonts w:ascii="Arial" w:cs="Arial" w:eastAsia="Arial" w:hAnsi="Arial"/>
                <w:sz w:val="18"/>
                <w:szCs w:val="18"/>
                <w:color w:val="auto"/>
              </w:rPr>
              <w:t>Total services revenue</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56,398</w:t>
            </w:r>
          </w:p>
        </w:tc>
        <w:tc>
          <w:tcPr>
            <w:tcW w:w="0" w:type="dxa"/>
            <w:vAlign w:val="bottom"/>
          </w:tcPr>
          <w:p>
            <w:pPr>
              <w:spacing w:after="0"/>
              <w:rPr>
                <w:sz w:val="1"/>
                <w:szCs w:val="1"/>
                <w:color w:val="auto"/>
              </w:rPr>
            </w:pPr>
          </w:p>
        </w:tc>
      </w:tr>
      <w:tr>
        <w:trPr>
          <w:trHeight w:val="223"/>
        </w:trPr>
        <w:tc>
          <w:tcPr>
            <w:tcW w:w="310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intersegment revenues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56,912</w:t>
            </w:r>
          </w:p>
        </w:tc>
        <w:tc>
          <w:tcPr>
            <w:tcW w:w="0" w:type="dxa"/>
            <w:vAlign w:val="bottom"/>
          </w:tcPr>
          <w:p>
            <w:pPr>
              <w:spacing w:after="0"/>
              <w:rPr>
                <w:sz w:val="1"/>
                <w:szCs w:val="1"/>
                <w:color w:val="auto"/>
              </w:rPr>
            </w:pPr>
          </w:p>
        </w:tc>
      </w:tr>
      <w:tr>
        <w:trPr>
          <w:trHeight w:val="223"/>
        </w:trPr>
        <w:tc>
          <w:tcPr>
            <w:tcW w:w="3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45,882</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Operating costs</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7"/>
        </w:trPr>
        <w:tc>
          <w:tcPr>
            <w:tcW w:w="3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53,812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Income (loss) before income taxes and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Equity in net earnings of Kindred at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Home</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earnings (losses)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Group and</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Healthcare</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Individual</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Specialty</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Commercial</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Businesses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2017</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External revenues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Individual Medicare Advantage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32,720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32,720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Group Medicare Advantage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Medicare stand-alone PDP</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3,702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Medicare</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41,577</w:t>
            </w:r>
          </w:p>
        </w:tc>
        <w:tc>
          <w:tcPr>
            <w:tcW w:w="0" w:type="dxa"/>
            <w:vAlign w:val="bottom"/>
          </w:tcPr>
          <w:p>
            <w:pPr>
              <w:spacing w:after="0"/>
              <w:rPr>
                <w:sz w:val="1"/>
                <w:szCs w:val="1"/>
                <w:color w:val="auto"/>
              </w:rPr>
            </w:pPr>
          </w:p>
        </w:tc>
      </w:tr>
      <w:tr>
        <w:trPr>
          <w:trHeight w:val="237"/>
        </w:trPr>
        <w:tc>
          <w:tcPr>
            <w:tcW w:w="3100" w:type="dxa"/>
            <w:vAlign w:val="bottom"/>
          </w:tcPr>
          <w:p>
            <w:pPr>
              <w:ind w:left="500"/>
              <w:spacing w:after="0"/>
              <w:rPr>
                <w:sz w:val="20"/>
                <w:szCs w:val="20"/>
                <w:color w:val="auto"/>
              </w:rPr>
            </w:pPr>
            <w:r>
              <w:rPr>
                <w:rFonts w:ascii="Arial" w:cs="Arial" w:eastAsia="Arial" w:hAnsi="Arial"/>
                <w:sz w:val="18"/>
                <w:szCs w:val="18"/>
                <w:color w:val="auto"/>
              </w:rPr>
              <w:t>Fully-insured</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Specialty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Medicaid and other</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premiums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52,380</w:t>
            </w:r>
          </w:p>
        </w:tc>
        <w:tc>
          <w:tcPr>
            <w:tcW w:w="0" w:type="dxa"/>
            <w:vAlign w:val="bottom"/>
          </w:tcPr>
          <w:p>
            <w:pPr>
              <w:spacing w:after="0"/>
              <w:rPr>
                <w:sz w:val="1"/>
                <w:szCs w:val="1"/>
                <w:color w:val="auto"/>
              </w:rPr>
            </w:pPr>
          </w:p>
        </w:tc>
      </w:tr>
      <w:tr>
        <w:trPr>
          <w:trHeight w:val="223"/>
        </w:trPr>
        <w:tc>
          <w:tcPr>
            <w:tcW w:w="3100" w:type="dxa"/>
            <w:vAlign w:val="bottom"/>
          </w:tcPr>
          <w:p>
            <w:pPr>
              <w:ind w:left="280"/>
              <w:spacing w:after="0"/>
              <w:rPr>
                <w:sz w:val="20"/>
                <w:szCs w:val="20"/>
                <w:color w:val="auto"/>
              </w:rPr>
            </w:pPr>
            <w:r>
              <w:rPr>
                <w:rFonts w:ascii="Arial" w:cs="Arial" w:eastAsia="Arial" w:hAnsi="Arial"/>
                <w:sz w:val="18"/>
                <w:szCs w:val="18"/>
                <w:color w:val="auto"/>
              </w:rPr>
              <w:t>Services revenue:</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Provider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ASO and other</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Pharmacy</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3100" w:type="dxa"/>
            <w:vAlign w:val="bottom"/>
          </w:tcPr>
          <w:p>
            <w:pPr>
              <w:ind w:left="920"/>
              <w:spacing w:after="0"/>
              <w:rPr>
                <w:sz w:val="20"/>
                <w:szCs w:val="20"/>
                <w:color w:val="auto"/>
              </w:rPr>
            </w:pPr>
            <w:r>
              <w:rPr>
                <w:rFonts w:ascii="Arial" w:cs="Arial" w:eastAsia="Arial" w:hAnsi="Arial"/>
                <w:sz w:val="18"/>
                <w:szCs w:val="18"/>
                <w:color w:val="auto"/>
              </w:rPr>
              <w:t>Total services revenue</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53,362</w:t>
            </w:r>
          </w:p>
        </w:tc>
        <w:tc>
          <w:tcPr>
            <w:tcW w:w="0" w:type="dxa"/>
            <w:vAlign w:val="bottom"/>
          </w:tcPr>
          <w:p>
            <w:pPr>
              <w:spacing w:after="0"/>
              <w:rPr>
                <w:sz w:val="1"/>
                <w:szCs w:val="1"/>
                <w:color w:val="auto"/>
              </w:rPr>
            </w:pPr>
          </w:p>
        </w:tc>
      </w:tr>
      <w:tr>
        <w:trPr>
          <w:trHeight w:val="223"/>
        </w:trPr>
        <w:tc>
          <w:tcPr>
            <w:tcW w:w="310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intersegment revenues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53,767</w:t>
            </w:r>
          </w:p>
        </w:tc>
        <w:tc>
          <w:tcPr>
            <w:tcW w:w="0" w:type="dxa"/>
            <w:vAlign w:val="bottom"/>
          </w:tcPr>
          <w:p>
            <w:pPr>
              <w:spacing w:after="0"/>
              <w:rPr>
                <w:sz w:val="1"/>
                <w:szCs w:val="1"/>
                <w:color w:val="auto"/>
              </w:rPr>
            </w:pPr>
          </w:p>
        </w:tc>
      </w:tr>
      <w:tr>
        <w:trPr>
          <w:trHeight w:val="223"/>
        </w:trPr>
        <w:tc>
          <w:tcPr>
            <w:tcW w:w="3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43,496</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Operating costs</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Merger termination fee and related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net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49,505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9"/>
        </w:trPr>
        <w:tc>
          <w:tcPr>
            <w:tcW w:w="3100" w:type="dxa"/>
            <w:vAlign w:val="bottom"/>
          </w:tcPr>
          <w:p>
            <w:pPr>
              <w:ind w:left="40"/>
              <w:spacing w:after="0"/>
              <w:rPr>
                <w:sz w:val="20"/>
                <w:szCs w:val="20"/>
                <w:color w:val="auto"/>
              </w:rPr>
            </w:pPr>
            <w:r>
              <w:rPr>
                <w:rFonts w:ascii="Arial" w:cs="Arial" w:eastAsia="Arial" w:hAnsi="Arial"/>
                <w:sz w:val="18"/>
                <w:szCs w:val="18"/>
                <w:color w:val="auto"/>
                <w:w w:val="98"/>
              </w:rPr>
              <w:t>Income (loss) before income taxes and</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equity in net earnings</w:t>
            </w:r>
          </w:p>
        </w:tc>
        <w:tc>
          <w:tcPr>
            <w:tcW w:w="20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earnings of Kindred at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Segment earnings (losses)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39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Humana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REINSURANCE</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blocks of insurance assumed in acquisitions, primarily life and annuities in run-off status and, prior to its sale in 2018, long-term care, are subject to reinsurance where some or all of the underwriting risk related to these policies has been ceded to a third party. In addition, a large portion of our reinsurance takes the form of 100% coinsurance agreements where, in addition to all of the underwriting risk, all administrative responsibilities, including premium collections and claim payment, have also been ceded to a third party. We acquired these policies and related reinsurance agreements with the purchase of stock of companies in which the policies were originally written. We acquired these companies for business reasons unrelated to these particular policies, including the companies’ other products and licenses necessary to fulfill strategic plans.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reinsurance agreement between two entities transfers the underwriting risk of policyholder liabilities to a reinsurer while the primary insurer retains the contractual relationship with the ultimate insured. As such, these reinsurance agreements do not completely relieve us of our potential liability to the ultimate insured. However, given the transfer of underwriting risk, our potential liability is limited to the credit exposure which exists should the reinsurer be unable to meet its obligations assumed under these reinsurance agreements.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Reinsurance recoverables represent the portion of future policy benefits payable and benefits payable that are covered by reinsurance. Amounts recoverable from reinsurers are estimated in a manner consistent with the methods used to determine future policy benefits payable as detailed in Note 2. Reinsurance recoverables, included in other current and long-term assets, were $267 million at December 31, 2019 and $314 million at December 31, 2018. The amount of these reinsurance recoverables resulting from 100% coinsurance agreements was approximately $267 million at December 31, 2019 and approximately $313 million at December 31, 2018. Premiums ceded were $1 billion in 2019, $976 million in 2018 and $969 million in 2017. Benefits ceded were $881 million in 2019, $980 million in 2018, and $844 million in 2017. Historical ceded premium and benefits reflect the activity associated with ceding all risk under a Medicaid contract to a third party reinsurer. The reinsurance agreement ceding all risk under the Medicaid contract was terminated effective January 1, 2020.</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 the financial condition of our reinsurers on a regular basis. Protective Life Insurance Company with $174 million in reinsurance recoverables is well-known and well-established with a AM Best rating of A+ (superior) at December 31, 2019 . The remaining reinsurance recoverables of $94 million are divided between 11 other reinsurers, with $72 million subject to funds withheld accounts or other financial guarantees supporting the repayment of these amounts.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53" w:right="239" w:bottom="1440" w:gutter="0" w:footer="0" w:header="0"/>
        </w:sectPr>
      </w:pPr>
    </w:p>
    <w:bookmarkStart w:id="119" w:name="page120"/>
    <w:bookmarkEnd w:id="119"/>
    <w:p>
      <w:pPr>
        <w:spacing w:after="0" w:line="19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Humana Inc.</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Humana Inc. and its subsidiaries (the “Company”) as of December 31, 2019 and 2018, and the related consolidated statements of income, of comprehensive income, of stockholders’ equity and of cash flow for each of the three years in the period ended December 31, 2019, including the related notes and financial statement schedules listed in the index appearing under Item 15(a)(2)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1440" w:right="259" w:bottom="1440" w:gutter="0" w:footer="0" w:header="0"/>
        </w:sectPr>
      </w:pPr>
    </w:p>
    <w:bookmarkStart w:id="120" w:name="page121"/>
    <w:bookmarkEnd w:id="120"/>
    <w:p>
      <w:pPr>
        <w:spacing w:after="0" w:line="3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Incurred but not yet Reported Benefits Payable</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in Notes 2 and 11 to the consolidated financial statements, the Company’s incurred but not yet reported benefits payable (IBNR) was $4.2 billion as of December 31, 2019. Management develops its estimate for IBNR using actuarial methodologies and assumptions, primarily based upon historical claim experience. As described by management, for the periods prior to the most recent two months, the key assumption used in estimating IBNR is that the completion factor pattern remains consistent over a rolling 12-month period after adjusting for known changes in claim inventory levels and known changes in claim payment processes. For the most recent two months, IBNR is estimated primarily from a trend analysis based upon per member per month claims trends developed from historical experience in the preceding months, adjusted for known changes in estimates of recent hospital and drug utilization data, provider contracting changes, changes in benefit levels, changes in member cost sharing, changes in medical management processes, product mix and workday seasonality.</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IBNR is a critical audit matter are there was significant judgment by management when developing the estimate of IBNR. This in turn led to a high degree of auditor judgment, subjectivity and effort in performing procedures and evaluating actuarial methodologies and significant assumptions, including completion factors and per member per month claims trends. Also, the audit effort involved the use of professionals with specialized skill and knowledge to assist in performing these procedures and evaluating the audit evidence obtained from these procedures.</w:t>
      </w:r>
    </w:p>
    <w:p>
      <w:pPr>
        <w:spacing w:after="0" w:line="1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IBNR, including controls over the actuarial methodologies and development of significant assumptions related to completion factors and per member per month claims trends. These procedures also included, among others, involvement of professionals with specialized skill and knowledge to assist in developing an independent estimate of IBNR. This independent estimate includes a range of reasonable outcomes which are compared to management’s estimate of IBNR. Developing the independent estimate involved developing independent completion factors and per member per month claims trends assumptions using management’s data, testing the completeness and accuracy of data provided by management, and evaluating the reasonableness of management’s assumptions.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440" w:right="239" w:bottom="1440" w:gutter="0" w:footer="0" w:header="0"/>
        </w:sectPr>
      </w:pPr>
    </w:p>
    <w:bookmarkStart w:id="121" w:name="page122"/>
    <w:bookmarkEnd w:id="121"/>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Provider and Clinical Reporting Units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described in Notes 2 and 9 to the consolidated financial statements, the Company’s consolidated goodwill balance was $3.9 billion as of December 31, 2019, and the goodwill associated with the Provider and Clinical Reporting Units was $1.3 billion. Management conducts an impairment test in the fourth quarter of each year and more frequently if adverse events or changes in circumstances indicate that the asset may be impaired. Management relies on a discounted cash flow analysis to determine fair value and uses discount rates that correspond to a market-based weighted-average cost of capital, and terminal growth rates that correspond to long-term growth prospects, consistent with the long-term inflation rate. Key assumptions in management’s cash flow projections, including revenue growth rates, medical and operating cost trends, and projected operating income, are consistent with those utilized in management’s long-range business plan and annual planning process.</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Provider and Clinical Reporting Units is a critical audit matter are there was significant judgment by management when developing the fair value estimate of the reporting units. This in turn led to a high degree of auditor judgment, subjectivity, and audit effort in performing procedures to evaluate management’s cash flow projections, including significant assumptions for the revenue and terminal growth rates, projected operating income, and the discount rate. Also, the audit effort involved the use of professionals with specialized skill and knowledge to assist in performing these procedures and evaluating the audit evidence obtained from these procedures.</w:t>
      </w:r>
    </w:p>
    <w:p>
      <w:pPr>
        <w:spacing w:after="0" w:line="15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significant assumptions used in the valuation of the Provider and Clinical Reporting Units. These procedures also included, among others, testing management's process for developing the fair value estimate of the reporting units; evaluating the appropriateness of the discounted cash flow analysis; testing the completeness and accuracy of underlying data used in the analysis; and evaluating the reasonableness of significant assumptions used by management, including the revenue and terminal growth rates and projected operating income, by considering the past performance of the reporting units and considering whether these assumptions were consistent with evidence obtained in other areas of the audit. Professionals with specialized skill and knowledge were used to assist in the evaluation of the appropriateness of the Company’s discounted cash flow analysis and the reasonableness of the significant assumptions, including the terminal growth rates and the discount rate impacting the reporting units’ future cash flows.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1440" w:right="279" w:bottom="1440" w:gutter="0" w:footer="0" w:header="0"/>
        </w:sectPr>
      </w:pPr>
    </w:p>
    <w:bookmarkStart w:id="122" w:name="page123"/>
    <w:bookmarkEnd w:id="122"/>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QUARTERLY FINANCIAL INFORMATION</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 summary of our quarterly unaudited results of operations for the years ended December 31, 2019 and 2018 follows:</w:t>
      </w:r>
    </w:p>
    <w:p>
      <w:pPr>
        <w:spacing w:after="0" w:line="392" w:lineRule="exact"/>
        <w:rPr>
          <w:sz w:val="20"/>
          <w:szCs w:val="20"/>
          <w:color w:val="auto"/>
        </w:rPr>
      </w:pPr>
    </w:p>
    <w:tbl>
      <w:tblPr>
        <w:tblLayout w:type="fixed"/>
        <w:tblInd w:w="512"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2019</w:t>
            </w: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First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Second</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Fourth</w:t>
            </w:r>
          </w:p>
        </w:tc>
      </w:tr>
      <w:tr>
        <w:trPr>
          <w:trHeight w:val="196"/>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w w:val="93"/>
              </w:rPr>
              <w:t>(in millions, except per share results)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16,245</w:t>
            </w:r>
          </w:p>
        </w:tc>
        <w:tc>
          <w:tcPr>
            <w:tcW w:w="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16,241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 and equity in net earnings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1,229</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888</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Basic earnings per common share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6.96</w:t>
            </w:r>
          </w:p>
        </w:tc>
        <w:tc>
          <w:tcPr>
            <w:tcW w:w="5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5.16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588"/>
        </w:trPr>
        <w:tc>
          <w:tcPr>
            <w:tcW w:w="4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First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Second</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Fourth</w:t>
            </w:r>
          </w:p>
        </w:tc>
      </w:tr>
      <w:tr>
        <w:trPr>
          <w:trHeight w:val="196"/>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w w:val="93"/>
              </w:rPr>
              <w:t>(in millions, except per share results)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14,279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14,168</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 and equity in net earnings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901</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Basic earnings per common share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4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32" w:hanging="332"/>
        <w:spacing w:after="0" w:line="277" w:lineRule="auto"/>
        <w:tabs>
          <w:tab w:leader="none" w:pos="3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calculation of earnings per common share is based on the weighted average shares outstanding during each quarter and, accordingly, the sum may not equal the total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12"/>
          </w:cols>
          <w:pgMar w:left="248" w:top="1440" w:right="239" w:bottom="1440" w:gutter="0" w:footer="0" w:header="0"/>
        </w:sectPr>
      </w:pPr>
    </w:p>
    <w:bookmarkStart w:id="123" w:name="page124"/>
    <w:bookmarkEnd w:id="12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Financial Statements and Other Information</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responsible for the preparation and integrity of the consolidated financial statements appearing in our Annual Report. The consolidated financial statements were prepared in conformity with accounting principles generally accepted in the United States and include amounts based on our estimates and judgments. All other financial information in this report has been presented on a basis consistent with the information included in the financial statements.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control environment is the foundation for our system of internal control over financial reporting and is embodied in our Code of Ethics and Business Conduct, which we currently refer to as the Humana Inc. Ethics Every Day. It sets the tone of our organization and includes factors such as integrity and ethical values. Our internal control over financial reporting is supported by formal policies and procedures which are reviewed, modified and improved as changes occur in business conditions and operations.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Audit Committee of the Board of Directors, which is composed solely of independent outside directors, meets periodically with members of management, the internal auditors and our independent registered public accounting firm to review and discuss internal controls over financial reporting and accounting and financial reporting matters. Our independent registered public accounting firm and internal auditors report to the Audit Committee and accordingly have full and free access to the Audit Committee at any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the Company, including its consolidated subsidiaries, is made known to members of senior management and the Board of Directors.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Based on our evaluation as of December 31, 2019, we as the principal executive officer, the principal financial officer and the principal accounting officer of the Company have concluded that the Company’s disclosure controls and procedures (as defined in the Securities Exchange Act of 1934) are effective to ensure that the information required to be disclosed by the Company in the reports that it files or submits under the Securities Exchange Act of 1934 is recorded, processed, summarized and reported as specified in Securities and Exchange Commission rules and forms.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responsible for establishing and maintaining effective internal control over financial reporting as defined in Rule 13a-15(f) under the Securities Exchange Act of 1934.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or that the degree of compliance with the policies or procedures may deteriorate.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440" w:right="239" w:bottom="1440" w:gutter="0" w:footer="0" w:header="0"/>
        </w:sectPr>
      </w:pPr>
    </w:p>
    <w:bookmarkStart w:id="124" w:name="page125"/>
    <w:bookmarkEnd w:id="124"/>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assessed the effectiveness of the Company’s internal control over financial reporting as of December 31, 2019.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Based on our assessment, we determined that, as of December 31, 2019, the Company’s internal control over financial reporting was effective based on those criteria.</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PricewaterhouseCoopers LLP, our independent registered public accounting firm, who also audited the Company’s consolidated financial statements included in our Annual Report on Form 10-K, as stated in their report which appears on page 120.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2019 that have materially affected, or are reasonably likely to materially affect,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19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color w:val="auto"/>
        </w:rPr>
        <w:t>.</w:t>
      </w:r>
      <w:r>
        <w:rPr>
          <w:rFonts w:ascii="Arial" w:cs="Arial" w:eastAsia="Arial" w:hAnsi="Arial"/>
          <w:sz w:val="18"/>
          <w:szCs w:val="18"/>
          <w:b w:val="1"/>
          <w:bCs w:val="1"/>
          <w:color w:val="auto"/>
        </w:rPr>
        <w:t xml:space="preserve"> DIRECTORS, EXECUTIVE OFFICERS AND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herein incorporated by reference from our Proxy Statement for the Annual Meeting of Stockholders scheduled to be held on April 23, 2020 appearing under the caption “Proposal One: Election of Directors” in such Proxy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list of our executive officers and biographical information appears in Part I, Item 1 of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Conduct for Chief Executive Officer and Senior Financial Officers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adopted a Code of Conduct for the Chief Executive Officer and Senior Financial Officers</w:t>
      </w:r>
      <w:r>
        <w:rPr>
          <w:rFonts w:ascii="Arial" w:cs="Arial" w:eastAsia="Arial" w:hAnsi="Arial"/>
          <w:sz w:val="18"/>
          <w:szCs w:val="18"/>
          <w:i w:val="1"/>
          <w:iCs w:val="1"/>
          <w:color w:val="auto"/>
        </w:rPr>
        <w:t>,</w:t>
      </w:r>
      <w:r>
        <w:rPr>
          <w:rFonts w:ascii="Arial" w:cs="Arial" w:eastAsia="Arial" w:hAnsi="Arial"/>
          <w:sz w:val="18"/>
          <w:szCs w:val="18"/>
          <w:color w:val="auto"/>
        </w:rPr>
        <w:t xml:space="preserve"> violations of which should be reported to the Audit Committee. The code may be viewed through the Investor Relations section of our web site at www.humana.com. Any amendment to or waiver of the application of the Code of Conduct for the Chief Executive Officer and Senior Financial Officers will be promptly disclosed through the Investor Relations section of our web site at www.humana.com.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1995, we have operated under an omnibus Code of Ethics and Business Conduct, currently known as the Humana Inc. Ethics Every Day (the “Code”). All employees and directors are required to annually affirm in writing their acceptance of the Code. The Code was adopted by our Board of Directors in June 2014, replacing a previous iteration, known as the Humana Inc. Principles of Business Ethics, as the document to comply with the New York Stock Exchange Corporate Governance Standard 303A.10. The Code is available on our web site at www.humana.com, and any waiver of the application of the Code with respect to directors or executive officers must be made by the Board of Directors and will be promptly disclosed on our web site at www.humana.com.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Items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made available free of charge on or through the Investor Relations section of our web site at www.humana.com our annual reports on Form 10-K, quarterly reports on Form 10-Q, proxy statements, and all of our other reports, and, if applicable, amendments to those reports filed or furnished pursuant to Section 13(a) of the Exchange Act, as soon as reasonably practicable after we electronically file such material with, or furnish it to, the SEC. Also available on our Internet web site is information about our corporate governance, including:</w:t>
      </w:r>
    </w:p>
    <w:p>
      <w:pPr>
        <w:spacing w:after="0" w:line="133" w:lineRule="exact"/>
        <w:rPr>
          <w:sz w:val="20"/>
          <w:szCs w:val="20"/>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determination of independence for each member of our Board of Directors;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membership, role, and charter of each of the various committees of our Board of Directors;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name(s) of the directors designated as a financial expert under rules and regulations promulgated by the SEC;</w:t>
      </w:r>
    </w:p>
    <w:p>
      <w:pPr>
        <w:spacing w:after="0" w:line="63"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responsibility of the Company’s Lead Independent Director, if applicable, to convene, set the agenda for, and lead executive sessions of the non-management directors;</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pre-approval process of non-audit services provided by our independent accountants;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By-laws and Certificate of Incorporation;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Majority Vote policy;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Related Persons Transaction Policy;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process by which interested parties can communicate with directors;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process by which stockholders can make director nominations (pursuant to our By-laws);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440" w:right="239" w:bottom="1440" w:gutter="0" w:footer="0" w:header="0"/>
        </w:sectPr>
      </w:pPr>
    </w:p>
    <w:bookmarkStart w:id="126" w:name="page127"/>
    <w:bookmarkEnd w:id="126"/>
    <w:p>
      <w:pPr>
        <w:spacing w:after="0" w:line="198" w:lineRule="exact"/>
        <w:rPr>
          <w:sz w:val="20"/>
          <w:szCs w:val="20"/>
          <w:color w:val="auto"/>
        </w:rPr>
      </w:pPr>
    </w:p>
    <w:p>
      <w:pPr>
        <w:ind w:left="640" w:hanging="321"/>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Policy Regarding Transactions in Company Securities, Inside Information and Confidentiality;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 Ownership Guidelines for directors and for executive officers;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Humana Inc. Ethics Every Day and any waivers thereto;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Code of Conduct for the Chief Executive Officer and Senior Financial Officers and any waivers thereto.</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information about these items can be found in, and is incorporated by reference to, our Proxy Statement for the Annual Meeting of Stockholders scheduled to be held on April 23,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Changes to the Procedures by which Security Holders May Recommend Nominees to the Registrant’s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herein incorporated by reference from our Proxy Statement for the Annual Meeting of Stockholders scheduled to be held on April 23, 2020 appearing under the caption “Corporate Governance – Audit Committee” of such Proxy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Composition and Independence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information required by this Item is herein incorporated by reference from our Proxy Statement for the Annual Meeting of Stockholders scheduled to be held on April 23, 2020 appearing under the caption “Corporate Governance – Committee Membership and Attendance” of such Proxy Statement.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information required by this Item is incorporated herein by reference from our Proxy Statement for the Annual Meeting of Stockholders scheduled to be held on April 23, 2020.</w:t>
      </w:r>
    </w:p>
    <w:p>
      <w:pPr>
        <w:spacing w:after="0" w:line="11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plans under which options to purchase our common stock and awards of restricted stock may be made to officers, directors, and key employees. Stock options are granted with an exercise price equal to the fair market value of the underlying common stock on the date of grant. Our stock plans, as approved by the Board of Directors and stockholders, define fair market value as the average of the highest and lowest stock prices reported on the composite tape by the New York Stock Exchange on a given date. Exercise provisions vary, but most options vest in whole or in part 1 to 3 years after grant and expire up to 7 years after grant.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440" w:right="239" w:bottom="1440" w:gutter="0" w:footer="0" w:header="0"/>
        </w:sectPr>
      </w:pPr>
    </w:p>
    <w:bookmarkStart w:id="127" w:name="page128"/>
    <w:bookmarkEnd w:id="127"/>
    <w:p>
      <w:pPr>
        <w:spacing w:after="0" w:line="19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concerning stock option awards and the number of securities remaining available for future issuance under our equity compensation plans in effect as of December 31, 2019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2"/>
                <w:szCs w:val="12"/>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 securities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 securities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and rights</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and rights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column(a))</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2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security holders (1)</w:t>
            </w:r>
          </w:p>
        </w:tc>
        <w:tc>
          <w:tcPr>
            <w:tcW w:w="2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493,723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250.460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19,627,620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Equity compensation plans not approved</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by security holders</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493,723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250.460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19,627,620</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above table does not include awards of shares of restricted stock or restricted stock units. For information concerning these awards, see Note 14.</w:t>
      </w:r>
    </w:p>
    <w:p>
      <w:pPr>
        <w:spacing w:after="0" w:line="46" w:lineRule="exact"/>
        <w:rPr>
          <w:rFonts w:ascii="Arial" w:cs="Arial" w:eastAsia="Arial" w:hAnsi="Arial"/>
          <w:sz w:val="16"/>
          <w:szCs w:val="16"/>
          <w:color w:val="auto"/>
        </w:rPr>
      </w:pPr>
    </w:p>
    <w:p>
      <w:pPr>
        <w:ind w:left="540" w:hanging="316"/>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Humana Inc. 2011 Stock Incentive Plan was approved by stockholders at the Annual Meeting held on April 21, 2011. On July 5, 2011, 18.5 million shares were registered with the Securities and Exchange Commission on Form S-8.</w:t>
      </w:r>
    </w:p>
    <w:p>
      <w:pPr>
        <w:ind w:left="540" w:hanging="316"/>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Humana Inc. Amended and Restated Stock Incentive Plan was approved by stockholders at the Annual Meeting held on April 18, 2019. On May 1, 2019, 16 million shares were registered with the Securities and Exchange Commission on Form S-8.</w:t>
      </w:r>
    </w:p>
    <w:p>
      <w:pPr>
        <w:jc w:val="both"/>
        <w:ind w:left="540" w:hanging="316"/>
        <w:spacing w:after="0" w:line="255"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the number listed above, 6,388,331 (1,672,918 from the 2011 Plan and 4,715,413 from the Amended and Restated Plan) can be issued as restricted stock at December 31, 2019 (giving effect to the provision that one restricted share is equivalent to 2.29 stock options in the 2011 Plan and 3.35 stock options in the Amended and Restated Plan).</w:t>
      </w:r>
    </w:p>
    <w:p>
      <w:pPr>
        <w:spacing w:after="0" w:line="1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under the captions “Stock Ownership Information - Security Ownership of Certain Beneficial Owners of Company Common Stock” and “Stock Ownership Information - Security Ownership of Directors and Executive Officers” in our Proxy Statement for the Annual Meeting of Stockholders scheduled to be held on April 23, 2020, is herein incorporated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herein incorporated by reference from our Proxy Statement for the Annual Meeting of Stockholders scheduled to be held on April 23, 2020 appearing under the captions “Certain Transactions with Management and Others” and “Corporate Governance – Director Independence” of such Proxy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herein incorporated by reference from our Proxy Statement for the Annual Meeting of Stockholders scheduled to be held on April 23, 2020 appearing under the caption “Audit Committee Report” of such Proxy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440" w:right="239" w:bottom="1440" w:gutter="0" w:footer="0" w:header="0"/>
        </w:sectPr>
      </w:pPr>
    </w:p>
    <w:bookmarkStart w:id="128" w:name="page129"/>
    <w:bookmarkEnd w:id="128"/>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ectPr>
          <w:pgSz w:w="11900" w:h="16838" w:orient="portrait"/>
          <w:cols w:equalWidth="0" w:num="1">
            <w:col w:w="11380"/>
          </w:cols>
          <w:pgMar w:left="240" w:top="1440" w:right="279" w:bottom="1440" w:gutter="0" w:footer="0" w:header="0"/>
        </w:sect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financial statement schedules and exhibits set forth below are filed as part of this report.</w:t>
      </w:r>
    </w:p>
    <w:p>
      <w:pPr>
        <w:spacing w:after="0" w:line="200" w:lineRule="exact"/>
        <w:rPr>
          <w:sz w:val="20"/>
          <w:szCs w:val="20"/>
          <w:color w:val="auto"/>
        </w:rPr>
      </w:pPr>
    </w:p>
    <w:p>
      <w:pPr>
        <w:sectPr>
          <w:pgSz w:w="11900" w:h="16838" w:orient="portrait"/>
          <w:cols w:equalWidth="0" w:num="2">
            <w:col w:w="1160" w:space="720"/>
            <w:col w:w="9500"/>
          </w:cols>
          <w:pgMar w:left="240" w:top="1440" w:right="279" w:bottom="1440" w:gutter="0" w:footer="0" w:header="0"/>
          <w:type w:val="continuous"/>
        </w:sectPr>
      </w:pP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1680"/>
        <w:spacing w:after="0"/>
        <w:rPr>
          <w:sz w:val="20"/>
          <w:szCs w:val="20"/>
          <w:color w:val="auto"/>
        </w:rPr>
      </w:pPr>
      <w:r>
        <w:rPr>
          <w:rFonts w:ascii="Arial" w:cs="Arial" w:eastAsia="Arial" w:hAnsi="Arial"/>
          <w:sz w:val="16"/>
          <w:szCs w:val="16"/>
          <w:color w:val="auto"/>
        </w:rPr>
        <w:t>Financial Statements – The response to this portion of Item 15 is submitted as Item 8 of Part II of this report.</w:t>
      </w:r>
    </w:p>
    <w:p>
      <w:pPr>
        <w:spacing w:after="0" w:line="200" w:lineRule="exact"/>
        <w:rPr>
          <w:sz w:val="20"/>
          <w:szCs w:val="20"/>
          <w:color w:val="auto"/>
        </w:rPr>
      </w:pPr>
    </w:p>
    <w:p>
      <w:pPr>
        <w:sectPr>
          <w:pgSz w:w="11900" w:h="16838" w:orient="portrait"/>
          <w:cols w:equalWidth="0" w:num="2">
            <w:col w:w="1160" w:space="720"/>
            <w:col w:w="9500"/>
          </w:cols>
          <w:pgMar w:left="240" w:top="1440" w:right="279" w:bottom="1440" w:gutter="0" w:footer="0" w:header="0"/>
          <w:type w:val="continuous"/>
        </w:sectPr>
      </w:pP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 Schedules are included herein:</w:t>
      </w:r>
    </w:p>
    <w:p>
      <w:pPr>
        <w:spacing w:after="0" w:line="200" w:lineRule="exact"/>
        <w:rPr>
          <w:sz w:val="20"/>
          <w:szCs w:val="20"/>
          <w:color w:val="auto"/>
        </w:rPr>
      </w:pPr>
    </w:p>
    <w:p>
      <w:pPr>
        <w:sectPr>
          <w:pgSz w:w="11900" w:h="16838" w:orient="portrait"/>
          <w:cols w:equalWidth="0" w:num="2">
            <w:col w:w="1160" w:space="720"/>
            <w:col w:w="9500"/>
          </w:cols>
          <w:pgMar w:left="240" w:top="1440" w:right="279" w:bottom="1440" w:gutter="0" w:footer="0" w:header="0"/>
          <w:type w:val="continuous"/>
        </w:sectPr>
      </w:pPr>
    </w:p>
    <w:p>
      <w:pPr>
        <w:spacing w:after="0" w:line="6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Schedule I</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right="2820"/>
        <w:spacing w:after="0" w:line="264" w:lineRule="auto"/>
        <w:rPr>
          <w:sz w:val="20"/>
          <w:szCs w:val="20"/>
          <w:color w:val="auto"/>
        </w:rPr>
      </w:pPr>
      <w:r>
        <w:rPr>
          <w:rFonts w:ascii="Arial" w:cs="Arial" w:eastAsia="Arial" w:hAnsi="Arial"/>
          <w:sz w:val="18"/>
          <w:szCs w:val="18"/>
          <w:color w:val="auto"/>
        </w:rPr>
        <w:t>Parent Company Condensed Financial Information at December 31, 2019 and 2018 and for the years ended December 31, 2019, 2018 and 2017</w:t>
      </w:r>
    </w:p>
    <w:p>
      <w:pPr>
        <w:spacing w:after="0" w:line="195" w:lineRule="exact"/>
        <w:rPr>
          <w:sz w:val="20"/>
          <w:szCs w:val="20"/>
          <w:color w:val="auto"/>
        </w:rPr>
      </w:pPr>
    </w:p>
    <w:p>
      <w:pPr>
        <w:sectPr>
          <w:pgSz w:w="11900" w:h="16838" w:orient="portrait"/>
          <w:cols w:equalWidth="0" w:num="2">
            <w:col w:w="3220" w:space="720"/>
            <w:col w:w="7440"/>
          </w:cols>
          <w:pgMar w:left="240" w:top="1440" w:right="27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Schedule II</w:t>
      </w:r>
    </w:p>
    <w:p>
      <w:pPr>
        <w:spacing w:after="0" w:line="20" w:lineRule="exact"/>
        <w:rPr>
          <w:sz w:val="20"/>
          <w:szCs w:val="20"/>
          <w:color w:val="auto"/>
        </w:rPr>
      </w:pPr>
      <w:r>
        <w:rPr>
          <w:sz w:val="20"/>
          <w:szCs w:val="20"/>
          <w:color w:val="auto"/>
        </w:rPr>
        <w:br w:type="column"/>
      </w:r>
    </w:p>
    <w:p>
      <w:pPr>
        <w:spacing w:after="0"/>
        <w:tabs>
          <w:tab w:leader="none" w:pos="820" w:val="left"/>
          <w:tab w:leader="none" w:pos="1240" w:val="left"/>
          <w:tab w:leader="none" w:pos="2160" w:val="left"/>
        </w:tabs>
        <w:rPr>
          <w:sz w:val="20"/>
          <w:szCs w:val="20"/>
          <w:color w:val="auto"/>
        </w:rPr>
      </w:pPr>
      <w:r>
        <w:rPr>
          <w:rFonts w:ascii="Arial" w:cs="Arial" w:eastAsia="Arial" w:hAnsi="Arial"/>
          <w:sz w:val="18"/>
          <w:szCs w:val="18"/>
          <w:color w:val="auto"/>
        </w:rPr>
        <w:t>Valuation</w:t>
        <w:tab/>
        <w:t>and</w:t>
        <w:tab/>
        <w:t>Qualifying</w:t>
      </w:r>
      <w:r>
        <w:rPr>
          <w:sz w:val="20"/>
          <w:szCs w:val="20"/>
          <w:color w:val="auto"/>
        </w:rPr>
        <w:tab/>
      </w:r>
      <w:r>
        <w:rPr>
          <w:rFonts w:ascii="Arial" w:cs="Arial" w:eastAsia="Arial" w:hAnsi="Arial"/>
          <w:sz w:val="16"/>
          <w:szCs w:val="16"/>
          <w:color w:val="auto"/>
        </w:rPr>
        <w:t>Accounts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ended</w:t>
      </w:r>
    </w:p>
    <w:p>
      <w:pPr>
        <w:spacing w:after="0" w:line="57" w:lineRule="exact"/>
        <w:rPr>
          <w:sz w:val="20"/>
          <w:szCs w:val="20"/>
          <w:color w:val="auto"/>
        </w:rPr>
      </w:pPr>
    </w:p>
    <w:p>
      <w:pPr>
        <w:sectPr>
          <w:pgSz w:w="11900" w:h="16838" w:orient="portrait"/>
          <w:cols w:equalWidth="0" w:num="6">
            <w:col w:w="3220" w:space="720"/>
            <w:col w:w="2860" w:space="160"/>
            <w:col w:w="200" w:space="160"/>
            <w:col w:w="220" w:space="160"/>
            <w:col w:w="380" w:space="140"/>
            <w:col w:w="3160"/>
          </w:cols>
          <w:pgMar w:left="240" w:top="1440" w:right="279" w:bottom="1440" w:gutter="0" w:footer="0" w:header="0"/>
          <w:type w:val="continuous"/>
        </w:sectPr>
      </w:pPr>
    </w:p>
    <w:p>
      <w:pPr>
        <w:ind w:left="3940"/>
        <w:spacing w:after="0"/>
        <w:rPr>
          <w:sz w:val="20"/>
          <w:szCs w:val="20"/>
          <w:color w:val="auto"/>
        </w:rPr>
      </w:pPr>
      <w:r>
        <w:rPr>
          <w:rFonts w:ascii="Arial" w:cs="Arial" w:eastAsia="Arial" w:hAnsi="Arial"/>
          <w:sz w:val="16"/>
          <w:szCs w:val="16"/>
          <w:color w:val="auto"/>
        </w:rPr>
        <w:t>December 31, 2019, 2018 and 2017</w:t>
      </w:r>
    </w:p>
    <w:p>
      <w:pPr>
        <w:sectPr>
          <w:pgSz w:w="11900" w:h="16838" w:orient="portrait"/>
          <w:cols w:equalWidth="0" w:num="1">
            <w:col w:w="11380"/>
          </w:cols>
          <w:pgMar w:left="240" w:top="1440" w:right="279" w:bottom="1440" w:gutter="0" w:footer="0" w:header="0"/>
          <w:type w:val="continuous"/>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schedules have been omitted because they are not applicable.</w:t>
      </w:r>
    </w:p>
    <w:p>
      <w:pPr>
        <w:spacing w:after="0" w:line="117"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jc w:val="both"/>
        <w:ind w:left="960" w:hanging="919"/>
        <w:spacing w:after="0" w:line="286" w:lineRule="auto"/>
        <w:tabs>
          <w:tab w:leader="none" w:pos="940" w:val="left"/>
        </w:tabs>
        <w:rPr>
          <w:sz w:val="20"/>
          <w:szCs w:val="20"/>
          <w:color w:val="auto"/>
        </w:rPr>
      </w:pPr>
      <w:r>
        <w:rPr>
          <w:rFonts w:ascii="Arial" w:cs="Arial" w:eastAsia="Arial" w:hAnsi="Arial"/>
          <w:sz w:val="17"/>
          <w:szCs w:val="17"/>
          <w:color w:val="auto"/>
        </w:rPr>
        <w:t>3(a)</w:t>
      </w:r>
      <w:r>
        <w:rPr>
          <w:sz w:val="20"/>
          <w:szCs w:val="20"/>
          <w:color w:val="auto"/>
        </w:rPr>
        <w:tab/>
      </w:r>
      <w:r>
        <w:rPr>
          <w:rFonts w:ascii="Arial" w:cs="Arial" w:eastAsia="Arial" w:hAnsi="Arial"/>
          <w:sz w:val="17"/>
          <w:szCs w:val="17"/>
          <w:color w:val="auto"/>
        </w:rPr>
        <w:t>Restated Certificate of Incorporation of Humana Inc. filed with the Secretary of State of Delaware on November 9, 1989, as restated to incorporate the amendment of January 9, 1992, and the correction of March 23, 1992 (incorporated herein by reference to Exhibit 4(i) to Humana Inc.’s Post-Effective Amendment No.1 to the Registration Statement on Form S-8 (Reg. No. 33-49305) filed February 2, 1994).</w:t>
      </w:r>
    </w:p>
    <w:p>
      <w:pPr>
        <w:spacing w:after="0" w:line="179" w:lineRule="exact"/>
        <w:rPr>
          <w:sz w:val="20"/>
          <w:szCs w:val="20"/>
          <w:color w:val="auto"/>
        </w:rPr>
      </w:pPr>
    </w:p>
    <w:p>
      <w:pPr>
        <w:ind w:left="960" w:hanging="925"/>
        <w:spacing w:after="0" w:line="277" w:lineRule="auto"/>
        <w:tabs>
          <w:tab w:leader="none" w:pos="960"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color w:val="auto"/>
        </w:rPr>
        <w:t>Humana Inc. Amended and Restated By-Laws of Humana Inc., effective as of December 14, 2017 (incorporated herein by reference to Exhibit 3(b) to Humana Inc.’s Current Report on Form 8-K filed on December 14, 2017).</w:t>
      </w:r>
    </w:p>
    <w:p>
      <w:pPr>
        <w:spacing w:after="0" w:line="184" w:lineRule="exact"/>
        <w:rPr>
          <w:sz w:val="20"/>
          <w:szCs w:val="20"/>
          <w:color w:val="auto"/>
        </w:rPr>
      </w:pPr>
    </w:p>
    <w:p>
      <w:pPr>
        <w:ind w:left="960" w:hanging="919"/>
        <w:spacing w:after="0" w:line="308" w:lineRule="auto"/>
        <w:tabs>
          <w:tab w:leader="none" w:pos="940" w:val="left"/>
        </w:tabs>
        <w:rPr>
          <w:sz w:val="20"/>
          <w:szCs w:val="20"/>
          <w:color w:val="auto"/>
        </w:rPr>
      </w:pPr>
      <w:r>
        <w:rPr>
          <w:rFonts w:ascii="Arial" w:cs="Arial" w:eastAsia="Arial" w:hAnsi="Arial"/>
          <w:sz w:val="17"/>
          <w:szCs w:val="17"/>
          <w:u w:val="single" w:color="auto"/>
          <w:color w:val="0000FF"/>
        </w:rPr>
        <w:t>4(a)</w:t>
      </w:r>
      <w:r>
        <w:rPr>
          <w:sz w:val="20"/>
          <w:szCs w:val="20"/>
          <w:color w:val="auto"/>
        </w:rPr>
        <w:tab/>
      </w:r>
      <w:r>
        <w:rPr>
          <w:rFonts w:ascii="Arial" w:cs="Arial" w:eastAsia="Arial" w:hAnsi="Arial"/>
          <w:sz w:val="17"/>
          <w:szCs w:val="17"/>
          <w:color w:val="auto"/>
        </w:rPr>
        <w:t>Indenture, dates as of August 5, 2003, by and between Humana Inc. and The Bank of New York, as trustee (incorporated herein by reference to Exhibit 4.1 to Humana Inc.'s Quarterly Report on Form 10-Q for the quarter ended September 30, 2003, File No. 001-05975).</w:t>
      </w:r>
    </w:p>
    <w:p>
      <w:pPr>
        <w:spacing w:after="0" w:line="160" w:lineRule="exact"/>
        <w:rPr>
          <w:sz w:val="20"/>
          <w:szCs w:val="20"/>
          <w:color w:val="auto"/>
        </w:rPr>
      </w:pPr>
    </w:p>
    <w:p>
      <w:pPr>
        <w:ind w:left="960" w:hanging="925"/>
        <w:spacing w:after="0" w:line="308" w:lineRule="auto"/>
        <w:tabs>
          <w:tab w:leader="none" w:pos="960" w:val="left"/>
        </w:tabs>
        <w:numPr>
          <w:ilvl w:val="0"/>
          <w:numId w:val="50"/>
        </w:numPr>
        <w:rPr>
          <w:rFonts w:ascii="Arial" w:cs="Arial" w:eastAsia="Arial" w:hAnsi="Arial"/>
          <w:sz w:val="17"/>
          <w:szCs w:val="17"/>
          <w:u w:val="single" w:color="auto"/>
          <w:color w:val="0000FF"/>
        </w:rPr>
      </w:pPr>
      <w:r>
        <w:rPr>
          <w:rFonts w:ascii="Arial" w:cs="Arial" w:eastAsia="Arial" w:hAnsi="Arial"/>
          <w:sz w:val="17"/>
          <w:szCs w:val="17"/>
          <w:color w:val="auto"/>
        </w:rPr>
        <w:t>Fourth Supplemental Indenture, dated as of June 5, 2008, by and between Humana Inc. and The Bank of New York Trust Company, N.A., as trustee (incorporated herein by reference to Exhibit 4.3 to Humana Inc.’s Current Report on Form 8-K filed on June 5, 2008).</w:t>
      </w:r>
    </w:p>
    <w:p>
      <w:pPr>
        <w:spacing w:after="0" w:line="160" w:lineRule="exact"/>
        <w:rPr>
          <w:rFonts w:ascii="Arial" w:cs="Arial" w:eastAsia="Arial" w:hAnsi="Arial"/>
          <w:sz w:val="17"/>
          <w:szCs w:val="17"/>
          <w:u w:val="single" w:color="auto"/>
          <w:color w:val="0000FF"/>
        </w:rPr>
      </w:pPr>
    </w:p>
    <w:p>
      <w:pPr>
        <w:ind w:left="960" w:hanging="925"/>
        <w:spacing w:after="0" w:line="342" w:lineRule="auto"/>
        <w:tabs>
          <w:tab w:leader="none" w:pos="960" w:val="left"/>
        </w:tabs>
        <w:numPr>
          <w:ilvl w:val="0"/>
          <w:numId w:val="50"/>
        </w:numPr>
        <w:rPr>
          <w:rFonts w:ascii="Arial" w:cs="Arial" w:eastAsia="Arial" w:hAnsi="Arial"/>
          <w:sz w:val="16"/>
          <w:szCs w:val="16"/>
          <w:u w:val="single" w:color="auto"/>
          <w:color w:val="0000FF"/>
        </w:rPr>
      </w:pPr>
      <w:r>
        <w:rPr>
          <w:rFonts w:ascii="Arial" w:cs="Arial" w:eastAsia="Arial" w:hAnsi="Arial"/>
          <w:sz w:val="16"/>
          <w:szCs w:val="16"/>
          <w:color w:val="auto"/>
        </w:rPr>
        <w:t>Indenture, dated as of March 30, 2006, by and between Humana Inc. and The Bank of New York Trust Company, N.A., as trustee (incorporated herein by reference to Exhibit 4.2 to Humana Inc.’s Registration Statement on Form S-3 filed on March 31, 2006, Req. No. 333-132878).</w:t>
      </w:r>
    </w:p>
    <w:p>
      <w:pPr>
        <w:spacing w:after="0" w:line="137" w:lineRule="exact"/>
        <w:rPr>
          <w:rFonts w:ascii="Arial" w:cs="Arial" w:eastAsia="Arial" w:hAnsi="Arial"/>
          <w:sz w:val="16"/>
          <w:szCs w:val="16"/>
          <w:u w:val="single" w:color="auto"/>
          <w:color w:val="0000FF"/>
        </w:rPr>
      </w:pPr>
    </w:p>
    <w:p>
      <w:pPr>
        <w:jc w:val="both"/>
        <w:ind w:left="960" w:hanging="925"/>
        <w:spacing w:after="0" w:line="259"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are no instruments defining the rights of holders with respect to long-term debt in excess of 10 percent of the total assets of Humana Inc. on a consolidated basis. Other long-term indebtedness of Humana Inc. is described herein in Note 13 to Consolidated Financial Statements. Humana Inc. agrees to furnish copies of all such instruments defining the rights of the holders of such indebtedness not otherwise filed as an Exhibit to this Annual Report on Form 10-K to the Commission upon request.</w:t>
      </w:r>
    </w:p>
    <w:p>
      <w:pPr>
        <w:spacing w:after="0" w:line="200" w:lineRule="exact"/>
        <w:rPr>
          <w:rFonts w:ascii="Arial" w:cs="Arial" w:eastAsia="Arial" w:hAnsi="Arial"/>
          <w:sz w:val="18"/>
          <w:szCs w:val="18"/>
          <w:color w:val="auto"/>
        </w:rPr>
      </w:pPr>
    </w:p>
    <w:p>
      <w:pPr>
        <w:ind w:left="960" w:hanging="925"/>
        <w:spacing w:after="0" w:line="342" w:lineRule="auto"/>
        <w:tabs>
          <w:tab w:leader="none" w:pos="960" w:val="left"/>
        </w:tabs>
        <w:numPr>
          <w:ilvl w:val="0"/>
          <w:numId w:val="50"/>
        </w:numPr>
        <w:rPr>
          <w:rFonts w:ascii="Arial" w:cs="Arial" w:eastAsia="Arial" w:hAnsi="Arial"/>
          <w:sz w:val="16"/>
          <w:szCs w:val="16"/>
          <w:u w:val="single" w:color="auto"/>
          <w:color w:val="0000FF"/>
        </w:rPr>
      </w:pPr>
      <w:r>
        <w:rPr>
          <w:rFonts w:ascii="Arial" w:cs="Arial" w:eastAsia="Arial" w:hAnsi="Arial"/>
          <w:sz w:val="16"/>
          <w:szCs w:val="16"/>
          <w:color w:val="auto"/>
        </w:rPr>
        <w:t>Fifth Supplemental Indenture, dated as of December 10, 2012, by and between Humana Inc. and The Bank of New York Mellon Trust Company, N.A., as trustee (incorporated herein by reference to Exhibit 4.1 to Humana Inc.’s Current Report on Form 8-K filed on December 10, 2012).</w:t>
      </w:r>
    </w:p>
    <w:p>
      <w:pPr>
        <w:spacing w:after="0" w:line="137" w:lineRule="exact"/>
        <w:rPr>
          <w:rFonts w:ascii="Arial" w:cs="Arial" w:eastAsia="Arial" w:hAnsi="Arial"/>
          <w:sz w:val="16"/>
          <w:szCs w:val="16"/>
          <w:u w:val="single" w:color="auto"/>
          <w:color w:val="0000FF"/>
        </w:rPr>
      </w:pPr>
    </w:p>
    <w:p>
      <w:pPr>
        <w:jc w:val="both"/>
        <w:ind w:left="960" w:hanging="925"/>
        <w:spacing w:after="0" w:line="264" w:lineRule="auto"/>
        <w:tabs>
          <w:tab w:leader="none" w:pos="960"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color w:val="auto"/>
        </w:rPr>
        <w:t>Sixth Supplemental Indenture, dated as of December 10, 2012, by and between Humana Inc. and The Bank of New York Mellon Trust Company, N.A., as trustee (incorporated herein by reference to Exhibit 4.3 to Humana Inc.’s Current Report on Form 8-K filed on December 10, 2012).</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1440" w:right="279" w:bottom="1440" w:gutter="0" w:footer="0" w:header="0"/>
          <w:type w:val="continuous"/>
        </w:sectPr>
      </w:pPr>
    </w:p>
    <w:bookmarkStart w:id="129" w:name="page130"/>
    <w:bookmarkEnd w:id="129"/>
    <w:p>
      <w:pPr>
        <w:spacing w:after="0" w:line="360" w:lineRule="exact"/>
        <w:rPr>
          <w:sz w:val="20"/>
          <w:szCs w:val="20"/>
          <w:color w:val="auto"/>
        </w:rPr>
      </w:pPr>
    </w:p>
    <w:p>
      <w:pPr>
        <w:jc w:val="both"/>
        <w:ind w:left="925" w:hanging="925"/>
        <w:spacing w:after="0" w:line="264" w:lineRule="auto"/>
        <w:tabs>
          <w:tab w:leader="none" w:pos="925" w:val="left"/>
        </w:tabs>
        <w:numPr>
          <w:ilvl w:val="0"/>
          <w:numId w:val="51"/>
        </w:numPr>
        <w:rPr>
          <w:rFonts w:ascii="Arial" w:cs="Arial" w:eastAsia="Arial" w:hAnsi="Arial"/>
          <w:sz w:val="18"/>
          <w:szCs w:val="18"/>
          <w:u w:val="single" w:color="auto"/>
          <w:color w:val="0000FF"/>
        </w:rPr>
      </w:pPr>
      <w:r>
        <w:rPr>
          <w:rFonts w:ascii="Arial" w:cs="Arial" w:eastAsia="Arial" w:hAnsi="Arial"/>
          <w:sz w:val="18"/>
          <w:szCs w:val="18"/>
          <w:color w:val="auto"/>
        </w:rPr>
        <w:t>Eighth Supplemental Indenture, dated as of September 19, 2014, by and between Humana Inc. and The Bank of New York Mellon Trust Company, N.A., as trustee (incorporated herein by reference to Exhibit 4.4 to Humana Inc.’s Current Report on Form 8-K filed on September 19, 2014).</w:t>
      </w:r>
    </w:p>
    <w:p>
      <w:pPr>
        <w:spacing w:after="0" w:line="194" w:lineRule="exact"/>
        <w:rPr>
          <w:rFonts w:ascii="Arial" w:cs="Arial" w:eastAsia="Arial" w:hAnsi="Arial"/>
          <w:sz w:val="18"/>
          <w:szCs w:val="18"/>
          <w:u w:val="single" w:color="auto"/>
          <w:color w:val="0000FF"/>
        </w:rPr>
      </w:pPr>
    </w:p>
    <w:p>
      <w:pPr>
        <w:jc w:val="both"/>
        <w:ind w:left="925" w:hanging="925"/>
        <w:spacing w:after="0" w:line="264" w:lineRule="auto"/>
        <w:tabs>
          <w:tab w:leader="none" w:pos="925" w:val="left"/>
        </w:tabs>
        <w:numPr>
          <w:ilvl w:val="0"/>
          <w:numId w:val="51"/>
        </w:numPr>
        <w:rPr>
          <w:rFonts w:ascii="Arial" w:cs="Arial" w:eastAsia="Arial" w:hAnsi="Arial"/>
          <w:sz w:val="18"/>
          <w:szCs w:val="18"/>
          <w:u w:val="single" w:color="auto"/>
          <w:color w:val="0000FF"/>
        </w:rPr>
      </w:pPr>
      <w:r>
        <w:rPr>
          <w:rFonts w:ascii="Arial" w:cs="Arial" w:eastAsia="Arial" w:hAnsi="Arial"/>
          <w:sz w:val="18"/>
          <w:szCs w:val="18"/>
          <w:color w:val="auto"/>
        </w:rPr>
        <w:t>Ninth Supplemental Indenture, dated as of September 19, 2014, by and between Humana Inc. and The Bank of New York Mellon Trust Company, N.A., as trustee (incorporated herein by reference to Exhibit 4.6 to Humana Inc.’s Current Report on Form 8-K filed on September 19, 2014).</w:t>
      </w:r>
    </w:p>
    <w:p>
      <w:pPr>
        <w:spacing w:after="0" w:line="194" w:lineRule="exact"/>
        <w:rPr>
          <w:rFonts w:ascii="Arial" w:cs="Arial" w:eastAsia="Arial" w:hAnsi="Arial"/>
          <w:sz w:val="18"/>
          <w:szCs w:val="18"/>
          <w:u w:val="single" w:color="auto"/>
          <w:color w:val="0000FF"/>
        </w:rPr>
      </w:pPr>
    </w:p>
    <w:p>
      <w:pPr>
        <w:ind w:left="925" w:hanging="925"/>
        <w:spacing w:after="0" w:line="308" w:lineRule="auto"/>
        <w:tabs>
          <w:tab w:leader="none" w:pos="925" w:val="left"/>
        </w:tabs>
        <w:numPr>
          <w:ilvl w:val="0"/>
          <w:numId w:val="51"/>
        </w:numPr>
        <w:rPr>
          <w:rFonts w:ascii="Arial" w:cs="Arial" w:eastAsia="Arial" w:hAnsi="Arial"/>
          <w:sz w:val="17"/>
          <w:szCs w:val="17"/>
          <w:u w:val="single" w:color="auto"/>
          <w:color w:val="0000FF"/>
        </w:rPr>
      </w:pPr>
      <w:r>
        <w:rPr>
          <w:rFonts w:ascii="Arial" w:cs="Arial" w:eastAsia="Arial" w:hAnsi="Arial"/>
          <w:sz w:val="17"/>
          <w:szCs w:val="17"/>
          <w:color w:val="auto"/>
        </w:rPr>
        <w:t>Tenth Supplemental Indenture, dated March 16, 2017, between Humana Inc. and The Bank of New York Mellon Trust Company, N.A., as trustee (incorporated herein by reference to Exhibit 4.2 to Humana Inc.’s Current Report on Form 8-K filed on March 16, 2017).</w:t>
      </w:r>
    </w:p>
    <w:p>
      <w:pPr>
        <w:spacing w:after="0" w:line="160" w:lineRule="exact"/>
        <w:rPr>
          <w:rFonts w:ascii="Arial" w:cs="Arial" w:eastAsia="Arial" w:hAnsi="Arial"/>
          <w:sz w:val="17"/>
          <w:szCs w:val="17"/>
          <w:u w:val="single" w:color="auto"/>
          <w:color w:val="0000FF"/>
        </w:rPr>
      </w:pPr>
    </w:p>
    <w:p>
      <w:pPr>
        <w:ind w:left="925" w:right="20" w:hanging="925"/>
        <w:spacing w:after="0" w:line="308" w:lineRule="auto"/>
        <w:tabs>
          <w:tab w:leader="none" w:pos="925" w:val="left"/>
        </w:tabs>
        <w:numPr>
          <w:ilvl w:val="0"/>
          <w:numId w:val="51"/>
        </w:numPr>
        <w:rPr>
          <w:rFonts w:ascii="Arial" w:cs="Arial" w:eastAsia="Arial" w:hAnsi="Arial"/>
          <w:sz w:val="17"/>
          <w:szCs w:val="17"/>
          <w:u w:val="single" w:color="auto"/>
          <w:color w:val="0000FF"/>
        </w:rPr>
      </w:pPr>
      <w:r>
        <w:rPr>
          <w:rFonts w:ascii="Arial" w:cs="Arial" w:eastAsia="Arial" w:hAnsi="Arial"/>
          <w:sz w:val="17"/>
          <w:szCs w:val="17"/>
          <w:color w:val="auto"/>
        </w:rPr>
        <w:t>Eleventh Supplemental Indenture, dated March 16, 2017, between Humana Inc. and The Bank of New York Mellon Trust Company, N.A., as trustee (incorporated herein by reference to Exhibit 4.4 to Humana Inc.’s Current Report on Form 8-K filed on March 16, 2017).</w:t>
      </w:r>
    </w:p>
    <w:p>
      <w:pPr>
        <w:spacing w:after="0" w:line="160" w:lineRule="exact"/>
        <w:rPr>
          <w:rFonts w:ascii="Arial" w:cs="Arial" w:eastAsia="Arial" w:hAnsi="Arial"/>
          <w:sz w:val="17"/>
          <w:szCs w:val="17"/>
          <w:u w:val="single" w:color="auto"/>
          <w:color w:val="0000FF"/>
        </w:rPr>
      </w:pPr>
    </w:p>
    <w:p>
      <w:pPr>
        <w:ind w:left="925" w:hanging="925"/>
        <w:spacing w:after="0" w:line="342" w:lineRule="auto"/>
        <w:tabs>
          <w:tab w:leader="none" w:pos="925" w:val="left"/>
        </w:tabs>
        <w:numPr>
          <w:ilvl w:val="0"/>
          <w:numId w:val="51"/>
        </w:numPr>
        <w:rPr>
          <w:rFonts w:ascii="Arial" w:cs="Arial" w:eastAsia="Arial" w:hAnsi="Arial"/>
          <w:sz w:val="16"/>
          <w:szCs w:val="16"/>
          <w:u w:val="single" w:color="auto"/>
          <w:color w:val="0000FF"/>
        </w:rPr>
      </w:pPr>
      <w:r>
        <w:rPr>
          <w:rFonts w:ascii="Arial" w:cs="Arial" w:eastAsia="Arial" w:hAnsi="Arial"/>
          <w:sz w:val="16"/>
          <w:szCs w:val="16"/>
          <w:color w:val="auto"/>
        </w:rPr>
        <w:t>Twelfth Supplemental Indenture, dated December 21, 2017, between Humana Inc. and The Bank of New York Mellon Trust Company, N.A., as trustee (incorporated herein by reference to Exhibit 4.2 to Humana Inc.’s Current Report on Form 8-K filed on December 21, 2017).</w:t>
      </w:r>
    </w:p>
    <w:p>
      <w:pPr>
        <w:spacing w:after="0" w:line="137" w:lineRule="exact"/>
        <w:rPr>
          <w:rFonts w:ascii="Arial" w:cs="Arial" w:eastAsia="Arial" w:hAnsi="Arial"/>
          <w:sz w:val="16"/>
          <w:szCs w:val="16"/>
          <w:u w:val="single" w:color="auto"/>
          <w:color w:val="0000FF"/>
        </w:rPr>
      </w:pPr>
    </w:p>
    <w:p>
      <w:pPr>
        <w:ind w:left="925" w:hanging="925"/>
        <w:spacing w:after="0" w:line="342" w:lineRule="auto"/>
        <w:tabs>
          <w:tab w:leader="none" w:pos="925" w:val="left"/>
        </w:tabs>
        <w:numPr>
          <w:ilvl w:val="0"/>
          <w:numId w:val="51"/>
        </w:numPr>
        <w:rPr>
          <w:rFonts w:ascii="Arial" w:cs="Arial" w:eastAsia="Arial" w:hAnsi="Arial"/>
          <w:sz w:val="16"/>
          <w:szCs w:val="16"/>
          <w:u w:val="single" w:color="auto"/>
          <w:color w:val="0000FF"/>
        </w:rPr>
      </w:pPr>
      <w:r>
        <w:rPr>
          <w:rFonts w:ascii="Arial" w:cs="Arial" w:eastAsia="Arial" w:hAnsi="Arial"/>
          <w:sz w:val="16"/>
          <w:szCs w:val="16"/>
          <w:color w:val="auto"/>
        </w:rPr>
        <w:t>Thirteenth Supplemental Indenture, dated December 21, 2017, between Humana Inc. and The Bank of New York Mellon Trust Company, N.A., as trustee (incorporated herein by reference to Exhibit 4.4 to Humana Inc.’s Current Report on Form 8-K filed on December 21, 2017).</w:t>
      </w:r>
    </w:p>
    <w:p>
      <w:pPr>
        <w:spacing w:after="0" w:line="137" w:lineRule="exact"/>
        <w:rPr>
          <w:rFonts w:ascii="Arial" w:cs="Arial" w:eastAsia="Arial" w:hAnsi="Arial"/>
          <w:sz w:val="16"/>
          <w:szCs w:val="16"/>
          <w:u w:val="single" w:color="auto"/>
          <w:color w:val="0000FF"/>
        </w:rPr>
      </w:pPr>
    </w:p>
    <w:p>
      <w:pPr>
        <w:ind w:left="925" w:right="20" w:hanging="925"/>
        <w:spacing w:after="0" w:line="308" w:lineRule="auto"/>
        <w:tabs>
          <w:tab w:leader="none" w:pos="925" w:val="left"/>
        </w:tabs>
        <w:numPr>
          <w:ilvl w:val="0"/>
          <w:numId w:val="51"/>
        </w:numPr>
        <w:rPr>
          <w:rFonts w:ascii="Arial" w:cs="Arial" w:eastAsia="Arial" w:hAnsi="Arial"/>
          <w:sz w:val="17"/>
          <w:szCs w:val="17"/>
          <w:u w:val="single" w:color="auto"/>
          <w:color w:val="0000FF"/>
        </w:rPr>
      </w:pPr>
      <w:r>
        <w:rPr>
          <w:rFonts w:ascii="Arial" w:cs="Arial" w:eastAsia="Arial" w:hAnsi="Arial"/>
          <w:sz w:val="17"/>
          <w:szCs w:val="17"/>
          <w:color w:val="auto"/>
        </w:rPr>
        <w:t>Fourteenth Supplemental Indenture, dated August 15, 2019, between Humana Inc. and The Bank of New York Mellon Trust Company, N.A., as trustee (incorporated herein by reference to Exhibit 4.2 to Humana Inc.’s Current Report on Form 8-K filed on August 15, 2019).</w:t>
      </w:r>
    </w:p>
    <w:p>
      <w:pPr>
        <w:spacing w:after="0" w:line="119" w:lineRule="exact"/>
        <w:rPr>
          <w:rFonts w:ascii="Arial" w:cs="Arial" w:eastAsia="Arial" w:hAnsi="Arial"/>
          <w:sz w:val="17"/>
          <w:szCs w:val="17"/>
          <w:u w:val="single" w:color="auto"/>
          <w:color w:val="0000FF"/>
        </w:rPr>
      </w:pPr>
    </w:p>
    <w:p>
      <w:pPr>
        <w:ind w:left="925" w:right="20" w:hanging="925"/>
        <w:spacing w:after="0" w:line="308" w:lineRule="auto"/>
        <w:tabs>
          <w:tab w:leader="none" w:pos="925" w:val="left"/>
        </w:tabs>
        <w:numPr>
          <w:ilvl w:val="0"/>
          <w:numId w:val="51"/>
        </w:numPr>
        <w:rPr>
          <w:rFonts w:ascii="Arial" w:cs="Arial" w:eastAsia="Arial" w:hAnsi="Arial"/>
          <w:sz w:val="17"/>
          <w:szCs w:val="17"/>
          <w:u w:val="single" w:color="auto"/>
          <w:color w:val="0000FF"/>
        </w:rPr>
      </w:pPr>
      <w:r>
        <w:rPr>
          <w:rFonts w:ascii="Arial" w:cs="Arial" w:eastAsia="Arial" w:hAnsi="Arial"/>
          <w:sz w:val="17"/>
          <w:szCs w:val="17"/>
          <w:color w:val="auto"/>
        </w:rPr>
        <w:t>Fifteenth Supplemental Indenture, dated August 15, 2019, between Humana Inc. and The Bank of New York Mellon Trust Company, N.A., as trustee (incorporated herein by reference to Exhibit 4.4 to Humana Inc.’s Current Report on Form 8-K filed on August 15, 2019).</w:t>
      </w:r>
    </w:p>
    <w:p>
      <w:pPr>
        <w:spacing w:after="0" w:line="120" w:lineRule="exact"/>
        <w:rPr>
          <w:sz w:val="20"/>
          <w:szCs w:val="20"/>
          <w:color w:val="auto"/>
        </w:rPr>
      </w:pPr>
    </w:p>
    <w:p>
      <w:pPr>
        <w:ind w:left="5"/>
        <w:spacing w:after="0"/>
        <w:tabs>
          <w:tab w:leader="none" w:pos="905" w:val="left"/>
        </w:tabs>
        <w:rPr>
          <w:sz w:val="20"/>
          <w:szCs w:val="20"/>
          <w:color w:val="auto"/>
        </w:rPr>
      </w:pPr>
      <w:r>
        <w:rPr>
          <w:rFonts w:ascii="Arial" w:cs="Arial" w:eastAsia="Arial" w:hAnsi="Arial"/>
          <w:sz w:val="18"/>
          <w:szCs w:val="18"/>
          <w:u w:val="single" w:color="auto"/>
          <w:color w:val="0000FF"/>
        </w:rPr>
        <w:t>(o)†</w:t>
      </w:r>
      <w:r>
        <w:rPr>
          <w:sz w:val="20"/>
          <w:szCs w:val="20"/>
          <w:color w:val="auto"/>
        </w:rPr>
        <w:tab/>
      </w:r>
      <w:r>
        <w:rPr>
          <w:rFonts w:ascii="Arial" w:cs="Arial" w:eastAsia="Arial" w:hAnsi="Arial"/>
          <w:sz w:val="18"/>
          <w:szCs w:val="18"/>
          <w:color w:val="auto"/>
        </w:rPr>
        <w:t>Description of Securities.</w:t>
      </w:r>
    </w:p>
    <w:p>
      <w:pPr>
        <w:spacing w:after="0" w:line="200" w:lineRule="exact"/>
        <w:rPr>
          <w:sz w:val="20"/>
          <w:szCs w:val="20"/>
          <w:color w:val="auto"/>
        </w:rPr>
      </w:pPr>
    </w:p>
    <w:p>
      <w:pPr>
        <w:spacing w:after="0" w:line="238"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680" w:type="dxa"/>
            <w:vAlign w:val="bottom"/>
            <w:gridSpan w:val="5"/>
          </w:tcPr>
          <w:p>
            <w:pPr>
              <w:spacing w:after="0"/>
              <w:rPr>
                <w:rFonts w:ascii="Arial" w:cs="Arial" w:eastAsia="Arial" w:hAnsi="Arial"/>
                <w:sz w:val="18"/>
                <w:szCs w:val="18"/>
                <w:color w:val="0000FF"/>
              </w:rPr>
            </w:pPr>
            <w:hyperlink r:id="rId41">
              <w:r>
                <w:rPr>
                  <w:rFonts w:ascii="Arial" w:cs="Arial" w:eastAsia="Arial" w:hAnsi="Arial"/>
                  <w:sz w:val="18"/>
                  <w:szCs w:val="18"/>
                  <w:color w:val="0000FF"/>
                </w:rPr>
                <w:t>10(a)*</w:t>
              </w:r>
            </w:hyperlink>
          </w:p>
        </w:tc>
        <w:tc>
          <w:tcPr>
            <w:tcW w:w="10680" w:type="dxa"/>
            <w:vAlign w:val="bottom"/>
          </w:tcPr>
          <w:p>
            <w:pPr>
              <w:ind w:left="240"/>
              <w:spacing w:after="0"/>
              <w:rPr>
                <w:sz w:val="20"/>
                <w:szCs w:val="20"/>
                <w:color w:val="auto"/>
              </w:rPr>
            </w:pPr>
            <w:r>
              <w:rPr>
                <w:rFonts w:ascii="Arial" w:cs="Arial" w:eastAsia="Arial" w:hAnsi="Arial"/>
                <w:sz w:val="18"/>
                <w:szCs w:val="18"/>
                <w:color w:val="auto"/>
                <w:w w:val="95"/>
              </w:rPr>
              <w:t>Form of Company’s Restricted Stock Unit Agreement and Agreement not to Compete or Solicit under the 2011 Stock Incentive Plan (with</w:t>
            </w:r>
          </w:p>
        </w:tc>
      </w:tr>
      <w:tr>
        <w:trPr>
          <w:trHeight w:val="222"/>
        </w:trPr>
        <w:tc>
          <w:tcPr>
            <w:tcW w:w="2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w w:val="95"/>
              </w:rPr>
              <w:t>retirement provisions) (incorporated herein by reference to Exhibit 10(a) to Humana Inc.’s Annual Report on Form 10-K for the fiscal year</w:t>
            </w:r>
          </w:p>
        </w:tc>
      </w:tr>
      <w:tr>
        <w:trPr>
          <w:trHeight w:val="230"/>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rPr>
              <w:t>ended December 31, 2015).</w:t>
            </w:r>
          </w:p>
        </w:tc>
      </w:tr>
      <w:tr>
        <w:trPr>
          <w:trHeight w:val="405"/>
        </w:trPr>
        <w:tc>
          <w:tcPr>
            <w:tcW w:w="680" w:type="dxa"/>
            <w:vAlign w:val="bottom"/>
            <w:gridSpan w:val="5"/>
          </w:tcPr>
          <w:p>
            <w:pPr>
              <w:spacing w:after="0"/>
              <w:rPr>
                <w:rFonts w:ascii="Arial" w:cs="Arial" w:eastAsia="Arial" w:hAnsi="Arial"/>
                <w:sz w:val="18"/>
                <w:szCs w:val="18"/>
                <w:color w:val="0000FF"/>
              </w:rPr>
            </w:pPr>
            <w:hyperlink r:id="rId42">
              <w:r>
                <w:rPr>
                  <w:rFonts w:ascii="Arial" w:cs="Arial" w:eastAsia="Arial" w:hAnsi="Arial"/>
                  <w:sz w:val="18"/>
                  <w:szCs w:val="18"/>
                  <w:color w:val="0000FF"/>
                </w:rPr>
                <w:t>(b)*</w:t>
              </w:r>
            </w:hyperlink>
          </w:p>
        </w:tc>
        <w:tc>
          <w:tcPr>
            <w:tcW w:w="10680" w:type="dxa"/>
            <w:vAlign w:val="bottom"/>
          </w:tcPr>
          <w:p>
            <w:pPr>
              <w:ind w:left="240"/>
              <w:spacing w:after="0"/>
              <w:rPr>
                <w:sz w:val="20"/>
                <w:szCs w:val="20"/>
                <w:color w:val="auto"/>
              </w:rPr>
            </w:pPr>
            <w:r>
              <w:rPr>
                <w:rFonts w:ascii="Arial" w:cs="Arial" w:eastAsia="Arial" w:hAnsi="Arial"/>
                <w:sz w:val="18"/>
                <w:szCs w:val="18"/>
                <w:color w:val="auto"/>
                <w:w w:val="93"/>
              </w:rPr>
              <w:t>Form of Company’s Restricted Stock Unit Agreement and Agreement not to Compete or Solicit under the 2011 Stock Incentive Plan (without</w:t>
            </w:r>
          </w:p>
        </w:tc>
      </w:tr>
      <w:tr>
        <w:trPr>
          <w:trHeight w:val="222"/>
        </w:trPr>
        <w:tc>
          <w:tcPr>
            <w:tcW w:w="2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w w:val="95"/>
              </w:rPr>
              <w:t>retirement provisions) (incorporated herein by reference to Exhibit 10(b) to Humana Inc.’s Annual Report on Form 10-K for the fiscal year</w:t>
            </w:r>
          </w:p>
        </w:tc>
      </w:tr>
      <w:tr>
        <w:trPr>
          <w:trHeight w:val="230"/>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rPr>
              <w:t>ended December 31, 2015).</w:t>
            </w:r>
          </w:p>
        </w:tc>
      </w:tr>
      <w:tr>
        <w:trPr>
          <w:trHeight w:val="405"/>
        </w:trPr>
        <w:tc>
          <w:tcPr>
            <w:tcW w:w="680" w:type="dxa"/>
            <w:vAlign w:val="bottom"/>
            <w:gridSpan w:val="5"/>
          </w:tcPr>
          <w:p>
            <w:pPr>
              <w:spacing w:after="0"/>
              <w:rPr>
                <w:rFonts w:ascii="Arial" w:cs="Arial" w:eastAsia="Arial" w:hAnsi="Arial"/>
                <w:sz w:val="18"/>
                <w:szCs w:val="18"/>
                <w:color w:val="0000FF"/>
              </w:rPr>
            </w:pPr>
            <w:hyperlink r:id="rId43">
              <w:r>
                <w:rPr>
                  <w:rFonts w:ascii="Arial" w:cs="Arial" w:eastAsia="Arial" w:hAnsi="Arial"/>
                  <w:sz w:val="18"/>
                  <w:szCs w:val="18"/>
                  <w:color w:val="0000FF"/>
                </w:rPr>
                <w:t>(c)*</w:t>
              </w:r>
            </w:hyperlink>
          </w:p>
        </w:tc>
        <w:tc>
          <w:tcPr>
            <w:tcW w:w="10680" w:type="dxa"/>
            <w:vAlign w:val="bottom"/>
          </w:tcPr>
          <w:p>
            <w:pPr>
              <w:ind w:left="240"/>
              <w:spacing w:after="0"/>
              <w:rPr>
                <w:sz w:val="20"/>
                <w:szCs w:val="20"/>
                <w:color w:val="auto"/>
              </w:rPr>
            </w:pPr>
            <w:r>
              <w:rPr>
                <w:rFonts w:ascii="Arial" w:cs="Arial" w:eastAsia="Arial" w:hAnsi="Arial"/>
                <w:sz w:val="18"/>
                <w:szCs w:val="18"/>
                <w:color w:val="auto"/>
                <w:w w:val="92"/>
              </w:rPr>
              <w:t>Humana Inc. Executive Incentive Compensation Plan, as amended and restated January 1, 2020 (incorporated herein by reference to Exhibit</w:t>
            </w:r>
          </w:p>
        </w:tc>
      </w:tr>
      <w:tr>
        <w:trPr>
          <w:trHeight w:val="237"/>
        </w:trPr>
        <w:tc>
          <w:tcPr>
            <w:tcW w:w="2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rPr>
              <w:t>10.1 to Humana Inc.’s Quarterly Report on Form 10-Q for the quarter ended September 30, 2019.</w:t>
            </w:r>
          </w:p>
        </w:tc>
      </w:tr>
      <w:tr>
        <w:trPr>
          <w:trHeight w:val="431"/>
        </w:trPr>
        <w:tc>
          <w:tcPr>
            <w:tcW w:w="680" w:type="dxa"/>
            <w:vAlign w:val="bottom"/>
            <w:gridSpan w:val="5"/>
          </w:tcPr>
          <w:p>
            <w:pPr>
              <w:spacing w:after="0"/>
              <w:rPr>
                <w:sz w:val="20"/>
                <w:szCs w:val="20"/>
                <w:color w:val="auto"/>
              </w:rPr>
            </w:pPr>
            <w:r>
              <w:rPr>
                <w:rFonts w:ascii="Arial" w:cs="Arial" w:eastAsia="Arial" w:hAnsi="Arial"/>
                <w:sz w:val="18"/>
                <w:szCs w:val="18"/>
                <w:color w:val="auto"/>
              </w:rPr>
              <w:t>(d)*</w:t>
            </w:r>
          </w:p>
        </w:tc>
        <w:tc>
          <w:tcPr>
            <w:tcW w:w="10680" w:type="dxa"/>
            <w:vAlign w:val="bottom"/>
          </w:tcPr>
          <w:p>
            <w:pPr>
              <w:ind w:left="240"/>
              <w:spacing w:after="0"/>
              <w:rPr>
                <w:sz w:val="20"/>
                <w:szCs w:val="20"/>
                <w:color w:val="auto"/>
              </w:rPr>
            </w:pPr>
            <w:r>
              <w:rPr>
                <w:rFonts w:ascii="Arial" w:cs="Arial" w:eastAsia="Arial" w:hAnsi="Arial"/>
                <w:sz w:val="18"/>
                <w:szCs w:val="18"/>
                <w:color w:val="auto"/>
                <w:w w:val="92"/>
              </w:rPr>
              <w:t>Trust under Humana Inc. Deferred Compensation Plans (incorporated herein by reference to Exhibit 10(p) to Humana Inc.’s Annual Report on</w:t>
            </w:r>
          </w:p>
        </w:tc>
      </w:tr>
      <w:tr>
        <w:trPr>
          <w:trHeight w:val="230"/>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rPr>
              <w:t>Form 10-K for the fiscal year ended December 31, 1999, File No. 001-05975).</w:t>
            </w:r>
          </w:p>
        </w:tc>
      </w:tr>
      <w:tr>
        <w:trPr>
          <w:trHeight w:val="405"/>
        </w:trPr>
        <w:tc>
          <w:tcPr>
            <w:tcW w:w="680" w:type="dxa"/>
            <w:vAlign w:val="bottom"/>
            <w:gridSpan w:val="5"/>
          </w:tcPr>
          <w:p>
            <w:pPr>
              <w:spacing w:after="0"/>
              <w:rPr>
                <w:rFonts w:ascii="Arial" w:cs="Arial" w:eastAsia="Arial" w:hAnsi="Arial"/>
                <w:sz w:val="18"/>
                <w:szCs w:val="18"/>
                <w:color w:val="0000FF"/>
              </w:rPr>
            </w:pPr>
            <w:hyperlink r:id="rId44">
              <w:r>
                <w:rPr>
                  <w:rFonts w:ascii="Arial" w:cs="Arial" w:eastAsia="Arial" w:hAnsi="Arial"/>
                  <w:sz w:val="18"/>
                  <w:szCs w:val="18"/>
                  <w:color w:val="0000FF"/>
                </w:rPr>
                <w:t>(e)*</w:t>
              </w:r>
            </w:hyperlink>
          </w:p>
        </w:tc>
        <w:tc>
          <w:tcPr>
            <w:tcW w:w="10680" w:type="dxa"/>
            <w:vAlign w:val="bottom"/>
          </w:tcPr>
          <w:p>
            <w:pPr>
              <w:ind w:left="240"/>
              <w:spacing w:after="0"/>
              <w:rPr>
                <w:sz w:val="20"/>
                <w:szCs w:val="20"/>
                <w:color w:val="auto"/>
              </w:rPr>
            </w:pPr>
            <w:r>
              <w:rPr>
                <w:rFonts w:ascii="Arial" w:cs="Arial" w:eastAsia="Arial" w:hAnsi="Arial"/>
                <w:sz w:val="18"/>
                <w:szCs w:val="18"/>
                <w:color w:val="auto"/>
                <w:w w:val="96"/>
              </w:rPr>
              <w:t>The Humana Inc. Deferred Compensation Plan for Non-Employee Directors (as amended on October 18, 2012) (incorporated herein by</w:t>
            </w:r>
          </w:p>
        </w:tc>
      </w:tr>
      <w:tr>
        <w:trPr>
          <w:trHeight w:val="237"/>
        </w:trPr>
        <w:tc>
          <w:tcPr>
            <w:tcW w:w="2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rPr>
              <w:t>reference to Exhibit 10(m) to Humana Inc.’s Annual Report on Form 10-K for the fiscal year ended December 31, 2012).</w:t>
            </w:r>
          </w:p>
        </w:tc>
      </w:tr>
      <w:tr>
        <w:trPr>
          <w:trHeight w:val="405"/>
        </w:trPr>
        <w:tc>
          <w:tcPr>
            <w:tcW w:w="680" w:type="dxa"/>
            <w:vAlign w:val="bottom"/>
            <w:gridSpan w:val="5"/>
          </w:tcPr>
          <w:p>
            <w:pPr>
              <w:spacing w:after="0"/>
              <w:rPr>
                <w:rFonts w:ascii="Arial" w:cs="Arial" w:eastAsia="Arial" w:hAnsi="Arial"/>
                <w:sz w:val="18"/>
                <w:szCs w:val="18"/>
                <w:color w:val="0000FF"/>
              </w:rPr>
            </w:pPr>
            <w:hyperlink r:id="rId45">
              <w:r>
                <w:rPr>
                  <w:rFonts w:ascii="Arial" w:cs="Arial" w:eastAsia="Arial" w:hAnsi="Arial"/>
                  <w:sz w:val="18"/>
                  <w:szCs w:val="18"/>
                  <w:color w:val="0000FF"/>
                </w:rPr>
                <w:t>(f)*</w:t>
              </w:r>
            </w:hyperlink>
          </w:p>
        </w:tc>
        <w:tc>
          <w:tcPr>
            <w:tcW w:w="10680" w:type="dxa"/>
            <w:vAlign w:val="bottom"/>
          </w:tcPr>
          <w:p>
            <w:pPr>
              <w:ind w:left="240"/>
              <w:spacing w:after="0"/>
              <w:rPr>
                <w:sz w:val="20"/>
                <w:szCs w:val="20"/>
                <w:color w:val="auto"/>
              </w:rPr>
            </w:pPr>
            <w:r>
              <w:rPr>
                <w:rFonts w:ascii="Arial" w:cs="Arial" w:eastAsia="Arial" w:hAnsi="Arial"/>
                <w:sz w:val="18"/>
                <w:szCs w:val="18"/>
                <w:color w:val="auto"/>
                <w:w w:val="94"/>
              </w:rPr>
              <w:t>Humana Inc. Executive Severance Policy, effective as of March 1, 2019 (incorporated herein by reference to Exhibit 10(f) to Humana Inc.’s</w:t>
            </w:r>
          </w:p>
        </w:tc>
      </w:tr>
      <w:tr>
        <w:trPr>
          <w:trHeight w:val="237"/>
        </w:trPr>
        <w:tc>
          <w:tcPr>
            <w:tcW w:w="2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rPr>
              <w:t>Annual Report on Form 10-K filed on February 21, 2019).</w:t>
            </w:r>
          </w:p>
        </w:tc>
      </w:tr>
      <w:tr>
        <w:trPr>
          <w:trHeight w:val="405"/>
        </w:trPr>
        <w:tc>
          <w:tcPr>
            <w:tcW w:w="680" w:type="dxa"/>
            <w:vAlign w:val="bottom"/>
            <w:gridSpan w:val="5"/>
          </w:tcPr>
          <w:p>
            <w:pPr>
              <w:spacing w:after="0"/>
              <w:rPr>
                <w:rFonts w:ascii="Arial" w:cs="Arial" w:eastAsia="Arial" w:hAnsi="Arial"/>
                <w:sz w:val="18"/>
                <w:szCs w:val="18"/>
                <w:color w:val="0000FF"/>
              </w:rPr>
            </w:pPr>
            <w:hyperlink r:id="rId46">
              <w:r>
                <w:rPr>
                  <w:rFonts w:ascii="Arial" w:cs="Arial" w:eastAsia="Arial" w:hAnsi="Arial"/>
                  <w:sz w:val="18"/>
                  <w:szCs w:val="18"/>
                  <w:color w:val="0000FF"/>
                </w:rPr>
                <w:t>(g)*</w:t>
              </w:r>
            </w:hyperlink>
          </w:p>
        </w:tc>
        <w:tc>
          <w:tcPr>
            <w:tcW w:w="10680" w:type="dxa"/>
            <w:vAlign w:val="bottom"/>
          </w:tcPr>
          <w:p>
            <w:pPr>
              <w:ind w:left="240"/>
              <w:spacing w:after="0"/>
              <w:rPr>
                <w:sz w:val="20"/>
                <w:szCs w:val="20"/>
                <w:color w:val="auto"/>
              </w:rPr>
            </w:pPr>
            <w:r>
              <w:rPr>
                <w:rFonts w:ascii="Arial" w:cs="Arial" w:eastAsia="Arial" w:hAnsi="Arial"/>
                <w:sz w:val="18"/>
                <w:szCs w:val="18"/>
                <w:color w:val="auto"/>
                <w:w w:val="90"/>
              </w:rPr>
              <w:t>Humana Inc. Deferred Compensation Plan (incorporated herein by reference to Exhibit 4.1 to the Company’s Registration Statement on Form S-</w:t>
            </w:r>
          </w:p>
        </w:tc>
      </w:tr>
      <w:tr>
        <w:trPr>
          <w:trHeight w:val="237"/>
        </w:trPr>
        <w:tc>
          <w:tcPr>
            <w:tcW w:w="2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40"/>
              <w:spacing w:after="0"/>
              <w:rPr>
                <w:sz w:val="20"/>
                <w:szCs w:val="20"/>
                <w:color w:val="auto"/>
              </w:rPr>
            </w:pPr>
            <w:r>
              <w:rPr>
                <w:rFonts w:ascii="Arial" w:cs="Arial" w:eastAsia="Arial" w:hAnsi="Arial"/>
                <w:sz w:val="18"/>
                <w:szCs w:val="18"/>
                <w:color w:val="auto"/>
              </w:rPr>
              <w:t>8 (Reg. No. 333-171616), filed on January 7, 2011).</w:t>
            </w:r>
          </w:p>
        </w:tc>
      </w:tr>
    </w:tbl>
    <w:p>
      <w:pPr>
        <w:spacing w:after="0" w:line="200" w:lineRule="exact"/>
        <w:rPr>
          <w:sz w:val="20"/>
          <w:szCs w:val="20"/>
          <w:color w:val="auto"/>
        </w:rPr>
      </w:pPr>
    </w:p>
    <w:p>
      <w:pPr>
        <w:sectPr>
          <w:pgSz w:w="11900" w:h="16838" w:orient="portrait"/>
          <w:cols w:equalWidth="0" w:num="1">
            <w:col w:w="11365"/>
          </w:cols>
          <w:pgMar w:left="275" w:top="1440" w:right="259" w:bottom="1440" w:gutter="0" w:footer="0" w:header="0"/>
        </w:sectPr>
      </w:pPr>
    </w:p>
    <w:p>
      <w:pPr>
        <w:spacing w:after="0" w:line="366" w:lineRule="exact"/>
        <w:rPr>
          <w:sz w:val="20"/>
          <w:szCs w:val="20"/>
          <w:color w:val="auto"/>
        </w:rPr>
      </w:pPr>
    </w:p>
    <w:p>
      <w:pPr>
        <w:jc w:val="center"/>
        <w:ind w:right="15"/>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365"/>
          </w:cols>
          <w:pgMar w:left="275" w:top="1440" w:right="259" w:bottom="1440" w:gutter="0" w:footer="0" w:header="0"/>
          <w:type w:val="continuous"/>
        </w:sectPr>
      </w:pPr>
    </w:p>
    <w:bookmarkStart w:id="130" w:name="page131"/>
    <w:bookmarkEnd w:id="130"/>
    <w:p>
      <w:pPr>
        <w:spacing w:after="0" w:line="34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620" w:type="dxa"/>
            <w:vAlign w:val="bottom"/>
            <w:gridSpan w:val="4"/>
          </w:tcPr>
          <w:p>
            <w:pPr>
              <w:spacing w:after="0"/>
              <w:rPr>
                <w:rFonts w:ascii="Arial" w:cs="Arial" w:eastAsia="Arial" w:hAnsi="Arial"/>
                <w:sz w:val="18"/>
                <w:szCs w:val="18"/>
                <w:color w:val="0000FF"/>
              </w:rPr>
            </w:pPr>
            <w:hyperlink r:id="rId47">
              <w:r>
                <w:rPr>
                  <w:rFonts w:ascii="Arial" w:cs="Arial" w:eastAsia="Arial" w:hAnsi="Arial"/>
                  <w:sz w:val="18"/>
                  <w:szCs w:val="18"/>
                  <w:color w:val="0000FF"/>
                </w:rPr>
                <w:t>(h)*</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Humana Retirement Equalization Plan, as amended and restated as of January 1, 2011 (incorporated herein by reference to Exhibit 10(p) to</w:t>
            </w:r>
          </w:p>
        </w:tc>
      </w:tr>
      <w:tr>
        <w:trPr>
          <w:trHeight w:val="237"/>
        </w:trPr>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Humana Inc.’s Annual Report on Form 10-K filed on February 18, 2011).</w:t>
            </w:r>
          </w:p>
        </w:tc>
      </w:tr>
      <w:tr>
        <w:trPr>
          <w:trHeight w:val="431"/>
        </w:trPr>
        <w:tc>
          <w:tcPr>
            <w:tcW w:w="620" w:type="dxa"/>
            <w:vAlign w:val="bottom"/>
            <w:gridSpan w:val="4"/>
          </w:tcPr>
          <w:p>
            <w:pPr>
              <w:spacing w:after="0"/>
              <w:rPr>
                <w:sz w:val="20"/>
                <w:szCs w:val="20"/>
                <w:color w:val="auto"/>
              </w:rPr>
            </w:pPr>
            <w:r>
              <w:rPr>
                <w:rFonts w:ascii="Arial" w:cs="Arial" w:eastAsia="Arial" w:hAnsi="Arial"/>
                <w:sz w:val="18"/>
                <w:szCs w:val="18"/>
                <w:color w:val="auto"/>
              </w:rPr>
              <w:t>(i)*</w:t>
            </w: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Letter agreement with Humana Inc. officers concerning health insurance availability (incorporated herein by reference to Exhibit 10(mm) to</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Humana Inc.’s Annual Report on Form 10-K for the fiscal year ended December 31, 1994, File No. 001-05975).</w:t>
            </w:r>
          </w:p>
        </w:tc>
      </w:tr>
      <w:tr>
        <w:trPr>
          <w:trHeight w:val="405"/>
        </w:trPr>
        <w:tc>
          <w:tcPr>
            <w:tcW w:w="620" w:type="dxa"/>
            <w:vAlign w:val="bottom"/>
            <w:gridSpan w:val="4"/>
          </w:tcPr>
          <w:p>
            <w:pPr>
              <w:spacing w:after="0"/>
              <w:rPr>
                <w:rFonts w:ascii="Arial" w:cs="Arial" w:eastAsia="Arial" w:hAnsi="Arial"/>
                <w:sz w:val="18"/>
                <w:szCs w:val="18"/>
                <w:color w:val="0000FF"/>
              </w:rPr>
            </w:pPr>
            <w:hyperlink r:id="rId48">
              <w:r>
                <w:rPr>
                  <w:rFonts w:ascii="Arial" w:cs="Arial" w:eastAsia="Arial" w:hAnsi="Arial"/>
                  <w:sz w:val="18"/>
                  <w:szCs w:val="18"/>
                  <w:color w:val="0000FF"/>
                </w:rPr>
                <w:t>(j)*</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Executive Long-Term Disability Program (incorporated herein by reference to Exhibit 10(a) to Humana Inc.’s Quarterly Report on Form 10-Q</w:t>
            </w:r>
          </w:p>
        </w:tc>
      </w:tr>
      <w:tr>
        <w:trPr>
          <w:trHeight w:val="237"/>
        </w:trPr>
        <w:tc>
          <w:tcPr>
            <w:tcW w:w="2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for the quarter ended September 30, 2004).</w:t>
            </w:r>
          </w:p>
        </w:tc>
      </w:tr>
      <w:tr>
        <w:trPr>
          <w:trHeight w:val="431"/>
        </w:trPr>
        <w:tc>
          <w:tcPr>
            <w:tcW w:w="620" w:type="dxa"/>
            <w:vAlign w:val="bottom"/>
            <w:gridSpan w:val="4"/>
          </w:tcPr>
          <w:p>
            <w:pPr>
              <w:spacing w:after="0"/>
              <w:rPr>
                <w:sz w:val="20"/>
                <w:szCs w:val="20"/>
                <w:color w:val="auto"/>
              </w:rPr>
            </w:pPr>
            <w:r>
              <w:rPr>
                <w:rFonts w:ascii="Arial" w:cs="Arial" w:eastAsia="Arial" w:hAnsi="Arial"/>
                <w:sz w:val="18"/>
                <w:szCs w:val="18"/>
                <w:color w:val="auto"/>
              </w:rPr>
              <w:t>(k)*</w:t>
            </w: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Indemnity Agreement (incorporated herein by reference to Appendix B to Humana Inc.’s Proxy Statement with respect to the Annual Meeting</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of Stockholders held on January 8, 1987).</w:t>
            </w:r>
          </w:p>
        </w:tc>
      </w:tr>
      <w:tr>
        <w:trPr>
          <w:trHeight w:val="405"/>
        </w:trPr>
        <w:tc>
          <w:tcPr>
            <w:tcW w:w="620" w:type="dxa"/>
            <w:vAlign w:val="bottom"/>
            <w:gridSpan w:val="4"/>
          </w:tcPr>
          <w:p>
            <w:pPr>
              <w:spacing w:after="0"/>
              <w:rPr>
                <w:rFonts w:ascii="Arial" w:cs="Arial" w:eastAsia="Arial" w:hAnsi="Arial"/>
                <w:sz w:val="18"/>
                <w:szCs w:val="18"/>
                <w:color w:val="0000FF"/>
              </w:rPr>
            </w:pPr>
            <w:hyperlink r:id="rId49">
              <w:r>
                <w:rPr>
                  <w:rFonts w:ascii="Arial" w:cs="Arial" w:eastAsia="Arial" w:hAnsi="Arial"/>
                  <w:sz w:val="18"/>
                  <w:szCs w:val="18"/>
                  <w:color w:val="0000FF"/>
                </w:rPr>
                <w:t>(l)*</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6"/>
              </w:rPr>
              <w:t>Form of Company’s Restricted Stock Unit Agreement and Agreement not to Solicit under the 2011 Stock Incentive Plan (with retirement</w:t>
            </w:r>
          </w:p>
        </w:tc>
      </w:tr>
      <w:tr>
        <w:trPr>
          <w:trHeight w:val="222"/>
        </w:trPr>
        <w:tc>
          <w:tcPr>
            <w:tcW w:w="2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8"/>
              </w:rPr>
              <w:t>provisions) (incorporated herein by reference to Exhibit 10(o) to Humana Inc.’s Annual Report on Form 10-K for the fiscal year ended</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December 31, 2015).</w:t>
            </w:r>
          </w:p>
        </w:tc>
      </w:tr>
      <w:tr>
        <w:trPr>
          <w:trHeight w:val="405"/>
        </w:trPr>
        <w:tc>
          <w:tcPr>
            <w:tcW w:w="620" w:type="dxa"/>
            <w:vAlign w:val="bottom"/>
            <w:gridSpan w:val="4"/>
          </w:tcPr>
          <w:p>
            <w:pPr>
              <w:spacing w:after="0"/>
              <w:rPr>
                <w:rFonts w:ascii="Arial" w:cs="Arial" w:eastAsia="Arial" w:hAnsi="Arial"/>
                <w:sz w:val="18"/>
                <w:szCs w:val="18"/>
                <w:color w:val="0000FF"/>
              </w:rPr>
            </w:pPr>
            <w:hyperlink r:id="rId50">
              <w:r>
                <w:rPr>
                  <w:rFonts w:ascii="Arial" w:cs="Arial" w:eastAsia="Arial" w:hAnsi="Arial"/>
                  <w:sz w:val="18"/>
                  <w:szCs w:val="18"/>
                  <w:color w:val="0000FF"/>
                </w:rPr>
                <w:t>(m)*</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7"/>
              </w:rPr>
              <w:t>Summary of the Company’s Financial Planning Program for our executive officers (incorporated herein by reference to Exhibit 10(v) to</w:t>
            </w:r>
          </w:p>
        </w:tc>
      </w:tr>
      <w:tr>
        <w:trPr>
          <w:trHeight w:val="237"/>
        </w:trPr>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Humana’s Inc.’s Annual Report on Form 10-K filed on February 22, 2013.</w:t>
            </w:r>
          </w:p>
        </w:tc>
      </w:tr>
      <w:tr>
        <w:trPr>
          <w:trHeight w:val="405"/>
        </w:trPr>
        <w:tc>
          <w:tcPr>
            <w:tcW w:w="620" w:type="dxa"/>
            <w:vAlign w:val="bottom"/>
            <w:gridSpan w:val="4"/>
          </w:tcPr>
          <w:p>
            <w:pPr>
              <w:spacing w:after="0"/>
              <w:rPr>
                <w:rFonts w:ascii="Arial" w:cs="Arial" w:eastAsia="Arial" w:hAnsi="Arial"/>
                <w:sz w:val="18"/>
                <w:szCs w:val="18"/>
                <w:color w:val="0000FF"/>
              </w:rPr>
            </w:pPr>
            <w:hyperlink r:id="rId51">
              <w:r>
                <w:rPr>
                  <w:rFonts w:ascii="Arial" w:cs="Arial" w:eastAsia="Arial" w:hAnsi="Arial"/>
                  <w:sz w:val="18"/>
                  <w:szCs w:val="18"/>
                  <w:color w:val="0000FF"/>
                </w:rPr>
                <w:t>(n)*</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Form of Company’s Restricted Stock Unit Agreement and Agreement not to Solicit under the 2011 Stock Incentive Plan (without retirement</w:t>
            </w:r>
          </w:p>
        </w:tc>
      </w:tr>
      <w:tr>
        <w:trPr>
          <w:trHeight w:val="222"/>
        </w:trPr>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8"/>
              </w:rPr>
              <w:t>provisions) (incorporated herein by reference to Exhibit 10(q) to Humana Inc.’s Annual Report on Form 10-K for the fiscal year ended</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December 31, 2015).</w:t>
            </w:r>
          </w:p>
        </w:tc>
      </w:tr>
    </w:tbl>
    <w:p>
      <w:pPr>
        <w:spacing w:after="0" w:line="215" w:lineRule="exact"/>
        <w:rPr>
          <w:sz w:val="20"/>
          <w:szCs w:val="20"/>
          <w:color w:val="auto"/>
        </w:rPr>
      </w:pPr>
    </w:p>
    <w:p>
      <w:pPr>
        <w:jc w:val="both"/>
        <w:ind w:left="925" w:hanging="925"/>
        <w:spacing w:after="0" w:line="255" w:lineRule="auto"/>
        <w:tabs>
          <w:tab w:leader="none" w:pos="925" w:val="left"/>
        </w:tabs>
        <w:numPr>
          <w:ilvl w:val="0"/>
          <w:numId w:val="52"/>
        </w:numPr>
        <w:rPr>
          <w:rFonts w:ascii="Arial" w:cs="Arial" w:eastAsia="Arial" w:hAnsi="Arial"/>
          <w:sz w:val="18"/>
          <w:szCs w:val="18"/>
          <w:u w:val="single" w:color="auto"/>
          <w:color w:val="0000FF"/>
        </w:rPr>
      </w:pPr>
      <w:r>
        <w:rPr>
          <w:rFonts w:ascii="Arial" w:cs="Arial" w:eastAsia="Arial" w:hAnsi="Arial"/>
          <w:sz w:val="18"/>
          <w:szCs w:val="18"/>
          <w:color w:val="auto"/>
        </w:rPr>
        <w:t>Five-Year $2 Billion Amended and Restated Credit Agreement , dated as of May 22, 2017, among Humana Inc., and JPMorgan Chase Bank, N.A. as Agent and as CAF Loan Agent, Bank of America, N.A. as Syndication Agent, Citibank, N.A., PNC Bank, National Association, U.S. Bank National Association, and Wells Fargo Bank, National Association, as Documentation Agents, and J.P. Morgan Chase Bank, N.A., Merrill Lynch, Pierce, Fenner &amp; Smith Incorporated, Citigroup Global Markets, Inc., PNC Capital Markets LLC, U.S. Bank National Association, and Wells Fargo Securities, LLC, as Joint-Lead Arrangers and Joint Bookrunners (incorporated herein by reference to Exhibit 10 to Humana Inc.’s Current Report on Form 8-K filed on May 22, 2017).</w:t>
      </w:r>
    </w:p>
    <w:p>
      <w:pPr>
        <w:spacing w:after="0" w:line="206" w:lineRule="exact"/>
        <w:rPr>
          <w:rFonts w:ascii="Arial" w:cs="Arial" w:eastAsia="Arial" w:hAnsi="Arial"/>
          <w:sz w:val="18"/>
          <w:szCs w:val="18"/>
          <w:u w:val="single" w:color="auto"/>
          <w:color w:val="0000FF"/>
        </w:rPr>
      </w:pPr>
    </w:p>
    <w:p>
      <w:pPr>
        <w:ind w:left="925" w:hanging="925"/>
        <w:spacing w:after="0" w:line="277" w:lineRule="auto"/>
        <w:tabs>
          <w:tab w:leader="none" w:pos="925" w:val="left"/>
        </w:tabs>
        <w:numPr>
          <w:ilvl w:val="0"/>
          <w:numId w:val="52"/>
        </w:numPr>
        <w:rPr>
          <w:rFonts w:ascii="Arial" w:cs="Arial" w:eastAsia="Arial" w:hAnsi="Arial"/>
          <w:sz w:val="18"/>
          <w:szCs w:val="18"/>
          <w:u w:val="single" w:color="auto"/>
          <w:color w:val="0000FF"/>
        </w:rPr>
      </w:pPr>
      <w:r>
        <w:rPr>
          <w:rFonts w:ascii="Arial" w:cs="Arial" w:eastAsia="Arial" w:hAnsi="Arial"/>
          <w:sz w:val="18"/>
          <w:szCs w:val="18"/>
          <w:color w:val="auto"/>
        </w:rPr>
        <w:t>Form of CMS Coordinated Care Plan Agreement (incorporated herein by reference to Exhibit 10.1 to Humana Inc.’s Quarterly Report on Form 10-Q for the quarter ended September 30, 2005, File No. 001-05975).</w:t>
      </w:r>
    </w:p>
    <w:p>
      <w:pPr>
        <w:spacing w:after="0" w:line="183" w:lineRule="exact"/>
        <w:rPr>
          <w:rFonts w:ascii="Arial" w:cs="Arial" w:eastAsia="Arial" w:hAnsi="Arial"/>
          <w:sz w:val="18"/>
          <w:szCs w:val="18"/>
          <w:u w:val="single" w:color="auto"/>
          <w:color w:val="0000FF"/>
        </w:rPr>
      </w:pPr>
    </w:p>
    <w:p>
      <w:pPr>
        <w:ind w:left="925" w:right="20" w:hanging="925"/>
        <w:spacing w:after="0" w:line="277" w:lineRule="auto"/>
        <w:tabs>
          <w:tab w:leader="none" w:pos="925" w:val="left"/>
        </w:tabs>
        <w:numPr>
          <w:ilvl w:val="0"/>
          <w:numId w:val="52"/>
        </w:numPr>
        <w:rPr>
          <w:rFonts w:ascii="Arial" w:cs="Arial" w:eastAsia="Arial" w:hAnsi="Arial"/>
          <w:sz w:val="18"/>
          <w:szCs w:val="18"/>
          <w:u w:val="single" w:color="auto"/>
          <w:color w:val="0000FF"/>
        </w:rPr>
      </w:pPr>
      <w:r>
        <w:rPr>
          <w:rFonts w:ascii="Arial" w:cs="Arial" w:eastAsia="Arial" w:hAnsi="Arial"/>
          <w:sz w:val="18"/>
          <w:szCs w:val="18"/>
          <w:color w:val="auto"/>
        </w:rPr>
        <w:t>Form of CMS Private Fee for Service Agreement (incorporated herein by reference to Exhibit 10.2 to Humana Inc.’s Quarterly Report on Form 10-Q for the quarter ended September 30, 2005, File No. 001-05975).</w:t>
      </w:r>
    </w:p>
    <w:p>
      <w:pPr>
        <w:spacing w:after="0" w:line="183" w:lineRule="exact"/>
        <w:rPr>
          <w:rFonts w:ascii="Arial" w:cs="Arial" w:eastAsia="Arial" w:hAnsi="Arial"/>
          <w:sz w:val="18"/>
          <w:szCs w:val="18"/>
          <w:u w:val="single" w:color="auto"/>
          <w:color w:val="0000FF"/>
        </w:rPr>
      </w:pPr>
    </w:p>
    <w:p>
      <w:pPr>
        <w:ind w:left="925" w:hanging="925"/>
        <w:spacing w:after="0" w:line="308" w:lineRule="auto"/>
        <w:tabs>
          <w:tab w:leader="none" w:pos="925" w:val="left"/>
        </w:tabs>
        <w:numPr>
          <w:ilvl w:val="0"/>
          <w:numId w:val="52"/>
        </w:numPr>
        <w:rPr>
          <w:rFonts w:ascii="Arial" w:cs="Arial" w:eastAsia="Arial" w:hAnsi="Arial"/>
          <w:sz w:val="17"/>
          <w:szCs w:val="17"/>
          <w:u w:val="single" w:color="auto"/>
          <w:color w:val="0000FF"/>
        </w:rPr>
      </w:pPr>
      <w:r>
        <w:rPr>
          <w:rFonts w:ascii="Arial" w:cs="Arial" w:eastAsia="Arial" w:hAnsi="Arial"/>
          <w:sz w:val="17"/>
          <w:szCs w:val="17"/>
          <w:color w:val="auto"/>
        </w:rPr>
        <w:t>Addendum to Agreement Providing for the Operation of a Medicare Voluntary Prescription Drug Plan (incorporated herein by reference to Exhibit 10.3 to Humana Inc.’s Quarterly Report on Form 10-Q for the quarter ended September 30, 2005, File No. 001-05975).</w:t>
      </w:r>
    </w:p>
    <w:p>
      <w:pPr>
        <w:spacing w:after="0" w:line="160" w:lineRule="exact"/>
        <w:rPr>
          <w:rFonts w:ascii="Arial" w:cs="Arial" w:eastAsia="Arial" w:hAnsi="Arial"/>
          <w:sz w:val="17"/>
          <w:szCs w:val="17"/>
          <w:u w:val="single" w:color="auto"/>
          <w:color w:val="0000FF"/>
        </w:rPr>
      </w:pPr>
    </w:p>
    <w:p>
      <w:pPr>
        <w:jc w:val="both"/>
        <w:ind w:left="925" w:right="20" w:hanging="925"/>
        <w:spacing w:after="0" w:line="264" w:lineRule="auto"/>
        <w:tabs>
          <w:tab w:leader="none" w:pos="925" w:val="left"/>
        </w:tabs>
        <w:numPr>
          <w:ilvl w:val="0"/>
          <w:numId w:val="52"/>
        </w:numPr>
        <w:rPr>
          <w:rFonts w:ascii="Arial" w:cs="Arial" w:eastAsia="Arial" w:hAnsi="Arial"/>
          <w:sz w:val="18"/>
          <w:szCs w:val="18"/>
          <w:u w:val="single" w:color="auto"/>
          <w:color w:val="0000FF"/>
        </w:rPr>
      </w:pPr>
      <w:r>
        <w:rPr>
          <w:rFonts w:ascii="Arial" w:cs="Arial" w:eastAsia="Arial" w:hAnsi="Arial"/>
          <w:sz w:val="18"/>
          <w:szCs w:val="18"/>
          <w:color w:val="auto"/>
        </w:rPr>
        <w:t>Addendum to Agreement Providing for the Operation of an Employer/Union-only Group Medicare Advantage Prescription Drug Plan (incorporated herein by reference to Exhibit 10.4 to Humana Inc.’s Quarterly Report on Form 10-Q for the quarter ended September 30, 2005, File No. 001-05975).</w:t>
      </w:r>
    </w:p>
    <w:p>
      <w:pPr>
        <w:spacing w:after="0" w:line="194" w:lineRule="exact"/>
        <w:rPr>
          <w:rFonts w:ascii="Arial" w:cs="Arial" w:eastAsia="Arial" w:hAnsi="Arial"/>
          <w:sz w:val="18"/>
          <w:szCs w:val="18"/>
          <w:u w:val="single" w:color="auto"/>
          <w:color w:val="0000FF"/>
        </w:rPr>
      </w:pPr>
    </w:p>
    <w:p>
      <w:pPr>
        <w:ind w:left="925" w:hanging="925"/>
        <w:spacing w:after="0" w:line="342" w:lineRule="auto"/>
        <w:tabs>
          <w:tab w:leader="none" w:pos="925" w:val="left"/>
        </w:tabs>
        <w:numPr>
          <w:ilvl w:val="0"/>
          <w:numId w:val="52"/>
        </w:numPr>
        <w:rPr>
          <w:rFonts w:ascii="Arial" w:cs="Arial" w:eastAsia="Arial" w:hAnsi="Arial"/>
          <w:sz w:val="16"/>
          <w:szCs w:val="16"/>
          <w:u w:val="single" w:color="auto"/>
          <w:color w:val="0000FF"/>
        </w:rPr>
      </w:pPr>
      <w:r>
        <w:rPr>
          <w:rFonts w:ascii="Arial" w:cs="Arial" w:eastAsia="Arial" w:hAnsi="Arial"/>
          <w:sz w:val="16"/>
          <w:szCs w:val="16"/>
          <w:color w:val="auto"/>
        </w:rPr>
        <w:t>Addendum to Agreement Providing for the Operation of an Employer/Union-only Group Medicare Advantage-Only Plan (incorporated herein by reference to Exhibit 10.5 to Humana Inc.’s Quarterly Report on Form 10-Q for the quarter ended September 30, 2005, File No. 001-05975).</w:t>
      </w:r>
    </w:p>
    <w:p>
      <w:pPr>
        <w:spacing w:after="0" w:line="137" w:lineRule="exact"/>
        <w:rPr>
          <w:rFonts w:ascii="Arial" w:cs="Arial" w:eastAsia="Arial" w:hAnsi="Arial"/>
          <w:sz w:val="16"/>
          <w:szCs w:val="16"/>
          <w:u w:val="single" w:color="auto"/>
          <w:color w:val="0000FF"/>
        </w:rPr>
      </w:pPr>
    </w:p>
    <w:p>
      <w:pPr>
        <w:ind w:left="925" w:right="20" w:hanging="925"/>
        <w:spacing w:after="0" w:line="342" w:lineRule="auto"/>
        <w:tabs>
          <w:tab w:leader="none" w:pos="925" w:val="left"/>
        </w:tabs>
        <w:numPr>
          <w:ilvl w:val="0"/>
          <w:numId w:val="52"/>
        </w:numPr>
        <w:rPr>
          <w:rFonts w:ascii="Arial" w:cs="Arial" w:eastAsia="Arial" w:hAnsi="Arial"/>
          <w:sz w:val="16"/>
          <w:szCs w:val="16"/>
          <w:u w:val="single" w:color="auto"/>
          <w:color w:val="0000FF"/>
        </w:rPr>
      </w:pPr>
      <w:r>
        <w:rPr>
          <w:rFonts w:ascii="Arial" w:cs="Arial" w:eastAsia="Arial" w:hAnsi="Arial"/>
          <w:sz w:val="16"/>
          <w:szCs w:val="16"/>
          <w:color w:val="auto"/>
        </w:rPr>
        <w:t>Addendum to Agreement Providing for the Operation of a Medicare Advantage Regional Coordinated Care Plan (incorporated herein by reference to Exhibit 10.6 to Humana Inc.’s Quarterly Report on Form 10-Q for the quarter ended September 30, 2005, File No. 001-05975).</w:t>
      </w:r>
    </w:p>
    <w:p>
      <w:pPr>
        <w:spacing w:after="0" w:line="137" w:lineRule="exact"/>
        <w:rPr>
          <w:rFonts w:ascii="Arial" w:cs="Arial" w:eastAsia="Arial" w:hAnsi="Arial"/>
          <w:sz w:val="16"/>
          <w:szCs w:val="16"/>
          <w:u w:val="single" w:color="auto"/>
          <w:color w:val="0000FF"/>
        </w:rPr>
      </w:pPr>
    </w:p>
    <w:p>
      <w:pPr>
        <w:ind w:left="925" w:right="20" w:hanging="925"/>
        <w:spacing w:after="0" w:line="308" w:lineRule="auto"/>
        <w:tabs>
          <w:tab w:leader="none" w:pos="925" w:val="left"/>
        </w:tabs>
        <w:numPr>
          <w:ilvl w:val="0"/>
          <w:numId w:val="52"/>
        </w:numPr>
        <w:rPr>
          <w:rFonts w:ascii="Arial" w:cs="Arial" w:eastAsia="Arial" w:hAnsi="Arial"/>
          <w:sz w:val="17"/>
          <w:szCs w:val="17"/>
          <w:u w:val="single" w:color="auto"/>
          <w:color w:val="0000FF"/>
        </w:rPr>
      </w:pPr>
      <w:r>
        <w:rPr>
          <w:rFonts w:ascii="Arial" w:cs="Arial" w:eastAsia="Arial" w:hAnsi="Arial"/>
          <w:sz w:val="17"/>
          <w:szCs w:val="17"/>
          <w:color w:val="auto"/>
        </w:rPr>
        <w:t>Explanatory Note regarding Medicare Prescription Drug Plan Contracts between Humana and CMS (incorporated herein by reference to Exhibit 10(nn) to Humana Inc.’s Annual Report on Form 10-K for the fiscal year ended December 31, 2005, File No. 001-05975).</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620" w:type="dxa"/>
            <w:vAlign w:val="bottom"/>
            <w:gridSpan w:val="2"/>
          </w:tcPr>
          <w:p>
            <w:pPr>
              <w:spacing w:after="0"/>
              <w:rPr>
                <w:rFonts w:ascii="Arial" w:cs="Arial" w:eastAsia="Arial" w:hAnsi="Arial"/>
                <w:sz w:val="18"/>
                <w:szCs w:val="18"/>
                <w:color w:val="0000FF"/>
              </w:rPr>
            </w:pPr>
            <w:hyperlink r:id="rId52">
              <w:r>
                <w:rPr>
                  <w:rFonts w:ascii="Arial" w:cs="Arial" w:eastAsia="Arial" w:hAnsi="Arial"/>
                  <w:sz w:val="18"/>
                  <w:szCs w:val="18"/>
                  <w:color w:val="0000FF"/>
                </w:rPr>
                <w:t>(w)*</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Humana Inc. 2011 Stock Incentive Plan (incorporated herein by reference to Appendix A to Humana Inc.’s Proxy Statement with respect to the</w:t>
            </w:r>
          </w:p>
        </w:tc>
      </w:tr>
      <w:tr>
        <w:trPr>
          <w:trHeight w:val="237"/>
        </w:trPr>
        <w:tc>
          <w:tcPr>
            <w:tcW w:w="3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Annual Meeting of Stockholders held on April 21, 2011).</w:t>
            </w:r>
          </w:p>
        </w:tc>
      </w:tr>
    </w:tbl>
    <w:p>
      <w:pPr>
        <w:spacing w:after="0" w:line="200" w:lineRule="exact"/>
        <w:rPr>
          <w:sz w:val="20"/>
          <w:szCs w:val="20"/>
          <w:color w:val="auto"/>
        </w:rPr>
      </w:pPr>
    </w:p>
    <w:p>
      <w:pPr>
        <w:sectPr>
          <w:pgSz w:w="11900" w:h="16838" w:orient="portrait"/>
          <w:cols w:equalWidth="0" w:num="1">
            <w:col w:w="11365"/>
          </w:cols>
          <w:pgMar w:left="275" w:top="1440" w:right="259" w:bottom="1440" w:gutter="0" w:footer="0" w:header="0"/>
        </w:sectPr>
      </w:pPr>
    </w:p>
    <w:p>
      <w:pPr>
        <w:spacing w:after="0" w:line="191" w:lineRule="exact"/>
        <w:rPr>
          <w:sz w:val="20"/>
          <w:szCs w:val="20"/>
          <w:color w:val="auto"/>
        </w:rPr>
      </w:pPr>
    </w:p>
    <w:p>
      <w:pPr>
        <w:jc w:val="center"/>
        <w:ind w:right="15"/>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365"/>
          </w:cols>
          <w:pgMar w:left="275" w:top="1440" w:right="259" w:bottom="1440" w:gutter="0" w:footer="0" w:header="0"/>
          <w:type w:val="continuous"/>
        </w:sectPr>
      </w:pPr>
    </w:p>
    <w:bookmarkStart w:id="131" w:name="page132"/>
    <w:bookmarkEnd w:id="131"/>
    <w:p>
      <w:pPr>
        <w:spacing w:after="0" w:line="200" w:lineRule="exact"/>
        <w:rPr>
          <w:sz w:val="20"/>
          <w:szCs w:val="20"/>
          <w:color w:val="auto"/>
        </w:rPr>
      </w:pPr>
    </w:p>
    <w:p>
      <w:pPr>
        <w:spacing w:after="0" w:line="319"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640" w:type="dxa"/>
            <w:vAlign w:val="bottom"/>
            <w:gridSpan w:val="4"/>
          </w:tcPr>
          <w:p>
            <w:pPr>
              <w:spacing w:after="0"/>
              <w:rPr>
                <w:rFonts w:ascii="Arial" w:cs="Arial" w:eastAsia="Arial" w:hAnsi="Arial"/>
                <w:sz w:val="18"/>
                <w:szCs w:val="18"/>
                <w:color w:val="0000FF"/>
              </w:rPr>
            </w:pPr>
            <w:hyperlink r:id="rId53">
              <w:r>
                <w:rPr>
                  <w:rFonts w:ascii="Arial" w:cs="Arial" w:eastAsia="Arial" w:hAnsi="Arial"/>
                  <w:sz w:val="18"/>
                  <w:szCs w:val="18"/>
                  <w:color w:val="0000FF"/>
                </w:rPr>
                <w:t>(x)*</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6"/>
              </w:rPr>
              <w:t>Amended and Restated Employment Agreement, dated as of February 27, 2014, by and between Humana Inc. and Bruce D. Broussard</w:t>
            </w:r>
          </w:p>
        </w:tc>
      </w:tr>
      <w:tr>
        <w:trPr>
          <w:trHeight w:val="237"/>
        </w:trPr>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(incorporated herein by reference to Exhibit 10.1 to Humana Inc.’s current report on Form 8-K filed on February 28, 2014).</w:t>
            </w:r>
          </w:p>
        </w:tc>
      </w:tr>
      <w:tr>
        <w:trPr>
          <w:trHeight w:val="405"/>
        </w:trPr>
        <w:tc>
          <w:tcPr>
            <w:tcW w:w="640" w:type="dxa"/>
            <w:vAlign w:val="bottom"/>
            <w:gridSpan w:val="4"/>
          </w:tcPr>
          <w:p>
            <w:pPr>
              <w:spacing w:after="0"/>
              <w:rPr>
                <w:rFonts w:ascii="Arial" w:cs="Arial" w:eastAsia="Arial" w:hAnsi="Arial"/>
                <w:sz w:val="18"/>
                <w:szCs w:val="18"/>
                <w:color w:val="0000FF"/>
              </w:rPr>
            </w:pPr>
            <w:hyperlink r:id="rId54">
              <w:r>
                <w:rPr>
                  <w:rFonts w:ascii="Arial" w:cs="Arial" w:eastAsia="Arial" w:hAnsi="Arial"/>
                  <w:sz w:val="18"/>
                  <w:szCs w:val="18"/>
                  <w:color w:val="0000FF"/>
                </w:rPr>
                <w:t>(y)*</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7"/>
              </w:rPr>
              <w:t>Amendment to the Amended and Restated Employment Agreement between Humana Inc. and Bruce D. Broussard, dated July 2, 2015</w:t>
            </w:r>
          </w:p>
        </w:tc>
      </w:tr>
      <w:tr>
        <w:trPr>
          <w:trHeight w:val="237"/>
        </w:trPr>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(incorporated herein by reference to Exhibit 10.1 to Humana Inc.’s current report on Form 8-K filed on July 9, 2015).</w:t>
            </w:r>
          </w:p>
        </w:tc>
      </w:tr>
      <w:tr>
        <w:trPr>
          <w:trHeight w:val="405"/>
        </w:trPr>
        <w:tc>
          <w:tcPr>
            <w:tcW w:w="640" w:type="dxa"/>
            <w:vAlign w:val="bottom"/>
            <w:gridSpan w:val="4"/>
          </w:tcPr>
          <w:p>
            <w:pPr>
              <w:spacing w:after="0"/>
              <w:rPr>
                <w:rFonts w:ascii="Arial" w:cs="Arial" w:eastAsia="Arial" w:hAnsi="Arial"/>
                <w:sz w:val="18"/>
                <w:szCs w:val="18"/>
                <w:color w:val="0000FF"/>
              </w:rPr>
            </w:pPr>
            <w:hyperlink r:id="rId55">
              <w:r>
                <w:rPr>
                  <w:rFonts w:ascii="Arial" w:cs="Arial" w:eastAsia="Arial" w:hAnsi="Arial"/>
                  <w:sz w:val="18"/>
                  <w:szCs w:val="18"/>
                  <w:color w:val="0000FF"/>
                </w:rPr>
                <w:t>(z)*</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Amendment No. 2, dated as of August 16, 2018, to the Amended and Restated Employment Agreement between Humana Inc. and Bruce D.</w:t>
            </w:r>
          </w:p>
        </w:tc>
      </w:tr>
      <w:tr>
        <w:trPr>
          <w:trHeight w:val="222"/>
        </w:trPr>
        <w:tc>
          <w:tcPr>
            <w:tcW w:w="2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Broussard, dated as of February 27, 2014 (incorporated herein by reference to Exhibit 10.1 to Humana Inc.s Current Report on Form 8-K, filed</w:t>
            </w: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on August 20, 2018).</w:t>
            </w:r>
          </w:p>
        </w:tc>
      </w:tr>
      <w:tr>
        <w:trPr>
          <w:trHeight w:val="405"/>
        </w:trPr>
        <w:tc>
          <w:tcPr>
            <w:tcW w:w="640" w:type="dxa"/>
            <w:vAlign w:val="bottom"/>
            <w:gridSpan w:val="4"/>
          </w:tcPr>
          <w:p>
            <w:pPr>
              <w:spacing w:after="0"/>
              <w:rPr>
                <w:rFonts w:ascii="Arial" w:cs="Arial" w:eastAsia="Arial" w:hAnsi="Arial"/>
                <w:sz w:val="18"/>
                <w:szCs w:val="18"/>
                <w:color w:val="0000FF"/>
              </w:rPr>
            </w:pPr>
            <w:hyperlink r:id="rId56">
              <w:r>
                <w:rPr>
                  <w:rFonts w:ascii="Arial" w:cs="Arial" w:eastAsia="Arial" w:hAnsi="Arial"/>
                  <w:sz w:val="18"/>
                  <w:szCs w:val="18"/>
                  <w:color w:val="0000FF"/>
                </w:rPr>
                <w:t>(aa)*</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Humana Inc. Change in Control Policy, effective March 1, 2019 (incorporated herein by reference to Exhibit 10(aa) to Humana Inc.’s Annual</w:t>
            </w:r>
          </w:p>
        </w:tc>
      </w:tr>
      <w:tr>
        <w:trPr>
          <w:trHeight w:val="237"/>
        </w:trPr>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Report on Form 10-K filed on February 21, 2019).</w:t>
            </w:r>
          </w:p>
        </w:tc>
      </w:tr>
    </w:tbl>
    <w:p>
      <w:pPr>
        <w:spacing w:after="0" w:line="215" w:lineRule="exact"/>
        <w:rPr>
          <w:sz w:val="20"/>
          <w:szCs w:val="20"/>
          <w:color w:val="auto"/>
        </w:rPr>
      </w:pPr>
    </w:p>
    <w:p>
      <w:pPr>
        <w:ind w:left="925" w:right="20" w:hanging="925"/>
        <w:spacing w:after="0" w:line="277" w:lineRule="auto"/>
        <w:tabs>
          <w:tab w:leader="none" w:pos="925" w:val="left"/>
        </w:tabs>
        <w:numPr>
          <w:ilvl w:val="0"/>
          <w:numId w:val="53"/>
        </w:numPr>
        <w:rPr>
          <w:rFonts w:ascii="Arial" w:cs="Arial" w:eastAsia="Arial" w:hAnsi="Arial"/>
          <w:sz w:val="18"/>
          <w:szCs w:val="18"/>
          <w:u w:val="single" w:color="auto"/>
          <w:color w:val="0000FF"/>
        </w:rPr>
      </w:pPr>
      <w:r>
        <w:rPr>
          <w:rFonts w:ascii="Arial" w:cs="Arial" w:eastAsia="Arial" w:hAnsi="Arial"/>
          <w:sz w:val="18"/>
          <w:szCs w:val="18"/>
          <w:color w:val="auto"/>
        </w:rPr>
        <w:t>Form of Commercial Paper Dealer Agreement between Humana Inc., as Issuer, and the Dealer party thereto (incorporated herein by reference to Exhibit 10.1 to Humana Inc.’s current report on Form 8-K filed on October 7, 2014).</w:t>
      </w:r>
    </w:p>
    <w:p>
      <w:pPr>
        <w:spacing w:after="0" w:line="183" w:lineRule="exact"/>
        <w:rPr>
          <w:rFonts w:ascii="Arial" w:cs="Arial" w:eastAsia="Arial" w:hAnsi="Arial"/>
          <w:sz w:val="18"/>
          <w:szCs w:val="18"/>
          <w:u w:val="single" w:color="auto"/>
          <w:color w:val="0000FF"/>
        </w:rPr>
      </w:pPr>
    </w:p>
    <w:p>
      <w:pPr>
        <w:ind w:left="925" w:right="20" w:hanging="925"/>
        <w:spacing w:after="0" w:line="277" w:lineRule="auto"/>
        <w:tabs>
          <w:tab w:leader="none" w:pos="925" w:val="left"/>
        </w:tabs>
        <w:numPr>
          <w:ilvl w:val="0"/>
          <w:numId w:val="53"/>
        </w:numPr>
        <w:rPr>
          <w:rFonts w:ascii="Arial" w:cs="Arial" w:eastAsia="Arial" w:hAnsi="Arial"/>
          <w:sz w:val="18"/>
          <w:szCs w:val="18"/>
          <w:u w:val="single" w:color="auto"/>
          <w:color w:val="0000FF"/>
        </w:rPr>
      </w:pPr>
      <w:r>
        <w:rPr>
          <w:rFonts w:ascii="Arial" w:cs="Arial" w:eastAsia="Arial" w:hAnsi="Arial"/>
          <w:sz w:val="18"/>
          <w:szCs w:val="18"/>
          <w:color w:val="auto"/>
        </w:rPr>
        <w:t>Form of Company's Stock Option Agreement under the 2011 Stock Incentive Plan (Incentive Stock Options) (incorporated herein by reference to Exhibit 10(jj) to Humana Inc.’s Annual Report on Form 10-K for the fiscal year ended December 31, 2015).</w:t>
      </w:r>
    </w:p>
    <w:p>
      <w:pPr>
        <w:spacing w:after="0" w:line="167"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640" w:type="dxa"/>
            <w:vAlign w:val="bottom"/>
            <w:gridSpan w:val="5"/>
          </w:tcPr>
          <w:p>
            <w:pPr>
              <w:spacing w:after="0"/>
              <w:rPr>
                <w:rFonts w:ascii="Arial" w:cs="Arial" w:eastAsia="Arial" w:hAnsi="Arial"/>
                <w:sz w:val="18"/>
                <w:szCs w:val="18"/>
                <w:color w:val="0000FF"/>
              </w:rPr>
            </w:pPr>
            <w:hyperlink r:id="rId57">
              <w:r>
                <w:rPr>
                  <w:rFonts w:ascii="Arial" w:cs="Arial" w:eastAsia="Arial" w:hAnsi="Arial"/>
                  <w:sz w:val="18"/>
                  <w:szCs w:val="18"/>
                  <w:color w:val="0000FF"/>
                </w:rPr>
                <w:t>(dd)*</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5"/>
              </w:rPr>
              <w:t>Form of Company's Stock Option Agreement under the 2011 Stock Incentive Plan (Non-Qualified Stock Options with Non-Compete/Non-</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Solicit) (incorporated herein by reference to Exhibit 10(kk) to Humana Inc.’s Annual Report on Form 10-K for the fiscal year ended December</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31, 2015).</w:t>
            </w:r>
          </w:p>
        </w:tc>
      </w:tr>
      <w:tr>
        <w:trPr>
          <w:trHeight w:val="419"/>
        </w:trPr>
        <w:tc>
          <w:tcPr>
            <w:tcW w:w="640" w:type="dxa"/>
            <w:vAlign w:val="bottom"/>
            <w:gridSpan w:val="5"/>
          </w:tcPr>
          <w:p>
            <w:pPr>
              <w:spacing w:after="0"/>
              <w:rPr>
                <w:rFonts w:ascii="Arial" w:cs="Arial" w:eastAsia="Arial" w:hAnsi="Arial"/>
                <w:sz w:val="18"/>
                <w:szCs w:val="18"/>
                <w:color w:val="0000FF"/>
              </w:rPr>
            </w:pPr>
            <w:hyperlink r:id="rId58">
              <w:r>
                <w:rPr>
                  <w:rFonts w:ascii="Arial" w:cs="Arial" w:eastAsia="Arial" w:hAnsi="Arial"/>
                  <w:sz w:val="18"/>
                  <w:szCs w:val="18"/>
                  <w:color w:val="0000FF"/>
                </w:rPr>
                <w:t>(ee)*</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Form of Company's Restricted Stock Unit Agreement with Performance Vesting and Agreement not to Compete or Solicit under the 2011 Stock</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Incentive Plan (incorporated herein by reference to Exhibit 10(nn) to Humana Inc.’s Annual Report on Form 10-K filed on February 16, 2018).</w:t>
            </w:r>
          </w:p>
        </w:tc>
      </w:tr>
      <w:tr>
        <w:trPr>
          <w:trHeight w:val="419"/>
        </w:trPr>
        <w:tc>
          <w:tcPr>
            <w:tcW w:w="640" w:type="dxa"/>
            <w:vAlign w:val="bottom"/>
            <w:gridSpan w:val="5"/>
          </w:tcPr>
          <w:p>
            <w:pPr>
              <w:spacing w:after="0"/>
              <w:rPr>
                <w:rFonts w:ascii="Arial" w:cs="Arial" w:eastAsia="Arial" w:hAnsi="Arial"/>
                <w:sz w:val="18"/>
                <w:szCs w:val="18"/>
                <w:color w:val="0000FF"/>
              </w:rPr>
            </w:pPr>
            <w:hyperlink r:id="rId59">
              <w:r>
                <w:rPr>
                  <w:rFonts w:ascii="Arial" w:cs="Arial" w:eastAsia="Arial" w:hAnsi="Arial"/>
                  <w:sz w:val="18"/>
                  <w:szCs w:val="18"/>
                  <w:color w:val="0000FF"/>
                </w:rPr>
                <w:t>(ff)*</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5"/>
              </w:rPr>
              <w:t>Form of Company’s Restricted Stock Unit Agreement and Agreement not to Compete or Solicit under the 2011 Stock Incentive Plan (with</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retirement provisions) (incorporated herein by reference to Exhibit 10(ff) to Humana Inc.’s Annual Report on Form 10-K filed on February 21,</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2019).</w:t>
            </w:r>
          </w:p>
        </w:tc>
      </w:tr>
      <w:tr>
        <w:trPr>
          <w:trHeight w:val="419"/>
        </w:trPr>
        <w:tc>
          <w:tcPr>
            <w:tcW w:w="640" w:type="dxa"/>
            <w:vAlign w:val="bottom"/>
            <w:gridSpan w:val="5"/>
          </w:tcPr>
          <w:p>
            <w:pPr>
              <w:spacing w:after="0"/>
              <w:rPr>
                <w:rFonts w:ascii="Arial" w:cs="Arial" w:eastAsia="Arial" w:hAnsi="Arial"/>
                <w:sz w:val="18"/>
                <w:szCs w:val="18"/>
                <w:color w:val="0000FF"/>
              </w:rPr>
            </w:pPr>
            <w:hyperlink r:id="rId60">
              <w:r>
                <w:rPr>
                  <w:rFonts w:ascii="Arial" w:cs="Arial" w:eastAsia="Arial" w:hAnsi="Arial"/>
                  <w:sz w:val="18"/>
                  <w:szCs w:val="18"/>
                  <w:color w:val="0000FF"/>
                </w:rPr>
                <w:t>(gg)*</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Form of Company's Restricted Stock Unit Agreement with Performance Vesting and Agreement not to Compete or Solicit under the 2011 Stock</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Incentive Plan (incorporated herein by reference to Exhibit 10(gg) to Humana Inc.’s Annual Report on Form 10-K filed on February 21, 2019).</w:t>
            </w:r>
          </w:p>
        </w:tc>
      </w:tr>
      <w:tr>
        <w:trPr>
          <w:trHeight w:val="419"/>
        </w:trPr>
        <w:tc>
          <w:tcPr>
            <w:tcW w:w="640" w:type="dxa"/>
            <w:vAlign w:val="bottom"/>
            <w:gridSpan w:val="5"/>
          </w:tcPr>
          <w:p>
            <w:pPr>
              <w:spacing w:after="0"/>
              <w:rPr>
                <w:rFonts w:ascii="Arial" w:cs="Arial" w:eastAsia="Arial" w:hAnsi="Arial"/>
                <w:sz w:val="18"/>
                <w:szCs w:val="18"/>
                <w:color w:val="0000FF"/>
              </w:rPr>
            </w:pPr>
            <w:hyperlink r:id="rId61">
              <w:r>
                <w:rPr>
                  <w:rFonts w:ascii="Arial" w:cs="Arial" w:eastAsia="Arial" w:hAnsi="Arial"/>
                  <w:sz w:val="18"/>
                  <w:szCs w:val="18"/>
                  <w:color w:val="0000FF"/>
                </w:rPr>
                <w:t>(hh)*</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8"/>
              </w:rPr>
              <w:t>Form of Company’s Incentive Stock Option Agreement and Agreement not to Compete or Solicit under the 2011 Stock Incentive Plan</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(incorporated herein by reference to Exhibit 10(hh) to Humana Inc.’s Annual Report on Form 10-K filed on February 21, 2019).</w:t>
            </w:r>
          </w:p>
        </w:tc>
      </w:tr>
      <w:tr>
        <w:trPr>
          <w:trHeight w:val="419"/>
        </w:trPr>
        <w:tc>
          <w:tcPr>
            <w:tcW w:w="640" w:type="dxa"/>
            <w:vAlign w:val="bottom"/>
            <w:gridSpan w:val="5"/>
          </w:tcPr>
          <w:p>
            <w:pPr>
              <w:spacing w:after="0"/>
              <w:rPr>
                <w:rFonts w:ascii="Arial" w:cs="Arial" w:eastAsia="Arial" w:hAnsi="Arial"/>
                <w:sz w:val="18"/>
                <w:szCs w:val="18"/>
                <w:color w:val="0000FF"/>
              </w:rPr>
            </w:pPr>
            <w:hyperlink r:id="rId62">
              <w:r>
                <w:rPr>
                  <w:rFonts w:ascii="Arial" w:cs="Arial" w:eastAsia="Arial" w:hAnsi="Arial"/>
                  <w:sz w:val="18"/>
                  <w:szCs w:val="18"/>
                  <w:color w:val="0000FF"/>
                </w:rPr>
                <w:t>(ii)*</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4"/>
              </w:rPr>
              <w:t>Form of Company’s Stock Option Agreement and Agreement not to Compete or Solicit under the 2011 Stock Incentive Plan (Non-Qualified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Stock Options) (incorporated herein by reference to Exhibit 10(ii) to Humana Inc.’s Annual Report on Form 10-K filed on February 21, 2019).</w:t>
            </w:r>
          </w:p>
        </w:tc>
      </w:tr>
      <w:tr>
        <w:trPr>
          <w:trHeight w:val="419"/>
        </w:trPr>
        <w:tc>
          <w:tcPr>
            <w:tcW w:w="640" w:type="dxa"/>
            <w:vAlign w:val="bottom"/>
            <w:gridSpan w:val="5"/>
          </w:tcPr>
          <w:p>
            <w:pPr>
              <w:spacing w:after="0"/>
              <w:rPr>
                <w:rFonts w:ascii="Arial" w:cs="Arial" w:eastAsia="Arial" w:hAnsi="Arial"/>
                <w:sz w:val="18"/>
                <w:szCs w:val="18"/>
                <w:color w:val="0000FF"/>
              </w:rPr>
            </w:pPr>
            <w:hyperlink r:id="rId63">
              <w:r>
                <w:rPr>
                  <w:rFonts w:ascii="Arial" w:cs="Arial" w:eastAsia="Arial" w:hAnsi="Arial"/>
                  <w:sz w:val="18"/>
                  <w:szCs w:val="18"/>
                  <w:color w:val="0000FF"/>
                </w:rPr>
                <w:t>(jj)*</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4"/>
              </w:rPr>
              <w:t>Humana Inc. Compensation Recoupment Policy, effective February 21, 2019 (incorporated herein by reference to Exhibit 10(jj) to Humana</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Inc.’s Annual Report on Form 10-K filed on February 21, 2019).</w:t>
            </w:r>
          </w:p>
        </w:tc>
      </w:tr>
      <w:tr>
        <w:trPr>
          <w:trHeight w:val="419"/>
        </w:trPr>
        <w:tc>
          <w:tcPr>
            <w:tcW w:w="640" w:type="dxa"/>
            <w:vAlign w:val="bottom"/>
            <w:gridSpan w:val="5"/>
          </w:tcPr>
          <w:p>
            <w:pPr>
              <w:spacing w:after="0"/>
              <w:rPr>
                <w:rFonts w:ascii="Arial" w:cs="Arial" w:eastAsia="Arial" w:hAnsi="Arial"/>
                <w:sz w:val="18"/>
                <w:szCs w:val="18"/>
                <w:color w:val="0000FF"/>
              </w:rPr>
            </w:pPr>
            <w:hyperlink r:id="rId64">
              <w:r>
                <w:rPr>
                  <w:rFonts w:ascii="Arial" w:cs="Arial" w:eastAsia="Arial" w:hAnsi="Arial"/>
                  <w:sz w:val="18"/>
                  <w:szCs w:val="18"/>
                  <w:color w:val="0000FF"/>
                </w:rPr>
                <w:t>(kk)*</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Amended and Restated Humana Inc. Stock Incentive Plan (incorporated herein by reference to Appendix A to Humana Inc.’s Proxy Statement</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with respect to the Annual Meeting of Stockholders held on April 18, 2019).</w:t>
            </w:r>
          </w:p>
        </w:tc>
      </w:tr>
      <w:tr>
        <w:trPr>
          <w:trHeight w:val="419"/>
        </w:trPr>
        <w:tc>
          <w:tcPr>
            <w:tcW w:w="640" w:type="dxa"/>
            <w:vAlign w:val="bottom"/>
            <w:gridSpan w:val="5"/>
          </w:tcPr>
          <w:p>
            <w:pPr>
              <w:spacing w:after="0"/>
              <w:rPr>
                <w:rFonts w:ascii="Arial" w:cs="Arial" w:eastAsia="Arial" w:hAnsi="Arial"/>
                <w:sz w:val="18"/>
                <w:szCs w:val="18"/>
                <w:color w:val="0000FF"/>
              </w:rPr>
            </w:pPr>
            <w:hyperlink r:id="rId65">
              <w:r>
                <w:rPr>
                  <w:rFonts w:ascii="Arial" w:cs="Arial" w:eastAsia="Arial" w:hAnsi="Arial"/>
                  <w:sz w:val="18"/>
                  <w:szCs w:val="18"/>
                  <w:color w:val="0000FF"/>
                </w:rPr>
                <w:t>(ll)*</w:t>
              </w:r>
            </w:hyperlink>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Form of Company’s Restricted Stock Unit Agreement and Agreement not to Compete or Solicit under the Amended and Restated Humana Inc.</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Stock Incentive Plan (with retirement provisions) (incorporated herein by reference to Exhibit 10.2 to Humana Inc.’s Quarterly Report on Form</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10-Q for the quarter ended March 31, 2019).</w:t>
            </w:r>
          </w:p>
        </w:tc>
      </w:tr>
      <w:tr>
        <w:trPr>
          <w:trHeight w:val="810"/>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20" w:type="dxa"/>
            <w:vAlign w:val="bottom"/>
          </w:tcPr>
          <w:p>
            <w:pPr>
              <w:ind w:left="4900"/>
              <w:spacing w:after="0"/>
              <w:rPr>
                <w:sz w:val="20"/>
                <w:szCs w:val="20"/>
                <w:color w:val="auto"/>
              </w:rPr>
            </w:pPr>
            <w:r>
              <w:rPr>
                <w:rFonts w:ascii="Arial" w:cs="Arial" w:eastAsia="Arial" w:hAnsi="Arial"/>
                <w:sz w:val="18"/>
                <w:szCs w:val="18"/>
                <w:color w:val="auto"/>
              </w:rPr>
              <w:t>132</w:t>
            </w:r>
          </w:p>
        </w:tc>
      </w:tr>
    </w:tbl>
    <w:p>
      <w:pPr>
        <w:sectPr>
          <w:pgSz w:w="11900" w:h="16838" w:orient="portrait"/>
          <w:cols w:equalWidth="0" w:num="1">
            <w:col w:w="11365"/>
          </w:cols>
          <w:pgMar w:left="275" w:top="1440" w:right="259" w:bottom="1440" w:gutter="0" w:footer="0" w:header="0"/>
        </w:sectPr>
      </w:pPr>
    </w:p>
    <w:bookmarkStart w:id="132" w:name="page133"/>
    <w:bookmarkEnd w:id="132"/>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0" w:type="dxa"/>
            <w:vAlign w:val="bottom"/>
            <w:gridSpan w:val="3"/>
          </w:tcPr>
          <w:p>
            <w:pPr>
              <w:spacing w:after="0"/>
              <w:rPr>
                <w:rFonts w:ascii="Arial" w:cs="Arial" w:eastAsia="Arial" w:hAnsi="Arial"/>
                <w:sz w:val="18"/>
                <w:szCs w:val="18"/>
                <w:color w:val="0000FF"/>
              </w:rPr>
            </w:pPr>
            <w:hyperlink r:id="rId66">
              <w:r>
                <w:rPr>
                  <w:rFonts w:ascii="Arial" w:cs="Arial" w:eastAsia="Arial" w:hAnsi="Arial"/>
                  <w:sz w:val="18"/>
                  <w:szCs w:val="18"/>
                  <w:color w:val="0000FF"/>
                </w:rPr>
                <w:t>(mm)*</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Form of Company’s Restricted Stock Unit Agreement and Agreement not to Compete or Solicit under the Amended and Restated Humana Inc.</w:t>
            </w:r>
          </w:p>
        </w:tc>
      </w:tr>
      <w:tr>
        <w:trPr>
          <w:trHeight w:val="222"/>
        </w:trPr>
        <w:tc>
          <w:tcPr>
            <w:tcW w:w="3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4"/>
              </w:rPr>
              <w:t>Stock Incentive Plan (without retirement provisions) (incorporated herein by reference to Exhibit 10.3 to Humana Inc.’s Quarterly Report on</w:t>
            </w:r>
          </w:p>
        </w:tc>
      </w:tr>
      <w:tr>
        <w:trPr>
          <w:trHeight w:val="230"/>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Form 10-Q for the quarter ended March 31, 2019).</w:t>
            </w:r>
          </w:p>
        </w:tc>
      </w:tr>
      <w:tr>
        <w:trPr>
          <w:trHeight w:val="419"/>
        </w:trPr>
        <w:tc>
          <w:tcPr>
            <w:tcW w:w="700" w:type="dxa"/>
            <w:vAlign w:val="bottom"/>
            <w:gridSpan w:val="3"/>
          </w:tcPr>
          <w:p>
            <w:pPr>
              <w:spacing w:after="0"/>
              <w:rPr>
                <w:rFonts w:ascii="Arial" w:cs="Arial" w:eastAsia="Arial" w:hAnsi="Arial"/>
                <w:sz w:val="18"/>
                <w:szCs w:val="18"/>
                <w:color w:val="0000FF"/>
              </w:rPr>
            </w:pPr>
            <w:hyperlink r:id="rId67">
              <w:r>
                <w:rPr>
                  <w:rFonts w:ascii="Arial" w:cs="Arial" w:eastAsia="Arial" w:hAnsi="Arial"/>
                  <w:sz w:val="18"/>
                  <w:szCs w:val="18"/>
                  <w:color w:val="0000FF"/>
                </w:rPr>
                <w:t>(nn)*</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Form of Company’s Restricted Stock Unit Agreement with Performance Vesting and Agreement not to Compete or Solicit under the Amended</w:t>
            </w:r>
          </w:p>
        </w:tc>
      </w:tr>
      <w:tr>
        <w:trPr>
          <w:trHeight w:val="222"/>
        </w:trPr>
        <w:tc>
          <w:tcPr>
            <w:tcW w:w="3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and Restated Humana Inc. Stock Incentive Plan (incorporated herein by reference to Exhibit 10.4 to Humana Inc.’s Quarterly Report on Form</w:t>
            </w:r>
          </w:p>
        </w:tc>
      </w:tr>
      <w:tr>
        <w:trPr>
          <w:trHeight w:val="230"/>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10-Q for the quarter ended March 31, 2019).</w:t>
            </w:r>
          </w:p>
        </w:tc>
      </w:tr>
      <w:tr>
        <w:trPr>
          <w:trHeight w:val="419"/>
        </w:trPr>
        <w:tc>
          <w:tcPr>
            <w:tcW w:w="700" w:type="dxa"/>
            <w:vAlign w:val="bottom"/>
            <w:gridSpan w:val="3"/>
          </w:tcPr>
          <w:p>
            <w:pPr>
              <w:spacing w:after="0"/>
              <w:rPr>
                <w:rFonts w:ascii="Arial" w:cs="Arial" w:eastAsia="Arial" w:hAnsi="Arial"/>
                <w:sz w:val="18"/>
                <w:szCs w:val="18"/>
                <w:color w:val="0000FF"/>
              </w:rPr>
            </w:pPr>
            <w:hyperlink r:id="rId68">
              <w:r>
                <w:rPr>
                  <w:rFonts w:ascii="Arial" w:cs="Arial" w:eastAsia="Arial" w:hAnsi="Arial"/>
                  <w:sz w:val="18"/>
                  <w:szCs w:val="18"/>
                  <w:color w:val="0000FF"/>
                </w:rPr>
                <w:t>(oo)*</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0"/>
              </w:rPr>
              <w:t>Form of Company’s Incentive Stock Option Agreement and Agreement not to Compete or Solicit under the Amended and Restated Humana Inc.</w:t>
            </w:r>
          </w:p>
        </w:tc>
      </w:tr>
      <w:tr>
        <w:trPr>
          <w:trHeight w:val="222"/>
        </w:trPr>
        <w:tc>
          <w:tcPr>
            <w:tcW w:w="3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Stock Incentive Plan (incorporated herein by reference to Exhibit 10.5 to Humana Inc.’s Quarterly Report on Form 10-Q for the quarter ended</w:t>
            </w:r>
          </w:p>
        </w:tc>
      </w:tr>
      <w:tr>
        <w:trPr>
          <w:trHeight w:val="230"/>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March 31, 2019).</w:t>
            </w:r>
          </w:p>
        </w:tc>
      </w:tr>
      <w:tr>
        <w:trPr>
          <w:trHeight w:val="419"/>
        </w:trPr>
        <w:tc>
          <w:tcPr>
            <w:tcW w:w="700" w:type="dxa"/>
            <w:vAlign w:val="bottom"/>
            <w:gridSpan w:val="3"/>
          </w:tcPr>
          <w:p>
            <w:pPr>
              <w:spacing w:after="0"/>
              <w:rPr>
                <w:rFonts w:ascii="Arial" w:cs="Arial" w:eastAsia="Arial" w:hAnsi="Arial"/>
                <w:sz w:val="18"/>
                <w:szCs w:val="18"/>
                <w:color w:val="0000FF"/>
              </w:rPr>
            </w:pPr>
            <w:hyperlink r:id="rId69">
              <w:r>
                <w:rPr>
                  <w:rFonts w:ascii="Arial" w:cs="Arial" w:eastAsia="Arial" w:hAnsi="Arial"/>
                  <w:sz w:val="18"/>
                  <w:szCs w:val="18"/>
                  <w:color w:val="0000FF"/>
                </w:rPr>
                <w:t>(pp)*</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Form of Company’s Stock Option Agreement and Agreement not to Compete or Solicit under the Amended and Restated Humana Inc. Stock</w:t>
            </w:r>
          </w:p>
        </w:tc>
      </w:tr>
      <w:tr>
        <w:trPr>
          <w:trHeight w:val="222"/>
        </w:trPr>
        <w:tc>
          <w:tcPr>
            <w:tcW w:w="3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Incentive Plan (Non-Qualified Stock Options) (incorporated herein by reference to Exhibit 10.6 to Humana Inc.’s Quarterly Report on Form 10-</w:t>
            </w:r>
          </w:p>
        </w:tc>
      </w:tr>
      <w:tr>
        <w:trPr>
          <w:trHeight w:val="230"/>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Q for the quarter ended March 31, 2019).</w:t>
            </w:r>
          </w:p>
        </w:tc>
      </w:tr>
    </w:tbl>
    <w:p>
      <w:pPr>
        <w:spacing w:after="0" w:line="229" w:lineRule="exact"/>
        <w:rPr>
          <w:sz w:val="20"/>
          <w:szCs w:val="20"/>
          <w:color w:val="auto"/>
        </w:rPr>
      </w:pPr>
    </w:p>
    <w:p>
      <w:pPr>
        <w:ind w:left="960" w:right="40" w:hanging="925"/>
        <w:spacing w:after="0" w:line="277" w:lineRule="auto"/>
        <w:tabs>
          <w:tab w:leader="none" w:pos="960" w:val="left"/>
        </w:tabs>
        <w:numPr>
          <w:ilvl w:val="0"/>
          <w:numId w:val="54"/>
        </w:numPr>
        <w:rPr>
          <w:rFonts w:ascii="Arial" w:cs="Arial" w:eastAsia="Arial" w:hAnsi="Arial"/>
          <w:sz w:val="18"/>
          <w:szCs w:val="18"/>
          <w:u w:val="single" w:color="auto"/>
          <w:color w:val="0000FF"/>
        </w:rPr>
      </w:pPr>
      <w:r>
        <w:rPr>
          <w:rFonts w:ascii="Arial" w:cs="Arial" w:eastAsia="Arial" w:hAnsi="Arial"/>
          <w:sz w:val="18"/>
          <w:szCs w:val="18"/>
          <w:color w:val="auto"/>
        </w:rPr>
        <w:t>Code of Conduct for Chief Executive Officer &amp; Senior Financial Officers (incorporated herein by reference to Exhibit 14 to Humana Inc.’s Annual Report on Form 10-K for the fiscal year ended December 31, 2003).</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46">
              <w:r>
                <w:rPr>
                  <w:rFonts w:ascii="Arial" w:cs="Arial" w:eastAsia="Arial" w:hAnsi="Arial"/>
                  <w:sz w:val="18"/>
                  <w:szCs w:val="18"/>
                  <w:color w:val="0000FF"/>
                  <w:w w:val="85"/>
                </w:rPr>
                <w:t>21 †</w:t>
              </w:r>
            </w:hyperlink>
          </w:p>
        </w:tc>
        <w:tc>
          <w:tcPr>
            <w:tcW w:w="120" w:type="dxa"/>
            <w:vAlign w:val="bottom"/>
          </w:tcPr>
          <w:p>
            <w:pPr>
              <w:spacing w:after="0"/>
              <w:rPr>
                <w:sz w:val="17"/>
                <w:szCs w:val="17"/>
                <w:color w:val="auto"/>
              </w:rPr>
            </w:pPr>
          </w:p>
        </w:tc>
        <w:tc>
          <w:tcPr>
            <w:tcW w:w="9300" w:type="dxa"/>
            <w:vAlign w:val="bottom"/>
          </w:tcPr>
          <w:p>
            <w:pPr>
              <w:ind w:left="480"/>
              <w:spacing w:after="0"/>
              <w:rPr>
                <w:sz w:val="20"/>
                <w:szCs w:val="20"/>
                <w:color w:val="auto"/>
              </w:rPr>
            </w:pPr>
            <w:r>
              <w:rPr>
                <w:rFonts w:ascii="Arial" w:cs="Arial" w:eastAsia="Arial" w:hAnsi="Arial"/>
                <w:sz w:val="18"/>
                <w:szCs w:val="18"/>
                <w:color w:val="auto"/>
              </w:rPr>
              <w:t>List of subsidiaries.</w:t>
            </w:r>
          </w:p>
        </w:tc>
      </w:tr>
      <w:tr>
        <w:trPr>
          <w:trHeight w:val="426"/>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49">
              <w:r>
                <w:rPr>
                  <w:rFonts w:ascii="Arial" w:cs="Arial" w:eastAsia="Arial" w:hAnsi="Arial"/>
                  <w:sz w:val="18"/>
                  <w:szCs w:val="18"/>
                  <w:color w:val="0000FF"/>
                  <w:w w:val="85"/>
                </w:rPr>
                <w:t>23 †</w:t>
              </w:r>
            </w:hyperlink>
          </w:p>
        </w:tc>
        <w:tc>
          <w:tcPr>
            <w:tcW w:w="120" w:type="dxa"/>
            <w:vAlign w:val="bottom"/>
          </w:tcPr>
          <w:p>
            <w:pPr>
              <w:spacing w:after="0"/>
              <w:rPr>
                <w:sz w:val="24"/>
                <w:szCs w:val="24"/>
                <w:color w:val="auto"/>
              </w:rPr>
            </w:pPr>
          </w:p>
        </w:tc>
        <w:tc>
          <w:tcPr>
            <w:tcW w:w="9300" w:type="dxa"/>
            <w:vAlign w:val="bottom"/>
          </w:tcPr>
          <w:p>
            <w:pPr>
              <w:ind w:left="480"/>
              <w:spacing w:after="0"/>
              <w:rPr>
                <w:sz w:val="20"/>
                <w:szCs w:val="20"/>
                <w:color w:val="auto"/>
              </w:rPr>
            </w:pPr>
            <w:r>
              <w:rPr>
                <w:rFonts w:ascii="Arial" w:cs="Arial" w:eastAsia="Arial" w:hAnsi="Arial"/>
                <w:sz w:val="18"/>
                <w:szCs w:val="18"/>
                <w:color w:val="auto"/>
              </w:rPr>
              <w:t>Consent of PricewaterhouseCoopers LLP.</w:t>
            </w:r>
          </w:p>
        </w:tc>
      </w:tr>
      <w:tr>
        <w:trPr>
          <w:trHeight w:val="426"/>
        </w:trPr>
        <w:tc>
          <w:tcPr>
            <w:tcW w:w="440" w:type="dxa"/>
            <w:vAlign w:val="bottom"/>
            <w:tcBorders>
              <w:bottom w:val="single" w:sz="8" w:color="0000FF"/>
            </w:tcBorders>
            <w:gridSpan w:val="2"/>
          </w:tcPr>
          <w:p>
            <w:pPr>
              <w:spacing w:after="0"/>
              <w:rPr>
                <w:rFonts w:ascii="Arial" w:cs="Arial" w:eastAsia="Arial" w:hAnsi="Arial"/>
                <w:sz w:val="18"/>
                <w:szCs w:val="18"/>
                <w:color w:val="0000FF"/>
                <w:w w:val="83"/>
              </w:rPr>
            </w:pPr>
            <w:hyperlink w:anchor="page150">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1</w:t>
              </w:r>
              <w:r>
                <w:rPr>
                  <w:rFonts w:ascii="Arial" w:cs="Arial" w:eastAsia="Arial" w:hAnsi="Arial"/>
                  <w:sz w:val="18"/>
                  <w:szCs w:val="18"/>
                  <w:color w:val="0000FF"/>
                  <w:w w:val="83"/>
                </w:rPr>
                <w:t xml:space="preserve"> †</w:t>
              </w:r>
            </w:hyperlink>
          </w:p>
        </w:tc>
        <w:tc>
          <w:tcPr>
            <w:tcW w:w="9300" w:type="dxa"/>
            <w:vAlign w:val="bottom"/>
          </w:tcPr>
          <w:p>
            <w:pPr>
              <w:ind w:left="480"/>
              <w:spacing w:after="0"/>
              <w:rPr>
                <w:sz w:val="20"/>
                <w:szCs w:val="20"/>
                <w:color w:val="auto"/>
              </w:rPr>
            </w:pPr>
            <w:r>
              <w:rPr>
                <w:rFonts w:ascii="Arial" w:cs="Arial" w:eastAsia="Arial" w:hAnsi="Arial"/>
                <w:sz w:val="18"/>
                <w:szCs w:val="18"/>
                <w:color w:val="auto"/>
              </w:rPr>
              <w:t>CEO certification pursuant to Rule 13a-14(a)/15d-14(a).</w:t>
            </w:r>
          </w:p>
        </w:tc>
      </w:tr>
      <w:tr>
        <w:trPr>
          <w:trHeight w:val="426"/>
        </w:trPr>
        <w:tc>
          <w:tcPr>
            <w:tcW w:w="440" w:type="dxa"/>
            <w:vAlign w:val="bottom"/>
            <w:tcBorders>
              <w:bottom w:val="single" w:sz="8" w:color="0000FF"/>
            </w:tcBorders>
            <w:gridSpan w:val="2"/>
          </w:tcPr>
          <w:p>
            <w:pPr>
              <w:spacing w:after="0"/>
              <w:rPr>
                <w:rFonts w:ascii="Arial" w:cs="Arial" w:eastAsia="Arial" w:hAnsi="Arial"/>
                <w:sz w:val="18"/>
                <w:szCs w:val="18"/>
                <w:color w:val="0000FF"/>
                <w:w w:val="83"/>
              </w:rPr>
            </w:pPr>
            <w:hyperlink w:anchor="page151">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2</w:t>
              </w:r>
              <w:r>
                <w:rPr>
                  <w:rFonts w:ascii="Arial" w:cs="Arial" w:eastAsia="Arial" w:hAnsi="Arial"/>
                  <w:sz w:val="18"/>
                  <w:szCs w:val="18"/>
                  <w:color w:val="0000FF"/>
                  <w:w w:val="83"/>
                </w:rPr>
                <w:t xml:space="preserve"> †</w:t>
              </w:r>
            </w:hyperlink>
          </w:p>
        </w:tc>
        <w:tc>
          <w:tcPr>
            <w:tcW w:w="9300" w:type="dxa"/>
            <w:vAlign w:val="bottom"/>
          </w:tcPr>
          <w:p>
            <w:pPr>
              <w:ind w:left="480"/>
              <w:spacing w:after="0"/>
              <w:rPr>
                <w:sz w:val="20"/>
                <w:szCs w:val="20"/>
                <w:color w:val="auto"/>
              </w:rPr>
            </w:pPr>
            <w:r>
              <w:rPr>
                <w:rFonts w:ascii="Arial" w:cs="Arial" w:eastAsia="Arial" w:hAnsi="Arial"/>
                <w:sz w:val="18"/>
                <w:szCs w:val="18"/>
                <w:color w:val="auto"/>
              </w:rPr>
              <w:t>CFO certification pursuant to Rule 13a-14(a)/15d-14(a).</w:t>
            </w:r>
          </w:p>
        </w:tc>
      </w:tr>
      <w:tr>
        <w:trPr>
          <w:trHeight w:val="426"/>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52">
              <w:r>
                <w:rPr>
                  <w:rFonts w:ascii="Arial" w:cs="Arial" w:eastAsia="Arial" w:hAnsi="Arial"/>
                  <w:sz w:val="18"/>
                  <w:szCs w:val="18"/>
                  <w:color w:val="0000FF"/>
                  <w:w w:val="85"/>
                </w:rPr>
                <w:t>32 †</w:t>
              </w:r>
            </w:hyperlink>
          </w:p>
        </w:tc>
        <w:tc>
          <w:tcPr>
            <w:tcW w:w="120" w:type="dxa"/>
            <w:vAlign w:val="bottom"/>
          </w:tcPr>
          <w:p>
            <w:pPr>
              <w:spacing w:after="0"/>
              <w:rPr>
                <w:sz w:val="24"/>
                <w:szCs w:val="24"/>
                <w:color w:val="auto"/>
              </w:rPr>
            </w:pPr>
          </w:p>
        </w:tc>
        <w:tc>
          <w:tcPr>
            <w:tcW w:w="9300" w:type="dxa"/>
            <w:vAlign w:val="bottom"/>
          </w:tcPr>
          <w:p>
            <w:pPr>
              <w:ind w:left="48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 – Oxley Act of 2002.</w:t>
            </w:r>
          </w:p>
        </w:tc>
      </w:tr>
    </w:tbl>
    <w:p>
      <w:pPr>
        <w:spacing w:after="0" w:line="20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following materials from Humana Inc.'s Annual Report on Form 10-K formatted in iXBRL (Inline Extensible Business Reporting Language):</w:t>
      </w:r>
    </w:p>
    <w:p>
      <w:pPr>
        <w:spacing w:after="0" w:line="34" w:lineRule="exact"/>
        <w:rPr>
          <w:rFonts w:ascii="Arial" w:cs="Arial" w:eastAsia="Arial" w:hAnsi="Arial"/>
          <w:sz w:val="17"/>
          <w:szCs w:val="17"/>
          <w:color w:val="auto"/>
        </w:rPr>
      </w:pPr>
    </w:p>
    <w:p>
      <w:pPr>
        <w:jc w:val="both"/>
        <w:ind w:left="660"/>
        <w:spacing w:after="0" w:line="271" w:lineRule="auto"/>
        <w:rPr>
          <w:rFonts w:ascii="Arial" w:cs="Arial" w:eastAsia="Arial" w:hAnsi="Arial"/>
          <w:sz w:val="17"/>
          <w:szCs w:val="17"/>
          <w:color w:val="auto"/>
        </w:rPr>
      </w:pPr>
      <w:r>
        <w:rPr>
          <w:rFonts w:ascii="Arial" w:cs="Arial" w:eastAsia="Arial" w:hAnsi="Arial"/>
          <w:sz w:val="17"/>
          <w:szCs w:val="17"/>
          <w:color w:val="auto"/>
        </w:rPr>
        <w:t>(i) the Consolidated Balance Sheets at December 31, 2019 and 2018; (ii) the Consolidated Statements of Income for the years ended December 31, 2019, 2018 and 2017; (iii) the Consolidated Statements of Comprehensive Income for the years ended December 31, 2019, 2018 and 2017; (iv) the Consolidated Statements of Stockholders’ Equity as of December 31, 2019, 2018, and 2017; (v) the Consolidated Statements of Cash Flows for the years ended December 31, 2019, 2018 and 2017; and (vi) Notes to Consolidated Financial Statements. The instance document does not appear in the Interactive Data File because its XBRL tags are embedded within the Inline XBRL document.</w:t>
      </w:r>
    </w:p>
    <w:p>
      <w:pPr>
        <w:spacing w:after="0" w:line="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Cover Page Interactive Data File formatted in Inline XBRL and contained in Exhibit 101.</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*Exhibits 10(a) through and including 10(n), and Exhibits 10(w) through and including 10(aa), as well as Exhibits 10(cc) through and including Exhibit 10(pp) are compensatory plans or management contracts.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Rule 24b-2 of the Exchange Act, confidential portions of this exhibit have been omitted and filed separately with the Securities and Exchange Commission pursuant to a request for confidential treatment.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†Submitted electronically with this report.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440" w:right="239" w:bottom="1440" w:gutter="0" w:footer="0" w:header="0"/>
        </w:sectPr>
      </w:pPr>
    </w:p>
    <w:bookmarkStart w:id="133" w:name="page134"/>
    <w:bookmarkEnd w:id="133"/>
    <w:p>
      <w:pPr>
        <w:spacing w:after="0" w:line="19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Humana Inc.</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SCHEDULE I—PARENT COMPANY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r>
      <w:tr>
        <w:trPr>
          <w:trHeight w:val="152"/>
        </w:trPr>
        <w:tc>
          <w:tcPr>
            <w:tcW w:w="7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(in millions, except share</w:t>
            </w:r>
          </w:p>
        </w:tc>
        <w:tc>
          <w:tcPr>
            <w:tcW w:w="1160" w:type="dxa"/>
            <w:vAlign w:val="bottom"/>
          </w:tcPr>
          <w:p>
            <w:pPr>
              <w:spacing w:after="0"/>
              <w:rPr>
                <w:sz w:val="13"/>
                <w:szCs w:val="13"/>
                <w:color w:val="auto"/>
              </w:rPr>
            </w:pPr>
          </w:p>
        </w:tc>
      </w:tr>
      <w:tr>
        <w:trPr>
          <w:trHeight w:val="192"/>
        </w:trPr>
        <w:tc>
          <w:tcPr>
            <w:tcW w:w="7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amounts)</w:t>
            </w:r>
          </w:p>
        </w:tc>
        <w:tc>
          <w:tcPr>
            <w:tcW w:w="1160" w:type="dxa"/>
            <w:vAlign w:val="bottom"/>
          </w:tcPr>
          <w:p>
            <w:pPr>
              <w:spacing w:after="0"/>
              <w:rPr>
                <w:sz w:val="16"/>
                <w:szCs w:val="16"/>
                <w:color w:val="auto"/>
              </w:rPr>
            </w:pPr>
          </w:p>
        </w:tc>
      </w:tr>
      <w:tr>
        <w:trPr>
          <w:trHeight w:val="256"/>
        </w:trPr>
        <w:tc>
          <w:tcPr>
            <w:tcW w:w="74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8"/>
                <w:szCs w:val="18"/>
                <w:b w:val="1"/>
                <w:bCs w:val="1"/>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Investment securities</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from operating subsidiaries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628</w:t>
            </w:r>
          </w:p>
        </w:tc>
      </w:tr>
      <w:tr>
        <w:trPr>
          <w:trHeight w:val="27"/>
        </w:trPr>
        <w:tc>
          <w:tcPr>
            <w:tcW w:w="7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1,209</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Equity method investment in Kindred at Home</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1,047</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37"/>
        </w:trPr>
        <w:tc>
          <w:tcPr>
            <w:tcW w:w="74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18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21,394</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22,078</w:t>
            </w:r>
          </w:p>
        </w:tc>
      </w:tr>
      <w:tr>
        <w:trPr>
          <w:trHeight w:val="67"/>
        </w:trPr>
        <w:tc>
          <w:tcPr>
            <w:tcW w:w="74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740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b w:val="1"/>
                <w:bCs w:val="1"/>
                <w:color w:val="auto"/>
              </w:rPr>
              <w:t>LIABILITIES AND STOCKHOLDERS’ EQUITY</w:t>
            </w:r>
          </w:p>
        </w:tc>
        <w:tc>
          <w:tcPr>
            <w:tcW w:w="1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to operating subsidiaries</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Current portion of notes payable to operating subsidiaries</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overdraft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1,694</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r>
      <w:tr>
        <w:trPr>
          <w:trHeight w:val="237"/>
        </w:trPr>
        <w:tc>
          <w:tcPr>
            <w:tcW w:w="74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7,038</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504</w:t>
            </w:r>
          </w:p>
        </w:tc>
      </w:tr>
      <w:tr>
        <w:trPr>
          <w:trHeight w:val="27"/>
        </w:trPr>
        <w:tc>
          <w:tcPr>
            <w:tcW w:w="7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11,917</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7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Preferred stock, $1 par; 10,000,000 shares authorized; none issued</w:t>
            </w:r>
          </w:p>
        </w:tc>
        <w:tc>
          <w:tcPr>
            <w:tcW w:w="11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$0.16 2/3 par; 300,000,000 shares authorized;</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6"/>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198,629,992 shares issued at December 31, 2019 and 198,594,841</w:t>
            </w: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7"/>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at December 31, 2018</w:t>
            </w:r>
          </w:p>
        </w:tc>
        <w:tc>
          <w:tcPr>
            <w:tcW w:w="1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Capital in excess of par value</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2,535</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17,483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15,072</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stock, at cost, 66,524,771 shares at December 31, 2019</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7"/>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63,028,169 shares at December 31, 2018</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r>
      <w:tr>
        <w:trPr>
          <w:trHeight w:val="237"/>
        </w:trPr>
        <w:tc>
          <w:tcPr>
            <w:tcW w:w="740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12,037</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10,161</w:t>
            </w:r>
          </w:p>
        </w:tc>
      </w:tr>
      <w:tr>
        <w:trPr>
          <w:trHeight w:val="27"/>
        </w:trPr>
        <w:tc>
          <w:tcPr>
            <w:tcW w:w="7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21,394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parent company financial statements.</w:t>
      </w:r>
    </w:p>
    <w:p>
      <w:pPr>
        <w:sectPr>
          <w:pgSz w:w="11900" w:h="16838" w:orient="portrait"/>
          <w:cols w:equalWidth="0" w:num="1">
            <w:col w:w="11380"/>
          </w:cols>
          <w:pgMar w:left="260" w:top="1440"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380"/>
          </w:cols>
          <w:pgMar w:left="260" w:top="1440" w:right="259" w:bottom="1440" w:gutter="0" w:footer="0" w:header="0"/>
          <w:type w:val="continuous"/>
        </w:sectPr>
      </w:pPr>
    </w:p>
    <w:bookmarkStart w:id="134" w:name="page135"/>
    <w:bookmarkEnd w:id="134"/>
    <w:p>
      <w:pPr>
        <w:spacing w:after="0" w:line="19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Humana Inc.</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SCHEDULE I—PARENT COMPANY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Management fees charged to operating subsidiaries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and 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Operating costs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Merger termination fee and related costs,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equity in net earnings of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equity in net earnings of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earnings of subsidiaries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2,028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of Kindred at Home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parent company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440" w:right="239" w:bottom="1440" w:gutter="0" w:footer="0" w:header="0"/>
        </w:sectPr>
      </w:pPr>
    </w:p>
    <w:bookmarkStart w:id="135" w:name="page136"/>
    <w:bookmarkEnd w:id="135"/>
    <w:p>
      <w:pPr>
        <w:spacing w:after="0" w:line="19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Humana Inc.</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SCHEDULE I—PARENT COMPANY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196"/>
        </w:trPr>
        <w:tc>
          <w:tcPr>
            <w:tcW w:w="6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2,707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gross unrealized investment losses/gains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Effect of income taxes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change in unrealized investment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gains/losses, net of tax</w:t>
            </w: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09"/>
        </w:trPr>
        <w:tc>
          <w:tcPr>
            <w:tcW w:w="6400" w:type="dxa"/>
            <w:vAlign w:val="bottom"/>
          </w:tcPr>
          <w:p>
            <w:pPr>
              <w:ind w:left="380"/>
              <w:spacing w:after="0"/>
              <w:rPr>
                <w:sz w:val="20"/>
                <w:szCs w:val="20"/>
                <w:color w:val="auto"/>
              </w:rPr>
            </w:pPr>
            <w:r>
              <w:rPr>
                <w:rFonts w:ascii="Arial" w:cs="Arial" w:eastAsia="Arial" w:hAnsi="Arial"/>
                <w:sz w:val="18"/>
                <w:szCs w:val="18"/>
                <w:color w:val="auto"/>
              </w:rPr>
              <w:t>Reclassification adjustment for net realized</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gains included in investment income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income taxes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reclassification adjustment, net of tax</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09"/>
        </w:trPr>
        <w:tc>
          <w:tcPr>
            <w:tcW w:w="6400" w:type="dxa"/>
            <w:vAlign w:val="bottom"/>
          </w:tcPr>
          <w:p>
            <w:pPr>
              <w:ind w:left="40"/>
              <w:spacing w:after="0"/>
              <w:rPr>
                <w:sz w:val="20"/>
                <w:szCs w:val="20"/>
                <w:color w:val="auto"/>
              </w:rPr>
            </w:pPr>
            <w:r>
              <w:rPr>
                <w:rFonts w:ascii="Arial" w:cs="Arial" w:eastAsia="Arial" w:hAnsi="Arial"/>
                <w:sz w:val="18"/>
                <w:szCs w:val="18"/>
                <w:color w:val="auto"/>
              </w:rPr>
              <w:t>Comprehensive income attributable to our equity method</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investment in Kindred at Home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Comprehensive income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3,022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parent company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440" w:right="239" w:bottom="1440" w:gutter="0" w:footer="0" w:header="0"/>
        </w:sectPr>
      </w:pPr>
    </w:p>
    <w:bookmarkStart w:id="136" w:name="page137"/>
    <w:bookmarkEnd w:id="136"/>
    <w:p>
      <w:pPr>
        <w:spacing w:after="0" w:line="19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Humana Inc.</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SCHEDULE I—PARENT COMPANY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151"/>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196"/>
        </w:trPr>
        <w:tc>
          <w:tcPr>
            <w:tcW w:w="6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net of cash acquired</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Acquisitions, equity method investment in Kindred at Home</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contributions to operating subsidiaries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Purchases of investment securities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investment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Maturities of investment securities</w:t>
            </w:r>
          </w:p>
        </w:tc>
        <w:tc>
          <w:tcPr>
            <w:tcW w:w="10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 net</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Proceeds from issuance of senior notes, net</w:t>
            </w:r>
          </w:p>
        </w:tc>
        <w:tc>
          <w:tcPr>
            <w:tcW w:w="10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1,779</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proceeds from issuance of commercial paper, net</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Proceeds from term loan</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term loan</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book overdraft</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Common stock repurchases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(3,365)</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Proceeds from stock option exercises and other</w:t>
            </w:r>
          </w:p>
        </w:tc>
        <w:tc>
          <w:tcPr>
            <w:tcW w:w="10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0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w:t>
            </w: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parent company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440" w:right="239" w:bottom="1440" w:gutter="0" w:footer="0" w:header="0"/>
        </w:sectPr>
      </w:pPr>
    </w:p>
    <w:bookmarkStart w:id="137" w:name="page138"/>
    <w:bookmarkEnd w:id="137"/>
    <w:p>
      <w:pPr>
        <w:ind w:left="5200"/>
        <w:spacing w:after="0"/>
        <w:rPr>
          <w:sz w:val="20"/>
          <w:szCs w:val="20"/>
          <w:color w:val="auto"/>
        </w:rPr>
      </w:pPr>
      <w:r>
        <w:rPr>
          <w:rFonts w:ascii="Arial" w:cs="Arial" w:eastAsia="Arial" w:hAnsi="Arial"/>
          <w:sz w:val="18"/>
          <w:szCs w:val="18"/>
          <w:b w:val="1"/>
          <w:bCs w:val="1"/>
          <w:color w:val="auto"/>
        </w:rPr>
        <w:t>Humana Inc.</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SCHEDULE I—PARENT COMPANY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Parent company financial information has been derived from our consolidated financial statements and excludes the accounts of all operating subsidiaries. This information should be read in conjunction with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TRANSACTIONS WITH SUBSIDIARIES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intercompany service agreements approved, if required, by state regulatory authorities, Humana Inc., our parent company, charges a management fee for reimbursement of certain centralized services provided to its subsidiaries including information systems, disbursement, investment and cash administration, marketing, legal, finance, and medical and executive management oversight.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dividends received from subsidiaries and included as a component of net cash provided by operating activities were $1.8 billion in 2019, $2.3 billion in 2018, and $1.4 billion in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Through indemnity agreements approved by state regulatory authorities, certain of our regulated subsidiaries generally are guaranteed by our parent company in the event of insolvency for: (1) member coverage for which premium payment has been made prior to insolvency; (2) benefits for members then hospitalized until discharged; and (3) payment to providers for services rendered prior to insolvency. Our parent has also guaranteed the obligations of our military services subsidiaries and funding to maintain required statutory capital levels of certain other regulated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REGULATORY REQUIREMENTS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of our subsidiaries operate in states that regulate the payment of dividends, loans, or other cash transfers to Humana Inc., our parent company, and require minimum levels of equity as well as limit investments to approved securities. The amount of dividends that may be paid to Humana Inc. by these subsidiaries, without prior approval by state regulatory authorities, or ordinary dividends, is limited based on the entity’s level of statutory income and statutory capital and surplus. If the dividend, together with other dividends paid within the preceding twelve months, exceeds a specified statutory limit or is paid from sources other than earned surplus, it is generally considered an extraordinary dividend requiring prior regulatory approval. In most states, prior notification is provided before paying a dividend even if approval is not required.</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minimum required levels of equity are largely based on premium volume, product mix, and the quality of assets held, minimum requirements vary significantly at the state level. Our state regulated insurances subsidiaries had aggregate statutory capital and surplus of approximately $8.0 billion and $7.6 billion as of December 31, 2019 and 2018, respectively, which exceeded aggregate minimum regulatory requirements of $5.9 billion and $5.2 billion, respectively. The amount of ordinary dividends that may be paid to our parent company in 2020 is approximately $1 billion in the aggregate. The amount, timing and mix of ordinary and extraordinary dividend payments will vary due to state regulatory requirements, the level of excess statutory capital and surplus and expected future surplus requirements related to, for example, premium volume and product mix. Actual dividends that were paid to our parent company were approximately $1.8 billion in 2019, $2.3 billion in 2018, and $1.4 billion in 2017.</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use of operating cash flows derived from our non-insurance subsidiaries, such as in our Healthcare Services segment, is generally not restricted by state departments of insurance (or comparable state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337" w:right="239" w:bottom="1440" w:gutter="0" w:footer="0" w:header="0"/>
        </w:sectPr>
      </w:pPr>
    </w:p>
    <w:bookmarkStart w:id="138" w:name="page139"/>
    <w:bookmarkEnd w:id="13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DIVESTITURES</w:t>
      </w:r>
    </w:p>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Refer to Notes 3 and 4 of the notes to consolidated financial statements in this Annual Report on Form 10-K for a description of certain acquisitions and divestitures. During 2019, 2018 and 2017, we funded certain non-regulated subsidiary acquisitions with contributions from Humana Inc., our parent company, included in capital contributions in the condensed statement of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 to Note 12 of the notes to consolidated financial statements included in this Annual Report on Form 10-K for a description of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13 of the notes to consolidated financial statements included in this Annual Report on Form 10-K for a description of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16 of the notes to consolidated financial statements included in this Annual Report on Form 10-K for a description of stockholders’ equity, including stock repurchases and stockholder dividends.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440" w:right="239" w:bottom="1440" w:gutter="0" w:footer="0" w:header="0"/>
        </w:sectPr>
      </w:pPr>
    </w:p>
    <w:bookmarkStart w:id="139" w:name="page140"/>
    <w:bookmarkEnd w:id="139"/>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Additions</w:t>
            </w:r>
          </w:p>
        </w:tc>
        <w:tc>
          <w:tcPr>
            <w:tcW w:w="300" w:type="dxa"/>
            <w:vAlign w:val="bottom"/>
            <w:gridSpan w:val="2"/>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Balance at</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Charged</w:t>
            </w:r>
          </w:p>
        </w:tc>
        <w:tc>
          <w:tcPr>
            <w:tcW w:w="180" w:type="dxa"/>
            <w:vAlign w:val="bottom"/>
          </w:tcPr>
          <w:p>
            <w:pPr>
              <w:spacing w:after="0"/>
              <w:rPr>
                <w:sz w:val="13"/>
                <w:szCs w:val="13"/>
                <w:color w:val="auto"/>
              </w:rPr>
            </w:pPr>
          </w:p>
        </w:tc>
        <w:tc>
          <w:tcPr>
            <w:tcW w:w="13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7"/>
              </w:rPr>
              <w:t>Charged to</w:t>
            </w: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Deductions</w:t>
            </w:r>
          </w:p>
        </w:tc>
        <w:tc>
          <w:tcPr>
            <w:tcW w:w="220" w:type="dxa"/>
            <w:vAlign w:val="bottom"/>
          </w:tcPr>
          <w:p>
            <w:pPr>
              <w:spacing w:after="0"/>
              <w:rPr>
                <w:sz w:val="13"/>
                <w:szCs w:val="13"/>
                <w:color w:val="auto"/>
              </w:rPr>
            </w:pPr>
          </w:p>
        </w:tc>
        <w:tc>
          <w:tcPr>
            <w:tcW w:w="10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Acquired/(Disposed)</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(Credited) to</w:t>
            </w:r>
          </w:p>
        </w:tc>
        <w:tc>
          <w:tcPr>
            <w:tcW w:w="1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580" w:type="dxa"/>
            <w:vAlign w:val="bottom"/>
            <w:gridSpan w:val="4"/>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Costs and</w:t>
            </w:r>
          </w:p>
        </w:tc>
        <w:tc>
          <w:tcPr>
            <w:tcW w:w="18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or</w:t>
            </w:r>
          </w:p>
        </w:tc>
        <w:tc>
          <w:tcPr>
            <w:tcW w:w="22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 Period</w:t>
            </w:r>
          </w:p>
        </w:tc>
        <w:tc>
          <w:tcPr>
            <w:tcW w:w="240" w:type="dxa"/>
            <w:vAlign w:val="bottom"/>
          </w:tcPr>
          <w:p>
            <w:pPr>
              <w:spacing w:after="0"/>
              <w:rPr>
                <w:sz w:val="16"/>
                <w:szCs w:val="16"/>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color w:val="auto"/>
              </w:rPr>
              <w:t>Balances</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6"/>
                <w:szCs w:val="16"/>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Accounts (1)</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Write-offs</w:t>
            </w:r>
          </w:p>
        </w:tc>
        <w:tc>
          <w:tcPr>
            <w:tcW w:w="220" w:type="dxa"/>
            <w:vAlign w:val="bottom"/>
          </w:tcPr>
          <w:p>
            <w:pPr>
              <w:spacing w:after="0"/>
              <w:rPr>
                <w:sz w:val="16"/>
                <w:szCs w:val="16"/>
                <w:color w:val="auto"/>
              </w:rPr>
            </w:pPr>
          </w:p>
        </w:tc>
        <w:tc>
          <w:tcPr>
            <w:tcW w:w="104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loss on receivables: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jc w:val="right"/>
              <w:ind w:right="233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7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ind w:left="7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jc w:val="right"/>
              <w:ind w:right="233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280" w:type="dxa"/>
            <w:vAlign w:val="bottom"/>
          </w:tcPr>
          <w:p>
            <w:pPr>
              <w:jc w:val="right"/>
              <w:ind w:right="2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jc w:val="right"/>
              <w:ind w:right="23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jc w:val="right"/>
              <w:ind w:right="233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280" w:type="dxa"/>
            <w:vAlign w:val="bottom"/>
          </w:tcPr>
          <w:p>
            <w:pPr>
              <w:jc w:val="right"/>
              <w:ind w:right="2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40" w:right="120" w:hanging="316"/>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changes in retroactive membership adjustments to premiums revenue and contractual allowances adjustments to services revenue as more fully described in Note 2 to the consolidated financial statements included in this annual report on Form 10-K.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440" w:right="239" w:bottom="1440" w:gutter="0" w:footer="0" w:header="0"/>
        </w:sectPr>
      </w:pPr>
    </w:p>
    <w:bookmarkStart w:id="140" w:name="page141"/>
    <w:bookmarkEnd w:id="14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219"/>
          </w:cols>
          <w:pgMar w:left="240" w:top="1440" w:right="1440" w:bottom="1440" w:gutter="0" w:footer="0" w:header="0"/>
        </w:sectPr>
      </w:pPr>
    </w:p>
    <w:bookmarkStart w:id="141" w:name="page142"/>
    <w:bookmarkEnd w:id="14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Company has duly caused this report to be signed on its behalf by the undersigned, thereto duly authorized.</w:t>
      </w:r>
    </w:p>
    <w:p>
      <w:pPr>
        <w:spacing w:after="0" w:line="279"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UMANA</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4440" w:type="dxa"/>
            <w:vAlign w:val="bottom"/>
          </w:tcPr>
          <w:p>
            <w:pPr>
              <w:spacing w:after="0"/>
              <w:rPr>
                <w:sz w:val="20"/>
                <w:szCs w:val="20"/>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jc w:val="center"/>
              <w:spacing w:after="0"/>
              <w:rPr>
                <w:sz w:val="20"/>
                <w:szCs w:val="20"/>
                <w:color w:val="auto"/>
              </w:rPr>
            </w:pPr>
            <w:r>
              <w:rPr>
                <w:rFonts w:ascii="Arial" w:cs="Arial" w:eastAsia="Arial" w:hAnsi="Arial"/>
                <w:sz w:val="18"/>
                <w:szCs w:val="18"/>
                <w:color w:val="auto"/>
              </w:rPr>
              <w:t>/s/  BRIAN A. KANE</w:t>
            </w:r>
          </w:p>
        </w:tc>
      </w:tr>
      <w:tr>
        <w:trPr>
          <w:trHeight w:val="27"/>
        </w:trPr>
        <w:tc>
          <w:tcPr>
            <w:tcW w:w="11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8"/>
        </w:trPr>
        <w:tc>
          <w:tcPr>
            <w:tcW w:w="11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Brian A. Kane</w:t>
            </w:r>
          </w:p>
        </w:tc>
      </w:tr>
      <w:tr>
        <w:trPr>
          <w:trHeight w:val="165"/>
        </w:trPr>
        <w:tc>
          <w:tcPr>
            <w:tcW w:w="1120" w:type="dxa"/>
            <w:vAlign w:val="bottom"/>
          </w:tcPr>
          <w:p>
            <w:pPr>
              <w:spacing w:after="0"/>
              <w:rPr>
                <w:sz w:val="14"/>
                <w:szCs w:val="14"/>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w:t>
            </w:r>
          </w:p>
        </w:tc>
      </w:tr>
      <w:tr>
        <w:trPr>
          <w:trHeight w:val="186"/>
        </w:trPr>
        <w:tc>
          <w:tcPr>
            <w:tcW w:w="112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Financial Officer)</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bl>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ind w:right="1084"/>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63"/>
        </w:trPr>
        <w:tc>
          <w:tcPr>
            <w:tcW w:w="9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2"/>
              </w:rPr>
              <w:t>/s/</w:t>
            </w:r>
          </w:p>
        </w:tc>
        <w:tc>
          <w:tcPr>
            <w:tcW w:w="2360" w:type="dxa"/>
            <w:vAlign w:val="bottom"/>
          </w:tcPr>
          <w:p>
            <w:pPr>
              <w:jc w:val="center"/>
              <w:ind w:right="764"/>
              <w:spacing w:after="0"/>
              <w:rPr>
                <w:sz w:val="20"/>
                <w:szCs w:val="20"/>
                <w:color w:val="auto"/>
              </w:rPr>
            </w:pPr>
            <w:r>
              <w:rPr>
                <w:rFonts w:ascii="Arial" w:cs="Arial" w:eastAsia="Arial" w:hAnsi="Arial"/>
                <w:sz w:val="16"/>
                <w:szCs w:val="16"/>
                <w:color w:val="auto"/>
              </w:rPr>
              <w:t>BRIAN A. KANE</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41"/>
        </w:trPr>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50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84"/>
              <w:spacing w:after="0"/>
              <w:rPr>
                <w:sz w:val="20"/>
                <w:szCs w:val="20"/>
                <w:color w:val="auto"/>
              </w:rPr>
            </w:pPr>
            <w:r>
              <w:rPr>
                <w:rFonts w:ascii="Arial" w:cs="Arial" w:eastAsia="Arial" w:hAnsi="Arial"/>
                <w:sz w:val="14"/>
                <w:szCs w:val="14"/>
                <w:b w:val="1"/>
                <w:bCs w:val="1"/>
                <w:color w:val="auto"/>
                <w:w w:val="95"/>
              </w:rPr>
              <w:t>Brian A. Kane</w:t>
            </w:r>
          </w:p>
        </w:tc>
        <w:tc>
          <w:tcPr>
            <w:tcW w:w="340" w:type="dxa"/>
            <w:vAlign w:val="bottom"/>
            <w:vMerge w:val="continue"/>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960" w:type="dxa"/>
            <w:vAlign w:val="bottom"/>
          </w:tcPr>
          <w:p>
            <w:pPr>
              <w:ind w:left="760"/>
              <w:spacing w:after="0"/>
              <w:rPr>
                <w:sz w:val="20"/>
                <w:szCs w:val="20"/>
                <w:color w:val="auto"/>
              </w:rPr>
            </w:pPr>
            <w:r>
              <w:rPr>
                <w:rFonts w:ascii="Arial" w:cs="Arial" w:eastAsia="Arial" w:hAnsi="Arial"/>
                <w:sz w:val="16"/>
                <w:szCs w:val="16"/>
                <w:color w:val="auto"/>
              </w:rPr>
              <w:t>/s/</w:t>
            </w:r>
          </w:p>
        </w:tc>
        <w:tc>
          <w:tcPr>
            <w:tcW w:w="2560" w:type="dxa"/>
            <w:vAlign w:val="bottom"/>
            <w:gridSpan w:val="2"/>
          </w:tcPr>
          <w:p>
            <w:pPr>
              <w:jc w:val="center"/>
              <w:ind w:right="564"/>
              <w:spacing w:after="0"/>
              <w:rPr>
                <w:sz w:val="20"/>
                <w:szCs w:val="20"/>
                <w:color w:val="auto"/>
              </w:rPr>
            </w:pPr>
            <w:r>
              <w:rPr>
                <w:rFonts w:ascii="Arial" w:cs="Arial" w:eastAsia="Arial" w:hAnsi="Arial"/>
                <w:sz w:val="16"/>
                <w:szCs w:val="16"/>
                <w:color w:val="auto"/>
                <w:w w:val="99"/>
              </w:rPr>
              <w:t>CYNTHIA H. ZIPPERLE</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 (Principal</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41"/>
        </w:trPr>
        <w:tc>
          <w:tcPr>
            <w:tcW w:w="9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2"/>
          </w:tcPr>
          <w:p>
            <w:pPr>
              <w:spacing w:after="0"/>
              <w:rPr>
                <w:sz w:val="3"/>
                <w:szCs w:val="3"/>
                <w:color w:val="auto"/>
              </w:rPr>
            </w:pPr>
          </w:p>
        </w:tc>
        <w:tc>
          <w:tcPr>
            <w:tcW w:w="340" w:type="dxa"/>
            <w:vAlign w:val="bottom"/>
            <w:vMerge w:val="restart"/>
          </w:tcPr>
          <w:p>
            <w:pPr>
              <w:spacing w:after="0"/>
              <w:rPr>
                <w:sz w:val="3"/>
                <w:szCs w:val="3"/>
                <w:color w:val="auto"/>
              </w:rPr>
            </w:pPr>
          </w:p>
        </w:tc>
        <w:tc>
          <w:tcPr>
            <w:tcW w:w="5040" w:type="dxa"/>
            <w:vAlign w:val="bottom"/>
            <w:gridSpan w:val="2"/>
            <w:vMerge w:val="restart"/>
          </w:tcPr>
          <w:p>
            <w:pPr>
              <w:ind w:left="20"/>
              <w:spacing w:after="0"/>
              <w:rPr>
                <w:sz w:val="20"/>
                <w:szCs w:val="20"/>
                <w:color w:val="auto"/>
              </w:rPr>
            </w:pPr>
            <w:r>
              <w:rPr>
                <w:rFonts w:ascii="Arial" w:cs="Arial" w:eastAsia="Arial" w:hAnsi="Arial"/>
                <w:sz w:val="18"/>
                <w:szCs w:val="18"/>
                <w:color w:val="auto"/>
              </w:rPr>
              <w:t>Accounting Officer)</w:t>
            </w: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560" w:type="dxa"/>
            <w:vAlign w:val="bottom"/>
            <w:gridSpan w:val="2"/>
          </w:tcPr>
          <w:p>
            <w:pPr>
              <w:jc w:val="center"/>
              <w:ind w:right="884"/>
              <w:spacing w:after="0"/>
              <w:rPr>
                <w:sz w:val="20"/>
                <w:szCs w:val="20"/>
                <w:color w:val="auto"/>
              </w:rPr>
            </w:pPr>
            <w:r>
              <w:rPr>
                <w:rFonts w:ascii="Arial" w:cs="Arial" w:eastAsia="Arial" w:hAnsi="Arial"/>
                <w:sz w:val="14"/>
                <w:szCs w:val="14"/>
                <w:b w:val="1"/>
                <w:bCs w:val="1"/>
                <w:color w:val="auto"/>
                <w:w w:val="97"/>
              </w:rPr>
              <w:t>Cynthia H. Zipperle</w:t>
            </w:r>
          </w:p>
        </w:tc>
        <w:tc>
          <w:tcPr>
            <w:tcW w:w="340" w:type="dxa"/>
            <w:vAlign w:val="bottom"/>
            <w:vMerge w:val="continue"/>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960" w:type="dxa"/>
            <w:vAlign w:val="bottom"/>
          </w:tcPr>
          <w:p>
            <w:pPr>
              <w:ind w:left="740"/>
              <w:spacing w:after="0"/>
              <w:rPr>
                <w:sz w:val="20"/>
                <w:szCs w:val="20"/>
                <w:color w:val="auto"/>
              </w:rPr>
            </w:pPr>
            <w:r>
              <w:rPr>
                <w:rFonts w:ascii="Arial" w:cs="Arial" w:eastAsia="Arial" w:hAnsi="Arial"/>
                <w:sz w:val="16"/>
                <w:szCs w:val="16"/>
                <w:color w:val="auto"/>
              </w:rPr>
              <w:t>/s/</w:t>
            </w:r>
          </w:p>
        </w:tc>
        <w:tc>
          <w:tcPr>
            <w:tcW w:w="2560" w:type="dxa"/>
            <w:vAlign w:val="bottom"/>
            <w:gridSpan w:val="2"/>
          </w:tcPr>
          <w:p>
            <w:pPr>
              <w:jc w:val="center"/>
              <w:ind w:right="564"/>
              <w:spacing w:after="0"/>
              <w:rPr>
                <w:sz w:val="20"/>
                <w:szCs w:val="20"/>
                <w:color w:val="auto"/>
              </w:rPr>
            </w:pPr>
            <w:r>
              <w:rPr>
                <w:rFonts w:ascii="Arial" w:cs="Arial" w:eastAsia="Arial" w:hAnsi="Arial"/>
                <w:sz w:val="16"/>
                <w:szCs w:val="16"/>
                <w:color w:val="auto"/>
                <w:w w:val="96"/>
              </w:rPr>
              <w:t>BRUCE D. BROUSSARD</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41"/>
        </w:trPr>
        <w:tc>
          <w:tcPr>
            <w:tcW w:w="9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2"/>
          </w:tcPr>
          <w:p>
            <w:pPr>
              <w:spacing w:after="0"/>
              <w:rPr>
                <w:sz w:val="3"/>
                <w:szCs w:val="3"/>
                <w:color w:val="auto"/>
              </w:rPr>
            </w:pPr>
          </w:p>
        </w:tc>
        <w:tc>
          <w:tcPr>
            <w:tcW w:w="340" w:type="dxa"/>
            <w:vAlign w:val="bottom"/>
            <w:vMerge w:val="restart"/>
          </w:tcPr>
          <w:p>
            <w:pPr>
              <w:spacing w:after="0"/>
              <w:rPr>
                <w:sz w:val="3"/>
                <w:szCs w:val="3"/>
                <w:color w:val="auto"/>
              </w:rPr>
            </w:pPr>
          </w:p>
        </w:tc>
        <w:tc>
          <w:tcPr>
            <w:tcW w:w="50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 (Principal Executive Officer)</w:t>
            </w: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560" w:type="dxa"/>
            <w:vAlign w:val="bottom"/>
            <w:gridSpan w:val="2"/>
          </w:tcPr>
          <w:p>
            <w:pPr>
              <w:jc w:val="center"/>
              <w:ind w:right="864"/>
              <w:spacing w:after="0"/>
              <w:rPr>
                <w:sz w:val="20"/>
                <w:szCs w:val="20"/>
                <w:color w:val="auto"/>
              </w:rPr>
            </w:pPr>
            <w:r>
              <w:rPr>
                <w:rFonts w:ascii="Arial" w:cs="Arial" w:eastAsia="Arial" w:hAnsi="Arial"/>
                <w:sz w:val="14"/>
                <w:szCs w:val="14"/>
                <w:b w:val="1"/>
                <w:bCs w:val="1"/>
                <w:color w:val="auto"/>
                <w:w w:val="92"/>
              </w:rPr>
              <w:t>Bruce D. Broussard</w:t>
            </w:r>
          </w:p>
        </w:tc>
        <w:tc>
          <w:tcPr>
            <w:tcW w:w="340" w:type="dxa"/>
            <w:vAlign w:val="bottom"/>
            <w:vMerge w:val="continue"/>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gridSpan w:val="2"/>
          </w:tcPr>
          <w:p>
            <w:pPr>
              <w:ind w:left="860"/>
              <w:spacing w:after="0"/>
              <w:rPr>
                <w:sz w:val="20"/>
                <w:szCs w:val="20"/>
                <w:color w:val="auto"/>
              </w:rPr>
            </w:pPr>
            <w:r>
              <w:rPr>
                <w:rFonts w:ascii="Arial" w:cs="Arial" w:eastAsia="Arial" w:hAnsi="Arial"/>
                <w:sz w:val="16"/>
                <w:szCs w:val="16"/>
                <w:color w:val="auto"/>
              </w:rPr>
              <w:t>/s/</w:t>
            </w:r>
          </w:p>
        </w:tc>
        <w:tc>
          <w:tcPr>
            <w:tcW w:w="2360" w:type="dxa"/>
            <w:vAlign w:val="bottom"/>
          </w:tcPr>
          <w:p>
            <w:pPr>
              <w:jc w:val="center"/>
              <w:ind w:right="764"/>
              <w:spacing w:after="0"/>
              <w:rPr>
                <w:sz w:val="20"/>
                <w:szCs w:val="20"/>
                <w:color w:val="auto"/>
              </w:rPr>
            </w:pPr>
            <w:r>
              <w:rPr>
                <w:rFonts w:ascii="Arial" w:cs="Arial" w:eastAsia="Arial" w:hAnsi="Arial"/>
                <w:sz w:val="16"/>
                <w:szCs w:val="16"/>
                <w:color w:val="auto"/>
                <w:w w:val="98"/>
              </w:rPr>
              <w:t>KURT J. HILZINGER</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64"/>
              <w:spacing w:after="0"/>
              <w:rPr>
                <w:sz w:val="20"/>
                <w:szCs w:val="20"/>
                <w:color w:val="auto"/>
              </w:rPr>
            </w:pPr>
            <w:r>
              <w:rPr>
                <w:rFonts w:ascii="Arial" w:cs="Arial" w:eastAsia="Arial" w:hAnsi="Arial"/>
                <w:sz w:val="14"/>
                <w:szCs w:val="14"/>
                <w:b w:val="1"/>
                <w:bCs w:val="1"/>
                <w:color w:val="auto"/>
                <w:w w:val="98"/>
              </w:rPr>
              <w:t>Kurt J. Hilzinger</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gridSpan w:val="2"/>
          </w:tcPr>
          <w:p>
            <w:pPr>
              <w:ind w:left="860"/>
              <w:spacing w:after="0"/>
              <w:rPr>
                <w:sz w:val="20"/>
                <w:szCs w:val="20"/>
                <w:color w:val="auto"/>
              </w:rPr>
            </w:pPr>
            <w:r>
              <w:rPr>
                <w:rFonts w:ascii="Arial" w:cs="Arial" w:eastAsia="Arial" w:hAnsi="Arial"/>
                <w:sz w:val="16"/>
                <w:szCs w:val="16"/>
                <w:color w:val="auto"/>
              </w:rPr>
              <w:t>/s/</w:t>
            </w:r>
          </w:p>
        </w:tc>
        <w:tc>
          <w:tcPr>
            <w:tcW w:w="2360" w:type="dxa"/>
            <w:vAlign w:val="bottom"/>
          </w:tcPr>
          <w:p>
            <w:pPr>
              <w:jc w:val="center"/>
              <w:ind w:right="764"/>
              <w:spacing w:after="0"/>
              <w:rPr>
                <w:sz w:val="20"/>
                <w:szCs w:val="20"/>
                <w:color w:val="auto"/>
              </w:rPr>
            </w:pPr>
            <w:r>
              <w:rPr>
                <w:rFonts w:ascii="Arial" w:cs="Arial" w:eastAsia="Arial" w:hAnsi="Arial"/>
                <w:sz w:val="16"/>
                <w:szCs w:val="16"/>
                <w:color w:val="auto"/>
              </w:rPr>
              <w:t>FRANK BISIGNANO</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84"/>
              <w:spacing w:after="0"/>
              <w:rPr>
                <w:sz w:val="20"/>
                <w:szCs w:val="20"/>
                <w:color w:val="auto"/>
              </w:rPr>
            </w:pPr>
            <w:r>
              <w:rPr>
                <w:rFonts w:ascii="Arial" w:cs="Arial" w:eastAsia="Arial" w:hAnsi="Arial"/>
                <w:sz w:val="14"/>
                <w:szCs w:val="14"/>
                <w:b w:val="1"/>
                <w:bCs w:val="1"/>
                <w:color w:val="auto"/>
                <w:w w:val="94"/>
              </w:rPr>
              <w:t>Frank Bisignano</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960" w:type="dxa"/>
            <w:vAlign w:val="bottom"/>
          </w:tcPr>
          <w:p>
            <w:pPr>
              <w:ind w:left="820"/>
              <w:spacing w:after="0"/>
              <w:rPr>
                <w:sz w:val="20"/>
                <w:szCs w:val="20"/>
                <w:color w:val="auto"/>
              </w:rPr>
            </w:pPr>
            <w:r>
              <w:rPr>
                <w:rFonts w:ascii="Arial" w:cs="Arial" w:eastAsia="Arial" w:hAnsi="Arial"/>
                <w:sz w:val="16"/>
                <w:szCs w:val="16"/>
                <w:color w:val="auto"/>
                <w:w w:val="70"/>
              </w:rPr>
              <w:t>/s/</w:t>
            </w:r>
          </w:p>
        </w:tc>
        <w:tc>
          <w:tcPr>
            <w:tcW w:w="2560" w:type="dxa"/>
            <w:vAlign w:val="bottom"/>
            <w:gridSpan w:val="2"/>
          </w:tcPr>
          <w:p>
            <w:pPr>
              <w:jc w:val="center"/>
              <w:ind w:right="564"/>
              <w:spacing w:after="0"/>
              <w:rPr>
                <w:sz w:val="20"/>
                <w:szCs w:val="20"/>
                <w:color w:val="auto"/>
              </w:rPr>
            </w:pPr>
            <w:r>
              <w:rPr>
                <w:rFonts w:ascii="Arial" w:cs="Arial" w:eastAsia="Arial" w:hAnsi="Arial"/>
                <w:sz w:val="16"/>
                <w:szCs w:val="16"/>
                <w:color w:val="auto"/>
              </w:rPr>
              <w:t>FRANK A. D’AMELIO</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64"/>
              <w:spacing w:after="0"/>
              <w:rPr>
                <w:sz w:val="20"/>
                <w:szCs w:val="20"/>
                <w:color w:val="auto"/>
              </w:rPr>
            </w:pPr>
            <w:r>
              <w:rPr>
                <w:rFonts w:ascii="Arial" w:cs="Arial" w:eastAsia="Arial" w:hAnsi="Arial"/>
                <w:sz w:val="14"/>
                <w:szCs w:val="14"/>
                <w:b w:val="1"/>
                <w:bCs w:val="1"/>
                <w:color w:val="auto"/>
                <w:w w:val="97"/>
              </w:rPr>
              <w:t>Frank A. D’Amelio</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9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/s/</w:t>
            </w:r>
          </w:p>
        </w:tc>
        <w:tc>
          <w:tcPr>
            <w:tcW w:w="2360" w:type="dxa"/>
            <w:vAlign w:val="bottom"/>
          </w:tcPr>
          <w:p>
            <w:pPr>
              <w:jc w:val="center"/>
              <w:ind w:right="764"/>
              <w:spacing w:after="0"/>
              <w:rPr>
                <w:sz w:val="20"/>
                <w:szCs w:val="20"/>
                <w:color w:val="auto"/>
              </w:rPr>
            </w:pPr>
            <w:r>
              <w:rPr>
                <w:rFonts w:ascii="Arial" w:cs="Arial" w:eastAsia="Arial" w:hAnsi="Arial"/>
                <w:sz w:val="16"/>
                <w:szCs w:val="16"/>
                <w:color w:val="auto"/>
                <w:w w:val="97"/>
              </w:rPr>
              <w:t>W. ROY DUNBAR</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84"/>
              <w:spacing w:after="0"/>
              <w:rPr>
                <w:sz w:val="20"/>
                <w:szCs w:val="20"/>
                <w:color w:val="auto"/>
              </w:rPr>
            </w:pPr>
            <w:r>
              <w:rPr>
                <w:rFonts w:ascii="Arial" w:cs="Arial" w:eastAsia="Arial" w:hAnsi="Arial"/>
                <w:sz w:val="14"/>
                <w:szCs w:val="14"/>
                <w:b w:val="1"/>
                <w:bCs w:val="1"/>
                <w:color w:val="auto"/>
                <w:w w:val="95"/>
              </w:rPr>
              <w:t>W. Roy Dunbar</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3520" w:type="dxa"/>
            <w:vAlign w:val="bottom"/>
            <w:gridSpan w:val="3"/>
          </w:tcPr>
          <w:p>
            <w:pPr>
              <w:jc w:val="center"/>
              <w:spacing w:after="0"/>
              <w:rPr>
                <w:sz w:val="20"/>
                <w:szCs w:val="20"/>
                <w:color w:val="auto"/>
              </w:rPr>
            </w:pPr>
            <w:r>
              <w:rPr>
                <w:rFonts w:ascii="Arial" w:cs="Arial" w:eastAsia="Arial" w:hAnsi="Arial"/>
                <w:sz w:val="16"/>
                <w:szCs w:val="16"/>
                <w:color w:val="auto"/>
                <w:w w:val="98"/>
              </w:rPr>
              <w:t>/s/ WAYNE A. I. FREDERICK, M.D.</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Wayne A. I. Frederick, M.D.</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gridSpan w:val="2"/>
          </w:tcPr>
          <w:p>
            <w:pPr>
              <w:ind w:left="900"/>
              <w:spacing w:after="0"/>
              <w:rPr>
                <w:sz w:val="20"/>
                <w:szCs w:val="20"/>
                <w:color w:val="auto"/>
              </w:rPr>
            </w:pPr>
            <w:r>
              <w:rPr>
                <w:rFonts w:ascii="Arial" w:cs="Arial" w:eastAsia="Arial" w:hAnsi="Arial"/>
                <w:sz w:val="16"/>
                <w:szCs w:val="16"/>
                <w:color w:val="auto"/>
              </w:rPr>
              <w:t>/s/</w:t>
            </w:r>
          </w:p>
        </w:tc>
        <w:tc>
          <w:tcPr>
            <w:tcW w:w="2360" w:type="dxa"/>
            <w:vAlign w:val="bottom"/>
          </w:tcPr>
          <w:p>
            <w:pPr>
              <w:jc w:val="center"/>
              <w:ind w:right="744"/>
              <w:spacing w:after="0"/>
              <w:rPr>
                <w:sz w:val="20"/>
                <w:szCs w:val="20"/>
                <w:color w:val="auto"/>
              </w:rPr>
            </w:pPr>
            <w:r>
              <w:rPr>
                <w:rFonts w:ascii="Arial" w:cs="Arial" w:eastAsia="Arial" w:hAnsi="Arial"/>
                <w:sz w:val="16"/>
                <w:szCs w:val="16"/>
                <w:color w:val="auto"/>
                <w:w w:val="95"/>
              </w:rPr>
              <w:t>JOHN W. GARRATT</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64"/>
              <w:spacing w:after="0"/>
              <w:rPr>
                <w:sz w:val="20"/>
                <w:szCs w:val="20"/>
                <w:color w:val="auto"/>
              </w:rPr>
            </w:pPr>
            <w:r>
              <w:rPr>
                <w:rFonts w:ascii="Arial" w:cs="Arial" w:eastAsia="Arial" w:hAnsi="Arial"/>
                <w:sz w:val="14"/>
                <w:szCs w:val="14"/>
                <w:b w:val="1"/>
                <w:bCs w:val="1"/>
                <w:color w:val="auto"/>
                <w:w w:val="97"/>
              </w:rPr>
              <w:t>John W. Garratt</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gridSpan w:val="2"/>
          </w:tcPr>
          <w:p>
            <w:pPr>
              <w:ind w:left="840"/>
              <w:spacing w:after="0"/>
              <w:rPr>
                <w:sz w:val="20"/>
                <w:szCs w:val="20"/>
                <w:color w:val="auto"/>
              </w:rPr>
            </w:pPr>
            <w:r>
              <w:rPr>
                <w:rFonts w:ascii="Arial" w:cs="Arial" w:eastAsia="Arial" w:hAnsi="Arial"/>
                <w:sz w:val="16"/>
                <w:szCs w:val="16"/>
                <w:color w:val="auto"/>
              </w:rPr>
              <w:t>/s/</w:t>
            </w:r>
          </w:p>
        </w:tc>
        <w:tc>
          <w:tcPr>
            <w:tcW w:w="2360" w:type="dxa"/>
            <w:vAlign w:val="bottom"/>
          </w:tcPr>
          <w:p>
            <w:pPr>
              <w:jc w:val="center"/>
              <w:ind w:right="764"/>
              <w:spacing w:after="0"/>
              <w:rPr>
                <w:sz w:val="20"/>
                <w:szCs w:val="20"/>
                <w:color w:val="auto"/>
              </w:rPr>
            </w:pPr>
            <w:r>
              <w:rPr>
                <w:rFonts w:ascii="Arial" w:cs="Arial" w:eastAsia="Arial" w:hAnsi="Arial"/>
                <w:sz w:val="16"/>
                <w:szCs w:val="16"/>
                <w:color w:val="auto"/>
                <w:w w:val="95"/>
              </w:rPr>
              <w:t>DAVID A. JONES, JR.</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84"/>
              <w:spacing w:after="0"/>
              <w:rPr>
                <w:sz w:val="20"/>
                <w:szCs w:val="20"/>
                <w:color w:val="auto"/>
              </w:rPr>
            </w:pPr>
            <w:r>
              <w:rPr>
                <w:rFonts w:ascii="Arial" w:cs="Arial" w:eastAsia="Arial" w:hAnsi="Arial"/>
                <w:sz w:val="14"/>
                <w:szCs w:val="14"/>
                <w:b w:val="1"/>
                <w:bCs w:val="1"/>
                <w:color w:val="auto"/>
                <w:w w:val="92"/>
              </w:rPr>
              <w:t>David A. Jones, Jr.</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9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2"/>
              </w:rPr>
              <w:t>/s/</w:t>
            </w:r>
          </w:p>
        </w:tc>
        <w:tc>
          <w:tcPr>
            <w:tcW w:w="2360" w:type="dxa"/>
            <w:vAlign w:val="bottom"/>
          </w:tcPr>
          <w:p>
            <w:pPr>
              <w:jc w:val="center"/>
              <w:ind w:right="764"/>
              <w:spacing w:after="0"/>
              <w:rPr>
                <w:sz w:val="20"/>
                <w:szCs w:val="20"/>
                <w:color w:val="auto"/>
              </w:rPr>
            </w:pPr>
            <w:r>
              <w:rPr>
                <w:rFonts w:ascii="Arial" w:cs="Arial" w:eastAsia="Arial" w:hAnsi="Arial"/>
                <w:sz w:val="16"/>
                <w:szCs w:val="16"/>
                <w:color w:val="auto"/>
                <w:w w:val="99"/>
              </w:rPr>
              <w:t>KAREN W. KATZ</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84"/>
              <w:spacing w:after="0"/>
              <w:rPr>
                <w:sz w:val="20"/>
                <w:szCs w:val="20"/>
                <w:color w:val="auto"/>
              </w:rPr>
            </w:pPr>
            <w:r>
              <w:rPr>
                <w:rFonts w:ascii="Arial" w:cs="Arial" w:eastAsia="Arial" w:hAnsi="Arial"/>
                <w:sz w:val="14"/>
                <w:szCs w:val="14"/>
                <w:b w:val="1"/>
                <w:bCs w:val="1"/>
                <w:color w:val="auto"/>
                <w:w w:val="97"/>
              </w:rPr>
              <w:t>Karen W. Katz</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960" w:type="dxa"/>
            <w:vAlign w:val="bottom"/>
          </w:tcPr>
          <w:p>
            <w:pPr>
              <w:ind w:left="680"/>
              <w:spacing w:after="0"/>
              <w:rPr>
                <w:sz w:val="20"/>
                <w:szCs w:val="20"/>
                <w:color w:val="auto"/>
              </w:rPr>
            </w:pPr>
            <w:r>
              <w:rPr>
                <w:rFonts w:ascii="Arial" w:cs="Arial" w:eastAsia="Arial" w:hAnsi="Arial"/>
                <w:sz w:val="16"/>
                <w:szCs w:val="16"/>
                <w:color w:val="auto"/>
              </w:rPr>
              <w:t>/s/</w:t>
            </w:r>
          </w:p>
        </w:tc>
        <w:tc>
          <w:tcPr>
            <w:tcW w:w="2560" w:type="dxa"/>
            <w:vAlign w:val="bottom"/>
            <w:gridSpan w:val="2"/>
          </w:tcPr>
          <w:p>
            <w:pPr>
              <w:jc w:val="center"/>
              <w:ind w:right="564"/>
              <w:spacing w:after="0"/>
              <w:rPr>
                <w:sz w:val="20"/>
                <w:szCs w:val="20"/>
                <w:color w:val="auto"/>
              </w:rPr>
            </w:pPr>
            <w:r>
              <w:rPr>
                <w:rFonts w:ascii="Arial" w:cs="Arial" w:eastAsia="Arial" w:hAnsi="Arial"/>
                <w:sz w:val="16"/>
                <w:szCs w:val="16"/>
                <w:color w:val="auto"/>
              </w:rPr>
              <w:t>WILLIAM J. MCDONALD</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560" w:type="dxa"/>
            <w:vAlign w:val="bottom"/>
            <w:gridSpan w:val="2"/>
          </w:tcPr>
          <w:p>
            <w:pPr>
              <w:jc w:val="center"/>
              <w:ind w:right="884"/>
              <w:spacing w:after="0"/>
              <w:rPr>
                <w:sz w:val="20"/>
                <w:szCs w:val="20"/>
                <w:color w:val="auto"/>
              </w:rPr>
            </w:pPr>
            <w:r>
              <w:rPr>
                <w:rFonts w:ascii="Arial" w:cs="Arial" w:eastAsia="Arial" w:hAnsi="Arial"/>
                <w:sz w:val="14"/>
                <w:szCs w:val="14"/>
                <w:b w:val="1"/>
                <w:bCs w:val="1"/>
                <w:color w:val="auto"/>
                <w:w w:val="97"/>
              </w:rPr>
              <w:t>William J. McDonald</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gridSpan w:val="2"/>
          </w:tcPr>
          <w:p>
            <w:pPr>
              <w:ind w:left="920"/>
              <w:spacing w:after="0"/>
              <w:rPr>
                <w:sz w:val="20"/>
                <w:szCs w:val="20"/>
                <w:color w:val="auto"/>
              </w:rPr>
            </w:pPr>
            <w:r>
              <w:rPr>
                <w:rFonts w:ascii="Arial" w:cs="Arial" w:eastAsia="Arial" w:hAnsi="Arial"/>
                <w:sz w:val="16"/>
                <w:szCs w:val="16"/>
                <w:color w:val="auto"/>
              </w:rPr>
              <w:t>/s/</w:t>
            </w:r>
          </w:p>
        </w:tc>
        <w:tc>
          <w:tcPr>
            <w:tcW w:w="2360" w:type="dxa"/>
            <w:vAlign w:val="bottom"/>
          </w:tcPr>
          <w:p>
            <w:pPr>
              <w:jc w:val="center"/>
              <w:ind w:right="764"/>
              <w:spacing w:after="0"/>
              <w:rPr>
                <w:sz w:val="20"/>
                <w:szCs w:val="20"/>
                <w:color w:val="auto"/>
              </w:rPr>
            </w:pPr>
            <w:r>
              <w:rPr>
                <w:rFonts w:ascii="Arial" w:cs="Arial" w:eastAsia="Arial" w:hAnsi="Arial"/>
                <w:sz w:val="16"/>
                <w:szCs w:val="16"/>
                <w:color w:val="auto"/>
                <w:w w:val="97"/>
              </w:rPr>
              <w:t>JAMES J. O’BRIEN</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jc w:val="center"/>
              <w:ind w:right="1064"/>
              <w:spacing w:after="0"/>
              <w:rPr>
                <w:sz w:val="20"/>
                <w:szCs w:val="20"/>
                <w:color w:val="auto"/>
              </w:rPr>
            </w:pPr>
            <w:r>
              <w:rPr>
                <w:rFonts w:ascii="Arial" w:cs="Arial" w:eastAsia="Arial" w:hAnsi="Arial"/>
                <w:sz w:val="14"/>
                <w:szCs w:val="14"/>
                <w:b w:val="1"/>
                <w:bCs w:val="1"/>
                <w:color w:val="auto"/>
                <w:w w:val="93"/>
              </w:rPr>
              <w:t>James J. O’Brien</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960" w:type="dxa"/>
            <w:vAlign w:val="bottom"/>
          </w:tcPr>
          <w:p>
            <w:pPr>
              <w:ind w:left="740"/>
              <w:spacing w:after="0"/>
              <w:rPr>
                <w:sz w:val="20"/>
                <w:szCs w:val="20"/>
                <w:color w:val="auto"/>
              </w:rPr>
            </w:pPr>
            <w:r>
              <w:rPr>
                <w:rFonts w:ascii="Arial" w:cs="Arial" w:eastAsia="Arial" w:hAnsi="Arial"/>
                <w:sz w:val="16"/>
                <w:szCs w:val="16"/>
                <w:color w:val="auto"/>
              </w:rPr>
              <w:t>/s/</w:t>
            </w:r>
          </w:p>
        </w:tc>
        <w:tc>
          <w:tcPr>
            <w:tcW w:w="2560" w:type="dxa"/>
            <w:vAlign w:val="bottom"/>
            <w:gridSpan w:val="2"/>
          </w:tcPr>
          <w:p>
            <w:pPr>
              <w:jc w:val="center"/>
              <w:ind w:right="564"/>
              <w:spacing w:after="0"/>
              <w:rPr>
                <w:sz w:val="20"/>
                <w:szCs w:val="20"/>
                <w:color w:val="auto"/>
              </w:rPr>
            </w:pPr>
            <w:r>
              <w:rPr>
                <w:rFonts w:ascii="Arial" w:cs="Arial" w:eastAsia="Arial" w:hAnsi="Arial"/>
                <w:sz w:val="16"/>
                <w:szCs w:val="16"/>
                <w:color w:val="auto"/>
                <w:w w:val="96"/>
              </w:rPr>
              <w:t>MARISSA T. PETERSON</w:t>
            </w:r>
          </w:p>
        </w:tc>
        <w:tc>
          <w:tcPr>
            <w:tcW w:w="3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0" w:type="dxa"/>
            <w:vAlign w:val="bottom"/>
          </w:tcPr>
          <w:p>
            <w:pPr>
              <w:spacing w:after="0"/>
              <w:rPr>
                <w:sz w:val="1"/>
                <w:szCs w:val="1"/>
                <w:color w:val="auto"/>
              </w:rPr>
            </w:pPr>
          </w:p>
        </w:tc>
      </w:tr>
      <w:tr>
        <w:trPr>
          <w:trHeight w:val="27"/>
        </w:trPr>
        <w:tc>
          <w:tcPr>
            <w:tcW w:w="9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560" w:type="dxa"/>
            <w:vAlign w:val="bottom"/>
            <w:gridSpan w:val="2"/>
          </w:tcPr>
          <w:p>
            <w:pPr>
              <w:jc w:val="center"/>
              <w:ind w:right="864"/>
              <w:spacing w:after="0"/>
              <w:rPr>
                <w:sz w:val="20"/>
                <w:szCs w:val="20"/>
                <w:color w:val="auto"/>
              </w:rPr>
            </w:pPr>
            <w:r>
              <w:rPr>
                <w:rFonts w:ascii="Arial" w:cs="Arial" w:eastAsia="Arial" w:hAnsi="Arial"/>
                <w:sz w:val="14"/>
                <w:szCs w:val="14"/>
                <w:b w:val="1"/>
                <w:bCs w:val="1"/>
                <w:color w:val="auto"/>
                <w:w w:val="92"/>
              </w:rPr>
              <w:t>Marissa T. Peterson</w:t>
            </w:r>
          </w:p>
        </w:tc>
        <w:tc>
          <w:tcPr>
            <w:tcW w:w="3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0" w:right="239" w:bottom="904"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1420"/>
          </w:cols>
          <w:pgMar w:left="240" w:top="1440" w:right="239" w:bottom="904" w:gutter="0" w:footer="0" w:header="0"/>
          <w:type w:val="continuous"/>
        </w:sectPr>
      </w:pPr>
    </w:p>
    <w:bookmarkStart w:id="142" w:name="page143"/>
    <w:bookmarkEnd w:id="142"/>
    <w:p>
      <w:pPr>
        <w:ind w:left="10500"/>
        <w:spacing w:after="0"/>
        <w:rPr>
          <w:sz w:val="20"/>
          <w:szCs w:val="20"/>
          <w:color w:val="auto"/>
        </w:rPr>
      </w:pPr>
      <w:r>
        <w:rPr>
          <w:rFonts w:ascii="Arial" w:cs="Arial" w:eastAsia="Arial" w:hAnsi="Arial"/>
          <w:sz w:val="16"/>
          <w:szCs w:val="16"/>
          <w:b w:val="1"/>
          <w:bCs w:val="1"/>
          <w:color w:val="auto"/>
        </w:rPr>
        <w:t>Exhibit 4(o)</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REGISTRANT’S SECURITIES REGISTERED PURSUANT TO SECTION 12 OF THE SECURITIES EXCHANGE ACT OF 1934</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following is a summary of information concerning our common stock, par value $.16 2/3 per share (the “common stock”). The summaries and descriptions below do not purport to be complete statements of, and are entirely qualified by, the relevant provisions of our Restated Certificate of Incorporation (the “certificate of incorporation”) and Amended and Restated By-Laws (the “by-laws”), each of which is filed as an exhibit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of the General Corporation Law of the State of Delaware (the “DGCL”).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New York Stock Exchange under the symbol “HUM.” The transfer agent and registrar for our common stock is American Stock Transfer &amp; Trust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authorized to issue up to 300,000,000 shares of common stock, par value $.16 2/3 per share, and 10,000,000 shares of preferred stock, par value $1 per share. Without stockholder action, our board of directors is authorized to provide for the issuance of shares of preferred stock in one or more classes or series, to establish from time to time the number of shares to be included in each such class or series, to fix the designation, voting powers, preferences and relative, participating, options or other special rights of the shares of each such class or series and any qualifications, limitations or restrictions thereof.</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any preferential rights of any outstanding shares of our preferred stock, the holders of our common stock are entitled to receive, to the extent permitted by law, dividends as and when declared by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the liquidation or dissolution of our company, the holders of common stock will be entitled to receive ratably the balance of net assets available for distribution after payment of any liquidation or distribution preference payable with respect to any then outstanding shares of our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our common stock is entitled to one vote with respect to matters brought before the stockholders. All voting is on a non-cumulative basis. All of our directors are elected at the annual meeting of our stockholders. Under our certificate of incorporation, neither our board of directors nor our stockholders may authorize the election of directors by cumulative voting or classify our directors by terms differing in dated of expiration without unanimous approval of our stockholders.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provide that nominees for director are elected by a majority vote standard in uncontested elections, and by a plurality vote standard in contested elections. We have a resignation policy applicable to any nominee who is an incumbent director who fails to be re-elected in an uncontested election. Any director may be removed from office, either with or without cause, by the affirmative vote of the holders of a majority of all of the shares of stock outstanding and entitled to vote for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preemptive, conversion, redemption or sinking fund provisions applicable to our common stock. The rights and privileges of our common stock will be subordinate to the rights and preferences of any shares of our preferred stock that we may issue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shares of our common stock are fully paid and non-assessable.</w:t>
      </w:r>
    </w:p>
    <w:p>
      <w:pPr>
        <w:sectPr>
          <w:pgSz w:w="11900" w:h="16838" w:orient="portrait"/>
          <w:cols w:equalWidth="0" w:num="1">
            <w:col w:w="11420"/>
          </w:cols>
          <w:pgMar w:left="240" w:top="553"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Proxy Access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by-laws permit a stockholder, or a group of up to 20 stockholders, owning at least three percent of our outstanding common stock continuously for at least three years to nominate and include in our annual meeting proxy materials director nominees constituting up to the greater of two directors or twenty percent of our board of directors, provided that the stockholders and nominees satisfy the requirements specified in our by-laws.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Certain Provisions of Our Certificate of Incorporation and By-Laws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provisions of Delaware law, our certificate of incorporation and by-laws may have the effect of delaying, deferring or discouraging another person from acquiring control of our company, including takeover attempts that might result in a premium over the market price for the shares of common stock. These provisions, described below, could deprive the stockholders of opportunities to realize a premium on the shares of our common stock owned by them.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203 of the DGCL prohibits a publicly held Delaware corporation from engaging in a business combination with an interested stockholder for a period of three years after the time that the person became an interested stockholder, unless the business combination or the transaction in which such person became an interested stockholder is approved in a prescribed manner or another prescribed exemption applies. Generally, a “business combination” is defined to include mergers, asset sales, and other transactions resulting in financial benefit to a stockholder, and an “ interested stockholder” is defined as any person or entity, together with its affiliates and associates, that is, at any time within the past three years was, the beneficial owner of at least 15% of a corporation’s outstanding voting stock. The statute could prohibit or delay mergers or other takeovers or change-in-control attempts and, accordingly, may discourage attempts to acquire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Requirements for Business Combinations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DGCL generally provides that, subject to certain exceptions, the affirmative vote of a majority of the shares of a Delaware corporation entitled to vote on any matter is required to approve mergers, consolidations or the sale of all or substantially all of such corporation’s assets unless otherwise provided in such corporation’s certificate of incorporation.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Article Eleventh of our certificate of incorporation provides that the affirmative vote of three-fourths of our outstanding shares entitled to vote thereon will be required for our stockholders to:</w:t>
      </w:r>
    </w:p>
    <w:p>
      <w:pPr>
        <w:spacing w:after="0" w:line="17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adopt any agreement for the merger or consolidation of us with or into a related company or an affiliate of a related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the sale or lease of all or substantially all of our assets to a related company or affiliate of a related company;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the sale or lease to us or any of our subsidiaries of any assets of a related company or an affiliate of a related company in exchange for our equity securities.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provision is not applicable to any such transaction if our board of directors approves the applicable transaction with a related company or affiliate prior to the time that the related company or affiliate became a holder of more than 5% of any class of our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Under Article Eleventh of our certificate of incorporation,</w:t>
      </w:r>
    </w:p>
    <w:p>
      <w:pPr>
        <w:spacing w:after="0" w:line="225" w:lineRule="exact"/>
        <w:rPr>
          <w:sz w:val="20"/>
          <w:szCs w:val="20"/>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“related company” in respect of any given transaction is any company, person or other entity which by itself or together with its affiliates and associates is the beneficial owner, directly or indirectly, of more than 5% of any class of our equity securities as of the record date for the determination of stockholders entitled to vote on such transactions;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“affiliate” of a related company is any company, person or other entity which, directly or indirectly, through one or more intermediaries, controls or is controlled by, or is under common control with, the related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“associate” of a related company is any officer, director or beneficial owner, directly or indirectly, of 5% or more of any class of equity securities of such related company or any of its affiliates.</w:t>
      </w:r>
    </w:p>
    <w:p>
      <w:pPr>
        <w:sectPr>
          <w:pgSz w:w="11900" w:h="16838" w:orient="portrait"/>
          <w:cols w:equalWidth="0" w:num="1">
            <w:col w:w="11420"/>
          </w:cols>
          <w:pgMar w:left="240" w:top="553" w:right="239" w:bottom="1440" w:gutter="0" w:footer="0" w:header="0"/>
        </w:sectPr>
      </w:pPr>
    </w:p>
    <w:bookmarkStart w:id="144" w:name="page145"/>
    <w:bookmarkEnd w:id="144"/>
    <w:p>
      <w:pPr>
        <w:jc w:val="both"/>
        <w:spacing w:after="0" w:line="277" w:lineRule="auto"/>
        <w:rPr>
          <w:sz w:val="20"/>
          <w:szCs w:val="20"/>
          <w:color w:val="auto"/>
        </w:rPr>
      </w:pPr>
      <w:r>
        <w:rPr>
          <w:rFonts w:ascii="Arial" w:cs="Arial" w:eastAsia="Arial" w:hAnsi="Arial"/>
          <w:sz w:val="18"/>
          <w:szCs w:val="18"/>
          <w:color w:val="auto"/>
        </w:rPr>
        <w:t>The provisions of Article Eleventh of our certificate of incorporation may not be amended without the affirmative vote of three-fourths of our outstanding shares entitled to vote thereon.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Notice Procedures for Stockholder Proposals and Director Nominations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by-laws set forth advance notice provisions with respect to stockholders seeking to bring business before an annual meeting of stockholders, or to nominate candidates for election as directors at an annual meeting of stockholders or special meeting of stockholders called by our board of directors for that purpose. Our by-laws also specify various requirements as to the timing, form and content of a stockholder’s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Special meetings of our stockholders may be held if our board of directors, its chairman, our chief executive officer or our president calls a meeting. However, these persons must call a meeting if stockholders owning one-fourth of our shares then issued and outstanding and entitled to vote on matters to be submitted to our stockholders request in writing that a meeting be held, subject to certain requirements specified in our by-laws.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ability of our board of directors to establish the rights and issue substantial amounts of preferred stock without the need for stockholder approval, while providing desirable flexibility in connection with possible acquisitions, financings and other corporate transactions, may discourage, delay, defer or prevent a change of control of us.</w:t>
      </w:r>
    </w:p>
    <w:p>
      <w:pPr>
        <w:sectPr>
          <w:pgSz w:w="11900" w:h="16838" w:orient="portrait"/>
          <w:cols w:equalWidth="0" w:num="1">
            <w:col w:w="11420"/>
          </w:cols>
          <w:pgMar w:left="240" w:top="557"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HUMANA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SUBSIDIARY LIST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ARKANSAS</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Humana Regional Health Plan,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CALIFORNIA</w:t>
      </w:r>
    </w:p>
    <w:p>
      <w:pPr>
        <w:spacing w:after="0" w:line="27"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Humana EAP and Work-Life Services of California,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Humana Health Plan of California,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DELAWARE</w:t>
      </w:r>
    </w:p>
    <w:p>
      <w:pPr>
        <w:spacing w:after="0" w:line="27"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Atlantis Physician Group, LLC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CDO 1, LLC</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CDO 2, LLC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CompBenefits Corporation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CompBenefits Direct, Inc.</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Conviva Care Solutions, LLC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Edge Health MSO,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Emphesys,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FPG Acquisition Corp.</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FPG Acquisition Holdings Corp.</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FPG Holding Company,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Go365,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Health Value Management,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 Provider Holdings,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at Home,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Digital Health and Analytics Platform Services,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Government Business,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Innovation Enterprises,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Pharmacy,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Veterans Healthcare Services,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 WellWorks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HumanaDental,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MCCI Group Holdings,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MCCI Holding,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North Region Providers,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Primary Care Holdings,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Primary Care Holdings II, LLC</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Transcend Population Health Management, LLC</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Transcend Population Health Management II,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FLORIDA</w:t>
      </w:r>
    </w:p>
    <w:p>
      <w:pPr>
        <w:spacing w:after="0" w:line="27"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154th Street Medical Plaza,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54th Street Medical Plaza,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CAC Medical Center Holdings,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CAC-Florida Medical Centers, LLC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Care Partners Home Care, LLC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CarePlus Health Plans,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CompBenefits Company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Complex Clinical Management,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Continucare Corporation</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Continucare MDHC, LLC</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Continucare Medical Management,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Family Physicians of Winter Park,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FPG Senior Services,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HUM-e-FL,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Humana At Home 1, Inc.</w:t>
      </w:r>
    </w:p>
    <w:p>
      <w:pPr>
        <w:sectPr>
          <w:pgSz w:w="11900" w:h="16838" w:orient="portrait"/>
          <w:cols w:equalWidth="0" w:num="1">
            <w:col w:w="10219"/>
          </w:cols>
          <w:pgMar w:left="240" w:top="553" w:right="1440" w:bottom="1440" w:gutter="0" w:footer="0" w:header="0"/>
        </w:sectPr>
      </w:pPr>
    </w:p>
    <w:bookmarkStart w:id="146" w:name="page147"/>
    <w:bookmarkEnd w:id="146"/>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Humana Dental Company</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Humana Health Insurance Company of Florida,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Humana Medical Plan,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MCCI Specialty,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MCCI/Lifetime of Aventura,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METCARE of Florida,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Metropolitan Health Networks,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Naples Health Care Specialists,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Nursing Solutions,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Partners in Integrated Care,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Primary Care Specialists of the Palm Beaches,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RMA Island Doctors Orlando MSO,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RMA Medical Center of Orlando,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RMA Medical Center of South Orlando,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RMA Medical Center of Sunrise,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RMA Medical Centers of Florida,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RMA Medical Group of Florida, LLC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SeniorBridge Family Companies (FL),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SeniorBridge-Florida,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GEORGIA</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Humana Employers Health Plan of Georgia,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ILLINOIS</w:t>
      </w:r>
    </w:p>
    <w:p>
      <w:pPr>
        <w:spacing w:after="0" w:line="27"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CompBenefits Dental,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Dental Care Plus Management, Corp.</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Humana Benefit Plan of Illinois,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Humana Healthcare Research,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INDIANA</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SeniorBridge Family Companies (IN),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KENTUCKY</w:t>
      </w:r>
    </w:p>
    <w:p>
      <w:pPr>
        <w:spacing w:after="0" w:line="27"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516-526 West Main Street Condominium Council of Co-Owners, Inc.</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 HMO,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Humana Active Outlook,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Humana Health Plan, Inc.</w:t>
      </w:r>
    </w:p>
    <w:p>
      <w:pPr>
        <w:spacing w:after="0" w:line="211"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Humana MarketPOINT, Inc.</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Humana Pharmacy Solutions,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Humana Real Estate Company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Humco, Inc.</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Dental Concern,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LOUISIANA</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Humana Health Benefit Plan of Louisiana,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MICHIGAN</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Humana Medical Plan of Michigan,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YORK</w:t>
      </w:r>
    </w:p>
    <w:p>
      <w:pPr>
        <w:spacing w:after="0" w:line="27"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Harris, Rothenberg International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Humana Health Company of New York,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Humana Insurance Company of New York</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SeniorBridge Family Companies (NY),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OHIO</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Humana Health Plan of Ohio, Inc.</w:t>
      </w:r>
    </w:p>
    <w:p>
      <w:pPr>
        <w:sectPr>
          <w:pgSz w:w="11900" w:h="16838" w:orient="portrait"/>
          <w:cols w:equalWidth="0" w:num="1">
            <w:col w:w="10219"/>
          </w:cols>
          <w:pgMar w:left="240" w:top="557" w:right="1440" w:bottom="1440" w:gutter="0" w:footer="0" w:header="0"/>
        </w:sectPr>
      </w:pPr>
    </w:p>
    <w:bookmarkStart w:id="147" w:name="page148"/>
    <w:bookmarkEnd w:id="147"/>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Hummingbird Coaching Systems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PENNSYLVANIA</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Humana Medical Plan of Pennsylvania,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PUERTO RICO</w:t>
      </w:r>
    </w:p>
    <w:p>
      <w:pPr>
        <w:spacing w:after="0" w:line="27"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Humana Health Plans of Puerto Rico,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Humana Insurance of Puerto Rico,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Humana Management Services of Puerto Rico,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Humana MarketPOINT of Puerto Rico,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Carolina</w:t>
      </w:r>
    </w:p>
    <w:p>
      <w:pPr>
        <w:spacing w:after="0" w:line="27"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Humana Benefit Plan of South Carolina,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TENNESSEE</w:t>
      </w:r>
    </w:p>
    <w:p>
      <w:pPr>
        <w:spacing w:after="0" w:line="27"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Cariten Health Plan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PHP Companies,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Preferred Health Partnership,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TEXAS</w:t>
      </w:r>
    </w:p>
    <w:p>
      <w:pPr>
        <w:spacing w:after="0" w:line="27"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CompBenefits Insurance Company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DentiCare,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Emphesys Insurance Company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Humana At Home (Dallas),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Humana At Home (Houston),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Humana At Home (San Antonio),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Humana At Home (TLC),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Humana Benefit Plan of Texas,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Humana Health Plan of Texas, Inc.</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Medical Care Consortium Incorporated of Texas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ROHC, L.L.C.</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Texas Dental Plans,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Humana Medical Plan of Utah,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VERMONT</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Managed Care Indemnity,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WASHINGTON</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Arcadian Health Plan,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WISCONSIN</w:t>
      </w:r>
    </w:p>
    <w:p>
      <w:pPr>
        <w:spacing w:after="0" w:line="27"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CareNetwork, Inc.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Humana Insurance Company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Humana Wisconsin Health Organization Insurance Corporation</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HumanaDental Insurance Company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Independent Care Health Plan</w:t>
      </w:r>
    </w:p>
    <w:p>
      <w:pPr>
        <w:sectPr>
          <w:pgSz w:w="11900" w:h="16838" w:orient="portrait"/>
          <w:cols w:equalWidth="0" w:num="1">
            <w:col w:w="10219"/>
          </w:cols>
          <w:pgMar w:left="240" w:top="557" w:right="1440"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33-49305, No. 333-04435, No. 333-57095, No. 333-86801, No. 333-41408, No. 333-86280, No. 333-105622, No. 333-134887, No. 333-162747, No. 333-171616, and No. 333-175350) and S-3 (No. 333-223554) of Humana Inc. of our report dated February 20, 2020 relating to the financial statements and financial statement schedules and the effectiveness of internal control over financial reporting, which appears in this Form 10-K.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Louisville, Kentucky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400"/>
          </w:cols>
          <w:pgMar w:left="240" w:top="1017"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D. Broussard, principal executive officer of Humana Inc., certify that:</w:t>
      </w:r>
    </w:p>
    <w:p>
      <w:pPr>
        <w:spacing w:after="0" w:line="171"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Humana Inc.;</w:t>
      </w:r>
    </w:p>
    <w:p>
      <w:pPr>
        <w:spacing w:after="0" w:line="171" w:lineRule="exact"/>
        <w:rPr>
          <w:rFonts w:ascii="Arial" w:cs="Arial" w:eastAsia="Arial" w:hAnsi="Arial"/>
          <w:sz w:val="18"/>
          <w:szCs w:val="18"/>
          <w:color w:val="auto"/>
        </w:rPr>
      </w:pPr>
    </w:p>
    <w:p>
      <w:pPr>
        <w:jc w:val="both"/>
        <w:ind w:left="660" w:right="4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660" w:right="260" w:hanging="4"/>
        <w:spacing w:after="0" w:line="277" w:lineRule="auto"/>
        <w:tabs>
          <w:tab w:leader="none" w:pos="8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58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February 20, 2020</w:t>
            </w:r>
          </w:p>
        </w:tc>
      </w:tr>
      <w:tr>
        <w:trPr>
          <w:trHeight w:val="594"/>
        </w:trPr>
        <w:tc>
          <w:tcPr>
            <w:tcW w:w="1580" w:type="dxa"/>
            <w:vAlign w:val="bottom"/>
          </w:tcPr>
          <w:p>
            <w:pPr>
              <w:spacing w:after="0"/>
              <w:rPr>
                <w:sz w:val="20"/>
                <w:szCs w:val="20"/>
                <w:color w:val="auto"/>
              </w:rPr>
            </w:pPr>
            <w:r>
              <w:rPr>
                <w:rFonts w:ascii="Arial" w:cs="Arial" w:eastAsia="Arial" w:hAnsi="Arial"/>
                <w:sz w:val="18"/>
                <w:szCs w:val="18"/>
                <w:color w:val="auto"/>
              </w:rPr>
              <w:t>Signature:</w:t>
            </w:r>
          </w:p>
        </w:tc>
        <w:tc>
          <w:tcPr>
            <w:tcW w:w="4900" w:type="dxa"/>
            <w:vAlign w:val="bottom"/>
          </w:tcPr>
          <w:p>
            <w:pPr>
              <w:ind w:left="20"/>
              <w:spacing w:after="0"/>
              <w:rPr>
                <w:sz w:val="20"/>
                <w:szCs w:val="20"/>
                <w:color w:val="auto"/>
              </w:rPr>
            </w:pPr>
            <w:r>
              <w:rPr>
                <w:rFonts w:ascii="Arial" w:cs="Arial" w:eastAsia="Arial" w:hAnsi="Arial"/>
                <w:sz w:val="18"/>
                <w:szCs w:val="18"/>
                <w:color w:val="auto"/>
              </w:rPr>
              <w:t>/s/ BRUCE D. BROUSSARD</w:t>
            </w:r>
          </w:p>
        </w:tc>
      </w:tr>
      <w:tr>
        <w:trPr>
          <w:trHeight w:val="27"/>
        </w:trPr>
        <w:tc>
          <w:tcPr>
            <w:tcW w:w="15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1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Bruce D. Broussard</w:t>
            </w:r>
          </w:p>
        </w:tc>
      </w:tr>
      <w:tr>
        <w:trPr>
          <w:trHeight w:val="230"/>
        </w:trPr>
        <w:tc>
          <w:tcPr>
            <w:tcW w:w="15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3"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Brian A. Kane, principal financial officer of Humana Inc., certify that:</w:t>
      </w:r>
    </w:p>
    <w:p>
      <w:pPr>
        <w:spacing w:after="0" w:line="19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Humana Inc.;</w:t>
      </w:r>
    </w:p>
    <w:p>
      <w:pPr>
        <w:spacing w:after="0" w:line="171" w:lineRule="exact"/>
        <w:rPr>
          <w:rFonts w:ascii="Arial" w:cs="Arial" w:eastAsia="Arial" w:hAnsi="Arial"/>
          <w:sz w:val="18"/>
          <w:szCs w:val="18"/>
          <w:color w:val="auto"/>
        </w:rPr>
      </w:pPr>
    </w:p>
    <w:p>
      <w:pPr>
        <w:jc w:val="both"/>
        <w:ind w:left="660" w:right="4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660" w:right="260" w:hanging="4"/>
        <w:spacing w:after="0" w:line="277" w:lineRule="auto"/>
        <w:tabs>
          <w:tab w:leader="none" w:pos="8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250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February 20, 2020</w:t>
            </w:r>
          </w:p>
        </w:tc>
      </w:tr>
      <w:tr>
        <w:trPr>
          <w:trHeight w:val="594"/>
        </w:trPr>
        <w:tc>
          <w:tcPr>
            <w:tcW w:w="2500" w:type="dxa"/>
            <w:vAlign w:val="bottom"/>
          </w:tcPr>
          <w:p>
            <w:pPr>
              <w:spacing w:after="0"/>
              <w:rPr>
                <w:sz w:val="20"/>
                <w:szCs w:val="20"/>
                <w:color w:val="auto"/>
              </w:rPr>
            </w:pPr>
            <w:r>
              <w:rPr>
                <w:rFonts w:ascii="Arial" w:cs="Arial" w:eastAsia="Arial" w:hAnsi="Arial"/>
                <w:sz w:val="18"/>
                <w:szCs w:val="18"/>
                <w:color w:val="auto"/>
              </w:rPr>
              <w:t>Signature:</w:t>
            </w:r>
          </w:p>
        </w:tc>
        <w:tc>
          <w:tcPr>
            <w:tcW w:w="4900" w:type="dxa"/>
            <w:vAlign w:val="bottom"/>
          </w:tcPr>
          <w:p>
            <w:pPr>
              <w:ind w:left="20"/>
              <w:spacing w:after="0"/>
              <w:rPr>
                <w:sz w:val="20"/>
                <w:szCs w:val="20"/>
                <w:color w:val="auto"/>
              </w:rPr>
            </w:pPr>
            <w:r>
              <w:rPr>
                <w:rFonts w:ascii="Arial" w:cs="Arial" w:eastAsia="Arial" w:hAnsi="Arial"/>
                <w:sz w:val="18"/>
                <w:szCs w:val="18"/>
                <w:color w:val="auto"/>
              </w:rPr>
              <w:t>/s/ BRIAN A. KANE</w:t>
            </w:r>
          </w:p>
        </w:tc>
      </w:tr>
      <w:tr>
        <w:trPr>
          <w:trHeight w:val="27"/>
        </w:trPr>
        <w:tc>
          <w:tcPr>
            <w:tcW w:w="25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25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Brian A. Kane</w:t>
            </w:r>
          </w:p>
        </w:tc>
      </w:tr>
      <w:tr>
        <w:trPr>
          <w:trHeight w:val="230"/>
        </w:trPr>
        <w:tc>
          <w:tcPr>
            <w:tcW w:w="25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3"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the Annual Report of Humana Inc. (the “Company”) on Form 10-K for the period ended December 31, 2019 as filed with the Securities and Exchange Commission on the date hereof (the “Report”), each of the undersigned hereby certifies, pursuant to 18 U.S.C. Sec. 1350, as adopted pursuant to Sec. 906 of the Sarbanes-Oxley Act of 2002, in his capacity as an officer of Humana Inc., that:</w:t>
      </w:r>
    </w:p>
    <w:p>
      <w:pPr>
        <w:spacing w:after="0" w:line="127"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BRUCE D. BROUSSARD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792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Bruce D. Broussard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(Principal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79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A. Kane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Humana Inc. and will be retained by Humana Inc.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1)"/>
      <w:numFmt w:val="decimal"/>
      <w:start w:val="4"/>
    </w:lvl>
  </w:abstractNum>
  <w:abstractNum w:abstractNumId="4">
    <w:nsid w:val="51EAD36B"/>
    <w:multiLevelType w:val="hybridMultilevel"/>
    <w:lvl w:ilvl="0">
      <w:lvlJc w:val="left"/>
      <w:lvlText w:val="(%1)"/>
      <w:numFmt w:val="decimal"/>
      <w:start w:val="1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lowerLetter"/>
      <w:start w:val="1"/>
    </w:lvl>
  </w:abstractNum>
  <w:abstractNum w:abstractNumId="13">
    <w:nsid w:val="725A06FB"/>
    <w:multiLevelType w:val="hybridMultilevel"/>
    <w:lvl w:ilvl="0">
      <w:lvlJc w:val="left"/>
      <w:lvlText w:val="&amp;"/>
      <w:numFmt w:val="bullet"/>
      <w:start w:val="1"/>
    </w:lvl>
  </w:abstractNum>
  <w:abstractNum w:abstractNumId="14">
    <w:nsid w:val="2CD89A32"/>
    <w:multiLevelType w:val="hybridMultilevel"/>
    <w:lvl w:ilvl="0">
      <w:lvlJc w:val="left"/>
      <w:lvlText w:val="•"/>
      <w:numFmt w:val="bullet"/>
      <w:start w:val="1"/>
    </w:lvl>
    <w:lvl w:ilvl="1">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lowerLetter"/>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lowerLetter"/>
      <w:start w:val="2"/>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amp;"/>
      <w:numFmt w:val="bullet"/>
      <w:start w:val="1"/>
    </w:lvl>
  </w:abstractNum>
  <w:abstractNum w:abstractNumId="42">
    <w:nsid w:val="47398C89"/>
    <w:multiLevelType w:val="hybridMultilevel"/>
    <w:lvl w:ilvl="0">
      <w:lvlJc w:val="left"/>
      <w:lvlText w:val="%1."/>
      <w:numFmt w:val="decimal"/>
      <w:start w:val="6"/>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3"/>
    </w:lvl>
  </w:abstractNum>
  <w:abstractNum w:abstractNumId="48">
    <w:nsid w:val="3F6AB60F"/>
    <w:multiLevelType w:val="hybridMultilevel"/>
    <w:lvl w:ilvl="0">
      <w:lvlJc w:val="left"/>
      <w:lvlText w:val="(%1)"/>
      <w:numFmt w:val="lowerLetter"/>
      <w:start w:val="2"/>
    </w:lvl>
  </w:abstractNum>
  <w:abstractNum w:abstractNumId="49">
    <w:nsid w:val="61574095"/>
    <w:multiLevelType w:val="hybridMultilevel"/>
    <w:lvl w:ilvl="0">
      <w:lvlJc w:val="left"/>
      <w:lvlText w:val="(%1)"/>
      <w:numFmt w:val="lowerLetter"/>
      <w:start w:val="2"/>
    </w:lvl>
  </w:abstractNum>
  <w:abstractNum w:abstractNumId="50">
    <w:nsid w:val="7E0C57B1"/>
    <w:multiLevelType w:val="hybridMultilevel"/>
    <w:lvl w:ilvl="0">
      <w:lvlJc w:val="left"/>
      <w:lvlText w:val="(%1)"/>
      <w:numFmt w:val="lowerLetter"/>
      <w:start w:val="7"/>
    </w:lvl>
  </w:abstractNum>
  <w:abstractNum w:abstractNumId="51">
    <w:nsid w:val="77AE35EB"/>
    <w:multiLevelType w:val="hybridMultilevel"/>
    <w:lvl w:ilvl="0">
      <w:lvlJc w:val="left"/>
      <w:lvlText w:val="(%1)"/>
      <w:numFmt w:val="lowerLetter"/>
      <w:start w:val="15"/>
    </w:lvl>
  </w:abstractNum>
  <w:abstractNum w:abstractNumId="52">
    <w:nsid w:val="579BE4F1"/>
    <w:multiLevelType w:val="hybridMultilevel"/>
    <w:lvl w:ilvl="0">
      <w:lvlJc w:val="left"/>
      <w:lvlText w:val="(%1)"/>
      <w:numFmt w:val="lowerLetter"/>
      <w:start w:val="28"/>
    </w:lvl>
  </w:abstractNum>
  <w:abstractNum w:abstractNumId="53">
    <w:nsid w:val="310C50B3"/>
    <w:multiLevelType w:val="hybridMultilevel"/>
    <w:lvl w:ilvl="0">
      <w:lvlJc w:val="left"/>
      <w:lvlText w:val="%1"/>
      <w:numFmt w:val="decimal"/>
      <w:start w:val="14"/>
    </w:lvl>
  </w:abstractNum>
  <w:abstractNum w:abstractNumId="54">
    <w:nsid w:val="5FF87E05"/>
    <w:multiLevelType w:val="hybridMultilevel"/>
    <w:lvl w:ilvl="0">
      <w:lvlJc w:val="left"/>
      <w:lvlText w:val="%1"/>
      <w:numFmt w:val="decimal"/>
      <w:start w:val="10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6"/>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6"/>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70" Type="http://schemas.openxmlformats.org/officeDocument/2006/relationships/image" Target="media/image34.png"/><Relationship Id="rId71" Type="http://schemas.openxmlformats.org/officeDocument/2006/relationships/image" Target="media/image35.png"/><Relationship Id="rId41" Type="http://schemas.openxmlformats.org/officeDocument/2006/relationships/hyperlink" Target="http://www.sec.gov/Archives/edgar/data/49071/000004907116000117/hum-20151231x10kxex10a.htm" TargetMode="External"/><Relationship Id="rId42" Type="http://schemas.openxmlformats.org/officeDocument/2006/relationships/hyperlink" Target="http://www.sec.gov/Archives/edgar/data/49071/000004907116000117/hum-20151231x10kxex10b.htm" TargetMode="External"/><Relationship Id="rId43" Type="http://schemas.openxmlformats.org/officeDocument/2006/relationships/hyperlink" Target="http://www.sec.gov/Archives/edgar/data/49071/000004907119000105/hum20190930exhibit10-1.htm" TargetMode="External"/><Relationship Id="rId44" Type="http://schemas.openxmlformats.org/officeDocument/2006/relationships/hyperlink" Target="http://www.sec.gov/Archives/edgar/data/49071/000119312513069911/d446200dex10m.htm" TargetMode="External"/><Relationship Id="rId45" Type="http://schemas.openxmlformats.org/officeDocument/2006/relationships/hyperlink" Target="http://www.sec.gov/Archives/edgar/data/49071/000004907119000023/hum2018123110kex10f.htm" TargetMode="External"/><Relationship Id="rId46" Type="http://schemas.openxmlformats.org/officeDocument/2006/relationships/hyperlink" Target="http://www.sec.gov/Archives/edgar/data/49071/000004907111000014/exhibit4-1.htm" TargetMode="External"/><Relationship Id="rId47" Type="http://schemas.openxmlformats.org/officeDocument/2006/relationships/hyperlink" Target="http://www.sec.gov/Archives/edgar/data/49071/000119312511039288/dex10p.htm" TargetMode="External"/><Relationship Id="rId48" Type="http://schemas.openxmlformats.org/officeDocument/2006/relationships/hyperlink" Target="http://www.sec.gov/Archives/edgar/data/49071/000119312504188013/dex10a.htm" TargetMode="External"/><Relationship Id="rId49" Type="http://schemas.openxmlformats.org/officeDocument/2006/relationships/hyperlink" Target="http://www.sec.gov/Archives/edgar/data/49071/000004907116000117/hum-20151231x10kxex10o.htm" TargetMode="External"/><Relationship Id="rId50" Type="http://schemas.openxmlformats.org/officeDocument/2006/relationships/hyperlink" Target="http://www.sec.gov/Archives/edgar/data/49071/000119312513069911/d446200dex10v.htm" TargetMode="External"/><Relationship Id="rId51" Type="http://schemas.openxmlformats.org/officeDocument/2006/relationships/hyperlink" Target="http://www.sec.gov/Archives/edgar/data/49071/000004907116000117/hum-20151231x10kxex10q.htm" TargetMode="External"/><Relationship Id="rId52" Type="http://schemas.openxmlformats.org/officeDocument/2006/relationships/hyperlink" Target="http://www.sec.gov/Archives/edgar/data/49071/000119312511057037/ddef14a.htm" TargetMode="External"/><Relationship Id="rId53" Type="http://schemas.openxmlformats.org/officeDocument/2006/relationships/hyperlink" Target="http://www.sec.gov/Archives/edgar/data/49071/000004907114000053/humana8-k02282014ex10.htm" TargetMode="External"/><Relationship Id="rId54" Type="http://schemas.openxmlformats.org/officeDocument/2006/relationships/hyperlink" Target="http://www.sec.gov/Archives/edgar/data/49071/000119312515249229/d41670dex101.htm" TargetMode="External"/><Relationship Id="rId55" Type="http://schemas.openxmlformats.org/officeDocument/2006/relationships/hyperlink" Target="http://www.sec.gov/Archives/edgar/data/49071/000119312518253067/d603469dex101.htm" TargetMode="External"/><Relationship Id="rId56" Type="http://schemas.openxmlformats.org/officeDocument/2006/relationships/hyperlink" Target="http://www.sec.gov/Archives/edgar/data/49071/000004907119000023/hum-20181231x10kxex10aa.htm" TargetMode="External"/><Relationship Id="rId57" Type="http://schemas.openxmlformats.org/officeDocument/2006/relationships/hyperlink" Target="http://www.sec.gov/Archives/edgar/data/49071/000004907116000117/hum-20151231x10kxex10kk.htm" TargetMode="External"/><Relationship Id="rId58" Type="http://schemas.openxmlformats.org/officeDocument/2006/relationships/hyperlink" Target="http://www.sec.gov/Archives/edgar/data/49071/000004907118000014/hum-20171231x10kxex10nn.htm" TargetMode="External"/><Relationship Id="rId59" Type="http://schemas.openxmlformats.org/officeDocument/2006/relationships/hyperlink" Target="http://www.sec.gov/Archives/edgar/data/49071/000004907119000023/hum-20181231x10kxex10ff.htm" TargetMode="External"/><Relationship Id="rId60" Type="http://schemas.openxmlformats.org/officeDocument/2006/relationships/hyperlink" Target="http://www.sec.gov/Archives/edgar/data/49071/000004907119000023/hum-20181231x10kxex10gg.htm" TargetMode="External"/><Relationship Id="rId61" Type="http://schemas.openxmlformats.org/officeDocument/2006/relationships/hyperlink" Target="http://www.sec.gov/Archives/edgar/data/49071/000004907119000023/hum-20181231x10kxex10hh.htm" TargetMode="External"/><Relationship Id="rId62" Type="http://schemas.openxmlformats.org/officeDocument/2006/relationships/hyperlink" Target="http://www.sec.gov/Archives/edgar/data/49071/000004907119000023/hum-20181231x10kxex10ii.htm" TargetMode="External"/><Relationship Id="rId63" Type="http://schemas.openxmlformats.org/officeDocument/2006/relationships/hyperlink" Target="http://www.sec.gov/Archives/edgar/data/49071/000004907119000023/hum-20181231x10kxex10jj.htm" TargetMode="External"/><Relationship Id="rId64" Type="http://schemas.openxmlformats.org/officeDocument/2006/relationships/hyperlink" Target="http://www.sec.gov/Archives/edgar/data/49071/000119312519064676/d662496ddef14a.htm" TargetMode="External"/><Relationship Id="rId65" Type="http://schemas.openxmlformats.org/officeDocument/2006/relationships/hyperlink" Target="http://www.sec.gov/Archives/edgar/data/49071/000004907119000061/hum20190331ex102.htm" TargetMode="External"/><Relationship Id="rId66" Type="http://schemas.openxmlformats.org/officeDocument/2006/relationships/hyperlink" Target="http://www.sec.gov/Archives/edgar/data/49071/000004907119000061/hum20190331ex103.htm" TargetMode="External"/><Relationship Id="rId67" Type="http://schemas.openxmlformats.org/officeDocument/2006/relationships/hyperlink" Target="http://www.sec.gov/Archives/edgar/data/49071/000004907119000061/hum20190331ex104.htm" TargetMode="External"/><Relationship Id="rId68" Type="http://schemas.openxmlformats.org/officeDocument/2006/relationships/hyperlink" Target="http://www.sec.gov/Archives/edgar/data/49071/000004907119000061/hum20190331ex105.htm" TargetMode="External"/><Relationship Id="rId69" Type="http://schemas.openxmlformats.org/officeDocument/2006/relationships/hyperlink" Target="http://www.sec.gov/Archives/edgar/data/49071/000004907119000061/hum20190331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2020-02-20T14:45:33Z</dcterms:created>
  <dcterms:modified xsi:type="dcterms:W3CDTF">2020-02-20T14:45:33Z</dcterms:modified>
</cp:coreProperties>
</file>