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8, 2020 (September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Humana Inc.</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296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6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001-05975</w:t>
            </w:r>
          </w:p>
        </w:tc>
        <w:tc>
          <w:tcPr>
            <w:tcW w:w="2480" w:type="dxa"/>
            <w:vAlign w:val="bottom"/>
          </w:tcPr>
          <w:p>
            <w:pPr>
              <w:jc w:val="center"/>
              <w:ind w:left="1282"/>
              <w:spacing w:after="0"/>
              <w:rPr>
                <w:sz w:val="20"/>
                <w:szCs w:val="20"/>
                <w:color w:val="auto"/>
              </w:rPr>
            </w:pPr>
            <w:r>
              <w:rPr>
                <w:rFonts w:ascii="Times New Roman" w:cs="Times New Roman" w:eastAsia="Times New Roman" w:hAnsi="Times New Roman"/>
                <w:sz w:val="18"/>
                <w:szCs w:val="18"/>
                <w:b w:val="1"/>
                <w:bCs w:val="1"/>
                <w:color w:val="auto"/>
              </w:rPr>
              <w:t>61-0647538</w:t>
            </w:r>
          </w:p>
        </w:tc>
      </w:tr>
      <w:tr>
        <w:trPr>
          <w:trHeight w:val="162"/>
        </w:trPr>
        <w:tc>
          <w:tcPr>
            <w:tcW w:w="2960" w:type="dxa"/>
            <w:vAlign w:val="bottom"/>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60" w:type="dxa"/>
            <w:vAlign w:val="bottom"/>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500 W. Main Street, Louisville, Kentucky 40202</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(502) 580-1000</w:t>
      </w:r>
    </w:p>
    <w:p>
      <w:pPr>
        <w:spacing w:after="0" w:line="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91" w:lineRule="exact"/>
        <w:rPr>
          <w:sz w:val="24"/>
          <w:szCs w:val="24"/>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8" w:lineRule="exact"/>
        <w:rPr>
          <w:sz w:val="24"/>
          <w:szCs w:val="24"/>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17" w:lineRule="exact"/>
        <w:rPr>
          <w:rFonts w:ascii="MS PGothic" w:cs="MS PGothic" w:eastAsia="MS PGothic" w:hAnsi="MS PGothic"/>
          <w:sz w:val="18"/>
          <w:szCs w:val="18"/>
          <w:color w:val="auto"/>
        </w:rPr>
      </w:pPr>
    </w:p>
    <w:p>
      <w:pPr>
        <w:ind w:left="40" w:right="2300" w:firstLine="427"/>
        <w:spacing w:after="0" w:line="335" w:lineRule="auto"/>
        <w:tabs>
          <w:tab w:leader="none" w:pos="9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163"/>
        </w:trPr>
        <w:tc>
          <w:tcPr>
            <w:tcW w:w="4200" w:type="dxa"/>
            <w:vAlign w:val="bottom"/>
            <w:tcBorders>
              <w:top w:val="single" w:sz="8" w:color="auto"/>
              <w:left w:val="single" w:sz="8" w:color="auto"/>
              <w:right w:val="single" w:sz="8" w:color="auto"/>
            </w:tcBorders>
            <w:gridSpan w:val="3"/>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640" w:type="dxa"/>
            <w:vAlign w:val="bottom"/>
            <w:tcBorders>
              <w:top w:val="single" w:sz="8" w:color="auto"/>
            </w:tcBorders>
          </w:tcPr>
          <w:p>
            <w:pPr>
              <w:spacing w:after="0"/>
              <w:rPr>
                <w:sz w:val="14"/>
                <w:szCs w:val="14"/>
                <w:color w:val="auto"/>
              </w:rPr>
            </w:pPr>
          </w:p>
        </w:tc>
        <w:tc>
          <w:tcPr>
            <w:tcW w:w="2100" w:type="dxa"/>
            <w:vAlign w:val="bottom"/>
            <w:tcBorders>
              <w:top w:val="single" w:sz="8" w:color="auto"/>
              <w:right w:val="single" w:sz="8" w:color="auto"/>
            </w:tcBorders>
            <w:gridSpan w:val="2"/>
          </w:tcPr>
          <w:p>
            <w:pPr>
              <w:jc w:val="center"/>
              <w:ind w:right="660"/>
              <w:spacing w:after="0" w:line="163"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0" w:type="dxa"/>
            <w:vAlign w:val="bottom"/>
            <w:tcBorders>
              <w:top w:val="single" w:sz="8" w:color="auto"/>
            </w:tcBorders>
          </w:tcPr>
          <w:p>
            <w:pPr>
              <w:spacing w:after="0"/>
              <w:rPr>
                <w:sz w:val="14"/>
                <w:szCs w:val="14"/>
                <w:color w:val="auto"/>
              </w:rPr>
            </w:pPr>
          </w:p>
        </w:tc>
        <w:tc>
          <w:tcPr>
            <w:tcW w:w="3800" w:type="dxa"/>
            <w:vAlign w:val="bottom"/>
            <w:tcBorders>
              <w:top w:val="single" w:sz="8" w:color="auto"/>
              <w:right w:val="single" w:sz="8" w:color="auto"/>
            </w:tcBorders>
            <w:gridSpan w:val="2"/>
          </w:tcPr>
          <w:p>
            <w:pPr>
              <w:jc w:val="center"/>
              <w:ind w:right="440"/>
              <w:spacing w:after="0" w:line="163" w:lineRule="exact"/>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1420" w:type="dxa"/>
            <w:vAlign w:val="bottom"/>
            <w:tcBorders>
              <w:left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1420" w:type="dxa"/>
            <w:vAlign w:val="bottom"/>
            <w:tcBorders>
              <w:left w:val="single" w:sz="8" w:color="auto"/>
              <w:bottom w:val="single" w:sz="8" w:color="auto"/>
            </w:tcBorders>
          </w:tcPr>
          <w:p>
            <w:pPr>
              <w:spacing w:after="0"/>
              <w:rPr>
                <w:sz w:val="17"/>
                <w:szCs w:val="17"/>
                <w:color w:val="auto"/>
              </w:rPr>
            </w:pPr>
          </w:p>
        </w:tc>
        <w:tc>
          <w:tcPr>
            <w:tcW w:w="2780" w:type="dxa"/>
            <w:vAlign w:val="bottom"/>
            <w:tcBorders>
              <w:bottom w:val="single" w:sz="8" w:color="auto"/>
              <w:right w:val="single" w:sz="8" w:color="auto"/>
            </w:tcBorders>
            <w:gridSpan w:val="2"/>
          </w:tcPr>
          <w:p>
            <w:pPr>
              <w:jc w:val="center"/>
              <w:ind w:right="1420"/>
              <w:spacing w:after="0" w:line="197" w:lineRule="exact"/>
              <w:rPr>
                <w:sz w:val="20"/>
                <w:szCs w:val="20"/>
                <w:color w:val="auto"/>
              </w:rPr>
            </w:pPr>
            <w:r>
              <w:rPr>
                <w:rFonts w:ascii="Times New Roman" w:cs="Times New Roman" w:eastAsia="Times New Roman" w:hAnsi="Times New Roman"/>
                <w:sz w:val="20"/>
                <w:szCs w:val="20"/>
                <w:color w:val="auto"/>
                <w:w w:val="99"/>
              </w:rPr>
              <w:t>Common Stock</w:t>
            </w:r>
          </w:p>
        </w:tc>
        <w:tc>
          <w:tcPr>
            <w:tcW w:w="640" w:type="dxa"/>
            <w:vAlign w:val="bottom"/>
            <w:tcBorders>
              <w:bottom w:val="single" w:sz="8" w:color="auto"/>
            </w:tcBorders>
          </w:tcPr>
          <w:p>
            <w:pPr>
              <w:spacing w:after="0"/>
              <w:rPr>
                <w:sz w:val="17"/>
                <w:szCs w:val="17"/>
                <w:color w:val="auto"/>
              </w:rPr>
            </w:pPr>
          </w:p>
        </w:tc>
        <w:tc>
          <w:tcPr>
            <w:tcW w:w="2100" w:type="dxa"/>
            <w:vAlign w:val="bottom"/>
            <w:tcBorders>
              <w:bottom w:val="single" w:sz="8" w:color="auto"/>
              <w:right w:val="single" w:sz="8" w:color="auto"/>
            </w:tcBorders>
            <w:gridSpan w:val="2"/>
          </w:tcPr>
          <w:p>
            <w:pPr>
              <w:jc w:val="center"/>
              <w:ind w:right="680"/>
              <w:spacing w:after="0" w:line="197" w:lineRule="exact"/>
              <w:rPr>
                <w:sz w:val="20"/>
                <w:szCs w:val="20"/>
                <w:color w:val="auto"/>
              </w:rPr>
            </w:pPr>
            <w:r>
              <w:rPr>
                <w:rFonts w:ascii="Times New Roman" w:cs="Times New Roman" w:eastAsia="Times New Roman" w:hAnsi="Times New Roman"/>
                <w:sz w:val="20"/>
                <w:szCs w:val="20"/>
                <w:color w:val="auto"/>
                <w:w w:val="98"/>
              </w:rPr>
              <w:t>HUM</w:t>
            </w:r>
          </w:p>
        </w:tc>
        <w:tc>
          <w:tcPr>
            <w:tcW w:w="400" w:type="dxa"/>
            <w:vAlign w:val="bottom"/>
            <w:tcBorders>
              <w:bottom w:val="single" w:sz="8" w:color="auto"/>
            </w:tcBorders>
          </w:tcPr>
          <w:p>
            <w:pPr>
              <w:spacing w:after="0"/>
              <w:rPr>
                <w:sz w:val="17"/>
                <w:szCs w:val="17"/>
                <w:color w:val="auto"/>
              </w:rPr>
            </w:pPr>
          </w:p>
        </w:tc>
        <w:tc>
          <w:tcPr>
            <w:tcW w:w="3800" w:type="dxa"/>
            <w:vAlign w:val="bottom"/>
            <w:tcBorders>
              <w:bottom w:val="single" w:sz="8" w:color="auto"/>
              <w:right w:val="single" w:sz="8" w:color="auto"/>
            </w:tcBorders>
            <w:gridSpan w:val="2"/>
          </w:tcPr>
          <w:p>
            <w:pPr>
              <w:jc w:val="center"/>
              <w:ind w:right="440"/>
              <w:spacing w:after="0" w:line="197" w:lineRule="exact"/>
              <w:rPr>
                <w:sz w:val="20"/>
                <w:szCs w:val="20"/>
                <w:color w:val="auto"/>
              </w:rPr>
            </w:pPr>
            <w:r>
              <w:rPr>
                <w:rFonts w:ascii="Times New Roman" w:cs="Times New Roman" w:eastAsia="Times New Roman" w:hAnsi="Times New Roman"/>
                <w:sz w:val="20"/>
                <w:szCs w:val="20"/>
                <w:color w:val="auto"/>
                <w:w w:val="97"/>
              </w:rPr>
              <w:t>New York Stock Exchange</w:t>
            </w:r>
          </w:p>
        </w:tc>
      </w:tr>
    </w:tbl>
    <w:p>
      <w:pPr>
        <w:spacing w:after="0" w:line="90"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44" w:lineRule="exact"/>
        <w:rPr>
          <w:sz w:val="24"/>
          <w:szCs w:val="24"/>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32" w:right="399" w:bottom="1440" w:gutter="0" w:footer="0" w:header="0"/>
        </w:sectPr>
      </w:pPr>
    </w:p>
    <w:bookmarkStart w:id="1" w:name="page2"/>
    <w:bookmarkEnd w:id="1"/>
    <w:p>
      <w:pPr>
        <w:ind w:left="980" w:right="580" w:hanging="971"/>
        <w:spacing w:after="0" w:line="272" w:lineRule="auto"/>
        <w:tabs>
          <w:tab w:leader="none" w:pos="960" w:val="left"/>
        </w:tabs>
        <w:rPr>
          <w:sz w:val="20"/>
          <w:szCs w:val="20"/>
          <w:color w:val="auto"/>
        </w:rPr>
      </w:pPr>
      <w:r>
        <w:rPr>
          <w:rFonts w:ascii="Times New Roman" w:cs="Times New Roman" w:eastAsia="Times New Roman" w:hAnsi="Times New Roman"/>
          <w:sz w:val="20"/>
          <w:szCs w:val="20"/>
          <w:b w:val="1"/>
          <w:bCs w:val="1"/>
          <w:color w:val="auto"/>
        </w:rPr>
        <w:t>Item 5.02</w:t>
        <w:tab/>
        <w:t>Departure of Directors or Certain Officers; Election of Directors; Appointment of Certain Officers; Compensatory Arrangements of Certain Officers.</w:t>
      </w:r>
    </w:p>
    <w:p>
      <w:pPr>
        <w:spacing w:after="0" w:line="157" w:lineRule="exact"/>
        <w:rPr>
          <w:sz w:val="20"/>
          <w:szCs w:val="20"/>
          <w:color w:val="auto"/>
        </w:rPr>
      </w:pPr>
    </w:p>
    <w:p>
      <w:pPr>
        <w:ind w:right="480" w:firstLine="8"/>
        <w:spacing w:after="0" w:line="325" w:lineRule="auto"/>
        <w:tabs>
          <w:tab w:leader="none" w:pos="87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September 4, 2020, the Board of Directors (the “Board”) of Humana Inc. (the “Company”) expanded its number of authorized directors from eleven to twelve and elected Raquel C. Bono, M.D. as a director of the Company.</w:t>
      </w:r>
    </w:p>
    <w:p>
      <w:pPr>
        <w:spacing w:after="0" w:line="93"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20"/>
          <w:szCs w:val="20"/>
          <w:color w:val="auto"/>
        </w:rPr>
        <w:t>The Board of Directors has determined that (i) Dr. Bono is independent within the meaning of the New York Stock Exchange’s director independence standards; (ii) there was no arrangement or understanding between Dr. Bono and any other persons pursuant to which Dr. Bono was selected as a director; and (iii) there are no material transactions involving Dr. Bono and the Company.</w:t>
      </w:r>
    </w:p>
    <w:p>
      <w:pPr>
        <w:spacing w:after="0" w:line="174"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19"/>
          <w:szCs w:val="19"/>
          <w:color w:val="auto"/>
        </w:rPr>
        <w:t>Dr. Bono will be compensated in accordance with the Company’s standard compensation policies and practices for the Board, the components of which were disclosed by the Company in its proxy statement filed with the U.S. Securities and Exchange Commission on March 4, 2020. In connection with her election to the Board, Dr. Bono also will be granted restricted stock units (RSUs) in accordance with the Company’s director compensation program. Dr. Bono is expected to be appointed to the Audit and Technology Committees of the Board.</w:t>
      </w:r>
    </w:p>
    <w:p>
      <w:pPr>
        <w:spacing w:after="0" w:line="166"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20"/>
          <w:szCs w:val="20"/>
          <w:color w:val="auto"/>
        </w:rPr>
        <w:t>On September 8, 2020, the Company issued a press release announcing the election of Dr. Bono, a copy of which is attached hereto as Exhibit 99.1, and is incorporated by reference herein.</w:t>
      </w:r>
    </w:p>
    <w:p>
      <w:pPr>
        <w:spacing w:after="0" w:line="1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20" w:lineRule="exact"/>
        <w:rPr>
          <w:sz w:val="20"/>
          <w:szCs w:val="20"/>
          <w:color w:val="auto"/>
        </w:rPr>
      </w:pPr>
    </w:p>
    <w:p>
      <w:pPr>
        <w:ind w:left="880" w:hanging="872"/>
        <w:spacing w:after="0"/>
        <w:tabs>
          <w:tab w:leader="none" w:pos="8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20"/>
                <w:szCs w:val="20"/>
                <w:b w:val="1"/>
                <w:bCs w:val="1"/>
                <w:color w:val="auto"/>
              </w:rPr>
              <w:t>No.</w:t>
            </w:r>
          </w:p>
        </w:tc>
        <w:tc>
          <w:tcPr>
            <w:tcW w:w="1000" w:type="dxa"/>
            <w:vAlign w:val="bottom"/>
            <w:vMerge w:val="continue"/>
          </w:tcPr>
          <w:p>
            <w:pPr>
              <w:spacing w:after="0"/>
              <w:rPr>
                <w:sz w:val="17"/>
                <w:szCs w:val="17"/>
                <w:color w:val="auto"/>
              </w:rPr>
            </w:pPr>
          </w:p>
        </w:tc>
        <w:tc>
          <w:tcPr>
            <w:tcW w:w="8800" w:type="dxa"/>
            <w:vAlign w:val="bottom"/>
            <w:gridSpan w:val="2"/>
            <w:vMerge w:val="restart"/>
          </w:tcPr>
          <w:p>
            <w:pPr>
              <w:spacing w:after="0"/>
              <w:rPr>
                <w:rFonts w:ascii="Times New Roman" w:cs="Times New Roman" w:eastAsia="Times New Roman" w:hAnsi="Times New Roman"/>
                <w:sz w:val="20"/>
                <w:szCs w:val="20"/>
                <w:u w:val="single" w:color="auto"/>
                <w:color w:val="0000EE"/>
              </w:rPr>
            </w:pPr>
            <w:hyperlink w:anchor="page4">
              <w:r>
                <w:rPr>
                  <w:rFonts w:ascii="Times New Roman" w:cs="Times New Roman" w:eastAsia="Times New Roman" w:hAnsi="Times New Roman"/>
                  <w:sz w:val="20"/>
                  <w:szCs w:val="20"/>
                  <w:u w:val="single" w:color="auto"/>
                  <w:color w:val="0000EE"/>
                </w:rPr>
                <w:t>Press Release</w:t>
              </w:r>
            </w:hyperlink>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vMerge w:val="continue"/>
          </w:tcPr>
          <w:p>
            <w:pPr>
              <w:spacing w:after="0"/>
              <w:rPr>
                <w:sz w:val="17"/>
                <w:szCs w:val="17"/>
                <w:color w:val="auto"/>
              </w:rPr>
            </w:pPr>
          </w:p>
        </w:tc>
        <w:tc>
          <w:tcPr>
            <w:tcW w:w="620" w:type="dxa"/>
            <w:vAlign w:val="bottom"/>
            <w:gridSpan w:val="2"/>
          </w:tcPr>
          <w:p>
            <w:pPr>
              <w:spacing w:after="0" w:line="200" w:lineRule="exact"/>
              <w:rPr>
                <w:rFonts w:ascii="Times New Roman" w:cs="Times New Roman" w:eastAsia="Times New Roman" w:hAnsi="Times New Roman"/>
                <w:sz w:val="20"/>
                <w:szCs w:val="20"/>
                <w:u w:val="single" w:color="auto"/>
                <w:color w:val="0000EE"/>
              </w:rPr>
            </w:pPr>
            <w:hyperlink w:anchor="page4">
              <w:r>
                <w:rPr>
                  <w:rFonts w:ascii="Times New Roman" w:cs="Times New Roman" w:eastAsia="Times New Roman" w:hAnsi="Times New Roman"/>
                  <w:sz w:val="20"/>
                  <w:szCs w:val="20"/>
                  <w:u w:val="single" w:color="auto"/>
                  <w:color w:val="0000EE"/>
                </w:rPr>
                <w:t>99.1</w:t>
              </w:r>
            </w:hyperlink>
          </w:p>
        </w:tc>
        <w:tc>
          <w:tcPr>
            <w:tcW w:w="1000" w:type="dxa"/>
            <w:vAlign w:val="bottom"/>
          </w:tcPr>
          <w:p>
            <w:pPr>
              <w:spacing w:after="0"/>
              <w:rPr>
                <w:sz w:val="17"/>
                <w:szCs w:val="17"/>
                <w:color w:val="auto"/>
              </w:rPr>
            </w:pPr>
          </w:p>
        </w:tc>
        <w:tc>
          <w:tcPr>
            <w:tcW w:w="8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4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104</w:t>
            </w:r>
          </w:p>
        </w:tc>
        <w:tc>
          <w:tcPr>
            <w:tcW w:w="1000" w:type="dxa"/>
            <w:vAlign w:val="bottom"/>
          </w:tcPr>
          <w:p>
            <w:pPr>
              <w:spacing w:after="0"/>
              <w:rPr>
                <w:sz w:val="22"/>
                <w:szCs w:val="22"/>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163"/>
        </w:trPr>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00" w:lineRule="exact"/>
        <w:rPr>
          <w:sz w:val="20"/>
          <w:szCs w:val="20"/>
          <w:color w:val="auto"/>
        </w:rPr>
      </w:pPr>
    </w:p>
    <w:p>
      <w:pPr>
        <w:ind w:firstLine="890"/>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212" w:lineRule="exact"/>
        <w:rPr>
          <w:sz w:val="20"/>
          <w:szCs w:val="20"/>
          <w:color w:val="auto"/>
        </w:rPr>
      </w:pPr>
    </w:p>
    <w:p>
      <w:pPr>
        <w:ind w:left="5620"/>
        <w:spacing w:after="0"/>
        <w:tabs>
          <w:tab w:leader="none" w:pos="65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b w:val="1"/>
          <w:bCs w:val="1"/>
          <w:color w:val="auto"/>
        </w:rPr>
        <w:t>/s/ Cynthia H. Zipperle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11430</wp:posOffset>
            </wp:positionV>
            <wp:extent cx="2991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Cynthia H. Zipperle</w:t>
      </w:r>
    </w:p>
    <w:p>
      <w:pPr>
        <w:ind w:left="6520"/>
        <w:spacing w:after="0" w:line="234" w:lineRule="auto"/>
        <w:rPr>
          <w:sz w:val="20"/>
          <w:szCs w:val="20"/>
          <w:color w:val="auto"/>
        </w:rPr>
      </w:pPr>
      <w:r>
        <w:rPr>
          <w:rFonts w:ascii="Times New Roman" w:cs="Times New Roman" w:eastAsia="Times New Roman" w:hAnsi="Times New Roman"/>
          <w:sz w:val="18"/>
          <w:szCs w:val="18"/>
          <w:b w:val="1"/>
          <w:bCs w:val="1"/>
          <w:color w:val="auto"/>
        </w:rPr>
        <w:t>Senior Vice President, Chief Accounting Officer and</w:t>
      </w:r>
    </w:p>
    <w:p>
      <w:pPr>
        <w:ind w:left="6520"/>
        <w:spacing w:after="0" w:line="235" w:lineRule="auto"/>
        <w:rPr>
          <w:sz w:val="20"/>
          <w:szCs w:val="20"/>
          <w:color w:val="auto"/>
        </w:rPr>
      </w:pPr>
      <w:r>
        <w:rPr>
          <w:rFonts w:ascii="Times New Roman" w:cs="Times New Roman" w:eastAsia="Times New Roman" w:hAnsi="Times New Roman"/>
          <w:sz w:val="18"/>
          <w:szCs w:val="18"/>
          <w:b w:val="1"/>
          <w:bCs w:val="1"/>
          <w:color w:val="auto"/>
        </w:rPr>
        <w:t>Controller</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363" w:lineRule="exact"/>
        <w:rPr>
          <w:sz w:val="20"/>
          <w:szCs w:val="20"/>
          <w:color w:val="auto"/>
        </w:rPr>
      </w:pPr>
    </w:p>
    <w:p>
      <w:pPr>
        <w:ind w:left="180"/>
        <w:spacing w:after="0"/>
        <w:tabs>
          <w:tab w:leader="none" w:pos="88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19"/>
          <w:szCs w:val="19"/>
          <w:color w:val="auto"/>
        </w:rPr>
        <w:t>September 8, 2020</w:t>
      </w:r>
    </w:p>
    <w:p>
      <w:pPr>
        <w:sectPr>
          <w:pgSz w:w="11900" w:h="16838" w:orient="portrait"/>
          <w:cols w:equalWidth="0" w:num="1">
            <w:col w:w="11000"/>
          </w:cols>
          <w:pgMar w:left="320" w:top="114" w:right="579" w:bottom="1440" w:gutter="0" w:footer="0" w:header="0"/>
        </w:sectPr>
      </w:pPr>
    </w:p>
    <w:bookmarkStart w:id="3" w:name="page4"/>
    <w:bookmarkEnd w:id="3"/>
    <w:p>
      <w:pPr>
        <w:spacing w:after="0"/>
        <w:rPr>
          <w:sz w:val="20"/>
          <w:szCs w:val="20"/>
          <w:color w:val="auto"/>
        </w:rPr>
      </w:pPr>
      <w:r>
        <w:rPr>
          <w:rFonts w:ascii="Arial" w:cs="Arial" w:eastAsia="Arial" w:hAnsi="Arial"/>
          <w:sz w:val="27"/>
          <w:szCs w:val="27"/>
          <w:b w:val="1"/>
          <w:bCs w:val="1"/>
          <w:color w:val="auto"/>
        </w:rPr>
        <w:t xml:space="preserve">n e w s </w:t>
      </w:r>
      <w:r>
        <w:rPr>
          <w:rFonts w:ascii="Arial" w:cs="Arial" w:eastAsia="Arial" w:hAnsi="Arial"/>
          <w:sz w:val="27"/>
          <w:szCs w:val="27"/>
          <w:color w:val="auto"/>
        </w:rPr>
        <w:t>r e l e a 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15875</wp:posOffset>
            </wp:positionV>
            <wp:extent cx="2177415" cy="60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7415" cy="60833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MORE INFORMATION, CONTACT: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Smith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34" w:lineRule="auto"/>
        <w:rPr>
          <w:sz w:val="20"/>
          <w:szCs w:val="20"/>
          <w:color w:val="auto"/>
        </w:rPr>
      </w:pPr>
      <w:r>
        <w:rPr>
          <w:rFonts w:ascii="Times New Roman" w:cs="Times New Roman" w:eastAsia="Times New Roman" w:hAnsi="Times New Roman"/>
          <w:sz w:val="18"/>
          <w:szCs w:val="18"/>
          <w:color w:val="auto"/>
        </w:rPr>
        <w:t>Humana Inc.</w:t>
      </w:r>
    </w:p>
    <w:p>
      <w:pPr>
        <w:spacing w:after="0" w:line="235" w:lineRule="auto"/>
        <w:rPr>
          <w:sz w:val="20"/>
          <w:szCs w:val="20"/>
          <w:color w:val="auto"/>
        </w:rPr>
      </w:pPr>
      <w:r>
        <w:rPr>
          <w:rFonts w:ascii="Times New Roman" w:cs="Times New Roman" w:eastAsia="Times New Roman" w:hAnsi="Times New Roman"/>
          <w:sz w:val="18"/>
          <w:szCs w:val="18"/>
          <w:color w:val="auto"/>
        </w:rPr>
        <w:t>502-580-2811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amysmith@humana.com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Mathis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Communications</w:t>
      </w:r>
    </w:p>
    <w:p>
      <w:pPr>
        <w:spacing w:after="0" w:line="234" w:lineRule="auto"/>
        <w:rPr>
          <w:sz w:val="20"/>
          <w:szCs w:val="20"/>
          <w:color w:val="auto"/>
        </w:rPr>
      </w:pPr>
      <w:r>
        <w:rPr>
          <w:rFonts w:ascii="Times New Roman" w:cs="Times New Roman" w:eastAsia="Times New Roman" w:hAnsi="Times New Roman"/>
          <w:sz w:val="18"/>
          <w:szCs w:val="18"/>
          <w:color w:val="auto"/>
        </w:rPr>
        <w:t>Humana Inc.</w:t>
      </w:r>
    </w:p>
    <w:p>
      <w:pPr>
        <w:spacing w:after="0" w:line="235" w:lineRule="auto"/>
        <w:rPr>
          <w:sz w:val="20"/>
          <w:szCs w:val="20"/>
          <w:color w:val="auto"/>
        </w:rPr>
      </w:pPr>
      <w:r>
        <w:rPr>
          <w:rFonts w:ascii="Times New Roman" w:cs="Times New Roman" w:eastAsia="Times New Roman" w:hAnsi="Times New Roman"/>
          <w:sz w:val="18"/>
          <w:szCs w:val="18"/>
          <w:color w:val="auto"/>
        </w:rPr>
        <w:t>312-441-5010</w:t>
      </w:r>
    </w:p>
    <w:p>
      <w:pPr>
        <w:spacing w:after="0" w:line="233" w:lineRule="auto"/>
        <w:rPr>
          <w:sz w:val="20"/>
          <w:szCs w:val="20"/>
          <w:color w:val="auto"/>
        </w:rPr>
      </w:pPr>
      <w:r>
        <w:rPr>
          <w:rFonts w:ascii="Times New Roman" w:cs="Times New Roman" w:eastAsia="Times New Roman" w:hAnsi="Times New Roman"/>
          <w:sz w:val="18"/>
          <w:szCs w:val="18"/>
          <w:color w:val="auto"/>
        </w:rPr>
        <w:t>mmathis@humana.com</w:t>
      </w: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Humana Elects Raquel C. Bono, M.D. to Board of Directors</w:t>
      </w:r>
    </w:p>
    <w:p>
      <w:pPr>
        <w:spacing w:after="0" w:line="202"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LOUISVILLE, Ky. </w:t>
      </w:r>
      <w:r>
        <w:rPr>
          <w:rFonts w:ascii="Times New Roman" w:cs="Times New Roman" w:eastAsia="Times New Roman" w:hAnsi="Times New Roman"/>
          <w:sz w:val="22"/>
          <w:szCs w:val="22"/>
          <w:color w:val="auto"/>
        </w:rPr>
        <w:t>— Sept. 8, 2020 — Humana Inc. (NYSE: HUM) announced today that Raquel C. Bono, M.D. has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elected as a member of the company’s board of directors.</w:t>
      </w:r>
    </w:p>
    <w:p>
      <w:pPr>
        <w:spacing w:after="0" w:line="18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 board-certified trauma surgeon and retired Vice Admiral, U.S. Navy Medical Corps, Dr. Bono served as the Chief Executive Officer and Director for the Defense Health Agency (DHA), the joint, integrated combat support agency that enables all branches of the U.S. military medical services to provide health care to combatant commands. That post capped a military career during which Dr. Bono became known in the halls of the Pentagon, Congress and Executive Branch as a highly accomplished leader with high integrity.</w:t>
      </w:r>
    </w:p>
    <w:p>
      <w:pPr>
        <w:spacing w:after="0" w:line="20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During her tenure with the DHA, Dr. Bono integrated an unprecedented $50 billion worldwide health care enterprise for the Army, Navy, Air Force and Marine Corps, comprised of 50 hospitals and 300 clinics that provide care to more than nine million military personnel. She oversaw the Department of Defense deployment of electronic health records and facilitated the collaboration between the largest federated health systems of the Department of Defense and Department of Veterans Affairs (VA). Dr. Bono began her career with active duty deployment in Operations Desert Shield and Desert Storm and served in various roles with the Navy and TRICARE prior to joining DHA, including serving as Chief Executive Officer of a large military hospital.</w:t>
      </w:r>
    </w:p>
    <w:p>
      <w:pPr>
        <w:spacing w:after="0" w:line="21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1"/>
          <w:szCs w:val="21"/>
          <w:color w:val="auto"/>
        </w:rPr>
        <w:t>“Dr. Bono’s decorated military service and distinguished and successful career in trauma surgery and health care administration will bring an important perspective to Humana’s Board and further contribute to its strategic composition,” said Humana Chairman of the Board Kurt J. Hilzinger. “Her extensive operational expertise and discipline in managing and advancing health care delivery systems will be vital as the company continues to evolve its clinical and care delivery strategies.”</w:t>
      </w:r>
    </w:p>
    <w:p>
      <w:pPr>
        <w:spacing w:after="0" w:line="189"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An American College of Surgeons (ACS) Fellow since 1991, Dr. Bono served on the ACS Board of Governors and the Governors Health Policy and Advocacy Workgroup. She has been honored with the Defense Distinguished Service Medal, three Defense Superior Service Medals, four Legion of Merit Medals, two Meritorious Service Medals, and two Navy and Marine Corps Commendation medals. Since her retirement from DHA in October 2019, Dr. Bono has acted as Principal at RCB Consulting and served as Washington state director for COVID-19 Health System Response Management.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 election brings the number of Humana directors to 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Humana</w:t>
      </w:r>
    </w:p>
    <w:p>
      <w:pPr>
        <w:spacing w:after="0" w:line="23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20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207" w:lineRule="exact"/>
        <w:rPr>
          <w:sz w:val="20"/>
          <w:szCs w:val="20"/>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More information regarding Humana is available to investors via the Investor Relations page of the company’s website at humana.com, including copies of:</w:t>
      </w:r>
    </w:p>
    <w:p>
      <w:pPr>
        <w:ind w:left="660" w:hanging="328"/>
        <w:spacing w:after="0" w:line="232"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reports to stockholders</w:t>
      </w: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and Exchange Commission filings</w:t>
      </w: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Most recent investor conference presentations</w:t>
      </w: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earnings news releases and conference calls</w:t>
      </w: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of events</w:t>
      </w: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Governance information</w:t>
      </w:r>
    </w:p>
    <w:p>
      <w:pPr>
        <w:sectPr>
          <w:pgSz w:w="11900" w:h="16838" w:orient="portrait"/>
          <w:cols w:equalWidth="0" w:num="1">
            <w:col w:w="11200"/>
          </w:cols>
          <w:pgMar w:left="320" w:top="102" w:right="379" w:bottom="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1"/>
          <w:szCs w:val="21"/>
          <w:color w:val="auto"/>
        </w:rPr>
        <w:t># # #</w:t>
      </w:r>
    </w:p>
    <w:sectPr>
      <w:pgSz w:w="11900" w:h="16838" w:orient="portrait"/>
      <w:cols w:equalWidth="0" w:num="1">
        <w:col w:w="9019"/>
      </w:cols>
      <w:pgMar w:left="144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2020-09-08T06:49:20Z</dcterms:created>
  <dcterms:modified xsi:type="dcterms:W3CDTF">2020-09-08T06:49:20Z</dcterms:modified>
</cp:coreProperties>
</file>