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752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HILZINGER KURT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HUMANA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W. MAIN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4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4"/>
                <w:vertAlign w:val="superscript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24,034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24,034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242.815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-2871470</wp:posOffset>
            </wp:positionV>
            <wp:extent cx="29210" cy="2876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Director's fee payable in stock units which have been deferred at the election of the Reporting Person until his resignation of services as a director at which time the stock units will be payable in Humana Inc. common stock on a 1-for-1 basis, exempt pursuant to Rule 16(b)-3(d)(1). Includes 783 restricted stock units which represent a contingent right to receive one share of Humana Inc. common stock, exempt under Rule 16b-3(d)(1)&amp;(3) under the Company's 2019 Amended &amp; Restated Plan.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Director's dividend payment reinvested into stock units on vested and deferred stock units, deferred in accordance with the Plan until his resignation of services as a director at which time the deferred dividend stock units will be payable in Humana Inc. common stock on a 1-for-1 basis, exempt pursuant to Rule16(b)-3(d).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Director's cash fee elected to be converted into stock units, deferred at the election of the Reporting Person during a designated enrollment period in the year preceding the reported transactions. Stock units will be payable in Humana Inc. common stock on a 1-for-1basis, exempt pursuant to Rule 16(b)-3(d)(1), per the Director's election.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Kurt J. Hilzinger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07/02/2025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504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2025-07-02T15:23:35Z</dcterms:created>
  <dcterms:modified xsi:type="dcterms:W3CDTF">2025-07-02T15:23:35Z</dcterms:modified>
</cp:coreProperties>
</file>