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May 2, 2018 (May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w:t>
      </w:r>
    </w:p>
    <w:p>
      <w:pPr>
        <w:jc w:val="center"/>
        <w:ind w:right="-39"/>
        <w:spacing w:after="0"/>
        <w:rPr>
          <w:sz w:val="20"/>
          <w:szCs w:val="20"/>
          <w:color w:val="auto"/>
        </w:rPr>
      </w:pPr>
      <w:r>
        <w:rPr>
          <w:rFonts w:ascii="Arial" w:cs="Arial" w:eastAsia="Arial" w:hAnsi="Arial"/>
          <w:sz w:val="14"/>
          <w:szCs w:val="14"/>
          <w:b w:val="1"/>
          <w:bCs w:val="1"/>
          <w:color w:val="auto"/>
        </w:rPr>
        <w:t>of Incorporation)</w:t>
      </w:r>
    </w:p>
    <w:p>
      <w:pPr>
        <w:spacing w:after="0" w:line="125"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89"/>
              </w:rPr>
              <w:t>1-5975</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61-0647538</w:t>
            </w:r>
          </w:p>
        </w:tc>
      </w:tr>
      <w:tr>
        <w:trPr>
          <w:trHeight w:val="149"/>
        </w:trPr>
        <w:tc>
          <w:tcPr>
            <w:tcW w:w="6460" w:type="dxa"/>
            <w:vAlign w:val="bottom"/>
          </w:tcPr>
          <w:p>
            <w:pPr>
              <w:jc w:val="center"/>
              <w:ind w:right="3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13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5"/>
              </w:rPr>
              <w:t>File Number)</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92"/>
              </w:rPr>
              <w:t>500 West Main Street, Louisville, KY</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40202</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460" w:type="dxa"/>
            <w:vAlign w:val="bottom"/>
          </w:tcPr>
          <w:p>
            <w:pPr>
              <w:jc w:val="center"/>
              <w:ind w:left="1961"/>
              <w:spacing w:after="0"/>
              <w:rPr>
                <w:sz w:val="20"/>
                <w:szCs w:val="20"/>
                <w:color w:val="auto"/>
              </w:rPr>
            </w:pPr>
            <w:r>
              <w:rPr>
                <w:rFonts w:ascii="Arial" w:cs="Arial" w:eastAsia="Arial" w:hAnsi="Arial"/>
                <w:sz w:val="18"/>
                <w:szCs w:val="18"/>
                <w:b w:val="1"/>
                <w:bCs w:val="1"/>
                <w:color w:val="auto"/>
                <w:w w:val="90"/>
              </w:rPr>
              <w:t>502-580-1000</w:t>
            </w:r>
          </w:p>
        </w:tc>
        <w:tc>
          <w:tcPr>
            <w:tcW w:w="1300" w:type="dxa"/>
            <w:vAlign w:val="bottom"/>
          </w:tcPr>
          <w:p>
            <w:pPr>
              <w:spacing w:after="0"/>
              <w:rPr>
                <w:sz w:val="24"/>
                <w:szCs w:val="24"/>
                <w:color w:val="auto"/>
              </w:rPr>
            </w:pPr>
          </w:p>
        </w:tc>
      </w:tr>
      <w:tr>
        <w:trPr>
          <w:trHeight w:val="186"/>
        </w:trPr>
        <w:tc>
          <w:tcPr>
            <w:tcW w:w="6460" w:type="dxa"/>
            <w:vAlign w:val="bottom"/>
          </w:tcPr>
          <w:p>
            <w:pPr>
              <w:jc w:val="center"/>
              <w:ind w:left="1981"/>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00" w:type="dxa"/>
            <w:vAlign w:val="bottom"/>
          </w:tcPr>
          <w:p>
            <w:pPr>
              <w:spacing w:after="0"/>
              <w:rPr>
                <w:sz w:val="16"/>
                <w:szCs w:val="16"/>
                <w:color w:val="auto"/>
              </w:rPr>
            </w:pPr>
          </w:p>
        </w:tc>
      </w:tr>
      <w:tr>
        <w:trPr>
          <w:trHeight w:val="365"/>
        </w:trPr>
        <w:tc>
          <w:tcPr>
            <w:tcW w:w="6460" w:type="dxa"/>
            <w:vAlign w:val="bottom"/>
          </w:tcPr>
          <w:p>
            <w:pPr>
              <w:jc w:val="center"/>
              <w:ind w:left="1961"/>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-198755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660"/>
            <w:col w:w="10000"/>
          </w:cols>
          <w:pgMar w:left="240" w:top="270" w:right="2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FD Disclosure.</w:t>
      </w:r>
    </w:p>
    <w:p>
      <w:pPr>
        <w:spacing w:after="0" w:line="144" w:lineRule="exact"/>
        <w:rPr>
          <w:sz w:val="20"/>
          <w:szCs w:val="20"/>
          <w:color w:val="auto"/>
        </w:rPr>
      </w:pPr>
    </w:p>
    <w:p>
      <w:pPr>
        <w:sectPr>
          <w:pgSz w:w="11900" w:h="16838" w:orient="portrait"/>
          <w:cols w:equalWidth="0" w:num="2">
            <w:col w:w="720" w:space="660"/>
            <w:col w:w="10000"/>
          </w:cols>
          <w:pgMar w:left="240" w:top="270" w:right="279" w:bottom="1440" w:gutter="0" w:footer="0" w:header="0"/>
          <w:type w:val="continuous"/>
        </w:sectPr>
      </w:pPr>
    </w:p>
    <w:p>
      <w:pPr>
        <w:ind w:firstLine="456"/>
        <w:spacing w:after="0" w:line="264" w:lineRule="auto"/>
        <w:rPr>
          <w:sz w:val="20"/>
          <w:szCs w:val="20"/>
          <w:color w:val="auto"/>
        </w:rPr>
      </w:pPr>
      <w:r>
        <w:rPr>
          <w:rFonts w:ascii="Arial" w:cs="Arial" w:eastAsia="Arial" w:hAnsi="Arial"/>
          <w:sz w:val="18"/>
          <w:szCs w:val="18"/>
          <w:color w:val="auto"/>
        </w:rPr>
        <w:t xml:space="preserve">Humana Inc. issued a press release this morning reporting financial results for the quarter ended March 31, 2018, and posted a detailed earnings release related to the same period to the Investor Relations portion of the Company’s website at </w:t>
      </w:r>
      <w:r>
        <w:rPr>
          <w:rFonts w:ascii="Arial" w:cs="Arial" w:eastAsia="Arial" w:hAnsi="Arial"/>
          <w:sz w:val="18"/>
          <w:szCs w:val="18"/>
          <w:u w:val="single" w:color="auto"/>
          <w:color w:val="auto"/>
        </w:rPr>
        <w:t>www.humana.com</w:t>
      </w:r>
      <w:r>
        <w:rPr>
          <w:rFonts w:ascii="Arial" w:cs="Arial" w:eastAsia="Arial" w:hAnsi="Arial"/>
          <w:sz w:val="18"/>
          <w:szCs w:val="18"/>
          <w:color w:val="auto"/>
        </w:rPr>
        <w:t>. A copy of each release is attached hereto as Exhibit 99.1 and Exhibit 99.2, respectively, and each release is incorporated herein by reference.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2"/>
                <w:szCs w:val="22"/>
                <w:color w:val="auto"/>
              </w:rPr>
            </w:pPr>
          </w:p>
        </w:tc>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1"/>
              </w:rPr>
              <w:t>Press Release</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99.2</w:t>
            </w:r>
          </w:p>
        </w:tc>
        <w:tc>
          <w:tcPr>
            <w:tcW w:w="560" w:type="dxa"/>
            <w:vAlign w:val="bottom"/>
          </w:tcPr>
          <w:p>
            <w:pPr>
              <w:spacing w:after="0"/>
              <w:rPr>
                <w:sz w:val="24"/>
                <w:szCs w:val="24"/>
                <w:color w:val="auto"/>
              </w:rPr>
            </w:pPr>
          </w:p>
        </w:tc>
        <w:tc>
          <w:tcPr>
            <w:tcW w:w="2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6"/>
              </w:rPr>
              <w:t>Earnings Release and Statistical Pages</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HUMANA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BY:  /s/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17145</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Cynthia H. Zipperle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Chief Accounting Officer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Controller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2, 2018</w:t>
      </w:r>
    </w:p>
    <w:p>
      <w:pPr>
        <w:sectPr>
          <w:pgSz w:w="11900" w:h="16838" w:orient="portrait"/>
          <w:cols w:equalWidth="0" w:num="1">
            <w:col w:w="11320"/>
          </w:cols>
          <w:pgMar w:left="240" w:top="2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Humana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2654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6540" cy="18034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500 West Main Street</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P.O. Box 1438</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u w:val="single" w:color="auto"/>
          <w:color w:val="auto"/>
        </w:rPr>
        <w:t>http://www.humana.com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152400</wp:posOffset>
            </wp:positionV>
            <wp:extent cx="204089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Amy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(502) 580-2811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Amysmith@humana.com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Tom Noland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580-3674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Tnoland@humana.com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First Quarter 2018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Raises Full Year 2018 EPS Guidance</w:t>
      </w:r>
    </w:p>
    <w:p>
      <w:pPr>
        <w:spacing w:after="0" w:line="238"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1Q18 earnings per diluted common share (EPS) of $3.36 on an Adjusted basis, $3.53 on a GAAP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Raised full year 2018 Adjusted EPS guidance to $13.70 to $14.10, $13.54 to $13.94 on a GAAP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Better than initially expected medical utilization, resulting in a strong start to 2018 led by the Retail and Group and Specialty segments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LOUISVILLE, KY (May 2, 2018) </w:t>
      </w:r>
      <w:r>
        <w:rPr>
          <w:rFonts w:ascii="Arial" w:cs="Arial" w:eastAsia="Arial" w:hAnsi="Arial"/>
          <w:sz w:val="16"/>
          <w:szCs w:val="16"/>
          <w:color w:val="auto"/>
        </w:rPr>
        <w:t>– Humana Inc. (NYSE: HUM) today reported consolidated pretax income and diluted earnings per common share (EPS)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March 31, 2018 (1Q18) versus the quarter ended March 31, 2017 (1Q17) as follows: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Consolidated pretax income</w:t>
            </w:r>
          </w:p>
        </w:tc>
        <w:tc>
          <w:tcPr>
            <w:tcW w:w="13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1Q18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gridSpan w:val="4"/>
            <w:vMerge w:val="continue"/>
          </w:tcPr>
          <w:p>
            <w:pPr>
              <w:spacing w:after="0"/>
              <w:rPr>
                <w:sz w:val="14"/>
                <w:szCs w:val="14"/>
                <w:color w:val="auto"/>
              </w:rPr>
            </w:pPr>
          </w:p>
        </w:tc>
        <w:tc>
          <w:tcPr>
            <w:tcW w:w="920" w:type="dxa"/>
            <w:vAlign w:val="bottom"/>
            <w:gridSpan w:val="4"/>
          </w:tcPr>
          <w:p>
            <w:pPr>
              <w:ind w:left="28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3"/>
              </w:rPr>
              <w:t>Generally</w:t>
            </w:r>
          </w:p>
        </w:tc>
        <w:tc>
          <w:tcPr>
            <w:tcW w:w="5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Accepted Accounting Principles (GAAP)</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w w:val="97"/>
              </w:rPr>
              <w:t>Net gain associated with the terminated merger agreement (for 1Q17, primarily the</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break-up fee)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w w:val="96"/>
              </w:rPr>
              <w:t>Guaranty fund assessment expense to support the policyholder obligations of Penn</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Treaty (an unaffiliated long-term care insurance company)</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64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320" w:type="dxa"/>
            <w:vAlign w:val="bottom"/>
          </w:tcPr>
          <w:p>
            <w:pPr>
              <w:spacing w:after="0"/>
              <w:rPr>
                <w:sz w:val="20"/>
                <w:szCs w:val="20"/>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440" w:type="dxa"/>
            <w:vAlign w:val="bottom"/>
            <w:gridSpan w:val="2"/>
          </w:tcPr>
          <w:p>
            <w:pPr>
              <w:ind w:left="4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Diluted earnings per common share (EPS)</w:t>
            </w:r>
          </w:p>
        </w:tc>
        <w:tc>
          <w:tcPr>
            <w:tcW w:w="1160" w:type="dxa"/>
            <w:vAlign w:val="bottom"/>
            <w:gridSpan w:val="4"/>
          </w:tcPr>
          <w:p>
            <w:pPr>
              <w:ind w:left="300"/>
              <w:spacing w:after="0"/>
              <w:rPr>
                <w:sz w:val="20"/>
                <w:szCs w:val="20"/>
                <w:color w:val="auto"/>
              </w:rPr>
            </w:pPr>
            <w:r>
              <w:rPr>
                <w:rFonts w:ascii="Arial" w:cs="Arial" w:eastAsia="Arial" w:hAnsi="Arial"/>
                <w:sz w:val="14"/>
                <w:szCs w:val="14"/>
                <w:b w:val="1"/>
                <w:bCs w:val="1"/>
                <w:color w:val="auto"/>
              </w:rPr>
              <w:t>1Q18 (a)</w:t>
            </w:r>
          </w:p>
        </w:tc>
        <w:tc>
          <w:tcPr>
            <w:tcW w:w="900" w:type="dxa"/>
            <w:vAlign w:val="bottom"/>
            <w:gridSpan w:val="4"/>
          </w:tcPr>
          <w:p>
            <w:pPr>
              <w:ind w:left="26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4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Net gain associated with the terminated merger agreement (for 1Q17, primarily the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break-up fee)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(4.26)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 design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80"/>
              <w:spacing w:after="0"/>
              <w:rPr>
                <w:sz w:val="20"/>
                <w:szCs w:val="20"/>
                <w:color w:val="auto"/>
              </w:rPr>
            </w:pPr>
            <w:r>
              <w:rPr>
                <w:rFonts w:ascii="Arial" w:cs="Arial" w:eastAsia="Arial" w:hAnsi="Arial"/>
                <w:sz w:val="18"/>
                <w:szCs w:val="18"/>
                <w:color w:val="auto"/>
                <w:w w:val="97"/>
              </w:rPr>
              <w:t>assumptions associated with the 2017 temporary suspension of the non-deductible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health insurance industry fee; excludes Individual Commercial segment impact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(0.52)</w:t>
            </w:r>
          </w:p>
        </w:tc>
        <w:tc>
          <w:tcPr>
            <w:tcW w:w="0" w:type="dxa"/>
            <w:vAlign w:val="bottom"/>
          </w:tcPr>
          <w:p>
            <w:pPr>
              <w:spacing w:after="0"/>
              <w:rPr>
                <w:sz w:val="1"/>
                <w:szCs w:val="1"/>
                <w:color w:val="auto"/>
              </w:rPr>
            </w:pPr>
          </w:p>
        </w:tc>
      </w:tr>
      <w:tr>
        <w:trPr>
          <w:trHeight w:val="202"/>
        </w:trPr>
        <w:tc>
          <w:tcPr>
            <w:tcW w:w="6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Guaranty fund assessment expense to support the policyholder obligations of Penn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Treaty (an unaffiliated long-term care insurance company)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(0.29)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(0.27)</w:t>
            </w:r>
          </w:p>
        </w:tc>
        <w:tc>
          <w:tcPr>
            <w:tcW w:w="0" w:type="dxa"/>
            <w:vAlign w:val="bottom"/>
          </w:tcPr>
          <w:p>
            <w:pPr>
              <w:spacing w:after="0"/>
              <w:rPr>
                <w:sz w:val="1"/>
                <w:szCs w:val="1"/>
                <w:color w:val="auto"/>
              </w:rPr>
            </w:pPr>
          </w:p>
        </w:tc>
      </w:tr>
      <w:tr>
        <w:trPr>
          <w:trHeight w:val="202"/>
        </w:trPr>
        <w:tc>
          <w:tcPr>
            <w:tcW w:w="6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provisional estimates for the income tax effects related to the tax reform</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(0.05)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law enacted on December 22, 2017 (Tax Reform Law)</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32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financial measures as indicators of the company’s business performance, as well as for operational planning and decision making purposes. Non-GAAP financial measures should be considered in addition to, but not as a substitute for, or superior to, financial measures prepared in accordance with GAAP. All financial measures in this press release are in accordance with GAAP unless otherwise indicated.</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“We’re pleased that we continue to consistently deliver strong financial results, while advancing our health and consumer-focused strategy,” said Bruce D. Broussard, Humana’s President and Chief Executive Officer. “It really comes down to the consistency of our operating model, which has enabled us to perform well in all parts of our business. This shows up in our earnings results, in the trajectory of our membership growth, and also in the strength of our brand as we continue to make great strides in improving the experience of our members as evidenced by the increase in our NPS and also our top ranking among insurers in Temkin’s customer satisfaction survey. These efforts, along with advancements we’re making in our strategy through building deeper clinical and local market capabilities, are moving us closer to our core objective of helping our members with their ‘whole health’ so they can achieve their best health.”</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GAAP consolidated pretax income for 1Q18 of $707 million unfavorably compared to GAAP consolidated pretax income of $1.69 billion in 1Q17 by $982 million primarily due to the net gain associated with the terminated merger agreement, mainly the break-up fee, recorded in 1Q17 and lower pretax earnings year over year in the Retail and Healthcare Services segments, partially offset by higher Group and Specialty segment pretax earnings. The year-over-year comparison was further impacted by the guaranty fund assessment expense to support policyholder obligations of Penn Treaty (an unaffiliated long-term care insurance company) recorded in 1Q17.</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Adjusted consolidated pretax income for 1Q18 of $684 million declined by $67 million, or 9 percent, versus $751 million in 1Q17 primarily due to the same factors impacting the GAAP year-over-year comparison, while excluding the impact of the items in the pretax table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discussions of each segment’s financial results are included in the segment highlights.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addition to the factors impacting the year-over-year changes in quarterly GAAP pretax income, GAAP EPS for 1Q18 was further affected by a lower number of shares primarily reflecting share repurchases in 2017 and the impact of a lower tax rate in 1Q18 resulting from the Tax Reform Law.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5" w:right="259" w:bottom="144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EPS for 1Q18 was affected by the same factors impacting Adjusted pretax income, as well as a lower number of shares and lower tax rate used to compute EPS as discussed above.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experienced strong Medicare Advantage enrollment growth and solid performance across all segments in the first quarter, with early positive indicators of medical utilization allowing us to raise guidance for the year,” said Brian A. Kane, Chief Financial Officer. “Together, these results reflect the effective execution of our strategy.”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Guidance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Humana today raised its GAAP and Adjusted EPS guidance for the year ended December 31, 2018 (FY18). FY18 Adjusted EPS guidance was increased to $13.70 to $14.10 from its previous range of $13.50 to $14.00, while GAAP EPS was increased to $13.54 to $13.94 from the previous range of $13.16 to $13.66.</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reconciliation of GAAP to Adjusted EPS for the company’s FY18 projections as well as comparable numbers for the year ended December 31, 2017 (FY17) is shown below for comparison.</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8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FY18 Guidance </w:t>
            </w:r>
            <w:r>
              <w:rPr>
                <w:rFonts w:ascii="Arial" w:cs="Arial" w:eastAsia="Arial" w:hAnsi="Arial"/>
                <w:sz w:val="14"/>
                <w:szCs w:val="14"/>
                <w:color w:val="auto"/>
              </w:rPr>
              <w:t>(c)</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FY17 (d)</w:t>
            </w: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3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~$13.54 to $13.94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7"/>
              </w:rPr>
              <w:t>Net (gain) expenses associated with the terminated merger agreement (for</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FY17, primarily the break-up fee)</w:t>
            </w:r>
          </w:p>
        </w:tc>
        <w:tc>
          <w:tcPr>
            <w:tcW w:w="2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(4.31)</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identifiable intangibles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w w:val="94"/>
              </w:rPr>
              <w:t>design assumptions associated with the 2017 temporary suspension of the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non-deductible health insurance industry fee; excludes Individual</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Commercial segment impact</w:t>
            </w:r>
          </w:p>
        </w:tc>
        <w:tc>
          <w:tcPr>
            <w:tcW w:w="2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(2.15)</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Guaranty fund assessment expense to support the policyholder obligations of</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 Treaty (an unaffiliated long-term care insurance company)</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(0.28)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(0.84)</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voluntary and involuntary workforce reduction</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Costs associated with early retirement of debt in 4Q17</w:t>
            </w:r>
          </w:p>
        </w:tc>
        <w:tc>
          <w:tcPr>
            <w:tcW w:w="28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Impact of Tax Reform Law, primarily re-measurement of deferred tax assets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 lower corporate tax rates</w:t>
            </w:r>
          </w:p>
        </w:tc>
        <w:tc>
          <w:tcPr>
            <w:tcW w:w="1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20"/>
                <w:szCs w:val="20"/>
                <w:color w:val="auto"/>
              </w:rPr>
            </w:pPr>
          </w:p>
        </w:tc>
      </w:t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Adjusted (non-GAAP) – FY18 projected</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~$ 13.70 – $14.10</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$ 11.71</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The company’s earnings guidance for FY18 does not include any potential impact from the previously announced pending sale of KMG America Corporation (KMG), whose subsidiary, Kanawha Insurance Company (KIC), includes Humana’s closed block of non-strategic long-term care insurance policies, to Continental General Insurance Company (CGIC), a Texas-based insurance company wholly-owned by HC2 Holdings, Inc., a diversified holding company (NYSE: HCHC).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Rate Notice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 2018, the Centers for Medicare and Medicaid Services (CMS) issued its announcement of 2019 Medicare Advantage Capitation Rates and Medicare Advantage and Part D Payment Policies and Final Call Letter (the Final Rate Notice). The company expects the Final Rate Notice to result in a 3.00 percent</w:t>
      </w:r>
      <w:r>
        <w:rPr>
          <w:rFonts w:ascii="Arial" w:cs="Arial" w:eastAsia="Arial" w:hAnsi="Arial"/>
          <w:sz w:val="15"/>
          <w:szCs w:val="15"/>
          <w:color w:val="auto"/>
        </w:rPr>
        <w:t>(e)</w:t>
      </w:r>
      <w:r>
        <w:rPr>
          <w:rFonts w:ascii="Arial" w:cs="Arial" w:eastAsia="Arial" w:hAnsi="Arial"/>
          <w:sz w:val="18"/>
          <w:szCs w:val="18"/>
          <w:color w:val="auto"/>
        </w:rPr>
        <w:t xml:space="preserve"> rate increase for Humana’s individual Medicare Advantage business versus CMS’ estimate for the sector of 3.50 percent, excluding the impact of Employer Group Waiver Plan (EGWP) funding changes, on a comparable basis. The difference between the Humana and CMS projections primarily results from the geographic distribution of our members relative to the national average.</w:t>
      </w:r>
    </w:p>
    <w:p>
      <w:pPr>
        <w:spacing w:after="0" w:line="18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addition, the Final Rate Notice clarified that the agency has the authority to permit Medicare Advantage organizations to offer tailored supplemental benefits with flexibility to target the social determinants of health as recommended by a licensed medical professional. The additional</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flexibility will allow Humana to include supplemental benefits that it believes will improve health outcomes for its members. CMS issued additional guidance regarding supplemental benefits on April 27, 2018 and the company is analyzing this guidance.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Detailed Press Release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Humana’s full earnings press release including the statistical pages has been posted to the company’s Investor Relations site and may be accessed at </w:t>
      </w:r>
      <w:r>
        <w:rPr>
          <w:rFonts w:ascii="Arial" w:cs="Arial" w:eastAsia="Arial" w:hAnsi="Arial"/>
          <w:sz w:val="18"/>
          <w:szCs w:val="18"/>
          <w:u w:val="single" w:color="auto"/>
          <w:color w:val="auto"/>
        </w:rPr>
        <w:t>https://humana.gcs-web.com/</w:t>
      </w:r>
      <w:r>
        <w:rPr>
          <w:rFonts w:ascii="Arial" w:cs="Arial" w:eastAsia="Arial" w:hAnsi="Arial"/>
          <w:sz w:val="18"/>
          <w:szCs w:val="18"/>
          <w:color w:val="auto"/>
        </w:rPr>
        <w:t xml:space="preserve"> or via a current report on Form 8-K filed by the company with the Securities and Exchange Commission this morning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company’s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All parties interested in the audio only portion of the company’s 1Q18 earnings conference call are invited to dial 888-625-7430. No password is required. The audio-only webcast of the 1Q18 earnings call may be accessed via Humana’s Investor Relations page at </w:t>
      </w:r>
      <w:r>
        <w:rPr>
          <w:rFonts w:ascii="Arial" w:cs="Arial" w:eastAsia="Arial" w:hAnsi="Arial"/>
          <w:sz w:val="17"/>
          <w:szCs w:val="17"/>
          <w:u w:val="single" w:color="auto"/>
          <w:color w:val="auto"/>
        </w:rPr>
        <w:t>humana.com</w:t>
      </w:r>
      <w:r>
        <w:rPr>
          <w:rFonts w:ascii="Arial" w:cs="Arial" w:eastAsia="Arial" w:hAnsi="Arial"/>
          <w:sz w:val="17"/>
          <w:szCs w:val="17"/>
          <w:color w:val="auto"/>
        </w:rPr>
        <w:t>. The company suggests participants for both the conference call and those listening via the web dial in or sign on at least 15 minutes in advance of the call.</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6"/>
          <w:szCs w:val="16"/>
          <w:u w:val="single" w:color="auto"/>
          <w:color w:val="auto"/>
        </w:rPr>
        <w:t>humana.com</w:t>
      </w:r>
      <w:r>
        <w:rPr>
          <w:rFonts w:ascii="Arial" w:cs="Arial" w:eastAsia="Arial" w:hAnsi="Arial"/>
          <w:sz w:val="16"/>
          <w:szCs w:val="16"/>
          <w:color w:val="auto"/>
        </w:rPr>
        <w:t>, approximately two hours following the live webcast. Telephone replays will also be available approximately two hours following the live event until midnight eastern time on July 2, 2018 and can be accessed by dialing 855-859-2056 and providing the conference ID #1495828.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1Q18 Adjusted results exclude the following:</w:t>
      </w:r>
    </w:p>
    <w:p>
      <w:pPr>
        <w:spacing w:after="0" w:line="130" w:lineRule="exact"/>
        <w:rPr>
          <w:rFonts w:ascii="Arial" w:cs="Arial" w:eastAsia="Arial" w:hAnsi="Arial"/>
          <w:sz w:val="18"/>
          <w:szCs w:val="18"/>
          <w:color w:val="auto"/>
        </w:rPr>
      </w:pPr>
    </w:p>
    <w:p>
      <w:pPr>
        <w:jc w:val="both"/>
        <w:ind w:left="1920" w:right="100" w:hanging="440"/>
        <w:spacing w:after="0" w:line="264"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$30 million pretax, or $0.17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920" w:right="40" w:hanging="440"/>
        <w:spacing w:after="0" w:line="312"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income of $53 million pretax, or $0.29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52" w:lineRule="exact"/>
        <w:rPr>
          <w:rFonts w:ascii="Arial" w:cs="Arial" w:eastAsia="Arial" w:hAnsi="Arial"/>
          <w:sz w:val="16"/>
          <w:szCs w:val="16"/>
          <w:color w:val="auto"/>
        </w:rPr>
      </w:pPr>
    </w:p>
    <w:p>
      <w:pPr>
        <w:ind w:left="1920" w:right="20" w:hanging="440"/>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 The only GAAP measure affected in this release is EPS.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1Q17 Adjusted results exclude the following:</w:t>
      </w:r>
    </w:p>
    <w:p>
      <w:pPr>
        <w:spacing w:after="0" w:line="130" w:lineRule="exact"/>
        <w:rPr>
          <w:rFonts w:ascii="Arial" w:cs="Arial" w:eastAsia="Arial" w:hAnsi="Arial"/>
          <w:sz w:val="18"/>
          <w:szCs w:val="18"/>
          <w:color w:val="auto"/>
        </w:rPr>
      </w:pPr>
    </w:p>
    <w:p>
      <w:pPr>
        <w:ind w:left="1920" w:right="60" w:hanging="440"/>
        <w:spacing w:after="0" w:line="286" w:lineRule="auto"/>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Net gain from the termination of the Aetna merger agreement of approximately $947 million pretax, or $4.26 per diluted common share; includes the break-up fee and transaction costs net of the tax benefit associated with certain expenses which were previously non-deductible; GAAP measures affected in this release include consolidated pretax income and EPS.</w:t>
      </w:r>
    </w:p>
    <w:p>
      <w:pPr>
        <w:spacing w:after="0" w:line="70" w:lineRule="exact"/>
        <w:rPr>
          <w:rFonts w:ascii="Arial" w:cs="Arial" w:eastAsia="Arial" w:hAnsi="Arial"/>
          <w:sz w:val="17"/>
          <w:szCs w:val="17"/>
          <w:color w:val="auto"/>
        </w:rPr>
      </w:pPr>
    </w:p>
    <w:p>
      <w:pPr>
        <w:ind w:left="1920" w:right="140" w:hanging="440"/>
        <w:spacing w:after="0" w:line="264"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or $0.08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one-year beneficial effect of a lower effective tax rate of approximately $0.52 per diluted common share in light of pricing and benefit design assumptions associated with the 2017 temporary suspension of the non-deductible health insurance industry fee; excludes Individual Commercial segment impact. The only GAAP measure affected in this release is EPS.</w:t>
      </w:r>
    </w:p>
    <w:p>
      <w:pPr>
        <w:spacing w:after="0" w:line="70" w:lineRule="exact"/>
        <w:rPr>
          <w:rFonts w:ascii="Arial" w:cs="Arial" w:eastAsia="Arial" w:hAnsi="Arial"/>
          <w:sz w:val="17"/>
          <w:szCs w:val="17"/>
          <w:color w:val="auto"/>
        </w:rPr>
      </w:pPr>
    </w:p>
    <w:p>
      <w:pPr>
        <w:ind w:left="1920" w:right="140" w:hanging="440"/>
        <w:spacing w:after="0" w:line="312"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Guaranty fund assessment expense of approximately $54 million pretax, or $0.23 per diluted common share, to support the policyholder obligations of Penn Treaty (an unaffiliated long-term care insurance company); GAAP measures affected in this release include consolidated pretax income, EPS, and consolidated operating cost ratio. Under state guaranty assessment laws,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194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87" w:lineRule="exact"/>
        <w:rPr>
          <w:sz w:val="20"/>
          <w:szCs w:val="20"/>
          <w:color w:val="auto"/>
        </w:rPr>
      </w:pPr>
    </w:p>
    <w:p>
      <w:pPr>
        <w:ind w:left="1920" w:right="40" w:hanging="440"/>
        <w:spacing w:after="0" w:line="312" w:lineRule="auto"/>
        <w:tabs>
          <w:tab w:leader="none" w:pos="1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earnings of $63 million pretax, or $0.27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FY18 Adjusted EPS projections exclude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Amortization expense for identifiable intangibles of approximately $89 million pretax, or $0.49 per diluted common share.</w:t>
      </w:r>
    </w:p>
    <w:p>
      <w:pPr>
        <w:spacing w:after="0" w:line="142" w:lineRule="exact"/>
        <w:rPr>
          <w:rFonts w:ascii="Arial" w:cs="Arial" w:eastAsia="Arial" w:hAnsi="Arial"/>
          <w:sz w:val="17"/>
          <w:szCs w:val="17"/>
          <w:color w:val="auto"/>
        </w:rPr>
      </w:pPr>
    </w:p>
    <w:p>
      <w:pPr>
        <w:ind w:left="1920" w:right="68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earnings of approximately $51 million pretax, or $0.28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FY17 Adjusted results exclude the following:</w:t>
      </w:r>
    </w:p>
    <w:p>
      <w:pPr>
        <w:spacing w:after="0" w:line="130" w:lineRule="exact"/>
        <w:rPr>
          <w:rFonts w:ascii="Arial" w:cs="Arial" w:eastAsia="Arial" w:hAnsi="Arial"/>
          <w:sz w:val="18"/>
          <w:szCs w:val="18"/>
          <w:color w:val="auto"/>
        </w:rPr>
      </w:pPr>
    </w:p>
    <w:p>
      <w:pPr>
        <w:ind w:left="1920" w:right="140" w:hanging="440"/>
        <w:spacing w:after="0" w:line="264"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gain from the termination of the merger agreement of approximately $936 million pretax, or $4.31 per diluted common share; includes the net break-up fee and transaction costs net of the tax benefit associated with certain expenses which were previously non-deductible.</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Amortization expense for identifiable intangibles of approximately $75 million pretax, or $0.32 per diluted common share.</w:t>
      </w:r>
    </w:p>
    <w:p>
      <w:pPr>
        <w:spacing w:after="0" w:line="142"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one-year beneficial effect of a lower effective tax rate of approximately $2.15 per diluted common share in light of pricing and benefit design assumptions associated with the 2017 temporary suspension of the non-deductible health insurance industry fee; excludes Individual Commercial segment impact.</w:t>
      </w:r>
    </w:p>
    <w:p>
      <w:pPr>
        <w:spacing w:after="0" w:line="86" w:lineRule="exact"/>
        <w:rPr>
          <w:rFonts w:ascii="Arial" w:cs="Arial" w:eastAsia="Arial" w:hAnsi="Arial"/>
          <w:sz w:val="18"/>
          <w:szCs w:val="18"/>
          <w:color w:val="auto"/>
        </w:rPr>
      </w:pPr>
    </w:p>
    <w:p>
      <w:pPr>
        <w:ind w:left="1920" w:hanging="440"/>
        <w:spacing w:after="0" w:line="276" w:lineRule="auto"/>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Guaranty fund assessment expense of approximately $54 million pretax, or $0.24 per diluted common share, to support the policyholder obligations of Penn Treaty (an unaffiliated long-term care insurance company). Under state guaranty assessment laws, the 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77" w:lineRule="exact"/>
        <w:rPr>
          <w:rFonts w:ascii="Arial" w:cs="Arial" w:eastAsia="Arial" w:hAnsi="Arial"/>
          <w:sz w:val="17"/>
          <w:szCs w:val="17"/>
          <w:color w:val="auto"/>
        </w:rPr>
      </w:pPr>
    </w:p>
    <w:p>
      <w:pPr>
        <w:ind w:left="1920" w:right="60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earnings of approximately $193 million pretax, or $0.84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 of approximately $148 million pretax, or $0.64 per diluted common share, associated with voluntary and involuntary workforce reduction programs.</w:t>
      </w:r>
    </w:p>
    <w:p>
      <w:pPr>
        <w:spacing w:after="0" w:line="75" w:lineRule="exact"/>
        <w:rPr>
          <w:rFonts w:ascii="Arial" w:cs="Arial" w:eastAsia="Arial" w:hAnsi="Arial"/>
          <w:sz w:val="18"/>
          <w:szCs w:val="18"/>
          <w:color w:val="auto"/>
        </w:rPr>
      </w:pPr>
    </w:p>
    <w:p>
      <w:pPr>
        <w:ind w:left="1920" w:right="24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 of approximately $17 million pretax, or $0.08 per diluted common share, associated with early retirement of debt in the fourth quarter of 2017.</w:t>
      </w:r>
    </w:p>
    <w:p>
      <w:pPr>
        <w:spacing w:after="0" w:line="75"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impact of approximately $0.92 per diluted common share associated with the re-measurement of deferred tax assets at lower corporate tax rates under the Tax Reform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estimates of changes in revenue associated with increased accuracy of risk coding.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news release includes forward-looking statements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9" w:lineRule="exact"/>
        <w:rPr>
          <w:sz w:val="20"/>
          <w:szCs w:val="20"/>
          <w:color w:val="auto"/>
        </w:rPr>
      </w:pPr>
    </w:p>
    <w:p>
      <w:pPr>
        <w:ind w:left="460" w:right="10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ectPr>
          <w:pgSz w:w="11900" w:h="16838" w:orient="portrait"/>
          <w:cols w:equalWidth="0" w:num="1">
            <w:col w:w="11420"/>
          </w:cols>
          <w:pgMar w:left="240" w:top="27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both"/>
        <w:ind w:left="460" w:right="140" w:hanging="452"/>
        <w:spacing w:after="0" w:line="31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52" w:lineRule="exact"/>
        <w:rPr>
          <w:rFonts w:ascii="Arial" w:cs="Arial" w:eastAsia="Arial" w:hAnsi="Arial"/>
          <w:sz w:val="16"/>
          <w:szCs w:val="16"/>
          <w:color w:val="auto"/>
        </w:rPr>
      </w:pPr>
    </w:p>
    <w:p>
      <w:pPr>
        <w:ind w:left="460" w:right="240" w:hanging="452"/>
        <w:spacing w:after="0" w:line="27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proposed transactions, including the divestiture of Humana’s subsidiary, KMG America Corporation, the acquisition of a minority interest in Kindred Healthcare, Inc.’s Kindred at Home division by Humana, as well as the acquisition of a minority interest in Curo Healthcare Services by Humana are subject to various closing conditions, including various regulatory approvals and customary closing conditions, as well as other uncertainties, and there can be no assurances as to whether and when these transactions may be completed.</w:t>
      </w:r>
    </w:p>
    <w:p>
      <w:pPr>
        <w:spacing w:after="0" w:line="76" w:lineRule="exact"/>
        <w:rPr>
          <w:rFonts w:ascii="Arial" w:cs="Arial" w:eastAsia="Arial" w:hAnsi="Arial"/>
          <w:sz w:val="17"/>
          <w:szCs w:val="17"/>
          <w:color w:val="auto"/>
        </w:rPr>
      </w:pPr>
    </w:p>
    <w:p>
      <w:pPr>
        <w:ind w:left="460" w:right="40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51"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 is involved in various legal actions, or disputes that could lead to legal actions (such as, among other things, provider contract disputes relating to rate adjustments resulting from the Balanced Budget and Emergency Deficit Control Act of 1985, as amended, commonly referred to as “sequestration”; other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98" w:lineRule="exact"/>
        <w:rPr>
          <w:rFonts w:ascii="Arial" w:cs="Arial" w:eastAsia="Arial" w:hAnsi="Arial"/>
          <w:sz w:val="18"/>
          <w:szCs w:val="18"/>
          <w:color w:val="auto"/>
        </w:rPr>
      </w:pPr>
    </w:p>
    <w:p>
      <w:pPr>
        <w:ind w:left="460" w:right="22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w:t>
      </w:r>
    </w:p>
    <w:p>
      <w:pPr>
        <w:spacing w:after="0" w:line="93" w:lineRule="exact"/>
        <w:rPr>
          <w:rFonts w:ascii="Arial" w:cs="Arial" w:eastAsia="Arial" w:hAnsi="Arial"/>
          <w:sz w:val="18"/>
          <w:szCs w:val="18"/>
          <w:color w:val="auto"/>
        </w:rPr>
      </w:pPr>
    </w:p>
    <w:p>
      <w:pPr>
        <w:ind w:left="460" w:right="60" w:hanging="452"/>
        <w:spacing w:after="0" w:line="271"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changes, including activities to repeal or replace, in whole or in part, the Health Care Reform Law, creates uncertainty for Humana’s business, and when, or in what form, such legislative changes may occur cannot be predicted with certainty.</w:t>
      </w:r>
    </w:p>
    <w:p>
      <w:pPr>
        <w:spacing w:after="0" w:line="84" w:lineRule="exact"/>
        <w:rPr>
          <w:rFonts w:ascii="Arial" w:cs="Arial" w:eastAsia="Arial" w:hAnsi="Arial"/>
          <w:sz w:val="17"/>
          <w:szCs w:val="17"/>
          <w:color w:val="auto"/>
        </w:rPr>
      </w:pPr>
    </w:p>
    <w:p>
      <w:pPr>
        <w:ind w:left="460" w:right="24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10-K for the year ended December 31,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8-Ks filed during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Humana</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ectPr>
          <w:pgSz w:w="11900" w:h="16838" w:orient="portrait"/>
          <w:cols w:equalWidth="0" w:num="1">
            <w:col w:w="11400"/>
          </w:cols>
          <w:pgMar w:left="240" w:top="274"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4" w:right="259" w:bottom="1440" w:gutter="0" w:footer="0" w:header="0"/>
          <w:type w:val="continuous"/>
        </w:sectPr>
      </w:pPr>
    </w:p>
    <w:bookmarkStart w:id="9" w:name="page10"/>
    <w:bookmarkEnd w:id="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More information regarding Humana is available to investors via the Investor Relations page of the company’s website at </w:t>
      </w:r>
      <w:r>
        <w:rPr>
          <w:rFonts w:ascii="Arial" w:cs="Arial" w:eastAsia="Arial" w:hAnsi="Arial"/>
          <w:sz w:val="16"/>
          <w:szCs w:val="16"/>
          <w:u w:val="single" w:color="auto"/>
          <w:color w:val="auto"/>
        </w:rPr>
        <w:t>humana.com</w:t>
      </w:r>
      <w:r>
        <w:rPr>
          <w:rFonts w:ascii="Arial" w:cs="Arial" w:eastAsia="Arial" w:hAnsi="Arial"/>
          <w:sz w:val="16"/>
          <w:szCs w:val="16"/>
          <w:color w:val="auto"/>
        </w:rPr>
        <w:t>, including copies of:</w:t>
      </w:r>
    </w:p>
    <w:p>
      <w:pPr>
        <w:spacing w:after="0" w:line="15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Calendar of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2654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6540" cy="180340"/>
                    </a:xfrm>
                    <a:prstGeom prst="rect">
                      <a:avLst/>
                    </a:prstGeom>
                    <a:noFill/>
                  </pic:spPr>
                </pic:pic>
              </a:graphicData>
            </a:graphic>
          </wp:anchor>
        </w:drawing>
      </w:r>
    </w:p>
    <w:p>
      <w:pPr>
        <w:spacing w:after="0" w:line="30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Humana Inc.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500 West Main Street</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P.O. Box 1438</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u w:val="single" w:color="auto"/>
          <w:color w:val="auto"/>
        </w:rPr>
        <w:t>http://www.humana.com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142875</wp:posOffset>
            </wp:positionV>
            <wp:extent cx="2040890"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Amy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(502) 580-2811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Amysmith@humana.com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Tom Noland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580-3674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Tnoland@humana.com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First Quarter 2018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Raises Full Year 2018 EPS Guidance</w:t>
      </w:r>
    </w:p>
    <w:p>
      <w:pPr>
        <w:spacing w:after="0" w:line="23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1Q18 earnings per diluted common share (EPS) of $3.36 on an Adjusted basis, $3.53 on a GAAP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Raised full year 2018 Adjusted EPS guidance to $13.70 to $14.10, $13.54 to $13.94 on a GAAP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Better than initially expected medical utilization, resulting in a strong start to 2018 led by the Retail and Group and Specialty segments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LOUISVILLE, KY (May 2, 2018) </w:t>
      </w:r>
      <w:r>
        <w:rPr>
          <w:rFonts w:ascii="Arial" w:cs="Arial" w:eastAsia="Arial" w:hAnsi="Arial"/>
          <w:sz w:val="16"/>
          <w:szCs w:val="16"/>
          <w:color w:val="auto"/>
        </w:rPr>
        <w:t>– Humana Inc. (NYSE: HUM) today reported consolidated pretax income and diluted earnings per common share (EPS)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March 31, 2018 (1Q18) versus the quarter ended March 31, 2017 (1Q17) as follows: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Consolidated pretax income</w:t>
            </w:r>
          </w:p>
        </w:tc>
        <w:tc>
          <w:tcPr>
            <w:tcW w:w="13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1Q18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gridSpan w:val="4"/>
            <w:vMerge w:val="continue"/>
          </w:tcPr>
          <w:p>
            <w:pPr>
              <w:spacing w:after="0"/>
              <w:rPr>
                <w:sz w:val="14"/>
                <w:szCs w:val="14"/>
                <w:color w:val="auto"/>
              </w:rPr>
            </w:pPr>
          </w:p>
        </w:tc>
        <w:tc>
          <w:tcPr>
            <w:tcW w:w="920" w:type="dxa"/>
            <w:vAlign w:val="bottom"/>
            <w:gridSpan w:val="4"/>
          </w:tcPr>
          <w:p>
            <w:pPr>
              <w:ind w:left="28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3"/>
              </w:rPr>
              <w:t>Generally</w:t>
            </w:r>
          </w:p>
        </w:tc>
        <w:tc>
          <w:tcPr>
            <w:tcW w:w="5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Accepted Accounting Principles (GAAP)</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w w:val="97"/>
              </w:rPr>
              <w:t>Net gain associated with the terminated merger agreement (for 1Q17, primarily the</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break-up fee)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w w:val="96"/>
              </w:rPr>
              <w:t>Guaranty fund assessment expense to support the policyholder obligations of Penn</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Treaty (an unaffiliated long-term care insurance company)</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64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320" w:type="dxa"/>
            <w:vAlign w:val="bottom"/>
          </w:tcPr>
          <w:p>
            <w:pPr>
              <w:spacing w:after="0"/>
              <w:rPr>
                <w:sz w:val="20"/>
                <w:szCs w:val="20"/>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440" w:type="dxa"/>
            <w:vAlign w:val="bottom"/>
            <w:gridSpan w:val="2"/>
          </w:tcPr>
          <w:p>
            <w:pPr>
              <w:ind w:left="4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Diluted earnings per common share (EPS)</w:t>
            </w:r>
          </w:p>
        </w:tc>
        <w:tc>
          <w:tcPr>
            <w:tcW w:w="1160" w:type="dxa"/>
            <w:vAlign w:val="bottom"/>
            <w:gridSpan w:val="4"/>
          </w:tcPr>
          <w:p>
            <w:pPr>
              <w:ind w:left="300"/>
              <w:spacing w:after="0"/>
              <w:rPr>
                <w:sz w:val="20"/>
                <w:szCs w:val="20"/>
                <w:color w:val="auto"/>
              </w:rPr>
            </w:pPr>
            <w:r>
              <w:rPr>
                <w:rFonts w:ascii="Arial" w:cs="Arial" w:eastAsia="Arial" w:hAnsi="Arial"/>
                <w:sz w:val="14"/>
                <w:szCs w:val="14"/>
                <w:b w:val="1"/>
                <w:bCs w:val="1"/>
                <w:color w:val="auto"/>
              </w:rPr>
              <w:t>1Q18 (a)</w:t>
            </w:r>
          </w:p>
        </w:tc>
        <w:tc>
          <w:tcPr>
            <w:tcW w:w="900" w:type="dxa"/>
            <w:vAlign w:val="bottom"/>
            <w:gridSpan w:val="4"/>
          </w:tcPr>
          <w:p>
            <w:pPr>
              <w:ind w:left="26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4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Net gain associated with the terminated merger agreement (for 1Q17, primarily the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break-up fee)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(4.26)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 design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80"/>
              <w:spacing w:after="0"/>
              <w:rPr>
                <w:sz w:val="20"/>
                <w:szCs w:val="20"/>
                <w:color w:val="auto"/>
              </w:rPr>
            </w:pPr>
            <w:r>
              <w:rPr>
                <w:rFonts w:ascii="Arial" w:cs="Arial" w:eastAsia="Arial" w:hAnsi="Arial"/>
                <w:sz w:val="18"/>
                <w:szCs w:val="18"/>
                <w:color w:val="auto"/>
                <w:w w:val="97"/>
              </w:rPr>
              <w:t>assumptions associated with the 2017 temporary suspension of the non-deductible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health insurance industry fee; excludes Individual Commercial segment impact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(0.52)</w:t>
            </w:r>
          </w:p>
        </w:tc>
        <w:tc>
          <w:tcPr>
            <w:tcW w:w="0" w:type="dxa"/>
            <w:vAlign w:val="bottom"/>
          </w:tcPr>
          <w:p>
            <w:pPr>
              <w:spacing w:after="0"/>
              <w:rPr>
                <w:sz w:val="1"/>
                <w:szCs w:val="1"/>
                <w:color w:val="auto"/>
              </w:rPr>
            </w:pPr>
          </w:p>
        </w:tc>
      </w:tr>
      <w:tr>
        <w:trPr>
          <w:trHeight w:val="202"/>
        </w:trPr>
        <w:tc>
          <w:tcPr>
            <w:tcW w:w="6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Guaranty fund assessment expense to support the policyholder obligations of Penn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Treaty (an unaffiliated long-term care insurance company)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(0.29)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(0.27)</w:t>
            </w:r>
          </w:p>
        </w:tc>
        <w:tc>
          <w:tcPr>
            <w:tcW w:w="0" w:type="dxa"/>
            <w:vAlign w:val="bottom"/>
          </w:tcPr>
          <w:p>
            <w:pPr>
              <w:spacing w:after="0"/>
              <w:rPr>
                <w:sz w:val="1"/>
                <w:szCs w:val="1"/>
                <w:color w:val="auto"/>
              </w:rPr>
            </w:pPr>
          </w:p>
        </w:tc>
      </w:tr>
      <w:tr>
        <w:trPr>
          <w:trHeight w:val="202"/>
        </w:trPr>
        <w:tc>
          <w:tcPr>
            <w:tcW w:w="6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provisional estimates for the income tax effects related to the tax reform</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(0.05)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law enacted on December 22, 2017 (Tax Reform Law)</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32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financial measures as indicators of the company’s business performance, as well as for operational planning and decision making purposes. Non-GAAP financial measures should be considered in addition to, but not as a substitute for, or superior to, financial measures prepared in accordance with GAAP. All financial measures in this press release are in accordance with GAAP unless otherwise indicated.</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“We’re pleased that we continue to consistently deliver strong financial results, while advancing our health and consumer-focused strategy,” said Bruce D. Broussard, Humana’s President and Chief Executive Officer. “It really comes down to the consistency of our operating model, which has enabled us to perform well in all parts of our business. This shows up in our earnings results, in the trajectory of our membership growth, and also in the strength of our brand as we continue to make great strides in improving the experience of our members as evidenced by the increase in our NPS and also our top ranking among insurers in Temkin’s customer satisfaction survey. These efforts, along with advancements we’re making in our strategy through building deeper clinical and local market capabilities, are moving us closer to our core objective of helping our members with their ‘whole health’ so they can achieve their best health.”</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GAAP consolidated pretax income for 1Q18 of $707 million unfavorably compared to GAAP consolidated pretax income of $1.69 billion in 1Q17 by $982 million primarily due to the net gain associated with the terminated merger agreement, mainly the break-up fee, recorded in 1Q17 and lower pretax earnings year over year in the Retail and Healthcare Services segments, partially offset by higher Group and Specialty segment pretax earnings. The year-over-year comparison was further impacted by the guaranty fund assessment expense to support policyholder obligations of Penn Treaty (an unaffiliated long-term care insurance company) recorded in 1Q17.</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Adjusted consolidated pretax income for 1Q18 of $684 million declined by $67 million, or 9 percent, versus $751 million in 1Q17 primarily due to the same factors impacting the GAAP year-over-year comparison, while excluding the impact of the items in the pretax table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discussions of each segment’s financial results are included in the segment highlights.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addition to the factors impacting the year-over-year changes in quarterly GAAP pretax income, GAAP EPS for 1Q18 was further affected by a lower number of shares primarily reflecting share repurchases in 2017 and the impact of a lower tax rate in 1Q18 resulting from the Tax Reform Law.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5" w:right="25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EPS for 1Q18 was affected by the same factors impacting Adjusted pretax income, as well as a lower number of shares and lower tax rate used to compute EPS as discussed above.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experienced strong Medicare Advantage enrollment growth and solid performance across all segments in the first quarter, with early positive indicators of medical utilization allowing us to raise guidance for the year,” said Brian A. Kane, Chief Financial Officer. “Together, these results reflect the effective execution of our strategy.”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Guidance</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Humana today raised its GAAP and Adjusted EPS guidance for the year ended December 31, 2018 (FY18). FY18 Adjusted EPS guidance was increased to $13.70 to $14.10 from its previous range of $13.50 to $14.00, while GAAP EPS was increased to $13.54 to $13.94 from the previous range of $13.16 to $13.66. Additional FY18 guidance points are included in the table beginning on page 18 of this earnings release.</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reconciliation of GAAP to Adjusted EPS for the company’s FY18 projections as well as comparable numbers for the year ended December 31, 2017 (FY17) is shown below for comparison.</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8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FY18 Guidance </w:t>
            </w:r>
            <w:r>
              <w:rPr>
                <w:rFonts w:ascii="Arial" w:cs="Arial" w:eastAsia="Arial" w:hAnsi="Arial"/>
                <w:sz w:val="14"/>
                <w:szCs w:val="14"/>
                <w:color w:val="auto"/>
              </w:rPr>
              <w:t>(c)</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FY17 (d)</w:t>
            </w: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3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~$13.54 to $13.94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7"/>
              </w:rPr>
              <w:t>Net (gain) expenses associated with the terminated merger agreement (for</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FY17, primarily the break-up fee)</w:t>
            </w:r>
          </w:p>
        </w:tc>
        <w:tc>
          <w:tcPr>
            <w:tcW w:w="2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(4.31)</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identifiable intangibles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w w:val="94"/>
              </w:rPr>
              <w:t>design assumptions associated with the 2017 temporary suspension of the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non-deductible health insurance industry fee; excludes Individual</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Commercial segment impact</w:t>
            </w:r>
          </w:p>
        </w:tc>
        <w:tc>
          <w:tcPr>
            <w:tcW w:w="2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(2.15)</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Guaranty fund assessment expense to support the policyholder obligations of</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 Treaty (an unaffiliated long-term care insurance company)</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income associated with the Individual Commercial segment</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(0.28)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(0.84)</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voluntary and involuntary workforce reduction</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Costs associated with early retirement of debt in 4Q17</w:t>
            </w:r>
          </w:p>
        </w:tc>
        <w:tc>
          <w:tcPr>
            <w:tcW w:w="28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Impact of Tax Reform Law, primarily re-measurement of deferred tax assets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 lower corporate tax rates</w:t>
            </w:r>
          </w:p>
        </w:tc>
        <w:tc>
          <w:tcPr>
            <w:tcW w:w="1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20"/>
                <w:szCs w:val="20"/>
                <w:color w:val="auto"/>
              </w:rPr>
            </w:pPr>
          </w:p>
        </w:tc>
      </w:t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Adjusted (non-GAAP) – FY18 projected</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~$ 13.70 – $14.10</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$ 11.71</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The company’s earnings guidance for FY18 does not include any potential impact from the previously announced pending sale of KMG America Corporation (KMG), whose subsidiary, Kanawha Insurance Company (KIC), includes Humana’s closed block of non-strategic long-term care insurance policies, to Continental General Insurance Company (CGIC), a Texas-based insurance company wholly-owned by HC2 Holdings, Inc., a diversified holding company (NYSE: HCHC).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Rate Notice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 2018, the Centers for Medicare and Medicaid Services (CMS) issued its announcement of 2019 Medicare Advantage Capitation Rates and Medicare Advantage and Part D Payment Policies and Final Call Letter (the Final Rate Notice). The company expects the Final Rate Notice to result in a 3.00 percent</w:t>
      </w:r>
      <w:r>
        <w:rPr>
          <w:rFonts w:ascii="Arial" w:cs="Arial" w:eastAsia="Arial" w:hAnsi="Arial"/>
          <w:sz w:val="15"/>
          <w:szCs w:val="15"/>
          <w:color w:val="auto"/>
        </w:rPr>
        <w:t>(e)</w:t>
      </w:r>
      <w:r>
        <w:rPr>
          <w:rFonts w:ascii="Arial" w:cs="Arial" w:eastAsia="Arial" w:hAnsi="Arial"/>
          <w:sz w:val="18"/>
          <w:szCs w:val="18"/>
          <w:color w:val="auto"/>
        </w:rPr>
        <w:t xml:space="preserve"> rate increase for Humana’s individual Medicare Advantage business versus CMS’ estimate for the sector of 3.50 percent, excluding the impact of Employer Group Waiver Plan (EGWP) funding changes, on a comparable basis. The difference between the Humana and CMS projections primarily results from the geographic distribution of our members relative to the national average.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Final Rate Notice clarified that the agency has the authority to permit Medicare Advantage organizations to offer tailored supplemental benefits with flexibility to target the social determinants of health as recommended by a licensed medical professional. The additional flexibility will allow Humana to include supplemental benefits that it believes will improve health outcomes for its members. CMS issued additional guidance regarding supplemental benefits on April 27, 2018 and the company is analyzing this guidance.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 Consolidated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revenues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Consolidated revenues</w:t>
            </w:r>
          </w:p>
        </w:tc>
        <w:tc>
          <w:tcPr>
            <w:tcW w:w="13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1Q18 (a)</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1Q17 (b)</w:t>
            </w: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4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$14,279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Revenues associated with Individual Commercial segment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GAAP consolidated revenues for 1Q18 were $14.28 billion, an increase of $517 million, or 4 percent, from $13.76 billion in 1Q17. Total premiums and services revenues of $14.14 billion in 1Q18 increased $487 million, or 4 percent, from $13.65 billion in 1Q17. The year-over-year increase primarily reflects higher revenues in the Retail segment, mainly resulting from the company’s Medicare Advantage business, and the Group and Specialty segment. These increases were partially offset by lower revenues resulting from the exit of the individual commercial business.</w:t>
      </w:r>
    </w:p>
    <w:p>
      <w:pPr>
        <w:spacing w:after="0" w:line="17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Adjusted consolidated revenues for 1Q18 of $14.28 billion compared to Adjusted consolidated revenues for 1Q17 of $13.48 billion, an increase of $806 million, or 6 percent, reflecting the same factors impacting the year-over-year GAAP comparison, while excluding the impact of the Individual Commercial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benefits expense</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Consolidated benefit ratio</w:t>
            </w:r>
          </w:p>
        </w:tc>
        <w:tc>
          <w:tcPr>
            <w:tcW w:w="17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1Q18 (a)</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Arial" w:cs="Arial" w:eastAsia="Arial" w:hAnsi="Arial"/>
                <w:sz w:val="14"/>
                <w:szCs w:val="14"/>
                <w:i w:val="1"/>
                <w:iCs w:val="1"/>
                <w:color w:val="auto"/>
                <w:w w:val="90"/>
              </w:rPr>
              <w:t>(benefits expense as a percent of premiums)</w:t>
            </w:r>
          </w:p>
        </w:tc>
        <w:tc>
          <w:tcPr>
            <w:tcW w:w="342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3420" w:type="dxa"/>
            <w:vAlign w:val="bottom"/>
            <w:vMerge w:val="restart"/>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34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84.5%</w:t>
            </w:r>
          </w:p>
        </w:tc>
        <w:tc>
          <w:tcPr>
            <w:tcW w:w="2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Benefit ratio impact associated with the Individual Commercial segment</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84.9%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1Q18 GAAP consolidated benefit ratio of 84.5 percent was equivalent to the 1Q17 ratio. The year-over-year comparison of the ratio was favorably impacted by the following factors:</w:t>
      </w:r>
    </w:p>
    <w:p>
      <w:pPr>
        <w:spacing w:after="0" w:line="76" w:lineRule="exact"/>
        <w:rPr>
          <w:sz w:val="20"/>
          <w:szCs w:val="20"/>
          <w:color w:val="auto"/>
        </w:rPr>
      </w:pPr>
    </w:p>
    <w:p>
      <w:pPr>
        <w:ind w:left="1920" w:right="18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reinstatement of the non-deductible health insurance industry fee in 2018 which was contemplated in the pricing and benefit design of the company’s products</w:t>
      </w:r>
    </w:p>
    <w:p>
      <w:pPr>
        <w:spacing w:after="0" w:line="75" w:lineRule="exact"/>
        <w:rPr>
          <w:rFonts w:ascii="Arial" w:cs="Arial" w:eastAsia="Arial" w:hAnsi="Arial"/>
          <w:sz w:val="18"/>
          <w:szCs w:val="18"/>
          <w:color w:val="auto"/>
        </w:rPr>
      </w:pPr>
    </w:p>
    <w:p>
      <w:pPr>
        <w:ind w:left="1920" w:right="24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seasonality and product design of the company’s fully-insured commercial products, including an increased number of high deductible plan offerings,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14" w:name="page15"/>
    <w:bookmarkEnd w:id="14"/>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higher prior period medical claims reserve development (Prior Period Development) in 1Q18 versus 1Q17.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items were offset by the negative impact on 1Q18 from the following:</w:t>
      </w:r>
    </w:p>
    <w:p>
      <w:pPr>
        <w:spacing w:after="0" w:line="131" w:lineRule="exact"/>
        <w:rPr>
          <w:sz w:val="20"/>
          <w:szCs w:val="20"/>
          <w:color w:val="auto"/>
        </w:rPr>
      </w:pPr>
    </w:p>
    <w:p>
      <w:pPr>
        <w:ind w:left="1920" w:right="320" w:hanging="440"/>
        <w:spacing w:after="0" w:line="277" w:lineRule="auto"/>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 of higher than initially expected individual Medicare Advantage pretax earnings in 2017 into the company’s benefit design for its 2018 Medicare Advantage offerings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more severe flu season year-over-year.</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1Q18 Adjusted consolidated benefit ratio of 84.9 percent decreased 30 basis points from the 1Q17 Adjusted consolidated benefit ratio of 85.2 percent. The year-over-year decrease primarily reflects the impact of the factors in the quarterly GAAP comparison, while excluding the impact of the Individual Commercial segment.</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Consolidated Prior Period Development </w:t>
            </w:r>
            <w:r>
              <w:rPr>
                <w:rFonts w:ascii="Arial" w:cs="Arial" w:eastAsia="Arial" w:hAnsi="Arial"/>
                <w:sz w:val="14"/>
                <w:szCs w:val="14"/>
                <w:i w:val="1"/>
                <w:iCs w:val="1"/>
                <w:color w:val="auto"/>
              </w:rPr>
              <w:t>(in millions)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First Quarter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Favorable (unfavorable)</w:t>
            </w: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3"/>
          </w:tcPr>
          <w:p>
            <w:pPr>
              <w:jc w:val="right"/>
              <w:ind w:right="180"/>
              <w:spacing w:after="0" w:line="123" w:lineRule="exact"/>
              <w:rPr>
                <w:sz w:val="20"/>
                <w:szCs w:val="20"/>
                <w:color w:val="auto"/>
              </w:rPr>
            </w:pPr>
            <w:r>
              <w:rPr>
                <w:rFonts w:ascii="Arial" w:cs="Arial" w:eastAsia="Arial" w:hAnsi="Arial"/>
                <w:sz w:val="14"/>
                <w:szCs w:val="14"/>
                <w:color w:val="auto"/>
              </w:rPr>
              <w:t>Individual</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Commercial</w:t>
            </w:r>
          </w:p>
        </w:tc>
        <w:tc>
          <w:tcPr>
            <w:tcW w:w="4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All Other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Prior Period Development from prior years recognized in 1Q18</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4"/>
              </w:rPr>
              <w:t>$267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Prior Period Development from prior years recognized in 1Q17</w:t>
            </w:r>
          </w:p>
        </w:tc>
        <w:tc>
          <w:tcPr>
            <w:tcW w:w="12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225</w:t>
            </w:r>
          </w:p>
        </w:tc>
        <w:tc>
          <w:tcPr>
            <w:tcW w:w="420" w:type="dxa"/>
            <w:vAlign w:val="bottom"/>
            <w:gridSpan w:val="2"/>
          </w:tcPr>
          <w:p>
            <w:pPr>
              <w:spacing w:after="0"/>
              <w:rPr>
                <w:sz w:val="20"/>
                <w:szCs w:val="20"/>
                <w:color w:val="auto"/>
              </w:rPr>
            </w:pPr>
            <w:r>
              <w:rPr>
                <w:rFonts w:ascii="Arial" w:cs="Arial" w:eastAsia="Arial" w:hAnsi="Arial"/>
                <w:sz w:val="18"/>
                <w:szCs w:val="18"/>
                <w:color w:val="auto"/>
                <w:w w:val="99"/>
              </w:rPr>
              <w:t>$231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Period Development for 1Q18 and 1Q17 is shown above and decreased the GAAP consolidated benefit ratio by 190 basis points in 1Q18 and 170 basis points in 1Q17.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operating expenses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Consolidated operating cost ratio</w:t>
            </w:r>
          </w:p>
        </w:tc>
        <w:tc>
          <w:tcPr>
            <w:tcW w:w="320" w:type="dxa"/>
            <w:vAlign w:val="bottom"/>
            <w:vMerge w:val="restart"/>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1Q18 (a)</w:t>
            </w:r>
          </w:p>
        </w:tc>
        <w:tc>
          <w:tcPr>
            <w:tcW w:w="4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i w:val="1"/>
                <w:iCs w:val="1"/>
                <w:color w:val="auto"/>
                <w:w w:val="91"/>
              </w:rPr>
              <w:t>(operating costs as a percent of total revenues less investment income)</w:t>
            </w:r>
          </w:p>
        </w:tc>
        <w:tc>
          <w:tcPr>
            <w:tcW w:w="2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2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12.4%</w:t>
            </w:r>
          </w:p>
        </w:tc>
        <w:tc>
          <w:tcPr>
            <w:tcW w:w="30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6280" w:type="dxa"/>
            <w:vAlign w:val="bottom"/>
            <w:gridSpan w:val="2"/>
          </w:tcPr>
          <w:p>
            <w:pPr>
              <w:spacing w:after="0" w:line="201" w:lineRule="exact"/>
              <w:rPr>
                <w:sz w:val="20"/>
                <w:szCs w:val="20"/>
                <w:color w:val="auto"/>
              </w:rPr>
            </w:pPr>
            <w:r>
              <w:rPr>
                <w:rFonts w:ascii="Arial" w:cs="Arial" w:eastAsia="Arial" w:hAnsi="Arial"/>
                <w:sz w:val="18"/>
                <w:szCs w:val="18"/>
                <w:color w:val="auto"/>
                <w:w w:val="94"/>
              </w:rPr>
              <w:t>Guaranty fund assessment expense to support the policyholder obligations of Penn</w:t>
            </w:r>
          </w:p>
        </w:tc>
        <w:tc>
          <w:tcPr>
            <w:tcW w:w="320" w:type="dxa"/>
            <w:vAlign w:val="bottom"/>
          </w:tcPr>
          <w:p>
            <w:pPr>
              <w:spacing w:after="0"/>
              <w:rPr>
                <w:sz w:val="17"/>
                <w:szCs w:val="17"/>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Treaty (an unaffiliated long-term care insurance company)</w:t>
            </w:r>
          </w:p>
        </w:tc>
        <w:tc>
          <w:tcPr>
            <w:tcW w:w="3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Operating cost ratio impact associated with the Individual Commercial segment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1Q18 GAAP consolidated operating cost ratio (operating costs as a percent of total revenues less investment income) of 12.4 percent increased 100 basis points from the 1Q17 ratio of 11.4 percent. The year-over-year increase was the result of the following:</w:t>
      </w:r>
    </w:p>
    <w:p>
      <w:pPr>
        <w:spacing w:after="0" w:line="76" w:lineRule="exact"/>
        <w:rPr>
          <w:sz w:val="20"/>
          <w:szCs w:val="20"/>
          <w:color w:val="auto"/>
        </w:rPr>
      </w:pPr>
    </w:p>
    <w:p>
      <w:pPr>
        <w:ind w:left="1920" w:right="220" w:hanging="440"/>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reinstatement of the non-deductible health insurance industry fee in 2018, which increased the consolidated GAAP operating cost ratio by approximately 190 basis points in 1Q18</w:t>
      </w:r>
    </w:p>
    <w:p>
      <w:pPr>
        <w:spacing w:after="0" w:line="75" w:lineRule="exact"/>
        <w:rPr>
          <w:rFonts w:ascii="Arial" w:cs="Arial" w:eastAsia="Arial" w:hAnsi="Arial"/>
          <w:sz w:val="18"/>
          <w:szCs w:val="18"/>
          <w:color w:val="auto"/>
        </w:rPr>
      </w:pPr>
    </w:p>
    <w:p>
      <w:pPr>
        <w:ind w:left="1920" w:hanging="440"/>
        <w:spacing w:after="0" w:line="264"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made in 1Q18 as a result of the Tax Reform Law; these include investments in the company’s employees, primarily the establishment of an annual incentive program for a broader range of employees, together with additional investments in the communities of the company’s members, technology and its integrated care delivery model, and</w:t>
      </w:r>
    </w:p>
    <w:p>
      <w:pPr>
        <w:spacing w:after="0" w:line="86"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the company’s military services business, which carries a higher operating cost ratio than other company products, due to the previously disclosed transition to the TRICARE East Region contract effective January 1,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items were partially offset by the favorable impact on 1Q18 from:</w:t>
      </w:r>
    </w:p>
    <w:p>
      <w:pPr>
        <w:spacing w:after="0" w:line="131" w:lineRule="exact"/>
        <w:rPr>
          <w:sz w:val="20"/>
          <w:szCs w:val="20"/>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operating costs efficiencies in 1Q18 driven by productivity initiatives implemented in 2017</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the guaranty fund assessment expense to support policyholder obligations of Penn Treaty in 1Q17,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exit of the individual commercial business effective January 1, 2018.</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1Q18 consolidated operating cost ratio was 170 basis points higher than the 1Q17 Adjusted consolidated operating cost ratio of 10.7 percent primarily driven by the same factors impacting the change in the quarterly GAAP consolidated operating cost ratio, while excluding the impact of the items detailed in the consolidated operating cost ratio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w:t>
      </w:r>
    </w:p>
    <w:p>
      <w:pPr>
        <w:spacing w:after="0" w:line="135" w:lineRule="exact"/>
        <w:rPr>
          <w:sz w:val="20"/>
          <w:szCs w:val="20"/>
          <w:color w:val="auto"/>
        </w:rPr>
      </w:pPr>
    </w:p>
    <w:p>
      <w:pPr>
        <w:ind w:left="900" w:right="160" w:hanging="446"/>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March 31, 2018, the company had cash, cash equivalents, and investment securities of $20.96 billion, up $4.62 billion, or 28 percent, from $16.34 billion at December 31, 2017, primarily reflecting the impact of the early receipt of the April 2018 Medicare premium remittance of $3.34 billion in March 2018 because the payment date of April 1, 2018 fell on a weekend. Similarly, the increase reflects $1.45 billion in net receipts from the Centers for Medicare and Medicaid Services (CMS) associated with Medicare Part D claim subsidies for which the company does not assume risk, also driven in part by the early receipt of the April payment from CMS. Additional changes are outlined in the company’s consolidated statement of cash flows on page S-5 of the statistical supplement included herein.</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2018, cash and short-term investments held at the parent company of $567 million decreased $121 million, or 18 percent, from</w:t>
      </w:r>
    </w:p>
    <w:p>
      <w:pPr>
        <w:spacing w:after="0" w:line="46" w:lineRule="exact"/>
        <w:rPr>
          <w:rFonts w:ascii="Arial" w:cs="Arial" w:eastAsia="Arial" w:hAnsi="Arial"/>
          <w:sz w:val="16"/>
          <w:szCs w:val="16"/>
          <w:color w:val="auto"/>
        </w:rPr>
      </w:pPr>
    </w:p>
    <w:p>
      <w:pPr>
        <w:ind w:left="900" w:right="60"/>
        <w:spacing w:after="0" w:line="254" w:lineRule="auto"/>
        <w:rPr>
          <w:rFonts w:ascii="Arial" w:cs="Arial" w:eastAsia="Arial" w:hAnsi="Arial"/>
          <w:sz w:val="16"/>
          <w:szCs w:val="16"/>
          <w:color w:val="auto"/>
        </w:rPr>
      </w:pPr>
      <w:r>
        <w:rPr>
          <w:rFonts w:ascii="Arial" w:cs="Arial" w:eastAsia="Arial" w:hAnsi="Arial"/>
          <w:sz w:val="18"/>
          <w:szCs w:val="18"/>
          <w:color w:val="auto"/>
        </w:rPr>
        <w:t>$688 million at December 31, 2017, primarily reflecting the impact of capital contributions into a subsidiary to fund Medicare growth, as well as the acquisition of the remaining minority interest in MCCI Holdings, LLC, cash dividends paid to stockholders, and capital expenditures. These decreases were partially offset by operating cash derived from the company’s non-insurance subsidiaries’ profits and net proceeds from the issuance of commercial paper.</w:t>
      </w:r>
    </w:p>
    <w:p>
      <w:pPr>
        <w:spacing w:after="0" w:line="95" w:lineRule="exact"/>
        <w:rPr>
          <w:rFonts w:ascii="Arial" w:cs="Arial" w:eastAsia="Arial" w:hAnsi="Arial"/>
          <w:sz w:val="16"/>
          <w:szCs w:val="16"/>
          <w:color w:val="auto"/>
        </w:rPr>
      </w:pPr>
    </w:p>
    <w:p>
      <w:pPr>
        <w:ind w:left="900" w:hanging="446"/>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Days in claims payable (DCP)</w:t>
      </w:r>
      <w:r>
        <w:rPr>
          <w:rFonts w:ascii="Arial" w:cs="Arial" w:eastAsia="Arial" w:hAnsi="Arial"/>
          <w:sz w:val="14"/>
          <w:szCs w:val="14"/>
          <w:color w:val="auto"/>
        </w:rPr>
        <w:t>(f)</w:t>
      </w:r>
      <w:r>
        <w:rPr>
          <w:rFonts w:ascii="Arial" w:cs="Arial" w:eastAsia="Arial" w:hAnsi="Arial"/>
          <w:sz w:val="17"/>
          <w:szCs w:val="17"/>
          <w:color w:val="auto"/>
        </w:rPr>
        <w:t xml:space="preserve"> of 38.3 at March 31, 2018, decreased 2.1 days from 40.4 at December 31, 2017 but increased 0.5 days from 37.8 at March 31, 2017. Changes are outlined in the DCP rollforward on page S-13 of the statistical supplement included herein.</w:t>
      </w:r>
    </w:p>
    <w:p>
      <w:pPr>
        <w:spacing w:after="0" w:line="51"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Debt-to-total capitalization at March 31, 2018 was 33.9 percent, up 60 basis points from 33.3 percent at December 31, 2017, primarily due to the impact of a higher outstanding commercial paper balance, partially offset by higher capital from the net impact of 1Q18 earnings. The company’s long-term target debt-to-total capitalization range of 30 to 35 percent is expected to allow the company to maintain its investment grade credit rating while providing significant financial flexibility.</w:t>
      </w:r>
    </w:p>
    <w:p>
      <w:pPr>
        <w:spacing w:after="0" w:line="92"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2018, the company had $398 million associated with outstanding commercial paper compared to $150 million outstanding at December 31,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cash flows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1Q18</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1Q17</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5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Timing of premium payment from CMS (g)</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(3,335)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right="20" w:hanging="446"/>
        <w:spacing w:after="0" w:line="27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GAAP cash flows provided by operations of $3.69 billion in 1Q18 unfavorably compared to cash flows provided by operations of $4.21 billion in 1Q17. GAAP cash flows used in operations for both 1Q18 and 1Q17 were significantly impacted by the timing of the monthly premium remittances from CMS, resulting in four monthly payments in each quarter as compared to three monthly payments. In addition, GAAP cash flows provided by operations for 1Q17 reflect the net gain associated with the terminated merger agreement, mainly the break-up fee. The year-over-year comparison was further impacted by higher earnings in 1Q18 and the timing of working capital changes.</w:t>
      </w:r>
    </w:p>
    <w:p>
      <w:pPr>
        <w:spacing w:after="0" w:line="77" w:lineRule="exact"/>
        <w:rPr>
          <w:rFonts w:ascii="Arial" w:cs="Arial" w:eastAsia="Arial" w:hAnsi="Arial"/>
          <w:sz w:val="17"/>
          <w:szCs w:val="17"/>
          <w:color w:val="auto"/>
        </w:rPr>
      </w:pPr>
    </w:p>
    <w:p>
      <w:pPr>
        <w:ind w:left="900" w:right="8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cash flows provided by operations for 1Q18 of $351 million compared unfavorably to Adjusted cash flows provided by operations of $1.13 billion in 1Q17 due to the same items driving the GAAP decrease while excluding the impact of the timing of the premium payments from CMS.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December 2017, Humana’s Board of Directors approved a $3.00 billion share repurchase authorization with an expiration date of</w:t>
      </w:r>
    </w:p>
    <w:p>
      <w:pPr>
        <w:spacing w:after="0" w:line="23" w:lineRule="exact"/>
        <w:rPr>
          <w:rFonts w:ascii="Arial" w:cs="Arial" w:eastAsia="Arial" w:hAnsi="Arial"/>
          <w:sz w:val="18"/>
          <w:szCs w:val="18"/>
          <w:color w:val="auto"/>
        </w:rPr>
      </w:pPr>
    </w:p>
    <w:p>
      <w:pPr>
        <w:ind w:left="900"/>
        <w:spacing w:after="0" w:line="281" w:lineRule="auto"/>
        <w:rPr>
          <w:rFonts w:ascii="Arial" w:cs="Arial" w:eastAsia="Arial" w:hAnsi="Arial"/>
          <w:sz w:val="18"/>
          <w:szCs w:val="18"/>
          <w:color w:val="auto"/>
        </w:rPr>
      </w:pPr>
      <w:r>
        <w:rPr>
          <w:rFonts w:ascii="Arial" w:cs="Arial" w:eastAsia="Arial" w:hAnsi="Arial"/>
          <w:sz w:val="16"/>
          <w:szCs w:val="16"/>
          <w:color w:val="auto"/>
        </w:rPr>
        <w:t>December 31, 2020. The company subsequently entered into an agreement with a third party financial institution on December 21, 2017 to effect a $1.00 billion accelerated share repurchase (ASR) program under the authorization. Under the terms of the program, which was completed in 1Q18, the company repurchased approximately 3,737,700 of its outstanding shares at an average price of $267.55 per share. The company did not execute any additional share repurchases other than those associated with the ASR program in 1Q18. As of May 1, 2018, approximately</w:t>
      </w:r>
    </w:p>
    <w:p>
      <w:pPr>
        <w:spacing w:after="0" w:line="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$2.00 billion of the current repurchase authorization was remaining.</w:t>
      </w:r>
    </w:p>
    <w:p>
      <w:pPr>
        <w:spacing w:after="0" w:line="11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termination of the merger agreement in 1Q17, under a previously approved share repurchase authorization, the company executed share repurchases of approximately $1.20 billion, or approximately 5,833,700 shares, at an average price of $205.70 per share under an ASR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dividends</w:t>
      </w:r>
    </w:p>
    <w:p>
      <w:pPr>
        <w:spacing w:after="0" w:line="135" w:lineRule="exact"/>
        <w:rPr>
          <w:sz w:val="20"/>
          <w:szCs w:val="20"/>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paid cash dividends to its stockholders of $57 million in 1Q18 versus $47 million in 1Q17, primarily reflecting an increase in the per share dividend to $0.50 per share from $0.40 per share in 1Q17 as previously announced.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April 2018, the company’s Board of Directors declared a cash dividend of $0.50 per share, payable on July 27, 2018 to stockholders of record on June 29,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Humana’s Retail Segment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Medicaid, dual eligible, and Long-Term Support Services benefits. In addition, this segment also includes the company’s contract with CMS to administer the Limited Income Newly Eligible Transition prescription drug plan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revenues:</w:t>
      </w:r>
    </w:p>
    <w:p>
      <w:pPr>
        <w:spacing w:after="0" w:line="135" w:lineRule="exact"/>
        <w:rPr>
          <w:sz w:val="20"/>
          <w:szCs w:val="20"/>
          <w:color w:val="auto"/>
        </w:rPr>
      </w:pPr>
    </w:p>
    <w:p>
      <w:pPr>
        <w:jc w:val="both"/>
        <w:ind w:left="900" w:right="16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1Q18 revenues for the Retail segment were $12.11 billion, an increase of $674 million, or 6 percent, from $11.43 billion in 1Q17 primarily reflecting individual and group Medicare Advantage membership growth in the most recent Annual Election Period (AEP) as well as increased per-member premiums for certain of the segment’s products, partially offset by declines in stand-alone PDP and state-based contracts revenues resulting from membership declines discussed further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enrollment:</w:t>
      </w:r>
    </w:p>
    <w:p>
      <w:pPr>
        <w:spacing w:after="0" w:line="135" w:lineRule="exact"/>
        <w:rPr>
          <w:sz w:val="20"/>
          <w:szCs w:val="20"/>
          <w:color w:val="auto"/>
        </w:rPr>
      </w:pPr>
    </w:p>
    <w:p>
      <w:pPr>
        <w:jc w:val="both"/>
        <w:ind w:left="900" w:right="1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 Medicare Advantage </w:t>
      </w:r>
      <w:r>
        <w:rPr>
          <w:rFonts w:ascii="Arial" w:cs="Arial" w:eastAsia="Arial" w:hAnsi="Arial"/>
          <w:sz w:val="18"/>
          <w:szCs w:val="18"/>
          <w:color w:val="auto"/>
        </w:rPr>
        <w:t>membership was 3,018,500 as of March 31, 2018, a net increase of 178,800, or 6 percent, from 2,839,700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and up 157,700, or 6 percent, from 2,860,800 as of December 31, 2017, primarily due to membership additions associated with the most recent AEP for Medicare beneficiaries.</w:t>
      </w:r>
    </w:p>
    <w:p>
      <w:pPr>
        <w:spacing w:after="0" w:line="82" w:lineRule="exact"/>
        <w:rPr>
          <w:rFonts w:ascii="Arial" w:cs="Arial" w:eastAsia="Arial" w:hAnsi="Arial"/>
          <w:sz w:val="18"/>
          <w:szCs w:val="18"/>
          <w:color w:val="auto"/>
        </w:rPr>
      </w:pPr>
    </w:p>
    <w:p>
      <w:pPr>
        <w:jc w:val="both"/>
        <w:ind w:left="900" w:right="100" w:hanging="446"/>
        <w:spacing w:after="0" w:line="289"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Group Medicare Advantag</w:t>
      </w:r>
      <w:r>
        <w:rPr>
          <w:rFonts w:ascii="Arial" w:cs="Arial" w:eastAsia="Arial" w:hAnsi="Arial"/>
          <w:sz w:val="17"/>
          <w:szCs w:val="17"/>
          <w:b w:val="1"/>
          <w:bCs w:val="1"/>
          <w:color w:val="auto"/>
        </w:rPr>
        <w: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was 492,700 as of March 31, 2018, a net increase of 61,600, or 14 percent, from 431,100 at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and up 51,300, or 12 percent, from 441,400 as of December 31, 2017. The year-over-year increase primarily resulted from increased sales to the company’s existing group accounts during the most recent AEP for Medicare beneficiaries.</w:t>
      </w:r>
    </w:p>
    <w:p>
      <w:pPr>
        <w:spacing w:after="0" w:line="67"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Membership in the company’s </w:t>
      </w:r>
      <w:r>
        <w:rPr>
          <w:rFonts w:ascii="Arial" w:cs="Arial" w:eastAsia="Arial" w:hAnsi="Arial"/>
          <w:sz w:val="18"/>
          <w:szCs w:val="18"/>
          <w:b w:val="1"/>
          <w:bCs w:val="1"/>
          <w:i w:val="1"/>
          <w:iCs w:val="1"/>
          <w:color w:val="auto"/>
        </w:rPr>
        <w:t>stand-alone PDP</w:t>
      </w:r>
      <w:r>
        <w:rPr>
          <w:rFonts w:ascii="Arial" w:cs="Arial" w:eastAsia="Arial" w:hAnsi="Arial"/>
          <w:sz w:val="18"/>
          <w:szCs w:val="18"/>
          <w:color w:val="auto"/>
        </w:rPr>
        <w:t xml:space="preserve"> offerings was 5,042,100 as of March 31, 2018, a net decrease of 157,300, or 3 percent, from 5,199,400 as of March 31, 2017, and down 266,000, or 5 percent, from 5,308,100 as of December 31, 2017, reflecting net declines during the most recent AEP for Medicare beneficiaries. These declines primarily resulted from the previously disclosed loss of auto assigned members in Florida and South Carolina due to pricing over the CMS low income benchmark and continued membership declines in the company’s Enhanced Plan. In addition, growth in the company’s co-branded Walmart plan was significantly lower than historical levels due to the introduction of additional low-priced competitor offerings in many regions.</w:t>
      </w:r>
    </w:p>
    <w:p>
      <w:pPr>
        <w:spacing w:after="0" w:line="98"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State-based contracts </w:t>
      </w:r>
      <w:r>
        <w:rPr>
          <w:rFonts w:ascii="Arial" w:cs="Arial" w:eastAsia="Arial" w:hAnsi="Arial"/>
          <w:sz w:val="17"/>
          <w:szCs w:val="17"/>
          <w:color w:val="auto"/>
        </w:rPr>
        <w:t>membership (including dual-eligible demonstration members) was 336,000 as of March 31, 2018, a net decrease of 44,400,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12 percent, from 380,400 at March 31, 2017, and down 24,100, or 7 percent, from 360,100 as of December 31, 2017. The decreases were primarily driven by the previously disclosed decision to not participate in Illinois’ Integrated Care Program Medicaid contract, along with lower membership associated with the company’s Florida contract due to overall strengthening economic conditions.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Retail segment benefits expense:</w:t>
      </w:r>
    </w:p>
    <w:p>
      <w:pPr>
        <w:spacing w:after="0" w:line="135" w:lineRule="exact"/>
        <w:rPr>
          <w:sz w:val="20"/>
          <w:szCs w:val="20"/>
          <w:color w:val="auto"/>
        </w:rPr>
      </w:pPr>
    </w:p>
    <w:p>
      <w:pPr>
        <w:ind w:left="900" w:right="58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1Q18 benefit ratio for the Retail segment of 87.4 percent decreased 70 basis points from 88.1 percent in 1Q17 primarily due to the reinstatement of the non-deductible health insurance industry fee in 2018 which was contemplated in the pricing and benefit design of the company’s products. This was partially offset by the unfavorable impact on 1Q18 from:</w:t>
      </w:r>
    </w:p>
    <w:p>
      <w:pPr>
        <w:spacing w:after="0" w:line="86" w:lineRule="exact"/>
        <w:rPr>
          <w:rFonts w:ascii="Arial" w:cs="Arial" w:eastAsia="Arial" w:hAnsi="Arial"/>
          <w:sz w:val="18"/>
          <w:szCs w:val="18"/>
          <w:color w:val="auto"/>
        </w:rPr>
      </w:pPr>
    </w:p>
    <w:p>
      <w:pPr>
        <w:ind w:left="1920" w:right="320" w:hanging="440"/>
        <w:spacing w:after="0" w:line="277"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investment of higher than initially expected individual Medicare Advantage pretax earnings in 2017 into the company’s benefit design for its 2018 Medicare Advantage offerings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lower favorable Prior Period Development,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more severe flu season year-over-year.</w:t>
      </w:r>
    </w:p>
    <w:p>
      <w:pPr>
        <w:spacing w:after="0" w:line="130" w:lineRule="exact"/>
        <w:rPr>
          <w:rFonts w:ascii="Arial" w:cs="Arial" w:eastAsia="Arial" w:hAnsi="Arial"/>
          <w:sz w:val="18"/>
          <w:szCs w:val="18"/>
          <w:color w:val="auto"/>
        </w:rPr>
      </w:pPr>
    </w:p>
    <w:p>
      <w:pPr>
        <w:ind w:left="900" w:right="48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Retail segment Prior Period Development of $187 million in 1Q18 compared to favorable development of $204 million in 1Q17. Prior Period Development decreased the Retail segment benefit ratio by 150 basis points in 1Q18 and 180 basis points in 1Q17.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operating costs:</w:t>
      </w:r>
    </w:p>
    <w:p>
      <w:pPr>
        <w:spacing w:after="0" w:line="135" w:lineRule="exact"/>
        <w:rPr>
          <w:sz w:val="20"/>
          <w:szCs w:val="20"/>
          <w:color w:val="auto"/>
        </w:rPr>
      </w:pPr>
    </w:p>
    <w:p>
      <w:pPr>
        <w:ind w:left="900" w:right="5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Retail segment’s operating cost ratio of 10.1 percent in 1Q18 increased 170 basis points from 8.4 percent in 1Q17. The year-over-year comparison was negatively impacted by the following:</w:t>
      </w:r>
    </w:p>
    <w:p>
      <w:pPr>
        <w:spacing w:after="0" w:line="75" w:lineRule="exact"/>
        <w:rPr>
          <w:rFonts w:ascii="Arial" w:cs="Arial" w:eastAsia="Arial" w:hAnsi="Arial"/>
          <w:sz w:val="18"/>
          <w:szCs w:val="18"/>
          <w:color w:val="auto"/>
        </w:rPr>
      </w:pPr>
    </w:p>
    <w:p>
      <w:pPr>
        <w:ind w:left="1920" w:right="66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reinstatement of the non-deductible health insurance industry fee in 2018, which increased the Retail segment’s GAAP operating cost ratio by approximately 190 basis points in 1Q18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investments made in 1Q18 as a result of the Tax Reform Law as previously described.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above items were partially offset by significant operating costs efficiencies in 1Q18 driven by productivity initiatives implemented in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pretax results: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Retail segment pretax income</w:t>
            </w:r>
          </w:p>
        </w:tc>
        <w:tc>
          <w:tcPr>
            <w:tcW w:w="2100" w:type="dxa"/>
            <w:vAlign w:val="bottom"/>
            <w:gridSpan w:val="3"/>
            <w:vMerge w:val="restart"/>
          </w:tcPr>
          <w:p>
            <w:pPr>
              <w:ind w:left="1560"/>
              <w:spacing w:after="0"/>
              <w:rPr>
                <w:sz w:val="20"/>
                <w:szCs w:val="20"/>
                <w:color w:val="auto"/>
              </w:rPr>
            </w:pPr>
            <w:r>
              <w:rPr>
                <w:rFonts w:ascii="Arial" w:cs="Arial" w:eastAsia="Arial" w:hAnsi="Arial"/>
                <w:sz w:val="14"/>
                <w:szCs w:val="14"/>
                <w:b w:val="1"/>
                <w:bCs w:val="1"/>
                <w:color w:val="auto"/>
                <w:w w:val="94"/>
              </w:rPr>
              <w:t>1Q18 (a)</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100" w:type="dxa"/>
            <w:vAlign w:val="bottom"/>
            <w:gridSpan w:val="3"/>
            <w:vMerge w:val="continue"/>
          </w:tcPr>
          <w:p>
            <w:pPr>
              <w:spacing w:after="0"/>
              <w:rPr>
                <w:sz w:val="14"/>
                <w:szCs w:val="14"/>
                <w:color w:val="auto"/>
              </w:rPr>
            </w:pPr>
          </w:p>
        </w:tc>
        <w:tc>
          <w:tcPr>
            <w:tcW w:w="1200" w:type="dxa"/>
            <w:vAlign w:val="bottom"/>
            <w:gridSpan w:val="4"/>
          </w:tcPr>
          <w:p>
            <w:pPr>
              <w:ind w:left="62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35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74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right="36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Retail segment’s GAAP pretax income of $267 million in 1Q18 declined $103 million, or 28 percent, from GAAP pretax income for the segment of $370 million in 1Q17. Adjusted pretax income for the Retail segment of $273 million in 1Q18 also declined $103 million, or</w:t>
      </w:r>
    </w:p>
    <w:p>
      <w:pPr>
        <w:ind w:left="900"/>
        <w:spacing w:after="0" w:line="302" w:lineRule="auto"/>
        <w:rPr>
          <w:rFonts w:ascii="Arial" w:cs="Arial" w:eastAsia="Arial" w:hAnsi="Arial"/>
          <w:sz w:val="16"/>
          <w:szCs w:val="16"/>
          <w:color w:val="auto"/>
        </w:rPr>
      </w:pPr>
      <w:r>
        <w:rPr>
          <w:rFonts w:ascii="Arial" w:cs="Arial" w:eastAsia="Arial" w:hAnsi="Arial"/>
          <w:sz w:val="16"/>
          <w:szCs w:val="16"/>
          <w:color w:val="auto"/>
        </w:rPr>
        <w:t>27 percent, from the Adjusted pretax income in 1Q17. The declines primarily were the result of investment in benefit design for 2018 Medicare Advantage offerings discussed above, investments made in 1Q18 as a result of the Tax Reform Law, lower Prior Period Development, and a more severe flu season year-over-year. These items were partially offset by the significant operating cost efficiencies discussed above.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Humana’s Group and Specialty Segment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segment consists of the company’s employer group fully-insured commercial medical products and specialty health insurance benefits marketed to individuals and groups, including dental, vision, and other supplemental health and voluntary insurance benefits. In addition, the segment also includes the company’s administrative services only (ASO) products and its military services businesses, which beginning January 1, 2018 primarily related to the TRICARE East Region contract.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revenues:</w:t>
      </w:r>
    </w:p>
    <w:p>
      <w:pPr>
        <w:spacing w:after="0" w:line="135" w:lineRule="exact"/>
        <w:rPr>
          <w:sz w:val="20"/>
          <w:szCs w:val="20"/>
          <w:color w:val="auto"/>
        </w:rPr>
      </w:pPr>
    </w:p>
    <w:p>
      <w:pPr>
        <w:ind w:left="900" w:right="120" w:hanging="446"/>
        <w:spacing w:after="0" w:line="30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1Q18 revenues for the Group and Specialty segment were $1.97 billion, up $93 million, or 5 percent, from $1.88 billion in 1Q17, primarily reflecting higher stop-loss premiums related to the company’s small group level funded accounts, greater services revenue as a result of the transition to the East Region TRICARE contract on January 1, 2018, and higher per member premiums across most lines of business in the segment. These items were partially offset by declines in average group fully-insured and ASO commercial medical membership.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enrollment:</w:t>
      </w:r>
    </w:p>
    <w:p>
      <w:pPr>
        <w:spacing w:after="0" w:line="135" w:lineRule="exact"/>
        <w:rPr>
          <w:sz w:val="20"/>
          <w:szCs w:val="20"/>
          <w:color w:val="auto"/>
        </w:rPr>
      </w:pPr>
    </w:p>
    <w:p>
      <w:pPr>
        <w:ind w:left="900" w:right="180" w:hanging="446"/>
        <w:spacing w:after="0" w:line="31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Group fully-insured commercial medical </w:t>
      </w:r>
      <w:r>
        <w:rPr>
          <w:rFonts w:ascii="Arial" w:cs="Arial" w:eastAsia="Arial" w:hAnsi="Arial"/>
          <w:sz w:val="16"/>
          <w:szCs w:val="16"/>
          <w:color w:val="auto"/>
        </w:rPr>
        <w:t>membership was 1,075,100 at March 31, 2018, a decrease of 44,300, or 4 percent, from 1,119,400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2017, and down 22,600, or 2 percent, from 1,097,700 at December 31, 2017. These anticipated declines are reflective of lower membership in small group accounts due in part to more small group accounts continuing to select level-funded ASO products in 2018.</w:t>
      </w:r>
    </w:p>
    <w:p>
      <w:pPr>
        <w:spacing w:after="0" w:line="52" w:lineRule="exact"/>
        <w:rPr>
          <w:rFonts w:ascii="Arial" w:cs="Arial" w:eastAsia="Arial" w:hAnsi="Arial"/>
          <w:sz w:val="16"/>
          <w:szCs w:val="16"/>
          <w:color w:val="auto"/>
        </w:rPr>
      </w:pPr>
    </w:p>
    <w:p>
      <w:pPr>
        <w:ind w:left="900" w:right="140" w:hanging="446"/>
        <w:spacing w:after="0" w:line="273"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Group ASO commercial medical </w:t>
      </w:r>
      <w:r>
        <w:rPr>
          <w:rFonts w:ascii="Arial" w:cs="Arial" w:eastAsia="Arial" w:hAnsi="Arial"/>
          <w:sz w:val="17"/>
          <w:szCs w:val="17"/>
          <w:color w:val="auto"/>
        </w:rPr>
        <w:t>membership was 452,600 at March 31, 2018, an increase of 5,600, or 1 percent, from 447,000 at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but down 6,100, or 1 percent, from 458,700 at December 31, 2017. The year-over-year increase primarily reflects more small group accounts selecting level-funded ASO products in 2018, partially offset by the loss of certain large group accounts due to continued discipline in pricing of services for self-funded accounts amid a highly competitive environment. Small group membership comprised 16 percent of group ASO medical membership at March 31, 2018 versus 6 percent at March 31, 2017 and 12 percent at December 31, 2017. The sequential decline was also impacted by the continued pricing discipline noted above.</w:t>
      </w:r>
    </w:p>
    <w:p>
      <w:pPr>
        <w:spacing w:after="0" w:line="83"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Military services </w:t>
      </w:r>
      <w:r>
        <w:rPr>
          <w:rFonts w:ascii="Arial" w:cs="Arial" w:eastAsia="Arial" w:hAnsi="Arial"/>
          <w:sz w:val="18"/>
          <w:szCs w:val="18"/>
          <w:color w:val="auto"/>
        </w:rPr>
        <w:t>membership was 5,931,100 at March 31, 2018, an increase of 2,848,300, or 92 percent, from 3,082,800 at March 31,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2,849,300, or 92 percent versus 3,081,800 at December 31, 2017 primarily due to the company’s transition to providing healthcare services to military service members, retirees, and their families under the TRICARE East Region contract from the South Region contract. The new contract, which covers 32 states, became effective on January 1, 2018.</w:t>
      </w:r>
    </w:p>
    <w:p>
      <w:pPr>
        <w:spacing w:after="0" w:line="92"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Membership in </w:t>
      </w:r>
      <w:r>
        <w:rPr>
          <w:rFonts w:ascii="Arial" w:cs="Arial" w:eastAsia="Arial" w:hAnsi="Arial"/>
          <w:sz w:val="16"/>
          <w:szCs w:val="16"/>
          <w:b w:val="1"/>
          <w:bCs w:val="1"/>
          <w:i w:val="1"/>
          <w:iCs w:val="1"/>
          <w:color w:val="auto"/>
        </w:rPr>
        <w:t>specialty products</w:t>
      </w:r>
      <w:r>
        <w:rPr>
          <w:rFonts w:ascii="Arial" w:cs="Arial" w:eastAsia="Arial" w:hAnsi="Arial"/>
          <w:sz w:val="16"/>
          <w:szCs w:val="16"/>
          <w:color w:val="auto"/>
        </w:rPr>
        <w:t xml:space="preserve"> </w:t>
      </w:r>
      <w:r>
        <w:rPr>
          <w:rFonts w:ascii="Arial" w:cs="Arial" w:eastAsia="Arial" w:hAnsi="Arial"/>
          <w:sz w:val="13"/>
          <w:szCs w:val="13"/>
          <w:b w:val="1"/>
          <w:bCs w:val="1"/>
          <w:i w:val="1"/>
          <w:iCs w:val="1"/>
          <w:color w:val="auto"/>
        </w:rPr>
        <w:t>(h)</w:t>
      </w:r>
      <w:r>
        <w:rPr>
          <w:rFonts w:ascii="Arial" w:cs="Arial" w:eastAsia="Arial" w:hAnsi="Arial"/>
          <w:sz w:val="16"/>
          <w:szCs w:val="16"/>
          <w:color w:val="auto"/>
        </w:rPr>
        <w:t xml:space="preserve"> was 6,738,900 at March 31, 2018, a decrease of 182,900, or 3 percent, from 6,921,800 at March 31, 2017, and down 247,100, or 4 percent, from 6,986,000 at December 31, 2017. The decreases primarily are attributable to the losses of some large group accounts offering stand-alone dental and vision products, partially offset by an increase in individual dental and vision membership.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Group and Specialty segment benefits expense:</w:t>
      </w:r>
    </w:p>
    <w:p>
      <w:pPr>
        <w:spacing w:after="0" w:line="135" w:lineRule="exact"/>
        <w:rPr>
          <w:sz w:val="20"/>
          <w:szCs w:val="20"/>
          <w:color w:val="auto"/>
        </w:rPr>
      </w:pPr>
    </w:p>
    <w:p>
      <w:pPr>
        <w:ind w:left="900" w:right="3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1Q18 benefit ratio for the Group and Specialty segment was 73.2 percent, a decrease of 240 basis points from 75.6 percent for 1Q17. The year-over-year decrease in the benefit ratio is primarily due to the impact of the following factors:</w:t>
      </w:r>
    </w:p>
    <w:p>
      <w:pPr>
        <w:spacing w:after="0" w:line="75" w:lineRule="exact"/>
        <w:rPr>
          <w:rFonts w:ascii="Arial" w:cs="Arial" w:eastAsia="Arial" w:hAnsi="Arial"/>
          <w:sz w:val="18"/>
          <w:szCs w:val="18"/>
          <w:color w:val="auto"/>
        </w:rPr>
      </w:pPr>
    </w:p>
    <w:p>
      <w:pPr>
        <w:ind w:left="1920" w:right="120" w:hanging="440"/>
        <w:spacing w:after="0" w:line="277"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reinstatement of the non-deductible health insurance industry fee in 2018 which was contemplated in the pricing of the company’s products</w:t>
      </w:r>
    </w:p>
    <w:p>
      <w:pPr>
        <w:spacing w:after="0" w:line="75" w:lineRule="exact"/>
        <w:rPr>
          <w:rFonts w:ascii="Arial" w:cs="Arial" w:eastAsia="Arial" w:hAnsi="Arial"/>
          <w:sz w:val="18"/>
          <w:szCs w:val="18"/>
          <w:color w:val="auto"/>
        </w:rPr>
      </w:pPr>
    </w:p>
    <w:p>
      <w:pPr>
        <w:ind w:left="1920" w:right="340" w:hanging="440"/>
        <w:spacing w:after="0" w:line="277"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seasonality and product design of the company’s fully-insured commercial products, including an increased number of high deductible plan offerings,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higher favorable Prior Period Development.</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Group and Specialty segment Prior Period Development was $34 million in 1Q18 and $20 million in 1Q17. Prior Period Development lowered the segment benefit ratio by 200 basis points in 1Q18 and by 120 basis points in 1Q17.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operating costs:</w:t>
      </w:r>
    </w:p>
    <w:p>
      <w:pPr>
        <w:spacing w:after="0" w:line="135" w:lineRule="exact"/>
        <w:rPr>
          <w:sz w:val="20"/>
          <w:szCs w:val="20"/>
          <w:color w:val="auto"/>
        </w:rPr>
      </w:pPr>
    </w:p>
    <w:p>
      <w:pPr>
        <w:ind w:left="9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Group and Specialty segment’s operating cost ratio was 23.6 percent in 1Q18, an increase of 220 basis points from 21.4 percent in 1Q17. The year-over-year comparison was primarily impacted by the following factors:</w:t>
      </w:r>
    </w:p>
    <w:p>
      <w:pPr>
        <w:spacing w:after="0" w:line="75" w:lineRule="exact"/>
        <w:rPr>
          <w:rFonts w:ascii="Arial" w:cs="Arial" w:eastAsia="Arial" w:hAnsi="Arial"/>
          <w:sz w:val="18"/>
          <w:szCs w:val="18"/>
          <w:color w:val="auto"/>
        </w:rPr>
      </w:pPr>
    </w:p>
    <w:p>
      <w:pPr>
        <w:ind w:left="1920" w:right="360" w:hanging="440"/>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reinstatement of the non-deductible health insurance industry fee in 2018, which increased the segment’s GAAP operating cost ratio by approximately 160 basis points in 1Q18</w:t>
      </w:r>
    </w:p>
    <w:p>
      <w:pPr>
        <w:spacing w:after="0" w:line="75" w:lineRule="exact"/>
        <w:rPr>
          <w:rFonts w:ascii="Arial" w:cs="Arial" w:eastAsia="Arial" w:hAnsi="Arial"/>
          <w:sz w:val="18"/>
          <w:szCs w:val="18"/>
          <w:color w:val="auto"/>
        </w:rPr>
      </w:pPr>
    </w:p>
    <w:p>
      <w:pPr>
        <w:ind w:left="1920" w:right="500" w:hanging="440"/>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growth in the company’s military services business, which carries a higher operating cost ratio than other products within the segment, as a result of the transition to the TRICARE East Region contract,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investments made in 1Q18 as a result of the Tax Reform Law as previously described.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above items were partially offset by significant operating costs efficiencies in 1Q18 driven by productivity initiatives implemented in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pretax results: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Group and Specialty segment pretax income</w:t>
            </w:r>
          </w:p>
        </w:tc>
        <w:tc>
          <w:tcPr>
            <w:tcW w:w="2120" w:type="dxa"/>
            <w:vAlign w:val="bottom"/>
            <w:gridSpan w:val="3"/>
            <w:vMerge w:val="restart"/>
          </w:tcPr>
          <w:p>
            <w:pPr>
              <w:ind w:left="1580"/>
              <w:spacing w:after="0"/>
              <w:rPr>
                <w:sz w:val="20"/>
                <w:szCs w:val="20"/>
                <w:color w:val="auto"/>
              </w:rPr>
            </w:pPr>
            <w:r>
              <w:rPr>
                <w:rFonts w:ascii="Arial" w:cs="Arial" w:eastAsia="Arial" w:hAnsi="Arial"/>
                <w:sz w:val="14"/>
                <w:szCs w:val="14"/>
                <w:b w:val="1"/>
                <w:bCs w:val="1"/>
                <w:color w:val="auto"/>
                <w:w w:val="94"/>
              </w:rPr>
              <w:t>1Q18 (a)</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120" w:type="dxa"/>
            <w:vAlign w:val="bottom"/>
            <w:gridSpan w:val="3"/>
            <w:vMerge w:val="continue"/>
          </w:tcPr>
          <w:p>
            <w:pPr>
              <w:spacing w:after="0"/>
              <w:rPr>
                <w:sz w:val="14"/>
                <w:szCs w:val="14"/>
                <w:color w:val="auto"/>
              </w:rPr>
            </w:pPr>
          </w:p>
        </w:tc>
        <w:tc>
          <w:tcPr>
            <w:tcW w:w="1180" w:type="dxa"/>
            <w:vAlign w:val="bottom"/>
            <w:gridSpan w:val="4"/>
          </w:tcPr>
          <w:p>
            <w:pPr>
              <w:ind w:left="60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6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right="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Group and Specialty segment’s GAAP pretax income of $211 million in 1Q18 compared to GAAP pretax income of $171 million in 1Q17, an increase of $40 million, or 23 percent. Adjusted pretax income for the Group and Specialty segment of $212 million in 1Q18 also increased $40 million, or 23 percent, from $172 million of Adjusted pretax income in 1Q17. The increases primarily reflect higher pretax earnings from the company’s fully-insured commercial medical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Humana’s Healthcare Services Segment</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Services offered by this segment are designed to enhance members’ healthcare experience with Humana overall. These services may lead to lower utilization associated with improved member health and/or lower drug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revenues:</w:t>
      </w:r>
    </w:p>
    <w:p>
      <w:pPr>
        <w:spacing w:after="0" w:line="135" w:lineRule="exact"/>
        <w:rPr>
          <w:sz w:val="20"/>
          <w:szCs w:val="20"/>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of $5.66 billion in 1Q18 for the Healthcare Services segment decreased $295 million, or 5 percent, from $5.96 billion in 1Q17. The unfavorable year-over-year comparison was impacted by the following:</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loss of intersegment revenues associated with the company’s exit from the individual commercial business</w:t>
      </w:r>
    </w:p>
    <w:p>
      <w:pPr>
        <w:spacing w:after="0" w:line="130" w:lineRule="exact"/>
        <w:rPr>
          <w:rFonts w:ascii="Arial" w:cs="Arial" w:eastAsia="Arial" w:hAnsi="Arial"/>
          <w:sz w:val="18"/>
          <w:szCs w:val="18"/>
          <w:color w:val="auto"/>
        </w:rPr>
      </w:pPr>
    </w:p>
    <w:p>
      <w:pPr>
        <w:ind w:left="1920" w:right="440" w:hanging="44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decline in pharmacy solutions intersegment revenue year-over-year primarily due to lower stand-alone PDP membership as previously described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result of the optimization process associated with the company’s chronic care management programs discussed below, and</w:t>
      </w:r>
    </w:p>
    <w:p>
      <w:pPr>
        <w:spacing w:after="0" w:line="153" w:lineRule="exact"/>
        <w:rPr>
          <w:rFonts w:ascii="Arial" w:cs="Arial" w:eastAsia="Arial" w:hAnsi="Arial"/>
          <w:sz w:val="16"/>
          <w:szCs w:val="16"/>
          <w:color w:val="auto"/>
        </w:rPr>
      </w:pPr>
    </w:p>
    <w:p>
      <w:pPr>
        <w:ind w:left="1920" w:right="780" w:hanging="44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lower revenue in our provider services business reflecting lower Medicare rates year-over-year in geographies where the company’s provider assets are primarily located.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declines were partially offset by the strong Medicare Advantage membership growth in 1Q18.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costs:</w:t>
      </w:r>
    </w:p>
    <w:p>
      <w:pPr>
        <w:spacing w:after="0" w:line="135" w:lineRule="exact"/>
        <w:rPr>
          <w:sz w:val="20"/>
          <w:szCs w:val="20"/>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Healthcare Services segment’s operating cost ratio of 96.2 percent in 1Q18 increased 70 basis points from 95.5 percent in 1Q17 primarily due to the following factors:</w:t>
      </w:r>
    </w:p>
    <w:p>
      <w:pPr>
        <w:spacing w:after="0" w:line="75"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lag in operating cost reductions associated with the optimization of the company’s chronic care management programs, as compared to the timing of the reduction in revenues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investments made in 1Q18 as a result of the Tax Reform Law as previously described.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above items were partially offset by significant operating costs efficiencies in 1Q18 driven by productivity initiatives implemented in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statistics:</w:t>
      </w:r>
    </w:p>
    <w:p>
      <w:pPr>
        <w:spacing w:after="0" w:line="135" w:lineRule="exact"/>
        <w:rPr>
          <w:sz w:val="20"/>
          <w:szCs w:val="20"/>
          <w:color w:val="auto"/>
        </w:rPr>
      </w:pPr>
    </w:p>
    <w:p>
      <w:pPr>
        <w:ind w:left="900" w:hanging="446"/>
        <w:spacing w:after="0" w:line="30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Primary care providers in value-based (shared risk and path to risk) relationships of 51,000 at March 31, 2018 decreased 1 percent from 51,300 at March 31, 2017 and decreased 2 percent from 52,200 at December 31, 2017. These declines primarily resulted from actions taken to move members into higher performing value-based provider relationships. At March 31, 2018, 65 percent of the company’s individual Medicare Advantage members were in value-based relationships compared to 64 percent at March 31, 2017 and 66 percent at December 31, 2017.</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22" w:name="page23"/>
    <w:bookmarkEnd w:id="22"/>
    <w:p>
      <w:pPr>
        <w:ind w:left="900" w:hanging="446"/>
        <w:spacing w:after="0" w:line="297"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Medicare Advantage and dual demonstration program membership enrolled in a Humana chronic care management program was 752,400</w:t>
      </w:r>
      <w:r>
        <w:rPr>
          <w:rFonts w:ascii="Arial" w:cs="Arial" w:eastAsia="Arial" w:hAnsi="Arial"/>
          <w:sz w:val="13"/>
          <w:szCs w:val="13"/>
          <w:i w:val="1"/>
          <w:iCs w:val="1"/>
          <w:color w:val="auto"/>
        </w:rPr>
        <w:t>(i)</w:t>
      </w:r>
      <w:r>
        <w:rPr>
          <w:rFonts w:ascii="Arial" w:cs="Arial" w:eastAsia="Arial" w:hAnsi="Arial"/>
          <w:sz w:val="16"/>
          <w:szCs w:val="16"/>
          <w:color w:val="auto"/>
        </w:rPr>
        <w:t xml:space="preserve"> at March 31, 2018, down 27 percent from 1,035,300 at March 31, 2017 and down 5 percent from 794,900 at December 31, 2017. The company has undergone an optimization process that ensures the appropriate level of member interaction with clinicians, including graduating members into a monitoring program as their needs change, and transitioning them out of the care management program when they no longer benefit from the services. This drives quality outcomes leading to reduced segment earnings but higher returns on investment.</w:t>
      </w:r>
    </w:p>
    <w:p>
      <w:pPr>
        <w:spacing w:after="0" w:line="63" w:lineRule="exact"/>
        <w:rPr>
          <w:rFonts w:ascii="Arial" w:cs="Arial" w:eastAsia="Arial" w:hAnsi="Arial"/>
          <w:sz w:val="16"/>
          <w:szCs w:val="16"/>
          <w:color w:val="auto"/>
        </w:rPr>
      </w:pPr>
    </w:p>
    <w:p>
      <w:pPr>
        <w:jc w:val="both"/>
        <w:ind w:left="900" w:right="6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Pharmacy script volume on an adjusted 30-day equivalent basis of 108 million for 1Q18 increased 1 percent compared to 107 million for 1Q17. The increase primarily was driven by higher individual Medicare Advantage membership, partially offset by the decline in stand-alone PDP and Individual Commercial membership.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pretax results: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Healthcare Services segment pretax income</w:t>
            </w:r>
          </w:p>
        </w:tc>
        <w:tc>
          <w:tcPr>
            <w:tcW w:w="2120" w:type="dxa"/>
            <w:vAlign w:val="bottom"/>
            <w:gridSpan w:val="3"/>
            <w:vMerge w:val="restart"/>
          </w:tcPr>
          <w:p>
            <w:pPr>
              <w:ind w:left="1580"/>
              <w:spacing w:after="0"/>
              <w:rPr>
                <w:sz w:val="20"/>
                <w:szCs w:val="20"/>
                <w:color w:val="auto"/>
              </w:rPr>
            </w:pPr>
            <w:r>
              <w:rPr>
                <w:rFonts w:ascii="Arial" w:cs="Arial" w:eastAsia="Arial" w:hAnsi="Arial"/>
                <w:sz w:val="14"/>
                <w:szCs w:val="14"/>
                <w:b w:val="1"/>
                <w:bCs w:val="1"/>
                <w:color w:val="auto"/>
                <w:w w:val="94"/>
              </w:rPr>
              <w:t>1Q18 (a)</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120" w:type="dxa"/>
            <w:vAlign w:val="bottom"/>
            <w:gridSpan w:val="3"/>
            <w:vMerge w:val="continue"/>
          </w:tcPr>
          <w:p>
            <w:pPr>
              <w:spacing w:after="0"/>
              <w:rPr>
                <w:sz w:val="14"/>
                <w:szCs w:val="14"/>
                <w:color w:val="auto"/>
              </w:rPr>
            </w:pPr>
          </w:p>
        </w:tc>
        <w:tc>
          <w:tcPr>
            <w:tcW w:w="1180" w:type="dxa"/>
            <w:vAlign w:val="bottom"/>
            <w:gridSpan w:val="4"/>
          </w:tcPr>
          <w:p>
            <w:pPr>
              <w:ind w:left="600"/>
              <w:spacing w:after="0"/>
              <w:rPr>
                <w:sz w:val="20"/>
                <w:szCs w:val="20"/>
                <w:color w:val="auto"/>
              </w:rPr>
            </w:pPr>
            <w:r>
              <w:rPr>
                <w:rFonts w:ascii="Arial" w:cs="Arial" w:eastAsia="Arial" w:hAnsi="Arial"/>
                <w:sz w:val="14"/>
                <w:szCs w:val="14"/>
                <w:color w:val="auto"/>
              </w:rPr>
              <w:t>1Q17 (b)</w:t>
            </w:r>
          </w:p>
        </w:tc>
        <w:tc>
          <w:tcPr>
            <w:tcW w:w="0" w:type="dxa"/>
            <w:vAlign w:val="bottom"/>
          </w:tcPr>
          <w:p>
            <w:pPr>
              <w:spacing w:after="0"/>
              <w:rPr>
                <w:sz w:val="1"/>
                <w:szCs w:val="1"/>
                <w:color w:val="auto"/>
              </w:rPr>
            </w:pP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7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right="2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Healthcare Services segment GAAP pretax income of $173 million in 1Q18 decreased by $71 million, or 29 percent, from GAAP pretax income of $244 million in 1Q17. The decline primarily was due to the impact of the optimization process associated with the company’s chronic care management programs discussed above and the investments made in 1Q18 as a result of the Tax Reform Law. The unfavorable comparison was further impacted by increased amortization expense resulting from the write-off of certain tradename identifiable intangible assets in 1Q18 reflecting the rebranding of certain provider assets to the Conviva name.</w:t>
      </w:r>
    </w:p>
    <w:p>
      <w:pPr>
        <w:spacing w:after="0" w:line="80" w:lineRule="exact"/>
        <w:rPr>
          <w:sz w:val="20"/>
          <w:szCs w:val="20"/>
          <w:color w:val="auto"/>
        </w:rPr>
      </w:pPr>
    </w:p>
    <w:p>
      <w:pPr>
        <w:ind w:left="920" w:right="460"/>
        <w:spacing w:after="0" w:line="312" w:lineRule="auto"/>
        <w:rPr>
          <w:sz w:val="20"/>
          <w:szCs w:val="20"/>
          <w:color w:val="auto"/>
        </w:rPr>
      </w:pPr>
      <w:r>
        <w:rPr>
          <w:rFonts w:ascii="Arial" w:cs="Arial" w:eastAsia="Arial" w:hAnsi="Arial"/>
          <w:sz w:val="16"/>
          <w:szCs w:val="16"/>
          <w:color w:val="auto"/>
        </w:rPr>
        <w:t>Adjusted pretax income in 1Q18 for the Healthcare Services segment of $196 million was down $59 million, or 23 percent, compared to $255 million in 1Q17. The decline in 1Q18 Adjusted pretax income from 1Q17 Adjusted pretax income was impacted by the same factors affecting the year-over-year GAAP comparison while excluding the impact of amortization associated with identifiable intangibles.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Individual Commercial Segment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segment consisted of the company’s Individual Commercial products marketed under the HumanaOne brand. For 2017, the company offered on-exchange products as well as certain grandfathered policies issued prior to the enactment of the Health Care Reform Law. As announced in 2017, the company exited this business effective January 1, 2018. Results of this segment in 2018 reflect the run out of this business. Results of this segment have been excluded from consolidated Adjusted results.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Commercial segment pretax results:</w:t>
      </w:r>
    </w:p>
    <w:p>
      <w:pPr>
        <w:spacing w:after="0" w:line="135" w:lineRule="exact"/>
        <w:rPr>
          <w:sz w:val="20"/>
          <w:szCs w:val="20"/>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Individual Commercial segment’s pretax income of $53 million in 1Q18 compared to a pretax income of $63 million in 1Q17, a decline of $10 million. The pretax income in 1Q18 primarily reflects the impact of favorable Prior Period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All parties interested in the audio only portion of the company’s 1Q18 earnings conference call are invited to dial 888-625-7430. No password is required. The audio-only webcast of the 1Q18 earnings call may be accessed via Humana’s Investor Relations page at </w:t>
      </w:r>
      <w:r>
        <w:rPr>
          <w:rFonts w:ascii="Arial" w:cs="Arial" w:eastAsia="Arial" w:hAnsi="Arial"/>
          <w:sz w:val="17"/>
          <w:szCs w:val="17"/>
          <w:u w:val="single" w:color="auto"/>
          <w:color w:val="auto"/>
        </w:rPr>
        <w:t>humana.com</w:t>
      </w:r>
      <w:r>
        <w:rPr>
          <w:rFonts w:ascii="Arial" w:cs="Arial" w:eastAsia="Arial" w:hAnsi="Arial"/>
          <w:sz w:val="17"/>
          <w:szCs w:val="17"/>
          <w:color w:val="auto"/>
        </w:rPr>
        <w:t>. The company suggests participants for both the conference call and those listening via the web dial in or sign on at least 15 minutes in advance of the call.</w:t>
      </w:r>
    </w:p>
    <w:p>
      <w:pPr>
        <w:spacing w:after="0" w:line="16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6"/>
          <w:szCs w:val="16"/>
          <w:u w:val="single" w:color="auto"/>
          <w:color w:val="auto"/>
        </w:rPr>
        <w:t>humana.com</w:t>
      </w:r>
      <w:r>
        <w:rPr>
          <w:rFonts w:ascii="Arial" w:cs="Arial" w:eastAsia="Arial" w:hAnsi="Arial"/>
          <w:sz w:val="16"/>
          <w:szCs w:val="16"/>
          <w:color w:val="auto"/>
        </w:rPr>
        <w:t>, approximately two hours following the live webcast. Telephone replays will also be available approximately two hours following the live event until midnight eastern time on July 2, 2018 and can be accessed by dialing 855-859-2056 and providing the conference ID #1495828.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1Q18 Adjusted results exclude the following:</w:t>
      </w:r>
    </w:p>
    <w:p>
      <w:pPr>
        <w:spacing w:after="0" w:line="130" w:lineRule="exact"/>
        <w:rPr>
          <w:rFonts w:ascii="Arial" w:cs="Arial" w:eastAsia="Arial" w:hAnsi="Arial"/>
          <w:sz w:val="18"/>
          <w:szCs w:val="18"/>
          <w:color w:val="auto"/>
        </w:rPr>
      </w:pPr>
    </w:p>
    <w:p>
      <w:pPr>
        <w:jc w:val="both"/>
        <w:ind w:left="1920" w:right="80" w:hanging="440"/>
        <w:spacing w:after="0" w:line="264"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$30 million pretax, or $0.17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920" w:right="20" w:hanging="440"/>
        <w:spacing w:after="0" w:line="312" w:lineRule="auto"/>
        <w:tabs>
          <w:tab w:leader="none" w:pos="19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Operating income of $53 million pretax, or $0.29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52" w:lineRule="exact"/>
        <w:rPr>
          <w:rFonts w:ascii="Arial" w:cs="Arial" w:eastAsia="Arial" w:hAnsi="Arial"/>
          <w:sz w:val="16"/>
          <w:szCs w:val="16"/>
          <w:color w:val="auto"/>
        </w:rPr>
      </w:pPr>
    </w:p>
    <w:p>
      <w:pPr>
        <w:ind w:left="1920" w:hanging="440"/>
        <w:spacing w:after="0" w:line="277"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 The only GAAP measure affected in this release is EPS.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1Q17 Adjusted results exclude the following:</w:t>
      </w:r>
    </w:p>
    <w:p>
      <w:pPr>
        <w:spacing w:after="0" w:line="130"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Net gain from the termination of the Aetna merger agreement of approximately $947 million pretax, or $4.26 per diluted common share; includes the break-up fee and transaction costs net of the tax benefit associated with certain expenses which were previously non-deductible; GAAP measures affected in this release include consolidated pretax income and EPS.</w:t>
      </w:r>
    </w:p>
    <w:p>
      <w:pPr>
        <w:spacing w:after="0" w:line="70" w:lineRule="exact"/>
        <w:rPr>
          <w:rFonts w:ascii="Arial" w:cs="Arial" w:eastAsia="Arial" w:hAnsi="Arial"/>
          <w:sz w:val="17"/>
          <w:szCs w:val="17"/>
          <w:color w:val="auto"/>
        </w:rPr>
      </w:pPr>
    </w:p>
    <w:p>
      <w:pPr>
        <w:ind w:left="1920" w:right="120" w:hanging="440"/>
        <w:spacing w:after="0" w:line="264"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or $0.08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920" w:right="20" w:hanging="440"/>
        <w:spacing w:after="0" w:line="28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one-year beneficial effect of a lower effective tax rate of approximately $0.52 per diluted common share in light of pricing and benefit design assumptions associated with the 2017 temporary suspension of the non-deductible health insurance industry fee; excludes Individual Commercial segment impact. The only GAAP measure affected in this release is EPS.</w:t>
      </w:r>
    </w:p>
    <w:p>
      <w:pPr>
        <w:spacing w:after="0" w:line="70" w:lineRule="exact"/>
        <w:rPr>
          <w:rFonts w:ascii="Arial" w:cs="Arial" w:eastAsia="Arial" w:hAnsi="Arial"/>
          <w:sz w:val="17"/>
          <w:szCs w:val="17"/>
          <w:color w:val="auto"/>
        </w:rPr>
      </w:pPr>
    </w:p>
    <w:p>
      <w:pPr>
        <w:ind w:left="1920" w:right="20" w:hanging="440"/>
        <w:spacing w:after="0" w:line="273"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Guaranty fund assessment expense of approximately $54 million pretax, or $0.23 per diluted common share, to support the policyholder obligations of Penn Treaty (an unaffiliated long-term care insurance company); GAAP measures affected in this release include consolidated pretax income, EPS, and consolidated operating cost ratio. Under state guaranty assessment laws, the 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83" w:lineRule="exact"/>
        <w:rPr>
          <w:rFonts w:ascii="Arial" w:cs="Arial" w:eastAsia="Arial" w:hAnsi="Arial"/>
          <w:sz w:val="17"/>
          <w:szCs w:val="17"/>
          <w:color w:val="auto"/>
        </w:rPr>
      </w:pPr>
    </w:p>
    <w:p>
      <w:pPr>
        <w:ind w:left="1920" w:right="20" w:hanging="440"/>
        <w:spacing w:after="0" w:line="312" w:lineRule="auto"/>
        <w:tabs>
          <w:tab w:leader="none" w:pos="19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Operating earnings of $63 million pretax, or $0.27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24" w:name="page25"/>
    <w:bookmarkEnd w:id="24"/>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FY18 Adjusted EPS projections exclude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Amortization expense for identifiable intangibles of approximately $89 million pretax, or $0.49 per diluted common share.</w:t>
      </w:r>
    </w:p>
    <w:p>
      <w:pPr>
        <w:spacing w:after="0" w:line="142" w:lineRule="exact"/>
        <w:rPr>
          <w:rFonts w:ascii="Arial" w:cs="Arial" w:eastAsia="Arial" w:hAnsi="Arial"/>
          <w:sz w:val="17"/>
          <w:szCs w:val="17"/>
          <w:color w:val="auto"/>
        </w:rPr>
      </w:pPr>
    </w:p>
    <w:p>
      <w:pPr>
        <w:ind w:left="1920" w:right="68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Operating earnings of approximately $51 million pretax, or $0.28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FY17 Adjusted results exclude the following:</w:t>
      </w:r>
    </w:p>
    <w:p>
      <w:pPr>
        <w:spacing w:after="0" w:line="130" w:lineRule="exact"/>
        <w:rPr>
          <w:rFonts w:ascii="Arial" w:cs="Arial" w:eastAsia="Arial" w:hAnsi="Arial"/>
          <w:sz w:val="18"/>
          <w:szCs w:val="18"/>
          <w:color w:val="auto"/>
        </w:rPr>
      </w:pPr>
    </w:p>
    <w:p>
      <w:pPr>
        <w:ind w:left="1920" w:right="140" w:hanging="440"/>
        <w:spacing w:after="0" w:line="264"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Net gain from the termination of the merger agreement of approximately $936 million pretax, or $4.31 per diluted common share; includes the net break-up fee and transaction costs net of the tax benefit associated with certain expenses which were previously non-deductible.</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Amortization expense for identifiable intangibles of approximately $75 million pretax, or $0.32 per diluted common share.</w:t>
      </w:r>
    </w:p>
    <w:p>
      <w:pPr>
        <w:spacing w:after="0" w:line="142"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one-year beneficial effect of a lower effective tax rate of approximately $2.15 per diluted common share in light of pricing and benefit design assumptions associated with the 2017 temporary suspension of the non-deductible health insurance industry fee; excludes Individual Commercial segment impact.</w:t>
      </w:r>
    </w:p>
    <w:p>
      <w:pPr>
        <w:spacing w:after="0" w:line="86" w:lineRule="exact"/>
        <w:rPr>
          <w:rFonts w:ascii="Arial" w:cs="Arial" w:eastAsia="Arial" w:hAnsi="Arial"/>
          <w:sz w:val="18"/>
          <w:szCs w:val="18"/>
          <w:color w:val="auto"/>
        </w:rPr>
      </w:pPr>
    </w:p>
    <w:p>
      <w:pPr>
        <w:ind w:left="1920" w:hanging="440"/>
        <w:spacing w:after="0" w:line="276" w:lineRule="auto"/>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Guaranty fund assessment expense of approximately $54 million pretax, or $0.24 per diluted common share, to support the policyholder obligations of Penn Treaty (an unaffiliated long-term care insurance company). Under state guaranty assessment laws, the 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77" w:lineRule="exact"/>
        <w:rPr>
          <w:rFonts w:ascii="Arial" w:cs="Arial" w:eastAsia="Arial" w:hAnsi="Arial"/>
          <w:sz w:val="17"/>
          <w:szCs w:val="17"/>
          <w:color w:val="auto"/>
        </w:rPr>
      </w:pPr>
    </w:p>
    <w:p>
      <w:pPr>
        <w:ind w:left="1920" w:right="60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Operating earnings of approximately $193 million pretax, or $0.84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 of approximately $148 million pretax, or $0.64 per diluted common share, associated with voluntary and involuntary workforce reduction programs.</w:t>
      </w:r>
    </w:p>
    <w:p>
      <w:pPr>
        <w:spacing w:after="0" w:line="75" w:lineRule="exact"/>
        <w:rPr>
          <w:rFonts w:ascii="Arial" w:cs="Arial" w:eastAsia="Arial" w:hAnsi="Arial"/>
          <w:sz w:val="18"/>
          <w:szCs w:val="18"/>
          <w:color w:val="auto"/>
        </w:rPr>
      </w:pPr>
    </w:p>
    <w:p>
      <w:pPr>
        <w:ind w:left="1920" w:right="24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 of approximately $17 million pretax, or $0.08 per diluted common share, associated with early retirement of debt in the fourth quarter of 2017.</w:t>
      </w:r>
    </w:p>
    <w:p>
      <w:pPr>
        <w:spacing w:after="0" w:line="75"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impact of approximately $0.92 per diluted common share associated with the re-measurement of deferred tax assets at lower corporate tax rates under the Tax Reform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estimates of changes in revenue associated with increased accuracy of risk coding.</w:t>
      </w:r>
    </w:p>
    <w:p>
      <w:pPr>
        <w:spacing w:after="0" w:line="130"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calculates days in claims payable (DCP) using the quarterly reported benefits expense and benefits payable balances as presented within the company’s consolidated financial statements, adjusting solely for reserve strengthening, if any, for the company’s non-strategic closed block of long-term care insurance business and its impact on future policy benefits expense, such as that from the fourth quarter of 2016. The company’s methodology results in a lower level of DCP versus the sector at large which is likely due to the company’s concentration of business in Medicare Advantage and stand-alone PDP offerings, including utilization patterns of prescriptions among the senior population, and the speed of processing associated with Humana Medicare medical and pharmacy claims.</w:t>
      </w:r>
    </w:p>
    <w:p>
      <w:pPr>
        <w:spacing w:after="0" w:line="83" w:lineRule="exact"/>
        <w:rPr>
          <w:rFonts w:ascii="Arial" w:cs="Arial" w:eastAsia="Arial" w:hAnsi="Arial"/>
          <w:sz w:val="17"/>
          <w:szCs w:val="17"/>
          <w:color w:val="auto"/>
        </w:rPr>
      </w:pPr>
    </w:p>
    <w:p>
      <w:pPr>
        <w:ind w:left="900" w:right="100" w:hanging="446"/>
        <w:spacing w:after="0" w:line="27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Generally, when the first day of a month falls on a weekend or holiday, with the exception of January 1 (New Year’s Day), the company receives its monthly Medicare premium payment from CMS on the last business day of the previous month. On a GAAP basis, this can result in certain quarterly cash flows from operations including more or less than three monthly payments. Consequently, when this occurs, the company reports Adjusted cash flows from operations to reflect three payments in each quarter to match the related expenses.</w:t>
      </w:r>
    </w:p>
    <w:p>
      <w:pPr>
        <w:spacing w:after="0" w:line="76" w:lineRule="exact"/>
        <w:rPr>
          <w:rFonts w:ascii="Arial" w:cs="Arial" w:eastAsia="Arial" w:hAnsi="Arial"/>
          <w:sz w:val="17"/>
          <w:szCs w:val="17"/>
          <w:color w:val="auto"/>
        </w:rPr>
      </w:pPr>
    </w:p>
    <w:p>
      <w:pPr>
        <w:ind w:left="900" w:right="1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provides a full range of insured specialty products including dental, vision, other supplemental health, financial protection, and voluntary insurance benefits marketed to individuals and groups. Members included in these products may not be unique to each product since members have the ability to enroll in multiple products. Other supplemental benefits include life, disability, and fixed benefit products including cancer and critical illness policies.</w:t>
      </w:r>
    </w:p>
    <w:p>
      <w:pPr>
        <w:spacing w:after="0" w:line="92" w:lineRule="exact"/>
        <w:rPr>
          <w:rFonts w:ascii="Arial" w:cs="Arial" w:eastAsia="Arial" w:hAnsi="Arial"/>
          <w:sz w:val="18"/>
          <w:szCs w:val="18"/>
          <w:color w:val="auto"/>
        </w:rPr>
      </w:pPr>
    </w:p>
    <w:p>
      <w:pPr>
        <w:ind w:left="900" w:right="400" w:hanging="446"/>
        <w:spacing w:after="0" w:line="297"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news release includes forward-looking statements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ectPr>
          <w:pgSz w:w="11900" w:h="16838" w:orient="portrait"/>
          <w:cols w:equalWidth="0" w:num="1">
            <w:col w:w="11420"/>
          </w:cols>
          <w:pgMar w:left="240" w:top="274"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type w:val="continuous"/>
        </w:sectPr>
      </w:pPr>
    </w:p>
    <w:bookmarkStart w:id="25" w:name="page26"/>
    <w:bookmarkEnd w:id="25"/>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9" w:lineRule="exact"/>
        <w:rPr>
          <w:sz w:val="20"/>
          <w:szCs w:val="20"/>
          <w:color w:val="auto"/>
        </w:rPr>
      </w:pPr>
    </w:p>
    <w:p>
      <w:pPr>
        <w:ind w:left="460" w:right="80" w:hanging="452"/>
        <w:spacing w:after="0" w:line="270"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83" w:lineRule="exact"/>
        <w:rPr>
          <w:rFonts w:ascii="Arial" w:cs="Arial" w:eastAsia="Arial" w:hAnsi="Arial"/>
          <w:sz w:val="17"/>
          <w:szCs w:val="17"/>
          <w:color w:val="auto"/>
        </w:rPr>
      </w:pPr>
    </w:p>
    <w:p>
      <w:pPr>
        <w:jc w:val="both"/>
        <w:ind w:left="460" w:right="140" w:hanging="452"/>
        <w:spacing w:after="0" w:line="31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52" w:lineRule="exact"/>
        <w:rPr>
          <w:rFonts w:ascii="Arial" w:cs="Arial" w:eastAsia="Arial" w:hAnsi="Arial"/>
          <w:sz w:val="16"/>
          <w:szCs w:val="16"/>
          <w:color w:val="auto"/>
        </w:rPr>
      </w:pPr>
    </w:p>
    <w:p>
      <w:pPr>
        <w:ind w:left="460" w:right="240" w:hanging="452"/>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proposed transactions, including the divestiture of Humana’s subsidiary, KMG America Corporation, the acquisition of a minority interest in Kindred Healthcare, Inc.’s Kindred at Home division by Humana, as well as the acquisition of a minority interest in Curo Healthcare Services by Humana are subject to various closing conditions, including various regulatory approvals and customary closing conditions, as well as other uncertainties, and there can be no assurances as to whether and when these transactions may be completed.</w:t>
      </w:r>
    </w:p>
    <w:p>
      <w:pPr>
        <w:spacing w:after="0" w:line="76" w:lineRule="exact"/>
        <w:rPr>
          <w:rFonts w:ascii="Arial" w:cs="Arial" w:eastAsia="Arial" w:hAnsi="Arial"/>
          <w:sz w:val="17"/>
          <w:szCs w:val="17"/>
          <w:color w:val="auto"/>
        </w:rPr>
      </w:pPr>
    </w:p>
    <w:p>
      <w:pPr>
        <w:ind w:left="460" w:right="40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51"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Humana is involved in various legal actions, or disputes that could lead to legal actions (such as, among other things, provider contract disputes relating to rate adjustments resulting from the Balanced Budget and Emergency Deficit Control Act of 1985, as amended, commonly referred to as “sequestration”; other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98" w:lineRule="exact"/>
        <w:rPr>
          <w:rFonts w:ascii="Arial" w:cs="Arial" w:eastAsia="Arial" w:hAnsi="Arial"/>
          <w:sz w:val="18"/>
          <w:szCs w:val="18"/>
          <w:color w:val="auto"/>
        </w:rPr>
      </w:pPr>
    </w:p>
    <w:p>
      <w:pPr>
        <w:ind w:left="460" w:right="220" w:hanging="452"/>
        <w:spacing w:after="0" w:line="25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w:t>
      </w:r>
    </w:p>
    <w:p>
      <w:pPr>
        <w:spacing w:after="0" w:line="93" w:lineRule="exact"/>
        <w:rPr>
          <w:rFonts w:ascii="Arial" w:cs="Arial" w:eastAsia="Arial" w:hAnsi="Arial"/>
          <w:sz w:val="18"/>
          <w:szCs w:val="18"/>
          <w:color w:val="auto"/>
        </w:rPr>
      </w:pPr>
    </w:p>
    <w:p>
      <w:pPr>
        <w:ind w:left="460" w:right="60" w:hanging="452"/>
        <w:spacing w:after="0" w:line="271"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changes, including activities to repeal or replace, in whole or in part, the Health Care Reform Law, creates uncertainty for Humana’s business, and when, or in what form, such legislative changes may occur cannot be predicted with certainty.</w:t>
      </w:r>
    </w:p>
    <w:p>
      <w:pPr>
        <w:spacing w:after="0" w:line="84" w:lineRule="exact"/>
        <w:rPr>
          <w:rFonts w:ascii="Arial" w:cs="Arial" w:eastAsia="Arial" w:hAnsi="Arial"/>
          <w:sz w:val="17"/>
          <w:szCs w:val="17"/>
          <w:color w:val="auto"/>
        </w:rPr>
      </w:pPr>
    </w:p>
    <w:p>
      <w:pPr>
        <w:ind w:left="460" w:right="24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ectPr>
          <w:pgSz w:w="11900" w:h="16838" w:orient="portrait"/>
          <w:cols w:equalWidth="0" w:num="1">
            <w:col w:w="11400"/>
          </w:cols>
          <w:pgMar w:left="240" w:top="274"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274" w:right="259" w:bottom="1440" w:gutter="0" w:footer="0" w:header="0"/>
          <w:type w:val="continuous"/>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10-K for the year ended December 31,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8-Ks filed during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Humana</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4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More information regarding Humana is available to investors via the Investor Relations page of the company’s website at </w:t>
      </w:r>
      <w:r>
        <w:rPr>
          <w:rFonts w:ascii="Arial" w:cs="Arial" w:eastAsia="Arial" w:hAnsi="Arial"/>
          <w:sz w:val="16"/>
          <w:szCs w:val="16"/>
          <w:u w:val="single" w:color="auto"/>
          <w:color w:val="auto"/>
        </w:rPr>
        <w:t>humana.com</w:t>
      </w:r>
      <w:r>
        <w:rPr>
          <w:rFonts w:ascii="Arial" w:cs="Arial" w:eastAsia="Arial" w:hAnsi="Arial"/>
          <w:sz w:val="16"/>
          <w:szCs w:val="16"/>
          <w:color w:val="auto"/>
        </w:rPr>
        <w:t>, including copies of:</w:t>
      </w:r>
    </w:p>
    <w:p>
      <w:pPr>
        <w:spacing w:after="0" w:line="15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Calendar of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274" w:right="379" w:bottom="144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earnings guidance for FY18 does not include any potential impact from the previously announced pending sale of KMG, whose subsidiary, KIC, includes Humana’s closed block of non-strategic long-term care insurance policies, to CGIC, a Texas-based insurance company wholly-owned by HC2 Holdings, Inc., a diversified holding company (NYSE: HCHC).</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accordance</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with GAAP</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340" w:type="dxa"/>
            <w:vAlign w:val="bottom"/>
            <w:gridSpan w:val="2"/>
            <w:vMerge w:val="restart"/>
          </w:tcPr>
          <w:p>
            <w:pPr>
              <w:jc w:val="center"/>
              <w:ind w:right="2080"/>
              <w:spacing w:after="0"/>
              <w:rPr>
                <w:sz w:val="20"/>
                <w:szCs w:val="20"/>
                <w:color w:val="auto"/>
              </w:rPr>
            </w:pPr>
            <w:r>
              <w:rPr>
                <w:rFonts w:ascii="Arial" w:cs="Arial" w:eastAsia="Arial" w:hAnsi="Arial"/>
                <w:sz w:val="14"/>
                <w:szCs w:val="14"/>
                <w:b w:val="1"/>
                <w:bCs w:val="1"/>
                <w:color w:val="auto"/>
                <w:w w:val="98"/>
              </w:rPr>
              <w:t>Humana Inc.</w:t>
            </w:r>
          </w:p>
        </w:tc>
        <w:tc>
          <w:tcPr>
            <w:tcW w:w="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40" w:type="dxa"/>
            <w:vAlign w:val="bottom"/>
            <w:gridSpan w:val="3"/>
          </w:tcPr>
          <w:p>
            <w:pPr>
              <w:spacing w:after="0" w:line="141" w:lineRule="exact"/>
              <w:rPr>
                <w:sz w:val="20"/>
                <w:szCs w:val="20"/>
                <w:color w:val="auto"/>
              </w:rPr>
            </w:pPr>
            <w:r>
              <w:rPr>
                <w:rFonts w:ascii="Arial" w:cs="Arial" w:eastAsia="Arial" w:hAnsi="Arial"/>
                <w:sz w:val="14"/>
                <w:szCs w:val="14"/>
                <w:b w:val="1"/>
                <w:bCs w:val="1"/>
                <w:i w:val="1"/>
                <w:iCs w:val="1"/>
                <w:color w:val="auto"/>
              </w:rPr>
              <w:t>unless</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otherwise</w:t>
            </w:r>
          </w:p>
        </w:tc>
        <w:tc>
          <w:tcPr>
            <w:tcW w:w="120" w:type="dxa"/>
            <w:vAlign w:val="bottom"/>
          </w:tcPr>
          <w:p>
            <w:pPr>
              <w:spacing w:after="0"/>
              <w:rPr>
                <w:sz w:val="12"/>
                <w:szCs w:val="12"/>
                <w:color w:val="auto"/>
              </w:rPr>
            </w:pPr>
          </w:p>
        </w:tc>
        <w:tc>
          <w:tcPr>
            <w:tcW w:w="48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Full-Year 2018 Projections</w:t>
            </w:r>
          </w:p>
        </w:tc>
        <w:tc>
          <w:tcPr>
            <w:tcW w:w="220" w:type="dxa"/>
            <w:vAlign w:val="bottom"/>
          </w:tcPr>
          <w:p>
            <w:pPr>
              <w:spacing w:after="0"/>
              <w:rPr>
                <w:sz w:val="12"/>
                <w:szCs w:val="12"/>
                <w:color w:val="auto"/>
              </w:rPr>
            </w:pPr>
          </w:p>
        </w:tc>
        <w:tc>
          <w:tcPr>
            <w:tcW w:w="29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noted</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4"/>
              </w:rPr>
              <w:t>As of May 2, 2018</w:t>
            </w:r>
          </w:p>
        </w:tc>
        <w:tc>
          <w:tcPr>
            <w:tcW w:w="22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3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Diluted earnings per common share</w:t>
            </w:r>
          </w:p>
        </w:tc>
        <w:tc>
          <w:tcPr>
            <w:tcW w:w="160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GAAP</w:t>
            </w:r>
          </w:p>
        </w:tc>
        <w:tc>
          <w:tcPr>
            <w:tcW w:w="2880" w:type="dxa"/>
            <w:vAlign w:val="bottom"/>
          </w:tcPr>
          <w:p>
            <w:pPr>
              <w:jc w:val="right"/>
              <w:spacing w:after="0" w:line="178" w:lineRule="exact"/>
              <w:rPr>
                <w:sz w:val="20"/>
                <w:szCs w:val="20"/>
                <w:color w:val="auto"/>
              </w:rPr>
            </w:pPr>
            <w:r>
              <w:rPr>
                <w:rFonts w:ascii="Arial" w:cs="Arial" w:eastAsia="Arial" w:hAnsi="Arial"/>
                <w:sz w:val="18"/>
                <w:szCs w:val="18"/>
                <w:color w:val="auto"/>
              </w:rPr>
              <w:t>~$13.54 - $13.94</w:t>
            </w:r>
          </w:p>
        </w:tc>
        <w:tc>
          <w:tcPr>
            <w:tcW w:w="460" w:type="dxa"/>
            <w:vAlign w:val="bottom"/>
            <w:vMerge w:val="continue"/>
          </w:tcPr>
          <w:p>
            <w:pPr>
              <w:spacing w:after="0"/>
              <w:rPr>
                <w:sz w:val="15"/>
                <w:szCs w:val="15"/>
                <w:color w:val="auto"/>
              </w:rPr>
            </w:pPr>
          </w:p>
        </w:tc>
        <w:tc>
          <w:tcPr>
            <w:tcW w:w="220" w:type="dxa"/>
            <w:vAlign w:val="bottom"/>
          </w:tcPr>
          <w:p>
            <w:pPr>
              <w:spacing w:after="0" w:line="178" w:lineRule="exact"/>
              <w:rPr>
                <w:sz w:val="20"/>
                <w:szCs w:val="20"/>
                <w:color w:val="auto"/>
              </w:rPr>
            </w:pPr>
            <w:r>
              <w:rPr>
                <w:rFonts w:ascii="Arial" w:cs="Arial" w:eastAsia="Arial" w:hAnsi="Arial"/>
                <w:sz w:val="18"/>
                <w:szCs w:val="18"/>
                <w:color w:val="auto"/>
              </w:rPr>
              <w:t>•</w:t>
            </w:r>
          </w:p>
        </w:tc>
        <w:tc>
          <w:tcPr>
            <w:tcW w:w="2920" w:type="dxa"/>
            <w:vAlign w:val="bottom"/>
          </w:tcPr>
          <w:p>
            <w:pPr>
              <w:ind w:left="140"/>
              <w:spacing w:after="0" w:line="178" w:lineRule="exact"/>
              <w:rPr>
                <w:sz w:val="20"/>
                <w:szCs w:val="20"/>
                <w:color w:val="auto"/>
              </w:rPr>
            </w:pPr>
            <w:r>
              <w:rPr>
                <w:rFonts w:ascii="Arial" w:cs="Arial" w:eastAsia="Arial" w:hAnsi="Arial"/>
                <w:sz w:val="18"/>
                <w:szCs w:val="18"/>
                <w:color w:val="auto"/>
              </w:rPr>
              <w:t>See footnote (c) for detail of non-</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(was ~$13.16 - $13.66)</w:t>
            </w:r>
          </w:p>
        </w:tc>
        <w:tc>
          <w:tcPr>
            <w:tcW w:w="220" w:type="dxa"/>
            <w:vAlign w:val="bottom"/>
          </w:tcPr>
          <w:p>
            <w:pPr>
              <w:spacing w:after="0"/>
              <w:rPr>
                <w:sz w:val="21"/>
                <w:szCs w:val="21"/>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GAAP adjustments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~$0.16 (was ~$0.34)</w:t>
            </w: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Non-GAAP</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~$13.70 - $14.10</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(was ~$13.50 - $14.00)</w:t>
            </w: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$55.8 billion to $56.4 billion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40"/>
              <w:spacing w:after="0"/>
              <w:rPr>
                <w:sz w:val="20"/>
                <w:szCs w:val="20"/>
                <w:color w:val="auto"/>
              </w:rPr>
            </w:pPr>
            <w:r>
              <w:rPr>
                <w:rFonts w:ascii="Arial" w:cs="Arial" w:eastAsia="Arial" w:hAnsi="Arial"/>
                <w:sz w:val="18"/>
                <w:szCs w:val="18"/>
                <w:color w:val="auto"/>
              </w:rPr>
              <w:t>Consolidated and segment-level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(no change)</w:t>
            </w:r>
          </w:p>
        </w:tc>
        <w:tc>
          <w:tcPr>
            <w:tcW w:w="2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w w:val="92"/>
              </w:rPr>
              <w:t>revenue projections include expected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segment</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$47.5 billion to $48.0 billion</w:t>
            </w:r>
          </w:p>
        </w:tc>
        <w:tc>
          <w:tcPr>
            <w:tcW w:w="2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(no change)</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Segment-level revenues include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0"/>
              </w:rPr>
              <w:t>Group and Specialty</w:t>
            </w:r>
          </w:p>
        </w:tc>
        <w:tc>
          <w:tcPr>
            <w:tcW w:w="33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$7.0 billion to $7.5 billion</w:t>
            </w:r>
          </w:p>
        </w:tc>
        <w:tc>
          <w:tcPr>
            <w:tcW w:w="22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amounts that eliminate in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segment</w:t>
            </w:r>
          </w:p>
        </w:tc>
        <w:tc>
          <w:tcPr>
            <w:tcW w:w="33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(no change)</w:t>
            </w:r>
          </w:p>
        </w:tc>
        <w:tc>
          <w:tcPr>
            <w:tcW w:w="2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consolidation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Healthcare Services</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$23.25 billion to $23.75 billion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40"/>
              <w:spacing w:after="0"/>
              <w:rPr>
                <w:sz w:val="20"/>
                <w:szCs w:val="20"/>
                <w:color w:val="auto"/>
              </w:rPr>
            </w:pPr>
            <w:r>
              <w:rPr>
                <w:rFonts w:ascii="Arial" w:cs="Arial" w:eastAsia="Arial" w:hAnsi="Arial"/>
                <w:sz w:val="18"/>
                <w:szCs w:val="18"/>
                <w:color w:val="auto"/>
                <w:w w:val="87"/>
              </w:rPr>
              <w:t>Healthcare Services segment 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w:t>
            </w:r>
          </w:p>
        </w:tc>
        <w:tc>
          <w:tcPr>
            <w:tcW w:w="3340" w:type="dxa"/>
            <w:vAlign w:val="bottom"/>
            <w:gridSpan w:val="2"/>
          </w:tcPr>
          <w:p>
            <w:pPr>
              <w:jc w:val="right"/>
              <w:ind w:right="460"/>
              <w:spacing w:after="0"/>
              <w:rPr>
                <w:sz w:val="20"/>
                <w:szCs w:val="20"/>
                <w:color w:val="auto"/>
              </w:rPr>
            </w:pPr>
            <w:r>
              <w:rPr>
                <w:rFonts w:ascii="Arial" w:cs="Arial" w:eastAsia="Arial" w:hAnsi="Arial"/>
                <w:sz w:val="18"/>
                <w:szCs w:val="18"/>
                <w:color w:val="auto"/>
              </w:rPr>
              <w:t>(no change)</w:t>
            </w:r>
          </w:p>
        </w:tc>
        <w:tc>
          <w:tcPr>
            <w:tcW w:w="2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include the full year impact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w w:val="97"/>
              </w:rPr>
              <w:t>2017 optimization of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Humana At Home business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w w:val="92"/>
              </w:rPr>
              <w:t>Change in year- end medical membership</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w w:val="99"/>
              </w:rPr>
              <w:t xml:space="preserve">Individual Medicare Advantage: </w:t>
            </w:r>
            <w:r>
              <w:rPr>
                <w:rFonts w:ascii="Arial" w:cs="Arial" w:eastAsia="Arial" w:hAnsi="Arial"/>
                <w:sz w:val="18"/>
                <w:szCs w:val="18"/>
                <w:color w:val="auto"/>
                <w:w w:val="99"/>
              </w:rPr>
              <w:t>Up 180,000 to 200,000</w:t>
            </w: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b w:val="1"/>
                <w:bCs w:val="1"/>
                <w:color w:val="auto"/>
              </w:rPr>
              <w:t>from prior year end</w:t>
            </w:r>
          </w:p>
        </w:tc>
        <w:tc>
          <w:tcPr>
            <w:tcW w:w="120" w:type="dxa"/>
            <w:vAlign w:val="bottom"/>
          </w:tcPr>
          <w:p>
            <w:pPr>
              <w:spacing w:after="0"/>
              <w:rPr>
                <w:sz w:val="20"/>
                <w:szCs w:val="20"/>
                <w:color w:val="auto"/>
              </w:rPr>
            </w:pPr>
          </w:p>
        </w:tc>
        <w:tc>
          <w:tcPr>
            <w:tcW w:w="1480" w:type="dxa"/>
            <w:vAlign w:val="bottom"/>
          </w:tcPr>
          <w:p>
            <w:pPr>
              <w:ind w:left="240"/>
              <w:spacing w:after="0"/>
              <w:rPr>
                <w:sz w:val="20"/>
                <w:szCs w:val="20"/>
                <w:color w:val="auto"/>
              </w:rPr>
            </w:pPr>
            <w:r>
              <w:rPr>
                <w:rFonts w:ascii="Arial" w:cs="Arial" w:eastAsia="Arial" w:hAnsi="Arial"/>
                <w:sz w:val="18"/>
                <w:szCs w:val="18"/>
                <w:color w:val="auto"/>
              </w:rPr>
              <w:t>(no change)</w:t>
            </w:r>
          </w:p>
        </w:tc>
        <w:tc>
          <w:tcPr>
            <w:tcW w:w="2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700" w:right="3820" w:hanging="370"/>
        <w:spacing w:after="0" w:line="277" w:lineRule="auto"/>
        <w:tabs>
          <w:tab w:leader="none" w:pos="3684"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Group Medicare Advantage: </w:t>
      </w:r>
      <w:r>
        <w:rPr>
          <w:rFonts w:ascii="Arial" w:cs="Arial" w:eastAsia="Arial" w:hAnsi="Arial"/>
          <w:sz w:val="18"/>
          <w:szCs w:val="18"/>
          <w:color w:val="auto"/>
        </w:rPr>
        <w:t>Up 65,000 to 70,000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w:t>
      </w:r>
    </w:p>
    <w:p>
      <w:pPr>
        <w:spacing w:after="0" w:line="75" w:lineRule="exact"/>
        <w:rPr>
          <w:rFonts w:ascii="Arial" w:cs="Arial" w:eastAsia="Arial" w:hAnsi="Arial"/>
          <w:sz w:val="18"/>
          <w:szCs w:val="18"/>
          <w:color w:val="auto"/>
        </w:rPr>
      </w:pPr>
    </w:p>
    <w:p>
      <w:pPr>
        <w:ind w:left="3700" w:right="3740" w:hanging="370"/>
        <w:spacing w:after="0" w:line="277" w:lineRule="auto"/>
        <w:tabs>
          <w:tab w:leader="none" w:pos="3684"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Medicare stand-alone PDP: </w:t>
      </w:r>
      <w:r>
        <w:rPr>
          <w:rFonts w:ascii="Arial" w:cs="Arial" w:eastAsia="Arial" w:hAnsi="Arial"/>
          <w:sz w:val="18"/>
          <w:szCs w:val="18"/>
          <w:color w:val="auto"/>
        </w:rPr>
        <w:t>Down 280,000 to 320,000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change)</w:t>
      </w:r>
    </w:p>
    <w:p>
      <w:pPr>
        <w:spacing w:after="0" w:line="75" w:lineRule="exact"/>
        <w:rPr>
          <w:rFonts w:ascii="Arial" w:cs="Arial" w:eastAsia="Arial" w:hAnsi="Arial"/>
          <w:sz w:val="18"/>
          <w:szCs w:val="18"/>
          <w:color w:val="auto"/>
        </w:rPr>
      </w:pPr>
    </w:p>
    <w:p>
      <w:pPr>
        <w:ind w:left="3700" w:right="4080" w:hanging="370"/>
        <w:spacing w:after="0" w:line="286" w:lineRule="auto"/>
        <w:tabs>
          <w:tab w:leader="none" w:pos="3684"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Group commercial fully-insured: </w:t>
      </w:r>
      <w:r>
        <w:rPr>
          <w:rFonts w:ascii="Arial" w:cs="Arial" w:eastAsia="Arial" w:hAnsi="Arial"/>
          <w:sz w:val="17"/>
          <w:szCs w:val="17"/>
          <w:color w:val="auto"/>
        </w:rPr>
        <w:t>Down 60,000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70,000 (was Down 70,000 to 80,000)</w:t>
      </w:r>
    </w:p>
    <w:tbl>
      <w:tblPr>
        <w:tblLayout w:type="fixed"/>
        <w:tblInd w:w="0" w:type="dxa"/>
        <w:tblCellMar>
          <w:top w:w="0" w:type="dxa"/>
          <w:left w:w="0" w:type="dxa"/>
          <w:bottom w:w="0" w:type="dxa"/>
          <w:right w:w="0" w:type="dxa"/>
        </w:tblCellMar>
      </w:tblPr>
      <w:tr>
        <w:trPr>
          <w:trHeight w:val="203"/>
        </w:trPr>
        <w:tc>
          <w:tcPr>
            <w:tcW w:w="294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rPr>
              <w:t>Benefit ratios</w:t>
            </w:r>
          </w:p>
        </w:tc>
        <w:tc>
          <w:tcPr>
            <w:tcW w:w="2560" w:type="dxa"/>
            <w:vAlign w:val="bottom"/>
            <w:tcBorders>
              <w:top w:val="single" w:sz="8" w:color="auto"/>
            </w:tcBorders>
          </w:tcPr>
          <w:p>
            <w:pPr>
              <w:ind w:left="400"/>
              <w:spacing w:after="0" w:line="203" w:lineRule="exact"/>
              <w:rPr>
                <w:sz w:val="20"/>
                <w:szCs w:val="20"/>
                <w:color w:val="auto"/>
              </w:rPr>
            </w:pPr>
            <w:r>
              <w:rPr>
                <w:rFonts w:ascii="Arial" w:cs="Arial" w:eastAsia="Arial" w:hAnsi="Arial"/>
                <w:sz w:val="18"/>
                <w:szCs w:val="18"/>
                <w:b w:val="1"/>
                <w:bCs w:val="1"/>
                <w:i w:val="1"/>
                <w:iCs w:val="1"/>
                <w:color w:val="auto"/>
              </w:rPr>
              <w:t>Retail segment</w:t>
            </w:r>
          </w:p>
        </w:tc>
        <w:tc>
          <w:tcPr>
            <w:tcW w:w="262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85.2% to 86.2%</w:t>
            </w:r>
          </w:p>
        </w:tc>
        <w:tc>
          <w:tcPr>
            <w:tcW w:w="3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w:t>
            </w:r>
          </w:p>
        </w:tc>
        <w:tc>
          <w:tcPr>
            <w:tcW w:w="292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i w:val="1"/>
                <w:iCs w:val="1"/>
                <w:color w:val="auto"/>
                <w:w w:val="91"/>
              </w:rPr>
              <w:t>Ratio calculation: benefits expense as</w:t>
            </w: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20" w:type="dxa"/>
            <w:vAlign w:val="bottom"/>
          </w:tcPr>
          <w:p>
            <w:pPr>
              <w:jc w:val="right"/>
              <w:ind w:right="210"/>
              <w:spacing w:after="0"/>
              <w:rPr>
                <w:sz w:val="20"/>
                <w:szCs w:val="20"/>
                <w:color w:val="auto"/>
              </w:rPr>
            </w:pPr>
            <w:r>
              <w:rPr>
                <w:rFonts w:ascii="Arial" w:cs="Arial" w:eastAsia="Arial" w:hAnsi="Arial"/>
                <w:sz w:val="18"/>
                <w:szCs w:val="18"/>
                <w:color w:val="auto"/>
              </w:rPr>
              <w:t>(was 85.25% to 86.25%)</w:t>
            </w:r>
          </w:p>
        </w:tc>
        <w:tc>
          <w:tcPr>
            <w:tcW w:w="38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i w:val="1"/>
                <w:iCs w:val="1"/>
                <w:color w:val="auto"/>
              </w:rPr>
              <w:t>a percent of premium revenues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Group and Specialty</w:t>
            </w:r>
          </w:p>
        </w:tc>
        <w:tc>
          <w:tcPr>
            <w:tcW w:w="2620" w:type="dxa"/>
            <w:vAlign w:val="bottom"/>
          </w:tcPr>
          <w:p>
            <w:pPr>
              <w:jc w:val="right"/>
              <w:ind w:right="70"/>
              <w:spacing w:after="0"/>
              <w:rPr>
                <w:sz w:val="20"/>
                <w:szCs w:val="20"/>
                <w:color w:val="auto"/>
              </w:rPr>
            </w:pPr>
            <w:r>
              <w:rPr>
                <w:rFonts w:ascii="Arial" w:cs="Arial" w:eastAsia="Arial" w:hAnsi="Arial"/>
                <w:sz w:val="18"/>
                <w:szCs w:val="18"/>
                <w:color w:val="auto"/>
              </w:rPr>
              <w:t>77.50% to 78.00%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2920" w:type="dxa"/>
            <w:vAlign w:val="bottom"/>
          </w:tcPr>
          <w:p>
            <w:pPr>
              <w:ind w:left="140"/>
              <w:spacing w:after="0"/>
              <w:rPr>
                <w:sz w:val="20"/>
                <w:szCs w:val="20"/>
                <w:color w:val="auto"/>
              </w:rPr>
            </w:pPr>
            <w:r>
              <w:rPr>
                <w:rFonts w:ascii="Arial" w:cs="Arial" w:eastAsia="Arial" w:hAnsi="Arial"/>
                <w:sz w:val="18"/>
                <w:szCs w:val="18"/>
                <w:color w:val="auto"/>
                <w:w w:val="97"/>
              </w:rPr>
              <w:t>No material impact anticipated from</w:t>
            </w:r>
          </w:p>
        </w:tc>
      </w:tr>
      <w:tr>
        <w:trPr>
          <w:trHeight w:val="237"/>
        </w:trPr>
        <w:tc>
          <w:tcPr>
            <w:tcW w:w="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i w:val="1"/>
                <w:iCs w:val="1"/>
                <w:color w:val="auto"/>
              </w:rPr>
              <w:t>segment</w:t>
            </w:r>
          </w:p>
        </w:tc>
        <w:tc>
          <w:tcPr>
            <w:tcW w:w="2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(no change)</w:t>
            </w: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non-GAAP adjustments</w:t>
            </w: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Consolidated operating cost ratio</w:t>
            </w:r>
          </w:p>
        </w:tc>
        <w:tc>
          <w:tcPr>
            <w:tcW w:w="2560" w:type="dxa"/>
            <w:vAlign w:val="bottom"/>
          </w:tcPr>
          <w:p>
            <w:pPr>
              <w:ind w:left="400"/>
              <w:spacing w:after="0"/>
              <w:rPr>
                <w:sz w:val="20"/>
                <w:szCs w:val="20"/>
                <w:color w:val="auto"/>
              </w:rPr>
            </w:pPr>
            <w:r>
              <w:rPr>
                <w:rFonts w:ascii="Arial" w:cs="Arial" w:eastAsia="Arial" w:hAnsi="Arial"/>
                <w:sz w:val="18"/>
                <w:szCs w:val="18"/>
                <w:color w:val="auto"/>
                <w:w w:val="93"/>
              </w:rPr>
              <w:t>12.9% to 13.4% (no change)</w:t>
            </w:r>
          </w:p>
        </w:tc>
        <w:tc>
          <w:tcPr>
            <w:tcW w:w="26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2920" w:type="dxa"/>
            <w:vAlign w:val="bottom"/>
          </w:tcPr>
          <w:p>
            <w:pPr>
              <w:ind w:left="140"/>
              <w:spacing w:after="0"/>
              <w:rPr>
                <w:sz w:val="20"/>
                <w:szCs w:val="20"/>
                <w:color w:val="auto"/>
              </w:rPr>
            </w:pPr>
            <w:r>
              <w:rPr>
                <w:rFonts w:ascii="Arial" w:cs="Arial" w:eastAsia="Arial" w:hAnsi="Arial"/>
                <w:sz w:val="18"/>
                <w:szCs w:val="18"/>
                <w:i w:val="1"/>
                <w:iCs w:val="1"/>
                <w:color w:val="auto"/>
              </w:rPr>
              <w:t>Ratio calculation: operating costs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i w:val="1"/>
                <w:iCs w:val="1"/>
                <w:color w:val="auto"/>
              </w:rPr>
              <w:t>excluding depreciation and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i w:val="1"/>
                <w:iCs w:val="1"/>
                <w:color w:val="auto"/>
                <w:w w:val="91"/>
              </w:rPr>
              <w:t>amortization as a percent of revenues</w:t>
            </w:r>
          </w:p>
        </w:tc>
      </w:tr>
      <w:tr>
        <w:trPr>
          <w:trHeight w:val="230"/>
        </w:trPr>
        <w:tc>
          <w:tcPr>
            <w:tcW w:w="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excluding investment income</w:t>
            </w: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20" w:type="dxa"/>
            <w:vAlign w:val="bottom"/>
          </w:tcPr>
          <w:p>
            <w:pPr>
              <w:jc w:val="right"/>
              <w:ind w:right="223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accordance</w:t>
            </w:r>
          </w:p>
        </w:tc>
        <w:tc>
          <w:tcPr>
            <w:tcW w:w="1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with GAAP</w:t>
            </w:r>
          </w:p>
        </w:tc>
        <w:tc>
          <w:tcPr>
            <w:tcW w:w="1620" w:type="dxa"/>
            <w:vAlign w:val="bottom"/>
          </w:tcPr>
          <w:p>
            <w:pPr>
              <w:spacing w:after="0"/>
              <w:rPr>
                <w:sz w:val="12"/>
                <w:szCs w:val="12"/>
                <w:color w:val="auto"/>
              </w:rPr>
            </w:pPr>
          </w:p>
        </w:tc>
        <w:tc>
          <w:tcPr>
            <w:tcW w:w="3080" w:type="dxa"/>
            <w:vAlign w:val="bottom"/>
            <w:gridSpan w:val="2"/>
            <w:vMerge w:val="restart"/>
          </w:tcPr>
          <w:p>
            <w:pPr>
              <w:jc w:val="center"/>
              <w:ind w:right="1800"/>
              <w:spacing w:after="0"/>
              <w:rPr>
                <w:sz w:val="20"/>
                <w:szCs w:val="20"/>
                <w:color w:val="auto"/>
              </w:rPr>
            </w:pPr>
            <w:r>
              <w:rPr>
                <w:rFonts w:ascii="Arial" w:cs="Arial" w:eastAsia="Arial" w:hAnsi="Arial"/>
                <w:sz w:val="14"/>
                <w:szCs w:val="14"/>
                <w:b w:val="1"/>
                <w:bCs w:val="1"/>
                <w:color w:val="auto"/>
                <w:w w:val="96"/>
              </w:rPr>
              <w:t>Humana Inc.</w:t>
            </w:r>
          </w:p>
        </w:tc>
        <w:tc>
          <w:tcPr>
            <w:tcW w:w="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40" w:type="dxa"/>
            <w:vAlign w:val="bottom"/>
            <w:gridSpan w:val="3"/>
          </w:tcPr>
          <w:p>
            <w:pPr>
              <w:spacing w:after="0" w:line="141" w:lineRule="exact"/>
              <w:rPr>
                <w:sz w:val="20"/>
                <w:szCs w:val="20"/>
                <w:color w:val="auto"/>
              </w:rPr>
            </w:pPr>
            <w:r>
              <w:rPr>
                <w:rFonts w:ascii="Arial" w:cs="Arial" w:eastAsia="Arial" w:hAnsi="Arial"/>
                <w:sz w:val="14"/>
                <w:szCs w:val="14"/>
                <w:b w:val="1"/>
                <w:bCs w:val="1"/>
                <w:i w:val="1"/>
                <w:iCs w:val="1"/>
                <w:color w:val="auto"/>
              </w:rPr>
              <w:t>unless</w:t>
            </w:r>
          </w:p>
        </w:tc>
        <w:tc>
          <w:tcPr>
            <w:tcW w:w="162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otherwise</w:t>
            </w:r>
          </w:p>
        </w:tc>
        <w:tc>
          <w:tcPr>
            <w:tcW w:w="47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Full-Year 2018 Projections</w:t>
            </w:r>
          </w:p>
        </w:tc>
        <w:tc>
          <w:tcPr>
            <w:tcW w:w="200" w:type="dxa"/>
            <w:vAlign w:val="bottom"/>
          </w:tcPr>
          <w:p>
            <w:pPr>
              <w:spacing w:after="0"/>
              <w:rPr>
                <w:sz w:val="12"/>
                <w:szCs w:val="12"/>
                <w:color w:val="auto"/>
              </w:rPr>
            </w:pPr>
          </w:p>
        </w:tc>
        <w:tc>
          <w:tcPr>
            <w:tcW w:w="28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76"/>
        </w:trPr>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noted</w:t>
            </w:r>
          </w:p>
        </w:tc>
        <w:tc>
          <w:tcPr>
            <w:tcW w:w="1620" w:type="dxa"/>
            <w:vAlign w:val="bottom"/>
          </w:tcPr>
          <w:p>
            <w:pPr>
              <w:spacing w:after="0"/>
              <w:rPr>
                <w:sz w:val="15"/>
                <w:szCs w:val="15"/>
                <w:color w:val="auto"/>
              </w:rPr>
            </w:pPr>
          </w:p>
        </w:tc>
        <w:tc>
          <w:tcPr>
            <w:tcW w:w="308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4"/>
              </w:rPr>
              <w:t>As of May 2, 2018</w:t>
            </w:r>
          </w:p>
        </w:tc>
        <w:tc>
          <w:tcPr>
            <w:tcW w:w="20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Pretax results</w:t>
            </w:r>
          </w:p>
        </w:tc>
        <w:tc>
          <w:tcPr>
            <w:tcW w:w="1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2880" w:type="dxa"/>
            <w:vAlign w:val="bottom"/>
          </w:tcPr>
          <w:p>
            <w:pPr>
              <w:ind w:left="140"/>
              <w:spacing w:after="0" w:line="195" w:lineRule="exact"/>
              <w:rPr>
                <w:sz w:val="20"/>
                <w:szCs w:val="20"/>
                <w:color w:val="auto"/>
              </w:rPr>
            </w:pPr>
            <w:r>
              <w:rPr>
                <w:rFonts w:ascii="Arial" w:cs="Arial" w:eastAsia="Arial" w:hAnsi="Arial"/>
                <w:sz w:val="18"/>
                <w:szCs w:val="18"/>
                <w:color w:val="auto"/>
                <w:w w:val="96"/>
              </w:rPr>
              <w:t>No material impact anticipated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rPr>
              <w:t>Retail segment</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$1.450 billion to $1.610 billion</w:t>
            </w:r>
          </w:p>
        </w:tc>
        <w:tc>
          <w:tcPr>
            <w:tcW w:w="20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2"/>
              </w:rPr>
              <w:t>non-GAAP adjustments on segment-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(was $1.425 billion to $1.600</w:t>
            </w:r>
          </w:p>
        </w:tc>
        <w:tc>
          <w:tcPr>
            <w:tcW w:w="20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0"/>
              </w:rPr>
              <w:t>level results for the Retail, Group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billion)</w:t>
            </w:r>
          </w:p>
        </w:tc>
        <w:tc>
          <w:tcPr>
            <w:tcW w:w="20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Specialty, or Healthcare Services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w w:val="91"/>
              </w:rPr>
              <w:t>Group and Specialty</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$360 million to $410 million</w:t>
            </w:r>
          </w:p>
        </w:tc>
        <w:tc>
          <w:tcPr>
            <w:tcW w:w="20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segments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rPr>
              <w:t>segment</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(was $350 million to $400</w:t>
            </w: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million)</w:t>
            </w:r>
          </w:p>
        </w:tc>
        <w:tc>
          <w:tcPr>
            <w:tcW w:w="2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w w:val="93"/>
              </w:rPr>
              <w:t>Healthcare Services</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$825 million to $875 million</w:t>
            </w: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segment</w:t>
            </w:r>
          </w:p>
        </w:tc>
        <w:tc>
          <w:tcPr>
            <w:tcW w:w="3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(no change)</w:t>
            </w:r>
          </w:p>
        </w:tc>
        <w:tc>
          <w:tcPr>
            <w:tcW w:w="2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Effective tax rate</w:t>
            </w:r>
          </w:p>
        </w:tc>
        <w:tc>
          <w:tcPr>
            <w:tcW w:w="162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32.1% to 33.1%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w w:val="91"/>
              </w:rPr>
              <w:t>Includes impact of the non-deductible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(was 32.5% to 33.5%)</w:t>
            </w:r>
          </w:p>
        </w:tc>
        <w:tc>
          <w:tcPr>
            <w:tcW w:w="20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health insurance industry fee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Adjustments</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See footnote (c) for detail of non-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b w:val="1"/>
                <w:bCs w:val="1"/>
                <w:color w:val="auto"/>
              </w:rPr>
              <w:t>Non-GAAP</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32.3% to 33.3%</w:t>
            </w:r>
          </w:p>
        </w:tc>
        <w:tc>
          <w:tcPr>
            <w:tcW w:w="20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GAAP adjustments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(no change)</w:t>
            </w: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 count for diluted</w:t>
            </w:r>
          </w:p>
        </w:tc>
        <w:tc>
          <w:tcPr>
            <w:tcW w:w="4700" w:type="dxa"/>
            <w:vAlign w:val="bottom"/>
            <w:gridSpan w:val="3"/>
          </w:tcPr>
          <w:p>
            <w:pPr>
              <w:spacing w:after="0"/>
              <w:rPr>
                <w:sz w:val="20"/>
                <w:szCs w:val="20"/>
                <w:color w:val="auto"/>
              </w:rPr>
            </w:pPr>
            <w:r>
              <w:rPr>
                <w:rFonts w:ascii="Arial" w:cs="Arial" w:eastAsia="Arial" w:hAnsi="Arial"/>
                <w:sz w:val="18"/>
                <w:szCs w:val="18"/>
                <w:color w:val="auto"/>
              </w:rPr>
              <w:t>138.5 million to 139.5 million (no change)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w w:val="99"/>
              </w:rPr>
              <w:t>Includes impact of projected share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EPS</w:t>
            </w:r>
          </w:p>
        </w:tc>
        <w:tc>
          <w:tcPr>
            <w:tcW w:w="16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repurchases</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flows from operations</w:t>
            </w:r>
          </w:p>
        </w:tc>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$2.2 billion to $2.6 billion (no change)</w:t>
            </w: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Capital expenditures</w:t>
            </w:r>
          </w:p>
        </w:tc>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$550 million to $600 million (no change)</w:t>
            </w: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gridSpan w:val="4"/>
          </w:tcPr>
          <w:p>
            <w:pPr>
              <w:spacing w:after="0"/>
              <w:rPr>
                <w:sz w:val="20"/>
                <w:szCs w:val="20"/>
                <w:color w:val="auto"/>
              </w:rPr>
            </w:pPr>
            <w:r>
              <w:rPr>
                <w:rFonts w:ascii="Arial" w:cs="Arial" w:eastAsia="Arial" w:hAnsi="Arial"/>
                <w:sz w:val="14"/>
                <w:szCs w:val="14"/>
                <w:b w:val="1"/>
                <w:bCs w:val="1"/>
                <w:color w:val="auto"/>
              </w:rPr>
              <w:t>Humana Inc. – Rollforward of Initial FY18 Guidance to FY18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 to</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Guidance as of May 2, 2018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Diluted earnings per common</w:t>
            </w:r>
          </w:p>
        </w:tc>
        <w:tc>
          <w:tcPr>
            <w:tcW w:w="284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share (EPS)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9"/>
              </w:rPr>
              <w:t>GAAP EPS</w:t>
            </w:r>
          </w:p>
        </w:tc>
        <w:tc>
          <w:tcPr>
            <w:tcW w:w="220" w:type="dxa"/>
            <w:vAlign w:val="bottom"/>
          </w:tcPr>
          <w:p>
            <w:pPr>
              <w:spacing w:after="0"/>
              <w:rPr>
                <w:sz w:val="12"/>
                <w:szCs w:val="12"/>
                <w:color w:val="auto"/>
              </w:rPr>
            </w:pPr>
          </w:p>
        </w:tc>
        <w:tc>
          <w:tcPr>
            <w:tcW w:w="124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Initial FY18 guidance issued on</w:t>
            </w:r>
          </w:p>
        </w:tc>
        <w:tc>
          <w:tcPr>
            <w:tcW w:w="1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February 7, 2018</w:t>
            </w:r>
          </w:p>
        </w:tc>
        <w:tc>
          <w:tcPr>
            <w:tcW w:w="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$ 13.16 to $13.66</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13.50 to $14.00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spacing w:after="0"/>
              <w:rPr>
                <w:sz w:val="20"/>
                <w:szCs w:val="20"/>
                <w:color w:val="auto"/>
              </w:rPr>
            </w:pPr>
            <w:r>
              <w:rPr>
                <w:rFonts w:ascii="Arial" w:cs="Arial" w:eastAsia="Arial" w:hAnsi="Arial"/>
                <w:sz w:val="18"/>
                <w:szCs w:val="18"/>
                <w:color w:val="auto"/>
              </w:rPr>
              <w:t>Changes in projected operating performance: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Retail segment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6"/>
              </w:rPr>
              <w:t>0.09</w:t>
            </w:r>
          </w:p>
        </w:tc>
        <w:tc>
          <w:tcPr>
            <w:tcW w:w="0" w:type="dxa"/>
            <w:vAlign w:val="bottom"/>
          </w:tcPr>
          <w:p>
            <w:pPr>
              <w:spacing w:after="0"/>
              <w:rPr>
                <w:sz w:val="1"/>
                <w:szCs w:val="1"/>
                <w:color w:val="auto"/>
              </w:rPr>
            </w:pPr>
          </w:p>
        </w:tc>
      </w:tr>
      <w:tr>
        <w:trPr>
          <w:trHeight w:val="216"/>
        </w:trPr>
        <w:tc>
          <w:tcPr>
            <w:tcW w:w="4540" w:type="dxa"/>
            <w:vAlign w:val="bottom"/>
            <w:gridSpan w:val="4"/>
          </w:tcPr>
          <w:p>
            <w:pPr>
              <w:ind w:left="360"/>
              <w:spacing w:after="0"/>
              <w:rPr>
                <w:sz w:val="20"/>
                <w:szCs w:val="20"/>
                <w:color w:val="auto"/>
              </w:rPr>
            </w:pPr>
            <w:r>
              <w:rPr>
                <w:rFonts w:ascii="Arial" w:cs="Arial" w:eastAsia="Arial" w:hAnsi="Arial"/>
                <w:sz w:val="18"/>
                <w:szCs w:val="18"/>
                <w:color w:val="auto"/>
              </w:rPr>
              <w:t>Group and Specialty segment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8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w w:val="96"/>
              </w:rPr>
              <w:t>0.06</w:t>
            </w: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Individual Commercial segment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4"/>
              </w:rPr>
              <w:t>Adjustments to provisional estimates for the income tax</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540"/>
              <w:spacing w:after="0"/>
              <w:rPr>
                <w:sz w:val="20"/>
                <w:szCs w:val="20"/>
                <w:color w:val="auto"/>
              </w:rPr>
            </w:pPr>
            <w:r>
              <w:rPr>
                <w:rFonts w:ascii="Arial" w:cs="Arial" w:eastAsia="Arial" w:hAnsi="Arial"/>
                <w:sz w:val="18"/>
                <w:szCs w:val="18"/>
                <w:color w:val="auto"/>
              </w:rPr>
              <w:t>effects related to the tax reform law enacted 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4"/>
          </w:tcPr>
          <w:p>
            <w:pPr>
              <w:ind w:left="540"/>
              <w:spacing w:after="0"/>
              <w:rPr>
                <w:sz w:val="20"/>
                <w:szCs w:val="20"/>
                <w:color w:val="auto"/>
              </w:rPr>
            </w:pPr>
            <w:r>
              <w:rPr>
                <w:rFonts w:ascii="Arial" w:cs="Arial" w:eastAsia="Arial" w:hAnsi="Arial"/>
                <w:sz w:val="18"/>
                <w:szCs w:val="18"/>
                <w:color w:val="auto"/>
              </w:rPr>
              <w:t>December 22, 2017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8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FY18 guidance issued on May 2, 2018</w:t>
            </w:r>
          </w:p>
        </w:tc>
        <w:tc>
          <w:tcPr>
            <w:tcW w:w="460" w:type="dxa"/>
            <w:vAlign w:val="bottom"/>
          </w:tcPr>
          <w:p>
            <w:pPr>
              <w:spacing w:after="0"/>
              <w:rPr>
                <w:sz w:val="19"/>
                <w:szCs w:val="19"/>
                <w:color w:val="auto"/>
              </w:rPr>
            </w:pPr>
          </w:p>
        </w:tc>
        <w:tc>
          <w:tcPr>
            <w:tcW w:w="13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 xml:space="preserve">$ 13.54 to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13.94</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8"/>
              </w:rPr>
              <w:t xml:space="preserve">13.70 to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Statistical Schedules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Supplementary Information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1Q18 Earnings Release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019"/>
          </w:cols>
          <w:pgMar w:left="144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1Q18 Earnings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Consolidated Financial Statements</w:t>
            </w:r>
          </w:p>
        </w:tc>
        <w:tc>
          <w:tcPr>
            <w:tcW w:w="4160" w:type="dxa"/>
            <w:vAlign w:val="bottom"/>
          </w:tcPr>
          <w:p>
            <w:pPr>
              <w:spacing w:after="0"/>
              <w:rPr>
                <w:sz w:val="18"/>
                <w:szCs w:val="18"/>
                <w:color w:val="auto"/>
              </w:rPr>
            </w:pP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620" w:type="dxa"/>
            <w:vAlign w:val="bottom"/>
          </w:tcPr>
          <w:p>
            <w:pPr>
              <w:ind w:left="80"/>
              <w:spacing w:after="0"/>
              <w:rPr>
                <w:sz w:val="20"/>
                <w:szCs w:val="20"/>
                <w:color w:val="auto"/>
              </w:rPr>
            </w:pPr>
            <w:r>
              <w:rPr>
                <w:rFonts w:ascii="Arial" w:cs="Arial" w:eastAsia="Arial" w:hAnsi="Arial"/>
                <w:sz w:val="18"/>
                <w:szCs w:val="18"/>
                <w:color w:val="auto"/>
              </w:rPr>
              <w:t>Consolidated Statements of Income</w:t>
            </w:r>
          </w:p>
        </w:tc>
        <w:tc>
          <w:tcPr>
            <w:tcW w:w="416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6620" w:type="dxa"/>
            <w:vAlign w:val="bottom"/>
          </w:tcPr>
          <w:p>
            <w:pPr>
              <w:ind w:left="80"/>
              <w:spacing w:after="0"/>
              <w:rPr>
                <w:sz w:val="20"/>
                <w:szCs w:val="20"/>
                <w:color w:val="auto"/>
              </w:rPr>
            </w:pPr>
            <w:r>
              <w:rPr>
                <w:rFonts w:ascii="Arial" w:cs="Arial" w:eastAsia="Arial" w:hAnsi="Arial"/>
                <w:sz w:val="18"/>
                <w:szCs w:val="18"/>
                <w:color w:val="auto"/>
              </w:rPr>
              <w:t>Consolidated Balance Sheets</w:t>
            </w:r>
          </w:p>
        </w:tc>
        <w:tc>
          <w:tcPr>
            <w:tcW w:w="416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6620" w:type="dxa"/>
            <w:vAlign w:val="bottom"/>
          </w:tcPr>
          <w:p>
            <w:pPr>
              <w:ind w:left="80"/>
              <w:spacing w:after="0"/>
              <w:rPr>
                <w:sz w:val="20"/>
                <w:szCs w:val="20"/>
                <w:color w:val="auto"/>
              </w:rPr>
            </w:pPr>
            <w:r>
              <w:rPr>
                <w:rFonts w:ascii="Arial" w:cs="Arial" w:eastAsia="Arial" w:hAnsi="Arial"/>
                <w:sz w:val="18"/>
                <w:szCs w:val="18"/>
                <w:color w:val="auto"/>
              </w:rPr>
              <w:t>Consolidated Statements of Cash Flows</w:t>
            </w:r>
          </w:p>
        </w:tc>
        <w:tc>
          <w:tcPr>
            <w:tcW w:w="416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Results Detail</w:t>
            </w:r>
          </w:p>
        </w:tc>
        <w:tc>
          <w:tcPr>
            <w:tcW w:w="4160" w:type="dxa"/>
            <w:vAlign w:val="bottom"/>
          </w:tcPr>
          <w:p>
            <w:pPr>
              <w:spacing w:after="0"/>
              <w:rPr>
                <w:sz w:val="18"/>
                <w:szCs w:val="18"/>
                <w:color w:val="auto"/>
              </w:rPr>
            </w:pP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6620" w:type="dxa"/>
            <w:vAlign w:val="bottom"/>
          </w:tcPr>
          <w:p>
            <w:pPr>
              <w:ind w:left="80"/>
              <w:spacing w:after="0"/>
              <w:rPr>
                <w:sz w:val="20"/>
                <w:szCs w:val="20"/>
                <w:color w:val="auto"/>
              </w:rPr>
            </w:pPr>
            <w:r>
              <w:rPr>
                <w:rFonts w:ascii="Arial" w:cs="Arial" w:eastAsia="Arial" w:hAnsi="Arial"/>
                <w:sz w:val="18"/>
                <w:szCs w:val="18"/>
                <w:color w:val="auto"/>
              </w:rPr>
              <w:t>Consolidating Statements of Income - Quarter</w:t>
            </w:r>
          </w:p>
        </w:tc>
        <w:tc>
          <w:tcPr>
            <w:tcW w:w="4160" w:type="dxa"/>
            <w:vAlign w:val="bottom"/>
          </w:tcPr>
          <w:p>
            <w:pPr>
              <w:jc w:val="right"/>
              <w:spacing w:after="0"/>
              <w:rPr>
                <w:sz w:val="20"/>
                <w:szCs w:val="20"/>
                <w:color w:val="auto"/>
              </w:rPr>
            </w:pPr>
            <w:r>
              <w:rPr>
                <w:rFonts w:ascii="Arial" w:cs="Arial" w:eastAsia="Arial" w:hAnsi="Arial"/>
                <w:sz w:val="18"/>
                <w:szCs w:val="18"/>
                <w:color w:val="auto"/>
              </w:rPr>
              <w:t>(S-6 - S-7)</w:t>
            </w: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6620" w:type="dxa"/>
            <w:vAlign w:val="bottom"/>
          </w:tcPr>
          <w:p>
            <w:pPr>
              <w:ind w:left="80"/>
              <w:spacing w:after="0"/>
              <w:rPr>
                <w:sz w:val="20"/>
                <w:szCs w:val="20"/>
                <w:color w:val="auto"/>
              </w:rPr>
            </w:pPr>
            <w:r>
              <w:rPr>
                <w:rFonts w:ascii="Arial" w:cs="Arial" w:eastAsia="Arial" w:hAnsi="Arial"/>
                <w:sz w:val="18"/>
                <w:szCs w:val="18"/>
                <w:color w:val="auto"/>
              </w:rPr>
              <w:t>Ending Membership Detail</w:t>
            </w:r>
          </w:p>
        </w:tc>
        <w:tc>
          <w:tcPr>
            <w:tcW w:w="416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6620" w:type="dxa"/>
            <w:vAlign w:val="bottom"/>
          </w:tcPr>
          <w:p>
            <w:pPr>
              <w:ind w:left="80"/>
              <w:spacing w:after="0"/>
              <w:rPr>
                <w:sz w:val="20"/>
                <w:szCs w:val="20"/>
                <w:color w:val="auto"/>
              </w:rPr>
            </w:pPr>
            <w:r>
              <w:rPr>
                <w:rFonts w:ascii="Arial" w:cs="Arial" w:eastAsia="Arial" w:hAnsi="Arial"/>
                <w:sz w:val="18"/>
                <w:szCs w:val="18"/>
                <w:color w:val="auto"/>
              </w:rPr>
              <w:t>Premiums and Services Revenue Detail</w:t>
            </w:r>
          </w:p>
        </w:tc>
        <w:tc>
          <w:tcPr>
            <w:tcW w:w="416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6620" w:type="dxa"/>
            <w:vAlign w:val="bottom"/>
          </w:tcPr>
          <w:p>
            <w:pPr>
              <w:ind w:left="80"/>
              <w:spacing w:after="0"/>
              <w:rPr>
                <w:sz w:val="20"/>
                <w:szCs w:val="20"/>
                <w:color w:val="auto"/>
              </w:rPr>
            </w:pPr>
            <w:r>
              <w:rPr>
                <w:rFonts w:ascii="Arial" w:cs="Arial" w:eastAsia="Arial" w:hAnsi="Arial"/>
                <w:sz w:val="18"/>
                <w:szCs w:val="18"/>
                <w:color w:val="auto"/>
              </w:rPr>
              <w:t>Healthcare Services Segment Metrics</w:t>
            </w:r>
          </w:p>
        </w:tc>
        <w:tc>
          <w:tcPr>
            <w:tcW w:w="4160" w:type="dxa"/>
            <w:vAlign w:val="bottom"/>
          </w:tcPr>
          <w:p>
            <w:pPr>
              <w:jc w:val="right"/>
              <w:spacing w:after="0"/>
              <w:rPr>
                <w:sz w:val="20"/>
                <w:szCs w:val="20"/>
                <w:color w:val="auto"/>
              </w:rPr>
            </w:pPr>
            <w:r>
              <w:rPr>
                <w:rFonts w:ascii="Arial" w:cs="Arial" w:eastAsia="Arial" w:hAnsi="Arial"/>
                <w:sz w:val="18"/>
                <w:szCs w:val="18"/>
                <w:color w:val="auto"/>
              </w:rPr>
              <w:t>(S-10 - S-11)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Balance Sheet Detail</w:t>
            </w:r>
          </w:p>
        </w:tc>
        <w:tc>
          <w:tcPr>
            <w:tcW w:w="4160" w:type="dxa"/>
            <w:vAlign w:val="bottom"/>
          </w:tcPr>
          <w:p>
            <w:pPr>
              <w:spacing w:after="0"/>
              <w:rPr>
                <w:sz w:val="18"/>
                <w:szCs w:val="18"/>
                <w:color w:val="auto"/>
              </w:rPr>
            </w:pPr>
          </w:p>
        </w:tc>
      </w:tr>
      <w:tr>
        <w:trPr>
          <w:trHeight w:val="216"/>
        </w:trPr>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6620" w:type="dxa"/>
            <w:vAlign w:val="bottom"/>
          </w:tcPr>
          <w:p>
            <w:pPr>
              <w:ind w:left="80"/>
              <w:spacing w:after="0"/>
              <w:rPr>
                <w:sz w:val="20"/>
                <w:szCs w:val="20"/>
                <w:color w:val="auto"/>
              </w:rPr>
            </w:pPr>
            <w:r>
              <w:rPr>
                <w:rFonts w:ascii="Arial" w:cs="Arial" w:eastAsia="Arial" w:hAnsi="Arial"/>
                <w:sz w:val="18"/>
                <w:szCs w:val="18"/>
                <w:color w:val="auto"/>
              </w:rPr>
              <w:t>Benefits Payable Detail and Statistics</w:t>
            </w:r>
          </w:p>
        </w:tc>
        <w:tc>
          <w:tcPr>
            <w:tcW w:w="4160" w:type="dxa"/>
            <w:vAlign w:val="bottom"/>
          </w:tcPr>
          <w:p>
            <w:pPr>
              <w:jc w:val="right"/>
              <w:spacing w:after="0"/>
              <w:rPr>
                <w:sz w:val="20"/>
                <w:szCs w:val="20"/>
                <w:color w:val="auto"/>
              </w:rPr>
            </w:pPr>
            <w:r>
              <w:rPr>
                <w:rFonts w:ascii="Arial" w:cs="Arial" w:eastAsia="Arial" w:hAnsi="Arial"/>
                <w:sz w:val="18"/>
                <w:szCs w:val="18"/>
                <w:color w:val="auto"/>
              </w:rPr>
              <w:t>(S-12 - S-13)</w:t>
            </w: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Footnotes</w:t>
            </w:r>
          </w:p>
        </w:tc>
        <w:tc>
          <w:tcPr>
            <w:tcW w:w="4160" w:type="dxa"/>
            <w:vAlign w:val="bottom"/>
          </w:tcPr>
          <w:p>
            <w:pPr>
              <w:jc w:val="right"/>
              <w:spacing w:after="0"/>
              <w:rPr>
                <w:sz w:val="20"/>
                <w:szCs w:val="20"/>
                <w:color w:val="auto"/>
              </w:rPr>
            </w:pPr>
            <w:r>
              <w:rPr>
                <w:rFonts w:ascii="Arial" w:cs="Arial" w:eastAsia="Arial" w:hAnsi="Arial"/>
                <w:sz w:val="18"/>
                <w:szCs w:val="18"/>
                <w:color w:val="auto"/>
              </w:rPr>
              <w:t>(S-14)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27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common share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10"/>
        </w:trPr>
        <w:tc>
          <w:tcPr>
            <w:tcW w:w="5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Premiums</w:t>
            </w:r>
          </w:p>
        </w:tc>
        <w:tc>
          <w:tcPr>
            <w:tcW w:w="232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13,811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13,398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Investment income</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Operating costs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termination fee and related costs, net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(978)</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(982)</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32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basic earnings per common share (000’s)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137,903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147,824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color w:val="auto"/>
                <w:w w:val="95"/>
              </w:rPr>
              <w:t>Shares used in computing diluted earnings per common share (000’s)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138,830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148,872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300" w:type="dxa"/>
            <w:vAlign w:val="bottom"/>
          </w:tcPr>
          <w:p>
            <w:pPr>
              <w:spacing w:after="0"/>
              <w:rPr>
                <w:sz w:val="24"/>
                <w:szCs w:val="24"/>
                <w:color w:val="auto"/>
              </w:rPr>
            </w:pPr>
          </w:p>
        </w:tc>
        <w:tc>
          <w:tcPr>
            <w:tcW w:w="2320" w:type="dxa"/>
            <w:vAlign w:val="bottom"/>
            <w:gridSpan w:val="2"/>
          </w:tcPr>
          <w:p>
            <w:pPr>
              <w:jc w:val="right"/>
              <w:ind w:right="1699"/>
              <w:spacing w:after="0"/>
              <w:rPr>
                <w:sz w:val="20"/>
                <w:szCs w:val="20"/>
                <w:color w:val="auto"/>
              </w:rPr>
            </w:pPr>
            <w:r>
              <w:rPr>
                <w:rFonts w:ascii="Arial" w:cs="Arial" w:eastAsia="Arial" w:hAnsi="Arial"/>
                <w:sz w:val="18"/>
                <w:szCs w:val="18"/>
                <w:color w:val="auto"/>
              </w:rPr>
              <w:t>S-3</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4"/>
                <w:szCs w:val="14"/>
                <w:color w:val="auto"/>
                <w:w w:val="90"/>
              </w:rPr>
              <w:t>Sequential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color w:val="auto"/>
              </w:rPr>
              <w:t>Dollar</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8,855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9,742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1,276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4,059</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0"/>
              </w:rPr>
              <w:t>23,932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6,530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1,595</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2,361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3,760</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1,805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33,453</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6,275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payable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4,961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Trade accounts payable and accrued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6,266</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overdraft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Unearned revenues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3,706</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398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15,455</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6,049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4,772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Future policy benefits payable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2,842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303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23,372</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17,336</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6,036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Stockholders’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Preferred stock, $1 par; 10,000,000 shares authorized, none issued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stock, $0.16 2/3 par; 300,000,000 shares authorized; 198,585,156 issued at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2018</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2,626</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0"/>
              </w:rPr>
              <w:t>14,086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(154)</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60,902,985 shares at March 31, 2018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(6,510)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10,081</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9,842</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0"/>
              </w:rPr>
              <w:t>33,453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6,275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Debt-to-total capitalization ratio</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33.9%</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 (ROIC) based on Net Operating Profit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After Tax (NOPAT) - trailing 12 months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S-4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Three Months Ended March 31,</w:t>
            </w:r>
          </w:p>
        </w:tc>
        <w:tc>
          <w:tcPr>
            <w:tcW w:w="160" w:type="dxa"/>
            <w:vAlign w:val="bottom"/>
          </w:tcPr>
          <w:p>
            <w:pPr>
              <w:spacing w:after="0"/>
              <w:rPr>
                <w:sz w:val="14"/>
                <w:szCs w:val="14"/>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8"/>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109</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intangible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Net realized capital gain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Changes in operating assets and liabilities, net of effect of businesses acquired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dispositions: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(422)</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(1,164)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Benefits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293</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3,328</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3,686</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220" w:type="dxa"/>
            <w:vAlign w:val="bottom"/>
          </w:tcPr>
          <w:p>
            <w:pPr>
              <w:spacing w:after="0"/>
              <w:rPr>
                <w:sz w:val="20"/>
                <w:szCs w:val="20"/>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($ 519)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Purchases of investment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(1,711)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Proceeds from sales of investment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1,392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$ 521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Receipts (withdrawals) from contract deposits,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Proceeds from issuance of senior notes,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commercial paper,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Change in book overdraft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20"/>
                <w:szCs w:val="20"/>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$ 263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4,813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4,042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8,855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5560"/>
              <w:spacing w:after="0"/>
              <w:rPr>
                <w:sz w:val="20"/>
                <w:szCs w:val="20"/>
                <w:color w:val="auto"/>
              </w:rPr>
            </w:pPr>
            <w:r>
              <w:rPr>
                <w:rFonts w:ascii="Arial" w:cs="Arial" w:eastAsia="Arial" w:hAnsi="Arial"/>
                <w:sz w:val="18"/>
                <w:szCs w:val="18"/>
                <w:color w:val="auto"/>
              </w:rPr>
              <w:t>S-5</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- 1Q18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Retail</w:t>
            </w:r>
          </w:p>
        </w:tc>
        <w:tc>
          <w:tcPr>
            <w:tcW w:w="1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w:t>
            </w:r>
          </w:p>
        </w:tc>
        <w:tc>
          <w:tcPr>
            <w:tcW w:w="14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Individual</w:t>
            </w:r>
          </w:p>
        </w:tc>
        <w:tc>
          <w:tcPr>
            <w:tcW w:w="12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w w:val="97"/>
              </w:rPr>
              <w:t>Specialty</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8,970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12,068</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1,739</w:t>
            </w: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12,070</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1,958</w:t>
            </w: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4,018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12,107</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1,970</w:t>
            </w: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5,663</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(5,502)</w:t>
            </w:r>
          </w:p>
        </w:tc>
        <w:tc>
          <w:tcPr>
            <w:tcW w:w="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14,279</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10,552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13,519</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92"/>
              </w:rPr>
              <w:t>S-6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- 1Q17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Retail</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Services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10,635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11,406</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283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11,408</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283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4,310</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11,433</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284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10,051</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5,680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340"/>
              <w:spacing w:after="0" w:line="201" w:lineRule="exact"/>
              <w:rPr>
                <w:sz w:val="20"/>
                <w:szCs w:val="20"/>
                <w:color w:val="auto"/>
              </w:rPr>
            </w:pPr>
            <w:r>
              <w:rPr>
                <w:rFonts w:ascii="Arial" w:cs="Arial" w:eastAsia="Arial" w:hAnsi="Arial"/>
                <w:sz w:val="18"/>
                <w:szCs w:val="18"/>
                <w:color w:val="auto"/>
              </w:rPr>
              <w:t>Merger termination fee and related costs,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5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11,063</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221</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842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Ending Membership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March 31, 2018</w:t>
            </w:r>
          </w:p>
        </w:tc>
        <w:tc>
          <w:tcPr>
            <w:tcW w:w="13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Average 1Q18</w:t>
            </w:r>
          </w:p>
        </w:tc>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March 31, 2017</w:t>
            </w:r>
          </w:p>
        </w:tc>
        <w:tc>
          <w:tcPr>
            <w:tcW w:w="2200" w:type="dxa"/>
            <w:vAlign w:val="bottom"/>
            <w:gridSpan w:val="4"/>
          </w:tcPr>
          <w:p>
            <w:pPr>
              <w:ind w:left="240"/>
              <w:spacing w:after="0"/>
              <w:rPr>
                <w:sz w:val="20"/>
                <w:szCs w:val="20"/>
                <w:color w:val="auto"/>
              </w:rPr>
            </w:pPr>
            <w:r>
              <w:rPr>
                <w:rFonts w:ascii="Arial" w:cs="Arial" w:eastAsia="Arial" w:hAnsi="Arial"/>
                <w:sz w:val="14"/>
                <w:szCs w:val="14"/>
                <w:color w:val="auto"/>
              </w:rPr>
              <w:t>Year-over-Year Change</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1"/>
              </w:rPr>
              <w:t>December 31, 2017</w:t>
            </w:r>
          </w:p>
        </w:tc>
        <w:tc>
          <w:tcPr>
            <w:tcW w:w="1600" w:type="dxa"/>
            <w:vAlign w:val="bottom"/>
            <w:gridSpan w:val="4"/>
          </w:tcPr>
          <w:p>
            <w:pPr>
              <w:jc w:val="right"/>
              <w:ind w:right="360"/>
              <w:spacing w:after="0"/>
              <w:rPr>
                <w:sz w:val="20"/>
                <w:szCs w:val="20"/>
                <w:color w:val="auto"/>
              </w:rPr>
            </w:pPr>
            <w:r>
              <w:rPr>
                <w:rFonts w:ascii="Arial" w:cs="Arial" w:eastAsia="Arial" w:hAnsi="Arial"/>
                <w:sz w:val="14"/>
                <w:szCs w:val="14"/>
                <w:color w:val="auto"/>
              </w:rPr>
              <w:t>Sequential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color w:val="auto"/>
              </w:rPr>
              <w:t>Amount</w:t>
            </w: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5"/>
              </w:rPr>
              <w:t>Percent</w:t>
            </w:r>
          </w:p>
        </w:tc>
        <w:tc>
          <w:tcPr>
            <w:tcW w:w="3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Amount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Medical Membership:</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Retail</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Individual Medicare</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3,018.5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3,021.2</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Advantage</w:t>
            </w:r>
          </w:p>
        </w:tc>
        <w:tc>
          <w:tcPr>
            <w:tcW w:w="120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Group Medicare</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492.7</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494.5</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520"/>
              <w:spacing w:after="0"/>
              <w:rPr>
                <w:sz w:val="20"/>
                <w:szCs w:val="20"/>
                <w:color w:val="auto"/>
              </w:rPr>
            </w:pPr>
            <w:r>
              <w:rPr>
                <w:rFonts w:ascii="Arial" w:cs="Arial" w:eastAsia="Arial" w:hAnsi="Arial"/>
                <w:sz w:val="18"/>
                <w:szCs w:val="18"/>
                <w:color w:val="auto"/>
              </w:rPr>
              <w:t>Advantage</w:t>
            </w:r>
          </w:p>
        </w:tc>
        <w:tc>
          <w:tcPr>
            <w:tcW w:w="120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431.1</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61.6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441.4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51.3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Medicare stand-alone PDP</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5,042.1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5,060.0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060"/>
              <w:spacing w:after="0"/>
              <w:rPr>
                <w:sz w:val="20"/>
                <w:szCs w:val="20"/>
                <w:color w:val="auto"/>
              </w:rPr>
            </w:pPr>
            <w:r>
              <w:rPr>
                <w:rFonts w:ascii="Arial" w:cs="Arial" w:eastAsia="Arial" w:hAnsi="Arial"/>
                <w:sz w:val="18"/>
                <w:szCs w:val="18"/>
                <w:color w:val="auto"/>
              </w:rPr>
              <w:t>Total Medicare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8,553.3</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8,575.7</w:t>
            </w:r>
          </w:p>
        </w:tc>
        <w:tc>
          <w:tcPr>
            <w:tcW w:w="3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8,470.2</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3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8,610.3</w:t>
            </w: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State-based contracts (C)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336.0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339.6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Medicare Supplement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238.7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238.7</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231.4</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235.9</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Retail</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9,128.0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9,154.0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Group and Specialty</w:t>
            </w: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Fully-insured commercial</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1,075.1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1,078.5</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medical</w:t>
            </w:r>
          </w:p>
        </w:tc>
        <w:tc>
          <w:tcPr>
            <w:tcW w:w="120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ASO commercial</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452.6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451.6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447.0</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458.7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Military services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5,931.1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5,926.6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2,849.3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2"/>
          </w:tcPr>
          <w:p>
            <w:pPr>
              <w:ind w:left="700"/>
              <w:spacing w:after="0" w:line="205" w:lineRule="exact"/>
              <w:rPr>
                <w:sz w:val="20"/>
                <w:szCs w:val="20"/>
                <w:color w:val="auto"/>
              </w:rPr>
            </w:pPr>
            <w:r>
              <w:rPr>
                <w:rFonts w:ascii="Arial" w:cs="Arial" w:eastAsia="Arial" w:hAnsi="Arial"/>
                <w:sz w:val="18"/>
                <w:szCs w:val="18"/>
                <w:b w:val="1"/>
                <w:bCs w:val="1"/>
                <w:color w:val="auto"/>
              </w:rPr>
              <w:t>Total Group and</w:t>
            </w: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gridSpan w:val="2"/>
          </w:tcPr>
          <w:p>
            <w:pPr>
              <w:ind w:left="880"/>
              <w:spacing w:after="0"/>
              <w:rPr>
                <w:sz w:val="20"/>
                <w:szCs w:val="20"/>
                <w:color w:val="auto"/>
              </w:rPr>
            </w:pPr>
            <w:r>
              <w:rPr>
                <w:rFonts w:ascii="Arial" w:cs="Arial" w:eastAsia="Arial" w:hAnsi="Arial"/>
                <w:sz w:val="18"/>
                <w:szCs w:val="18"/>
                <w:b w:val="1"/>
                <w:bCs w:val="1"/>
                <w:color w:val="auto"/>
              </w:rPr>
              <w:t>Specialty</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7,458.8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7,456.7</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4,649.2</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2,809.6</w:t>
            </w:r>
          </w:p>
        </w:tc>
        <w:tc>
          <w:tcPr>
            <w:tcW w:w="3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1140" w:type="dxa"/>
            <w:vAlign w:val="bottom"/>
          </w:tcPr>
          <w:p>
            <w:pPr>
              <w:jc w:val="right"/>
              <w:spacing w:after="0"/>
              <w:rPr>
                <w:sz w:val="20"/>
                <w:szCs w:val="20"/>
                <w:color w:val="auto"/>
              </w:rPr>
            </w:pPr>
            <w:r>
              <w:rPr>
                <w:rFonts w:ascii="Arial" w:cs="Arial" w:eastAsia="Arial" w:hAnsi="Arial"/>
                <w:sz w:val="18"/>
                <w:szCs w:val="18"/>
                <w:color w:val="auto"/>
              </w:rPr>
              <w:t>4,638.2</w:t>
            </w:r>
          </w:p>
        </w:tc>
        <w:tc>
          <w:tcPr>
            <w:tcW w:w="2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2,820.6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Individual commercial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Other Businesses</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care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2"/>
          </w:tcPr>
          <w:p>
            <w:pPr>
              <w:ind w:left="700"/>
              <w:spacing w:after="0" w:line="205" w:lineRule="exact"/>
              <w:rPr>
                <w:sz w:val="20"/>
                <w:szCs w:val="20"/>
                <w:color w:val="auto"/>
              </w:rPr>
            </w:pPr>
            <w:r>
              <w:rPr>
                <w:rFonts w:ascii="Arial" w:cs="Arial" w:eastAsia="Arial" w:hAnsi="Arial"/>
                <w:sz w:val="18"/>
                <w:szCs w:val="18"/>
                <w:b w:val="1"/>
                <w:bCs w:val="1"/>
                <w:color w:val="auto"/>
              </w:rPr>
              <w:t>Total Other</w:t>
            </w: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gridSpan w:val="2"/>
          </w:tcPr>
          <w:p>
            <w:pPr>
              <w:ind w:left="880"/>
              <w:spacing w:after="0"/>
              <w:rPr>
                <w:sz w:val="20"/>
                <w:szCs w:val="20"/>
                <w:color w:val="auto"/>
              </w:rPr>
            </w:pPr>
            <w:r>
              <w:rPr>
                <w:rFonts w:ascii="Arial" w:cs="Arial" w:eastAsia="Arial" w:hAnsi="Arial"/>
                <w:sz w:val="18"/>
                <w:szCs w:val="18"/>
                <w:b w:val="1"/>
                <w:bCs w:val="1"/>
                <w:color w:val="auto"/>
              </w:rPr>
              <w:t>Businesses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29.5</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Medical Membership</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16,616.3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16,640.3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13,962.8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14,003.1</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2,613.2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u w:val="single" w:color="auto"/>
          <w:color w:val="auto"/>
        </w:rPr>
        <w:t>Specialty Membership (included in Group and Specialty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Dental - fully-insured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2,843.7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2,841.7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Dental - ASO</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636.6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639.5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687.8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(51.2)</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690.6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Vision</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2,115.5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2,115.3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2,119.7</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340"/>
              <w:spacing w:after="0" w:line="201" w:lineRule="exact"/>
              <w:rPr>
                <w:sz w:val="20"/>
                <w:szCs w:val="20"/>
                <w:color w:val="auto"/>
              </w:rPr>
            </w:pPr>
            <w:r>
              <w:rPr>
                <w:rFonts w:ascii="Arial" w:cs="Arial" w:eastAsia="Arial" w:hAnsi="Arial"/>
                <w:sz w:val="18"/>
                <w:szCs w:val="18"/>
                <w:color w:val="auto"/>
              </w:rPr>
              <w:t>Other supplemental</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1,143.1</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1,155.8</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benefits (D)</w:t>
            </w:r>
          </w:p>
        </w:tc>
        <w:tc>
          <w:tcPr>
            <w:tcW w:w="12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1,172.8</w:t>
            </w:r>
          </w:p>
        </w:tc>
        <w:tc>
          <w:tcPr>
            <w:tcW w:w="2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140" w:type="dxa"/>
            <w:vAlign w:val="bottom"/>
          </w:tcPr>
          <w:p>
            <w:pPr>
              <w:jc w:val="right"/>
              <w:spacing w:after="0"/>
              <w:rPr>
                <w:sz w:val="20"/>
                <w:szCs w:val="20"/>
                <w:color w:val="auto"/>
              </w:rPr>
            </w:pPr>
            <w:r>
              <w:rPr>
                <w:rFonts w:ascii="Arial" w:cs="Arial" w:eastAsia="Arial" w:hAnsi="Arial"/>
                <w:sz w:val="18"/>
                <w:szCs w:val="18"/>
                <w:color w:val="auto"/>
              </w:rPr>
              <w:t>1,163.8</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Specialty Membership</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6,738.9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6,752.3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(182.9)</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March 31, 2018</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 Mix</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Member Mix</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March 31, 2018</w:t>
            </w:r>
          </w:p>
        </w:tc>
        <w:tc>
          <w:tcPr>
            <w:tcW w:w="1160" w:type="dxa"/>
            <w:vAlign w:val="bottom"/>
            <w:gridSpan w:val="2"/>
          </w:tcPr>
          <w:p>
            <w:pPr>
              <w:spacing w:after="0"/>
              <w:rPr>
                <w:sz w:val="20"/>
                <w:szCs w:val="20"/>
                <w:color w:val="auto"/>
              </w:rPr>
            </w:pPr>
            <w:r>
              <w:rPr>
                <w:rFonts w:ascii="Arial" w:cs="Arial" w:eastAsia="Arial" w:hAnsi="Arial"/>
                <w:sz w:val="14"/>
                <w:szCs w:val="14"/>
                <w:color w:val="auto"/>
              </w:rPr>
              <w:t>March 31, 2017</w:t>
            </w: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March 31, 2017</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Individual Medicare Advantage</w:t>
            </w: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Membership</w:t>
            </w: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HMO</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1,762.5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920" w:type="dxa"/>
            <w:vAlign w:val="bottom"/>
          </w:tcPr>
          <w:p>
            <w:pPr>
              <w:jc w:val="right"/>
              <w:spacing w:after="0"/>
              <w:rPr>
                <w:sz w:val="20"/>
                <w:szCs w:val="20"/>
                <w:color w:val="auto"/>
              </w:rPr>
            </w:pPr>
            <w:r>
              <w:rPr>
                <w:rFonts w:ascii="Arial" w:cs="Arial" w:eastAsia="Arial" w:hAnsi="Arial"/>
                <w:sz w:val="18"/>
                <w:szCs w:val="18"/>
                <w:color w:val="auto"/>
              </w:rPr>
              <w:t>1,623.3</w:t>
            </w: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PPO</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Individual Medicare</w:t>
            </w: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b w:val="1"/>
                <w:bCs w:val="1"/>
                <w:color w:val="auto"/>
              </w:rPr>
              <w:t>Advantage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3,018.5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20" w:type="dxa"/>
            <w:vAlign w:val="bottom"/>
          </w:tcPr>
          <w:p>
            <w:pPr>
              <w:jc w:val="right"/>
              <w:spacing w:after="0"/>
              <w:rPr>
                <w:sz w:val="20"/>
                <w:szCs w:val="20"/>
                <w:color w:val="auto"/>
              </w:rPr>
            </w:pPr>
            <w:r>
              <w:rPr>
                <w:rFonts w:ascii="Arial" w:cs="Arial" w:eastAsia="Arial" w:hAnsi="Arial"/>
                <w:sz w:val="18"/>
                <w:szCs w:val="18"/>
                <w:color w:val="auto"/>
              </w:rPr>
              <w:t>2,839.7</w:t>
            </w:r>
          </w:p>
        </w:tc>
        <w:tc>
          <w:tcPr>
            <w:tcW w:w="2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Individual Medicare Advantage</w:t>
            </w: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Membership</w:t>
            </w: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Shared Risk (E)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916.0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Path to Risk (F)</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1,043.7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911.6</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tcPr>
          <w:p>
            <w:pPr>
              <w:ind w:left="700"/>
              <w:spacing w:after="0"/>
              <w:rPr>
                <w:sz w:val="20"/>
                <w:szCs w:val="20"/>
                <w:color w:val="auto"/>
              </w:rPr>
            </w:pPr>
            <w:r>
              <w:rPr>
                <w:rFonts w:ascii="Arial" w:cs="Arial" w:eastAsia="Arial" w:hAnsi="Arial"/>
                <w:sz w:val="18"/>
                <w:szCs w:val="18"/>
                <w:color w:val="auto"/>
              </w:rPr>
              <w:t>Total Value-based</w:t>
            </w: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1,959.4</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920" w:type="dxa"/>
            <w:vAlign w:val="bottom"/>
          </w:tcPr>
          <w:p>
            <w:pPr>
              <w:jc w:val="right"/>
              <w:spacing w:after="0"/>
              <w:rPr>
                <w:sz w:val="20"/>
                <w:szCs w:val="20"/>
                <w:color w:val="auto"/>
              </w:rPr>
            </w:pPr>
            <w:r>
              <w:rPr>
                <w:rFonts w:ascii="Arial" w:cs="Arial" w:eastAsia="Arial" w:hAnsi="Arial"/>
                <w:sz w:val="18"/>
                <w:szCs w:val="18"/>
                <w:color w:val="auto"/>
              </w:rPr>
              <w:t>1,827.6</w:t>
            </w:r>
          </w:p>
        </w:tc>
        <w:tc>
          <w:tcPr>
            <w:tcW w:w="2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1,059.1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Individual Medicare</w:t>
            </w: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b w:val="1"/>
                <w:bCs w:val="1"/>
                <w:color w:val="auto"/>
              </w:rPr>
              <w:t>Advantage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3,018.5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20" w:type="dxa"/>
            <w:vAlign w:val="bottom"/>
          </w:tcPr>
          <w:p>
            <w:pPr>
              <w:jc w:val="right"/>
              <w:spacing w:after="0"/>
              <w:rPr>
                <w:sz w:val="20"/>
                <w:szCs w:val="20"/>
                <w:color w:val="auto"/>
              </w:rPr>
            </w:pPr>
            <w:r>
              <w:rPr>
                <w:rFonts w:ascii="Arial" w:cs="Arial" w:eastAsia="Arial" w:hAnsi="Arial"/>
                <w:sz w:val="18"/>
                <w:szCs w:val="18"/>
                <w:color w:val="auto"/>
              </w:rPr>
              <w:t>2,839.7</w:t>
            </w:r>
          </w:p>
        </w:tc>
        <w:tc>
          <w:tcPr>
            <w:tcW w:w="2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S-8</w:t>
            </w: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Premiums and Services Revenue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 xml:space="preserve">Per Member per Month </w:t>
            </w:r>
            <w:r>
              <w:rPr>
                <w:rFonts w:ascii="Arial" w:cs="Arial" w:eastAsia="Arial" w:hAnsi="Arial"/>
                <w:sz w:val="14"/>
                <w:szCs w:val="14"/>
                <w:color w:val="auto"/>
              </w:rPr>
              <w:t>(H)</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Dollar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w w:val="83"/>
              </w:rPr>
              <w:t>Percentage</w:t>
            </w:r>
          </w:p>
        </w:tc>
        <w:tc>
          <w:tcPr>
            <w:tcW w:w="100" w:type="dxa"/>
            <w:vAlign w:val="bottom"/>
          </w:tcPr>
          <w:p>
            <w:pPr>
              <w:spacing w:after="0"/>
              <w:rPr>
                <w:sz w:val="14"/>
                <w:szCs w:val="14"/>
                <w:color w:val="auto"/>
              </w:rPr>
            </w:pPr>
          </w:p>
        </w:tc>
        <w:tc>
          <w:tcPr>
            <w:tcW w:w="21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10"/>
        </w:trPr>
        <w:tc>
          <w:tcPr>
            <w:tcW w:w="46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w w:val="85"/>
              </w:rPr>
              <w:t>Change</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Premiums and Services Revenue</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b w:val="1"/>
                <w:bCs w:val="1"/>
                <w:color w:val="auto"/>
              </w:rPr>
              <w:t>Retail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8,970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8,376</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$ 594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1,318</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206</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896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State-based contracts (C)</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653</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Supplement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Other services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Retail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12,070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11,408</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b w:val="1"/>
                <w:bCs w:val="1"/>
                <w:color w:val="auto"/>
              </w:rPr>
              <w:t>Group and Specialty</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Fully-insured commercial medical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ASO &amp; other services (B)</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Military services (G)</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Group and Specialty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1,866</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b w:val="1"/>
                <w:bCs w:val="1"/>
                <w:color w:val="auto"/>
              </w:rPr>
              <w:t>Healthcare Services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Pharmacy solutions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5,034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5,159</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Provider services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(39)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Clinical programs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080"/>
              <w:spacing w:after="0"/>
              <w:rPr>
                <w:sz w:val="20"/>
                <w:szCs w:val="20"/>
                <w:color w:val="auto"/>
              </w:rPr>
            </w:pPr>
            <w:r>
              <w:rPr>
                <w:rFonts w:ascii="Arial" w:cs="Arial" w:eastAsia="Arial" w:hAnsi="Arial"/>
                <w:sz w:val="18"/>
                <w:szCs w:val="18"/>
                <w:b w:val="1"/>
                <w:bCs w:val="1"/>
                <w:color w:val="auto"/>
              </w:rPr>
              <w:t>Total Healthcare Services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(293)</w:t>
            </w:r>
          </w:p>
        </w:tc>
        <w:tc>
          <w:tcPr>
            <w:tcW w:w="4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Individual Commercial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na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S-9</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Quarter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Quarter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1160" w:type="dxa"/>
            <w:vAlign w:val="bottom"/>
            <w:gridSpan w:val="2"/>
          </w:tcPr>
          <w:p>
            <w:pPr>
              <w:spacing w:after="0"/>
              <w:rPr>
                <w:sz w:val="20"/>
                <w:szCs w:val="20"/>
                <w:color w:val="auto"/>
              </w:rPr>
            </w:pPr>
            <w:r>
              <w:rPr>
                <w:rFonts w:ascii="Arial" w:cs="Arial" w:eastAsia="Arial" w:hAnsi="Arial"/>
                <w:sz w:val="14"/>
                <w:szCs w:val="14"/>
                <w:color w:val="auto"/>
              </w:rPr>
              <w:t>March 31, 2017</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Difference</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December 31, 2017</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Difference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Primary Care Providers:</w:t>
            </w: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Shared Risk (E)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Owned / JV</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700"/>
              <w:spacing w:after="0"/>
              <w:rPr>
                <w:sz w:val="20"/>
                <w:szCs w:val="20"/>
                <w:color w:val="auto"/>
              </w:rPr>
            </w:pPr>
            <w:r>
              <w:rPr>
                <w:rFonts w:ascii="Arial" w:cs="Arial" w:eastAsia="Arial" w:hAnsi="Arial"/>
                <w:sz w:val="18"/>
                <w:szCs w:val="18"/>
                <w:color w:val="auto"/>
              </w:rPr>
              <w:t>Contracted</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13,900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15,100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14,500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Path to Risk (F)</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35,600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700"/>
              <w:spacing w:after="0"/>
              <w:rPr>
                <w:sz w:val="20"/>
                <w:szCs w:val="20"/>
                <w:color w:val="auto"/>
              </w:rPr>
            </w:pPr>
            <w:r>
              <w:rPr>
                <w:rFonts w:ascii="Arial" w:cs="Arial" w:eastAsia="Arial" w:hAnsi="Arial"/>
                <w:sz w:val="18"/>
                <w:szCs w:val="18"/>
                <w:b w:val="1"/>
                <w:bCs w:val="1"/>
                <w:color w:val="auto"/>
              </w:rPr>
              <w:t>Total Value-based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51,000</w:t>
            </w: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51,300</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2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Care Management Statistics: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Members enrolled in a Humana chronic care</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752,400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520"/>
              <w:spacing w:after="0"/>
              <w:rPr>
                <w:sz w:val="20"/>
                <w:szCs w:val="20"/>
                <w:color w:val="auto"/>
              </w:rPr>
            </w:pPr>
            <w:r>
              <w:rPr>
                <w:rFonts w:ascii="Arial" w:cs="Arial" w:eastAsia="Arial" w:hAnsi="Arial"/>
                <w:sz w:val="18"/>
                <w:szCs w:val="18"/>
                <w:color w:val="auto"/>
              </w:rPr>
              <w:t>management program (I)</w:t>
            </w:r>
          </w:p>
        </w:tc>
        <w:tc>
          <w:tcPr>
            <w:tcW w:w="122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1,035,300</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(282,900)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794,900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(42,500)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Number of high-risk discharges enrolled in a post-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76,100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discharge care management program (J)</w:t>
            </w:r>
          </w:p>
        </w:tc>
        <w:tc>
          <w:tcPr>
            <w:tcW w:w="1220" w:type="dxa"/>
            <w:vAlign w:val="bottom"/>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S-10</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Quarter Ended</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Quarter Ended</w:t>
            </w:r>
          </w:p>
        </w:tc>
        <w:tc>
          <w:tcPr>
            <w:tcW w:w="1900" w:type="dxa"/>
            <w:vAlign w:val="bottom"/>
            <w:gridSpan w:val="2"/>
          </w:tcPr>
          <w:p>
            <w:pPr>
              <w:jc w:val="right"/>
              <w:ind w:right="1020"/>
              <w:spacing w:after="0"/>
              <w:rPr>
                <w:sz w:val="20"/>
                <w:szCs w:val="20"/>
                <w:color w:val="auto"/>
              </w:rPr>
            </w:pPr>
            <w:r>
              <w:rPr>
                <w:rFonts w:ascii="Arial" w:cs="Arial" w:eastAsia="Arial" w:hAnsi="Arial"/>
                <w:sz w:val="14"/>
                <w:szCs w:val="14"/>
                <w:color w:val="auto"/>
                <w:w w:val="89"/>
              </w:rPr>
              <w:t>Year-over-Year</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Quarter Ended</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Sequential</w:t>
            </w:r>
          </w:p>
        </w:tc>
      </w:tr>
      <w:tr>
        <w:trPr>
          <w:trHeight w:val="171"/>
        </w:trPr>
        <w:tc>
          <w:tcPr>
            <w:tcW w:w="328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March 31, 2018</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w w:val="92"/>
              </w:rPr>
              <w:t>March 31, 2017</w:t>
            </w: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color w:val="auto"/>
              </w:rPr>
              <w:t>Difference</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w w:val="91"/>
              </w:rPr>
              <w:t>December 31, 2017</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Difference</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Pharmacy:</w:t>
            </w:r>
          </w:p>
        </w:tc>
        <w:tc>
          <w:tcPr>
            <w:tcW w:w="9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Generic Dispense Rate</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4"/>
        </w:trPr>
        <w:tc>
          <w:tcPr>
            <w:tcW w:w="328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86.4%</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0.9%</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86.3%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90"/>
        </w:trPr>
        <w:tc>
          <w:tcPr>
            <w:tcW w:w="3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Mail-Order Penetration</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80" w:type="dxa"/>
            <w:vAlign w:val="bottom"/>
          </w:tcPr>
          <w:p>
            <w:pPr>
              <w:ind w:left="720"/>
              <w:spacing w:after="0"/>
              <w:rPr>
                <w:sz w:val="20"/>
                <w:szCs w:val="20"/>
                <w:color w:val="auto"/>
              </w:rPr>
            </w:pPr>
            <w:r>
              <w:rPr>
                <w:rFonts w:ascii="Arial" w:cs="Arial" w:eastAsia="Arial" w:hAnsi="Arial"/>
                <w:sz w:val="18"/>
                <w:szCs w:val="18"/>
                <w:color w:val="auto"/>
              </w:rPr>
              <w:t>Retail</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3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Group and Specialty</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color w:val="auto"/>
                <w:w w:val="89"/>
              </w:rPr>
              <w:t>Percentage</w:t>
            </w: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Percentage</w:t>
            </w:r>
          </w:p>
        </w:tc>
      </w:tr>
      <w:tr>
        <w:trPr>
          <w:trHeight w:val="167"/>
        </w:trPr>
        <w:tc>
          <w:tcPr>
            <w:tcW w:w="24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Difference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5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Difference</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Script volume (K)</w:t>
            </w:r>
          </w:p>
        </w:tc>
        <w:tc>
          <w:tcPr>
            <w:tcW w:w="21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108,100</w:t>
            </w:r>
          </w:p>
        </w:tc>
        <w:tc>
          <w:tcPr>
            <w:tcW w:w="18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107,000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110,200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365"/>
        </w:trPr>
        <w:tc>
          <w:tcPr>
            <w:tcW w:w="2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S-11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Detail of Benefits Payable Balance and Year-to-Date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4"/>
                <w:szCs w:val="14"/>
                <w:color w:val="auto"/>
                <w:w w:val="91"/>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71"/>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March 31, 2018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March 31, 2017</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2017</w:t>
            </w: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Year-to-date changes in benefits payable, excluding military services</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324"/>
        </w:trPr>
        <w:tc>
          <w:tcPr>
            <w:tcW w:w="5400" w:type="dxa"/>
            <w:vAlign w:val="bottom"/>
          </w:tcPr>
          <w:p>
            <w:pPr>
              <w:ind w:left="360"/>
              <w:spacing w:after="0"/>
              <w:rPr>
                <w:sz w:val="20"/>
                <w:szCs w:val="20"/>
                <w:color w:val="auto"/>
              </w:rPr>
            </w:pPr>
            <w:r>
              <w:rPr>
                <w:rFonts w:ascii="Arial" w:cs="Arial" w:eastAsia="Arial" w:hAnsi="Arial"/>
                <w:sz w:val="18"/>
                <w:szCs w:val="18"/>
                <w:color w:val="auto"/>
              </w:rPr>
              <w:t>Balances at January 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4,668</w:t>
            </w:r>
          </w:p>
        </w:tc>
        <w:tc>
          <w:tcPr>
            <w:tcW w:w="4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4,563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4,563</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Reinsurance recoverables (L)</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28"/>
        </w:trPr>
        <w:tc>
          <w:tcPr>
            <w:tcW w:w="5400" w:type="dxa"/>
            <w:vAlign w:val="bottom"/>
          </w:tcPr>
          <w:p>
            <w:pPr>
              <w:ind w:left="360"/>
              <w:spacing w:after="0"/>
              <w:rPr>
                <w:sz w:val="20"/>
                <w:szCs w:val="20"/>
                <w:color w:val="auto"/>
              </w:rPr>
            </w:pPr>
            <w:r>
              <w:rPr>
                <w:rFonts w:ascii="Arial" w:cs="Arial" w:eastAsia="Arial" w:hAnsi="Arial"/>
                <w:sz w:val="18"/>
                <w:szCs w:val="18"/>
                <w:color w:val="auto"/>
              </w:rPr>
              <w:t>Beginning balance, net of reinsurance recoverable</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9"/>
                <w:szCs w:val="19"/>
                <w:color w:val="auto"/>
              </w:rPr>
            </w:pPr>
          </w:p>
        </w:tc>
      </w:tr>
      <w:tr>
        <w:trPr>
          <w:trHeight w:val="103"/>
        </w:trPr>
        <w:tc>
          <w:tcPr>
            <w:tcW w:w="5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Incurred related to:</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720"/>
              <w:spacing w:after="0"/>
              <w:rPr>
                <w:sz w:val="20"/>
                <w:szCs w:val="20"/>
                <w:color w:val="auto"/>
              </w:rPr>
            </w:pPr>
            <w:r>
              <w:rPr>
                <w:rFonts w:ascii="Arial" w:cs="Arial" w:eastAsia="Arial" w:hAnsi="Arial"/>
                <w:sz w:val="18"/>
                <w:szCs w:val="18"/>
                <w:color w:val="auto"/>
              </w:rPr>
              <w:t>Current year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11,947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11,580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44,001</w:t>
            </w: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Prior years (M)</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Total incurred</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43,518</w:t>
            </w: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 related to:</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720"/>
              <w:spacing w:after="0"/>
              <w:rPr>
                <w:sz w:val="20"/>
                <w:szCs w:val="20"/>
                <w:color w:val="auto"/>
              </w:rPr>
            </w:pPr>
            <w:r>
              <w:rPr>
                <w:rFonts w:ascii="Arial" w:cs="Arial" w:eastAsia="Arial" w:hAnsi="Arial"/>
                <w:sz w:val="18"/>
                <w:szCs w:val="18"/>
                <w:color w:val="auto"/>
              </w:rPr>
              <w:t>Current year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(7,775)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(7,695)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(39,496)</w:t>
            </w: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Prior years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(3,911)</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Total paid</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(43,407)</w:t>
            </w: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Reinsurance recoverables (L)</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24"/>
                <w:szCs w:val="24"/>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4"/>
                <w:szCs w:val="14"/>
                <w:color w:val="auto"/>
                <w:w w:val="91"/>
              </w:rPr>
              <w:t>Three Months Ended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71"/>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March 31, 2018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March 31, 2017</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2017</w:t>
            </w: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Summary of Consolidated Benefit Expense:</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Total benefit expense incurred, per above</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11,680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11,349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43,518</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policy benefit expense (N)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5400" w:type="dxa"/>
            <w:vAlign w:val="bottom"/>
          </w:tcPr>
          <w:p>
            <w:pPr>
              <w:ind w:left="720"/>
              <w:spacing w:after="0"/>
              <w:rPr>
                <w:sz w:val="20"/>
                <w:szCs w:val="20"/>
                <w:color w:val="auto"/>
              </w:rPr>
            </w:pPr>
            <w:r>
              <w:rPr>
                <w:rFonts w:ascii="Arial" w:cs="Arial" w:eastAsia="Arial" w:hAnsi="Arial"/>
                <w:sz w:val="18"/>
                <w:szCs w:val="18"/>
                <w:color w:val="auto"/>
              </w:rPr>
              <w:t>Consolidated Benefit Expense</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43,496</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8"/>
                <w:szCs w:val="18"/>
                <w:color w:val="auto"/>
              </w:rPr>
              <w:t>S-12</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Benefits Payable Statistics (Continued) (O)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Days in Claims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6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Days in</w:t>
            </w:r>
          </w:p>
        </w:tc>
        <w:tc>
          <w:tcPr>
            <w:tcW w:w="18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2960" w:type="dxa"/>
            <w:vAlign w:val="bottom"/>
            <w:gridSpan w:val="2"/>
          </w:tcPr>
          <w:p>
            <w:pPr>
              <w:jc w:val="right"/>
              <w:ind w:right="2280"/>
              <w:spacing w:after="0" w:line="149" w:lineRule="exact"/>
              <w:rPr>
                <w:sz w:val="20"/>
                <w:szCs w:val="20"/>
                <w:color w:val="auto"/>
              </w:rPr>
            </w:pPr>
            <w:r>
              <w:rPr>
                <w:rFonts w:ascii="Arial" w:cs="Arial" w:eastAsia="Arial" w:hAnsi="Arial"/>
                <w:sz w:val="14"/>
                <w:szCs w:val="14"/>
                <w:b w:val="1"/>
                <w:bCs w:val="1"/>
                <w:color w:val="auto"/>
              </w:rPr>
              <w:t>Claims</w:t>
            </w:r>
          </w:p>
        </w:tc>
        <w:tc>
          <w:tcPr>
            <w:tcW w:w="184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93"/>
              </w:rPr>
              <w:t>Last 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2960" w:type="dxa"/>
            <w:vAlign w:val="bottom"/>
            <w:gridSpan w:val="2"/>
          </w:tcPr>
          <w:p>
            <w:pPr>
              <w:jc w:val="right"/>
              <w:ind w:right="2040"/>
              <w:spacing w:after="0"/>
              <w:rPr>
                <w:sz w:val="20"/>
                <w:szCs w:val="20"/>
                <w:color w:val="auto"/>
              </w:rPr>
            </w:pPr>
            <w:r>
              <w:rPr>
                <w:rFonts w:ascii="Arial" w:cs="Arial" w:eastAsia="Arial" w:hAnsi="Arial"/>
                <w:sz w:val="14"/>
                <w:szCs w:val="14"/>
                <w:b w:val="1"/>
                <w:bCs w:val="1"/>
                <w:color w:val="auto"/>
                <w:w w:val="94"/>
              </w:rPr>
              <w:t>Payable (DCP)</w:t>
            </w:r>
          </w:p>
        </w:tc>
        <w:tc>
          <w:tcPr>
            <w:tcW w:w="18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5"/>
              </w:rPr>
              <w:t>Quarters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3/31/2017</w:t>
            </w:r>
          </w:p>
        </w:tc>
        <w:tc>
          <w:tcPr>
            <w:tcW w:w="39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6/30/2017</w:t>
            </w:r>
          </w:p>
        </w:tc>
        <w:tc>
          <w:tcPr>
            <w:tcW w:w="3940" w:type="dxa"/>
            <w:vAlign w:val="bottom"/>
          </w:tcPr>
          <w:p>
            <w:pPr>
              <w:spacing w:after="0"/>
              <w:rPr>
                <w:sz w:val="18"/>
                <w:szCs w:val="18"/>
                <w:color w:val="auto"/>
              </w:rPr>
            </w:pPr>
          </w:p>
        </w:tc>
        <w:tc>
          <w:tcPr>
            <w:tcW w:w="2960" w:type="dxa"/>
            <w:vAlign w:val="bottom"/>
            <w:gridSpan w:val="2"/>
          </w:tcPr>
          <w:p>
            <w:pPr>
              <w:jc w:val="right"/>
              <w:ind w:right="2040"/>
              <w:spacing w:after="0"/>
              <w:rPr>
                <w:sz w:val="20"/>
                <w:szCs w:val="20"/>
                <w:color w:val="auto"/>
              </w:rPr>
            </w:pPr>
            <w:r>
              <w:rPr>
                <w:rFonts w:ascii="Arial" w:cs="Arial" w:eastAsia="Arial" w:hAnsi="Arial"/>
                <w:sz w:val="18"/>
                <w:szCs w:val="18"/>
                <w:color w:val="auto"/>
              </w:rPr>
              <w:t>40.4</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9/30/2017</w:t>
            </w:r>
          </w:p>
        </w:tc>
        <w:tc>
          <w:tcPr>
            <w:tcW w:w="39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40"/>
              <w:spacing w:after="0"/>
              <w:rPr>
                <w:sz w:val="20"/>
                <w:szCs w:val="20"/>
                <w:color w:val="auto"/>
              </w:rPr>
            </w:pPr>
            <w:r>
              <w:rPr>
                <w:rFonts w:ascii="Arial" w:cs="Arial" w:eastAsia="Arial" w:hAnsi="Arial"/>
                <w:sz w:val="18"/>
                <w:szCs w:val="18"/>
                <w:color w:val="auto"/>
              </w:rPr>
              <w:t>42.9</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9"/>
              </w:rPr>
              <w:t>12/31/2017</w:t>
            </w:r>
          </w:p>
        </w:tc>
        <w:tc>
          <w:tcPr>
            <w:tcW w:w="3940" w:type="dxa"/>
            <w:vAlign w:val="bottom"/>
          </w:tcPr>
          <w:p>
            <w:pPr>
              <w:spacing w:after="0"/>
              <w:rPr>
                <w:sz w:val="18"/>
                <w:szCs w:val="18"/>
                <w:color w:val="auto"/>
              </w:rPr>
            </w:pPr>
          </w:p>
        </w:tc>
        <w:tc>
          <w:tcPr>
            <w:tcW w:w="2960" w:type="dxa"/>
            <w:vAlign w:val="bottom"/>
            <w:gridSpan w:val="2"/>
          </w:tcPr>
          <w:p>
            <w:pPr>
              <w:jc w:val="right"/>
              <w:ind w:right="2040"/>
              <w:spacing w:after="0"/>
              <w:rPr>
                <w:sz w:val="20"/>
                <w:szCs w:val="20"/>
                <w:color w:val="auto"/>
              </w:rPr>
            </w:pPr>
            <w:r>
              <w:rPr>
                <w:rFonts w:ascii="Arial" w:cs="Arial" w:eastAsia="Arial" w:hAnsi="Arial"/>
                <w:sz w:val="18"/>
                <w:szCs w:val="18"/>
                <w:color w:val="auto"/>
              </w:rPr>
              <w:t>40.4</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3/31/2018</w:t>
            </w:r>
          </w:p>
        </w:tc>
        <w:tc>
          <w:tcPr>
            <w:tcW w:w="39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40"/>
              <w:spacing w:after="0"/>
              <w:rPr>
                <w:sz w:val="20"/>
                <w:szCs w:val="20"/>
                <w:color w:val="auto"/>
              </w:rPr>
            </w:pPr>
            <w:r>
              <w:rPr>
                <w:rFonts w:ascii="Arial" w:cs="Arial" w:eastAsia="Arial" w:hAnsi="Arial"/>
                <w:sz w:val="18"/>
                <w:szCs w:val="18"/>
                <w:b w:val="1"/>
                <w:bCs w:val="1"/>
                <w:color w:val="auto"/>
              </w:rPr>
              <w:t>38.3</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547"/>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Change in Days in Claims Payable </w:t>
            </w:r>
            <w:r>
              <w:rPr>
                <w:rFonts w:ascii="Arial" w:cs="Arial" w:eastAsia="Arial" w:hAnsi="Arial"/>
                <w:sz w:val="18"/>
                <w:szCs w:val="18"/>
                <w:color w:val="auto"/>
              </w:rPr>
              <w:t>(P)</w:t>
            </w:r>
          </w:p>
        </w:tc>
        <w:tc>
          <w:tcPr>
            <w:tcW w:w="92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3"/>
          </w:tcPr>
          <w:p>
            <w:pPr>
              <w:jc w:val="center"/>
              <w:ind w:right="100"/>
              <w:spacing w:after="0"/>
              <w:rPr>
                <w:sz w:val="20"/>
                <w:szCs w:val="20"/>
                <w:color w:val="auto"/>
              </w:rPr>
            </w:pPr>
            <w:r>
              <w:rPr>
                <w:rFonts w:ascii="Arial" w:cs="Arial" w:eastAsia="Arial" w:hAnsi="Arial"/>
                <w:sz w:val="14"/>
                <w:szCs w:val="14"/>
                <w:color w:val="auto"/>
                <w:w w:val="98"/>
              </w:rPr>
              <w:t>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1Q</w:t>
            </w: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1Q</w:t>
            </w:r>
          </w:p>
        </w:tc>
        <w:tc>
          <w:tcPr>
            <w:tcW w:w="5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5"/>
              </w:rPr>
              <w:t>4Q</w:t>
            </w: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96"/>
              </w:rPr>
              <w:t>2017</w:t>
            </w:r>
          </w:p>
        </w:tc>
        <w:tc>
          <w:tcPr>
            <w:tcW w:w="200" w:type="dxa"/>
            <w:vAlign w:val="bottom"/>
          </w:tcPr>
          <w:p>
            <w:pPr>
              <w:spacing w:after="0"/>
              <w:rPr>
                <w:sz w:val="14"/>
                <w:szCs w:val="14"/>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DCP - beginning of period</w:t>
            </w:r>
          </w:p>
        </w:tc>
        <w:tc>
          <w:tcPr>
            <w:tcW w:w="9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Components of change in DCP:</w:t>
            </w: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Provider accruals (Q)</w:t>
            </w: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tcPr>
          <w:p>
            <w:pPr>
              <w:ind w:left="700"/>
              <w:spacing w:after="0"/>
              <w:rPr>
                <w:sz w:val="20"/>
                <w:szCs w:val="20"/>
                <w:color w:val="auto"/>
              </w:rPr>
            </w:pPr>
            <w:r>
              <w:rPr>
                <w:rFonts w:ascii="Arial" w:cs="Arial" w:eastAsia="Arial" w:hAnsi="Arial"/>
                <w:sz w:val="18"/>
                <w:szCs w:val="18"/>
                <w:color w:val="auto"/>
              </w:rPr>
              <w:t>Medical fee-for-service, excluding Individual Commercial (R)</w:t>
            </w:r>
          </w:p>
        </w:tc>
        <w:tc>
          <w:tcPr>
            <w:tcW w:w="1840" w:type="dxa"/>
            <w:vAlign w:val="bottom"/>
            <w:gridSpan w:val="4"/>
          </w:tcPr>
          <w:p>
            <w:pPr>
              <w:jc w:val="right"/>
              <w:ind w:right="16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Individual Commercial including Premium Deficiency Reserve (S)</w:t>
            </w:r>
          </w:p>
        </w:tc>
        <w:tc>
          <w:tcPr>
            <w:tcW w:w="1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700"/>
              <w:spacing w:after="0"/>
              <w:rPr>
                <w:sz w:val="20"/>
                <w:szCs w:val="20"/>
                <w:color w:val="auto"/>
              </w:rPr>
            </w:pPr>
            <w:r>
              <w:rPr>
                <w:rFonts w:ascii="Arial" w:cs="Arial" w:eastAsia="Arial" w:hAnsi="Arial"/>
                <w:sz w:val="18"/>
                <w:szCs w:val="18"/>
                <w:color w:val="auto"/>
              </w:rPr>
              <w:t>Pharmacy (T)</w:t>
            </w: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gridSpan w:val="4"/>
          </w:tcPr>
          <w:p>
            <w:pPr>
              <w:jc w:val="right"/>
              <w:ind w:right="160"/>
              <w:spacing w:after="0"/>
              <w:rPr>
                <w:sz w:val="20"/>
                <w:szCs w:val="20"/>
                <w:color w:val="auto"/>
              </w:rPr>
            </w:pPr>
            <w:r>
              <w:rPr>
                <w:rFonts w:ascii="Arial" w:cs="Arial" w:eastAsia="Arial" w:hAnsi="Arial"/>
                <w:sz w:val="18"/>
                <w:szCs w:val="18"/>
                <w:color w:val="auto"/>
              </w:rPr>
              <w:t>(0.9)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Processed claims inventory (U)</w:t>
            </w: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700"/>
              <w:spacing w:after="0"/>
              <w:rPr>
                <w:sz w:val="20"/>
                <w:szCs w:val="20"/>
                <w:color w:val="auto"/>
              </w:rPr>
            </w:pPr>
            <w:r>
              <w:rPr>
                <w:rFonts w:ascii="Arial" w:cs="Arial" w:eastAsia="Arial" w:hAnsi="Arial"/>
                <w:sz w:val="18"/>
                <w:szCs w:val="18"/>
                <w:color w:val="auto"/>
              </w:rPr>
              <w:t>Other (V)</w:t>
            </w: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DCP - end of period</w:t>
            </w: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change from beginning of period</w:t>
            </w: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(2.5)</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60" w:type="dxa"/>
            <w:vAlign w:val="bottom"/>
            <w:gridSpan w:val="2"/>
          </w:tcPr>
          <w:p>
            <w:pPr>
              <w:jc w:val="right"/>
              <w:ind w:right="1960"/>
              <w:spacing w:after="0"/>
              <w:rPr>
                <w:sz w:val="20"/>
                <w:szCs w:val="20"/>
                <w:color w:val="auto"/>
              </w:rPr>
            </w:pPr>
            <w:r>
              <w:rPr>
                <w:rFonts w:ascii="Arial" w:cs="Arial" w:eastAsia="Arial" w:hAnsi="Arial"/>
                <w:sz w:val="18"/>
                <w:szCs w:val="18"/>
                <w:color w:val="auto"/>
              </w:rPr>
              <w:t>S-13</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1Q18 Earnings Release</w:t>
      </w:r>
    </w:p>
    <w:p>
      <w:pPr>
        <w:spacing w:after="0" w:line="116" w:lineRule="exact"/>
        <w:rPr>
          <w:sz w:val="20"/>
          <w:szCs w:val="20"/>
          <w:color w:val="auto"/>
        </w:rPr>
      </w:pPr>
    </w:p>
    <w:p>
      <w:pPr>
        <w:ind w:left="460" w:right="340" w:hanging="452"/>
        <w:spacing w:after="0" w:line="25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Medicaid and other category includes premiums associated with the company’s Medicaid and military services businesses as well as the closed block of long-term care insurance policies.</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ASO and other category is primarily comprised of Administrative Services Only (ASO) fees and other ancillary services fees, including Military services unless separately disclosed.</w:t>
      </w:r>
    </w:p>
    <w:p>
      <w:pPr>
        <w:ind w:left="460" w:right="40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Medicaid Temporary Assistance for Needy Families (TANF), dual-eligible demonstration, and Long-Term Support Services (LTSS) from state-based contracts.</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supplemental benefits include life, disability, and fixed benefit products including cancer and critical illness policies.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2"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2018 amount primarily reflects services revenues under the TRICARE East Region contract which generally are contracted on a per-member basis. The 2017 amount primarily reflected services revenues associated with the TRICARE South Region contract, which generally were not contracted on a per-member basis.</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Computed based on average membership for the period (i.e., monthly ending membership during the period divided by the number of months in the period).</w:t>
      </w:r>
    </w:p>
    <w:p>
      <w:pPr>
        <w:ind w:left="4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 w:lineRule="exact"/>
        <w:rPr>
          <w:rFonts w:ascii="Arial" w:cs="Arial" w:eastAsia="Arial" w:hAnsi="Arial"/>
          <w:sz w:val="18"/>
          <w:szCs w:val="18"/>
          <w:color w:val="auto"/>
        </w:rPr>
      </w:pPr>
    </w:p>
    <w:p>
      <w:pPr>
        <w:jc w:val="both"/>
        <w:ind w:left="460" w:right="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Script volume is presented on an adjusted 30-day equivalent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reinsurance recoverables associated with the company’s state-based Medicaid contract in Kentucky.</w:t>
      </w:r>
    </w:p>
    <w:p>
      <w:pPr>
        <w:spacing w:after="0" w:line="9"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policy benefit expense has a related liability classified as a long-term liability on the balance sheet. Amounts reflect the release of reserves for future policy benefits as individual medical members transitioned to plans compliant with the Affordable Care Act.</w:t>
      </w:r>
    </w:p>
    <w:p>
      <w:pPr>
        <w:ind w:left="460" w:right="18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common metric for monitoring benefits payable levels relative to benefits expense is days in claims payable (DCP). During 1Q17, the company simplified its methodology for calculating DCP in order to enhance transparency for investors, now calculating DCP using the quarterly reported benefits expense and benefits payable balances as presented within the company’s consolidated financial statements, adjusting solely for future policy benefits expense associated with reserve strengthening for the company’s non-strategic block of long-term care insurance business.</w:t>
      </w:r>
    </w:p>
    <w:p>
      <w:pPr>
        <w:spacing w:after="0" w:line="2" w:lineRule="exact"/>
        <w:rPr>
          <w:rFonts w:ascii="Arial" w:cs="Arial" w:eastAsia="Arial" w:hAnsi="Arial"/>
          <w:sz w:val="16"/>
          <w:szCs w:val="16"/>
          <w:color w:val="auto"/>
        </w:rPr>
      </w:pPr>
    </w:p>
    <w:p>
      <w:pPr>
        <w:ind w:left="460" w:right="200" w:hanging="452"/>
        <w:spacing w:after="0" w:line="265"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ind w:left="460" w:right="3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Provider accruals represent portions of capitation payments set aside to pay future settlements for capitated providers. Related settlements generally happen over a 12-month period.</w:t>
      </w:r>
    </w:p>
    <w:p>
      <w:pPr>
        <w:ind w:left="460" w:hanging="452"/>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medical and specialty IBNR for non-pharmacy fully-insured products and excludes the impact of the Individual Commercial segment.</w:t>
      </w:r>
    </w:p>
    <w:p>
      <w:pPr>
        <w:spacing w:after="0" w:line="20" w:lineRule="exact"/>
        <w:rPr>
          <w:rFonts w:ascii="Arial" w:cs="Arial" w:eastAsia="Arial" w:hAnsi="Arial"/>
          <w:sz w:val="17"/>
          <w:szCs w:val="17"/>
          <w:color w:val="auto"/>
        </w:rPr>
      </w:pPr>
    </w:p>
    <w:p>
      <w:pPr>
        <w:ind w:left="460" w:right="1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Individual Commercial medical IBNR (on-exchange, off-exchange, and legacy), as well as the impact of any premium deficiency reserves related to this block of business.</w:t>
      </w:r>
    </w:p>
    <w:p>
      <w:pPr>
        <w:ind w:left="460" w:right="20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jc w:val="both"/>
        <w:ind w:left="460" w:right="46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lvl w:ilvl="1">
      <w:lvlJc w:val="left"/>
      <w:lvlText w:val="•"/>
      <w:numFmt w:val="bullet"/>
      <w:start w:val="1"/>
    </w:lvl>
  </w:abstractNum>
  <w:abstractNum w:abstractNumId="4">
    <w:nsid w:val="6763845E"/>
    <w:multiLevelType w:val="hybridMultilevel"/>
    <w:lvl w:ilvl="0">
      <w:lvlJc w:val="left"/>
      <w:lvlText w:val="(%1)"/>
      <w:numFmt w:val="lowerLetter"/>
      <w:start w:val="2"/>
    </w:lvl>
    <w:lvl w:ilvl="1">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lvl w:ilvl="1">
      <w:lvlJc w:val="left"/>
      <w:lvlText w:val="•"/>
      <w:numFmt w:val="bullet"/>
      <w:start w:val="1"/>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lvl w:ilvl="1">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lvl w:ilvl="1">
      <w:lvlJc w:val="left"/>
      <w:lvlText w:val="•"/>
      <w:numFmt w:val="bullet"/>
      <w:start w:val="1"/>
    </w:lvl>
  </w:abstractNum>
  <w:abstractNum w:abstractNumId="30">
    <w:nsid w:val="3804823E"/>
    <w:multiLevelType w:val="hybridMultilevel"/>
    <w:lvl w:ilvl="0">
      <w:lvlJc w:val="left"/>
      <w:lvlText w:val="•"/>
      <w:numFmt w:val="bullet"/>
      <w:start w:val="1"/>
    </w:lvl>
    <w:lvl w:ilvl="1">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lvl w:ilvl="1">
      <w:lvlJc w:val="left"/>
      <w:lvlText w:val="•"/>
      <w:numFmt w:val="bullet"/>
      <w:start w:val="1"/>
    </w:lvl>
  </w:abstractNum>
  <w:abstractNum w:abstractNumId="36">
    <w:nsid w:val="51EAD36B"/>
    <w:multiLevelType w:val="hybridMultilevel"/>
    <w:lvl w:ilvl="0">
      <w:lvlJc w:val="left"/>
      <w:lvlText w:val="(%1)"/>
      <w:numFmt w:val="lowerLetter"/>
      <w:start w:val="3"/>
    </w:lvl>
    <w:lvl w:ilvl="1">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2019-12-05T06:38:24Z</dcterms:created>
  <dcterms:modified xsi:type="dcterms:W3CDTF">2019-12-05T06:38:24Z</dcterms:modified>
</cp:coreProperties>
</file>