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Field Robert Stuart</w:t>
              </w:r>
            </w:hyperlink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HUMANA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HUM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INC.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101 E. MAIN STREET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LOUISVILLE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KY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40202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Humana Common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93"/>
                <w:vertAlign w:val="subscript"/>
              </w:rPr>
              <w:t>852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852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54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Right to receive one share per restricted stock unit pursuant to the Company's 2026 Stock Incentive Plan. Includes 852 restricted stock units representing a contingent right to receive one share of Humana Inc. common stock, exempt under Rule 16b-3(d)(1) &amp; (3).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Initial award of $200,000 worth of restricted stock units pursuant to the annual Director Compensation Program. Award will be forfeited in its entirety if service is less than one year.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Robert Stuart Field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05/05/2026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130908" TargetMode="External"/><Relationship Id="rId14" Type="http://schemas.openxmlformats.org/officeDocument/2006/relationships/hyperlink" Target="http://www.sec.gov/cgi-bin/browse-edgar?action=getcompany&amp;CIK=000004907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2026-05-05T12:52:49Z</dcterms:created>
  <dcterms:modified xsi:type="dcterms:W3CDTF">2026-05-05T12:52:49Z</dcterms:modified>
</cp:coreProperties>
</file>