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396875</wp:posOffset>
            </wp:positionH>
            <wp:positionV relativeFrom="page">
              <wp:posOffset>860425</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826135</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46990</wp:posOffset>
            </wp:positionV>
            <wp:extent cx="3317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1916430</wp:posOffset>
            </wp:positionH>
            <wp:positionV relativeFrom="paragraph">
              <wp:posOffset>212725</wp:posOffset>
            </wp:positionV>
            <wp:extent cx="3317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August 5, 2020 (August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50165</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Humana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68580</wp:posOffset>
            </wp:positionV>
            <wp:extent cx="3429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66"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1-5975</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61-0647538</w:t>
      </w:r>
    </w:p>
    <w:p>
      <w:pPr>
        <w:spacing w:after="0" w:line="82" w:lineRule="exact"/>
        <w:rPr>
          <w:sz w:val="24"/>
          <w:szCs w:val="24"/>
          <w:color w:val="auto"/>
        </w:rPr>
      </w:pPr>
    </w:p>
    <w:p>
      <w:pPr>
        <w:sectPr>
          <w:pgSz w:w="11900" w:h="16838" w:orient="portrait"/>
          <w:cols w:equalWidth="0" w:num="3">
            <w:col w:w="4660" w:space="720"/>
            <w:col w:w="2420" w:space="720"/>
            <w:col w:w="2720"/>
          </w:cols>
          <w:pgMar w:left="320" w:top="1440" w:right="339" w:bottom="1440" w:gutter="0" w:footer="0" w:header="0"/>
          <w:type w:val="continuous"/>
        </w:sectPr>
      </w:pPr>
    </w:p>
    <w:p>
      <w:pPr>
        <w:ind w:left="96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38" w:lineRule="exact"/>
        <w:rPr>
          <w:sz w:val="24"/>
          <w:szCs w:val="24"/>
          <w:color w:val="auto"/>
        </w:rPr>
      </w:pPr>
    </w:p>
    <w:p>
      <w:pPr>
        <w:sectPr>
          <w:pgSz w:w="11900" w:h="16838" w:orient="portrait"/>
          <w:cols w:equalWidth="0" w:num="3">
            <w:col w:w="4080" w:space="720"/>
            <w:col w:w="2380" w:space="720"/>
            <w:col w:w="334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500 West Main Street Louisville, KY 40202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240"/>
          </w:cols>
          <w:pgMar w:left="320" w:top="1440" w:right="339" w:bottom="1440" w:gutter="0" w:footer="0" w:header="0"/>
          <w:type w:val="continuous"/>
        </w:sect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502-580-1000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66675</wp:posOffset>
            </wp:positionV>
            <wp:extent cx="3454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92" w:lineRule="exact"/>
        <w:rPr>
          <w:sz w:val="24"/>
          <w:szCs w:val="24"/>
          <w:color w:val="auto"/>
        </w:rPr>
      </w:pPr>
    </w:p>
    <w:p>
      <w:pPr>
        <w:ind w:right="68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4"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740" w:firstLine="26"/>
        <w:spacing w:after="0" w:line="352"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157"/>
        </w:trPr>
        <w:tc>
          <w:tcPr>
            <w:tcW w:w="4280" w:type="dxa"/>
            <w:vAlign w:val="bottom"/>
            <w:tcBorders>
              <w:top w:val="single" w:sz="8" w:color="auto"/>
              <w:left w:val="single" w:sz="8" w:color="auto"/>
              <w:right w:val="single" w:sz="8" w:color="auto"/>
            </w:tcBorders>
            <w:gridSpan w:val="3"/>
          </w:tcPr>
          <w:p>
            <w:pPr>
              <w:jc w:val="center"/>
              <w:spacing w:after="0" w:line="157" w:lineRule="exact"/>
              <w:rPr>
                <w:sz w:val="20"/>
                <w:szCs w:val="20"/>
                <w:color w:val="auto"/>
              </w:rPr>
            </w:pPr>
            <w:r>
              <w:rPr>
                <w:rFonts w:ascii="Arial" w:cs="Arial" w:eastAsia="Arial" w:hAnsi="Arial"/>
                <w:sz w:val="14"/>
                <w:szCs w:val="14"/>
                <w:b w:val="1"/>
                <w:bCs w:val="1"/>
                <w:color w:val="auto"/>
                <w:w w:val="89"/>
              </w:rPr>
              <w:t>Title of each class</w:t>
            </w:r>
          </w:p>
        </w:tc>
        <w:tc>
          <w:tcPr>
            <w:tcW w:w="780" w:type="dxa"/>
            <w:vAlign w:val="bottom"/>
            <w:tcBorders>
              <w:top w:val="single" w:sz="8" w:color="auto"/>
            </w:tcBorders>
          </w:tcPr>
          <w:p>
            <w:pPr>
              <w:spacing w:after="0"/>
              <w:rPr>
                <w:sz w:val="13"/>
                <w:szCs w:val="13"/>
                <w:color w:val="auto"/>
              </w:rPr>
            </w:pPr>
          </w:p>
        </w:tc>
        <w:tc>
          <w:tcPr>
            <w:tcW w:w="1960" w:type="dxa"/>
            <w:vAlign w:val="bottom"/>
            <w:tcBorders>
              <w:top w:val="single" w:sz="8" w:color="auto"/>
              <w:right w:val="single" w:sz="8" w:color="auto"/>
            </w:tcBorders>
            <w:gridSpan w:val="2"/>
          </w:tcPr>
          <w:p>
            <w:pPr>
              <w:jc w:val="center"/>
              <w:ind w:right="820"/>
              <w:spacing w:after="0" w:line="157" w:lineRule="exact"/>
              <w:rPr>
                <w:sz w:val="20"/>
                <w:szCs w:val="20"/>
                <w:color w:val="auto"/>
              </w:rPr>
            </w:pPr>
            <w:r>
              <w:rPr>
                <w:rFonts w:ascii="Arial" w:cs="Arial" w:eastAsia="Arial" w:hAnsi="Arial"/>
                <w:sz w:val="14"/>
                <w:szCs w:val="14"/>
                <w:b w:val="1"/>
                <w:bCs w:val="1"/>
                <w:color w:val="auto"/>
                <w:w w:val="92"/>
              </w:rPr>
              <w:t>Trading Symbol(s)</w:t>
            </w:r>
          </w:p>
        </w:tc>
        <w:tc>
          <w:tcPr>
            <w:tcW w:w="760" w:type="dxa"/>
            <w:vAlign w:val="bottom"/>
            <w:tcBorders>
              <w:top w:val="single" w:sz="8" w:color="auto"/>
            </w:tcBorders>
          </w:tcPr>
          <w:p>
            <w:pPr>
              <w:spacing w:after="0"/>
              <w:rPr>
                <w:sz w:val="13"/>
                <w:szCs w:val="13"/>
                <w:color w:val="auto"/>
              </w:rPr>
            </w:pPr>
          </w:p>
        </w:tc>
        <w:tc>
          <w:tcPr>
            <w:tcW w:w="3440" w:type="dxa"/>
            <w:vAlign w:val="bottom"/>
            <w:tcBorders>
              <w:top w:val="single" w:sz="8" w:color="auto"/>
              <w:right w:val="single" w:sz="8" w:color="auto"/>
            </w:tcBorders>
            <w:gridSpan w:val="2"/>
          </w:tcPr>
          <w:p>
            <w:pPr>
              <w:jc w:val="center"/>
              <w:ind w:right="780"/>
              <w:spacing w:after="0" w:line="157" w:lineRule="exact"/>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600" w:type="dxa"/>
            <w:vAlign w:val="bottom"/>
            <w:tcBorders>
              <w:left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54"/>
        </w:trPr>
        <w:tc>
          <w:tcPr>
            <w:tcW w:w="4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Common Stock</w:t>
            </w:r>
          </w:p>
        </w:tc>
        <w:tc>
          <w:tcPr>
            <w:tcW w:w="780" w:type="dxa"/>
            <w:vAlign w:val="bottom"/>
          </w:tcPr>
          <w:p>
            <w:pPr>
              <w:spacing w:after="0"/>
              <w:rPr>
                <w:sz w:val="22"/>
                <w:szCs w:val="22"/>
                <w:color w:val="auto"/>
              </w:rPr>
            </w:pPr>
          </w:p>
        </w:tc>
        <w:tc>
          <w:tcPr>
            <w:tcW w:w="196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rPr>
              <w:t>HUM</w:t>
            </w:r>
          </w:p>
        </w:tc>
        <w:tc>
          <w:tcPr>
            <w:tcW w:w="760" w:type="dxa"/>
            <w:vAlign w:val="bottom"/>
          </w:tcPr>
          <w:p>
            <w:pPr>
              <w:spacing w:after="0"/>
              <w:rPr>
                <w:sz w:val="22"/>
                <w:szCs w:val="22"/>
                <w:color w:val="auto"/>
              </w:rPr>
            </w:pPr>
          </w:p>
        </w:tc>
        <w:tc>
          <w:tcPr>
            <w:tcW w:w="344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0"/>
              </w:rPr>
              <w:t>New York Stock Exchange</w:t>
            </w:r>
          </w:p>
        </w:tc>
      </w:tr>
      <w:tr>
        <w:trPr>
          <w:trHeight w:val="23"/>
        </w:trPr>
        <w:tc>
          <w:tcPr>
            <w:tcW w:w="160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1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520" w:firstLine="445"/>
        <w:spacing w:after="0" w:line="311" w:lineRule="auto"/>
        <w:rPr>
          <w:sz w:val="20"/>
          <w:szCs w:val="20"/>
          <w:color w:val="auto"/>
        </w:rPr>
      </w:pPr>
      <w:r>
        <w:rPr>
          <w:rFonts w:ascii="Arial" w:cs="Arial" w:eastAsia="Arial" w:hAnsi="Arial"/>
          <w:sz w:val="16"/>
          <w:szCs w:val="16"/>
          <w:color w:val="auto"/>
        </w:rPr>
        <w:t xml:space="preserve">Humana Inc. (the "Company") issued a press release this morning reporting financial results for the quarter ended June 30, 2020, and posted a detailed earnings release related to the same period to the Investor Relations portion of the Company’s website at </w:t>
      </w:r>
      <w:r>
        <w:rPr>
          <w:rFonts w:ascii="Arial" w:cs="Arial" w:eastAsia="Arial" w:hAnsi="Arial"/>
          <w:sz w:val="16"/>
          <w:szCs w:val="16"/>
          <w:u w:val="single" w:color="auto"/>
          <w:color w:val="auto"/>
        </w:rPr>
        <w:t>www.humana.com</w:t>
      </w:r>
      <w:r>
        <w:rPr>
          <w:rFonts w:ascii="Arial" w:cs="Arial" w:eastAsia="Arial" w:hAnsi="Arial"/>
          <w:sz w:val="16"/>
          <w:szCs w:val="16"/>
          <w:color w:val="auto"/>
        </w:rPr>
        <w:t>. A copy of each release is attached hereto as Exhibit 99.1 and Exhibit 99.2, respectively, and each release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80" w:type="dxa"/>
            <w:vAlign w:val="bottom"/>
            <w:tcBorders>
              <w:bottom w:val="single" w:sz="8" w:color="auto"/>
            </w:tcBorders>
          </w:tcPr>
          <w:p>
            <w:pPr>
              <w:ind w:left="46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6"/>
                <w:szCs w:val="16"/>
                <w:color w:val="auto"/>
              </w:rPr>
            </w:pPr>
          </w:p>
        </w:tc>
      </w:tr>
      <w:tr>
        <w:trPr>
          <w:trHeight w:val="283"/>
        </w:trPr>
        <w:tc>
          <w:tcPr>
            <w:tcW w:w="1020" w:type="dxa"/>
            <w:vAlign w:val="bottom"/>
          </w:tcPr>
          <w:p>
            <w:pPr>
              <w:ind w:left="20"/>
              <w:spacing w:after="0"/>
              <w:rPr>
                <w:sz w:val="20"/>
                <w:szCs w:val="20"/>
                <w:color w:val="auto"/>
              </w:rPr>
            </w:pPr>
            <w:r>
              <w:rPr>
                <w:rFonts w:ascii="Arial" w:cs="Arial" w:eastAsia="Arial" w:hAnsi="Arial"/>
                <w:sz w:val="18"/>
                <w:szCs w:val="18"/>
                <w:color w:val="auto"/>
              </w:rPr>
              <w:t>99.1</w:t>
            </w:r>
          </w:p>
        </w:tc>
        <w:tc>
          <w:tcPr>
            <w:tcW w:w="10220" w:type="dxa"/>
            <w:vAlign w:val="bottom"/>
            <w:gridSpan w:val="2"/>
          </w:tcPr>
          <w:p>
            <w:pPr>
              <w:ind w:left="3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w:t>
              </w:r>
            </w:hyperlink>
          </w:p>
        </w:tc>
      </w:tr>
      <w:tr>
        <w:trPr>
          <w:trHeight w:val="324"/>
        </w:trPr>
        <w:tc>
          <w:tcPr>
            <w:tcW w:w="1020" w:type="dxa"/>
            <w:vAlign w:val="bottom"/>
          </w:tcPr>
          <w:p>
            <w:pPr>
              <w:ind w:left="20"/>
              <w:spacing w:after="0"/>
              <w:rPr>
                <w:sz w:val="20"/>
                <w:szCs w:val="20"/>
                <w:color w:val="auto"/>
              </w:rPr>
            </w:pPr>
            <w:r>
              <w:rPr>
                <w:rFonts w:ascii="Arial" w:cs="Arial" w:eastAsia="Arial" w:hAnsi="Arial"/>
                <w:sz w:val="18"/>
                <w:szCs w:val="18"/>
                <w:color w:val="auto"/>
              </w:rPr>
              <w:t>99.2</w:t>
            </w:r>
          </w:p>
        </w:tc>
        <w:tc>
          <w:tcPr>
            <w:tcW w:w="10220" w:type="dxa"/>
            <w:vAlign w:val="bottom"/>
            <w:gridSpan w:val="2"/>
          </w:tcPr>
          <w:p>
            <w:pPr>
              <w:ind w:left="32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Earnings Release and Statistical Pages</w:t>
              </w:r>
            </w:hyperlink>
          </w:p>
        </w:tc>
      </w:tr>
      <w:tr>
        <w:trPr>
          <w:trHeight w:val="378"/>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19"/>
        </w:trPr>
        <w:tc>
          <w:tcPr>
            <w:tcW w:w="1020" w:type="dxa"/>
            <w:vAlign w:val="bottom"/>
            <w:tcBorders>
              <w:bottom w:val="single" w:sz="8" w:color="9A9A9A"/>
            </w:tcBorders>
          </w:tcPr>
          <w:p>
            <w:pPr>
              <w:spacing w:after="0"/>
              <w:rPr>
                <w:sz w:val="24"/>
                <w:szCs w:val="24"/>
                <w:color w:val="auto"/>
              </w:rPr>
            </w:pPr>
          </w:p>
        </w:tc>
        <w:tc>
          <w:tcPr>
            <w:tcW w:w="10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HUMANA INC.</w:t>
      </w:r>
    </w:p>
    <w:p>
      <w:pPr>
        <w:spacing w:after="0" w:line="333" w:lineRule="exact"/>
        <w:rPr>
          <w:sz w:val="20"/>
          <w:szCs w:val="20"/>
          <w:color w:val="auto"/>
        </w:rPr>
      </w:pPr>
    </w:p>
    <w:tbl>
      <w:tblPr>
        <w:tblLayout w:type="fixed"/>
        <w:tblInd w:w="48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/s/ Cynthia H. Zipperle</w:t>
            </w:r>
          </w:p>
        </w:tc>
      </w:tr>
      <w:tr>
        <w:trPr>
          <w:trHeight w:val="27"/>
        </w:trPr>
        <w:tc>
          <w:tcPr>
            <w:tcW w:w="9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Cynthia H. Zipperle</w:t>
            </w:r>
          </w:p>
        </w:tc>
      </w:tr>
      <w:tr>
        <w:trPr>
          <w:trHeight w:val="270"/>
        </w:trPr>
        <w:tc>
          <w:tcPr>
            <w:tcW w:w="920" w:type="dxa"/>
            <w:vAlign w:val="bottom"/>
          </w:tcPr>
          <w:p>
            <w:pPr>
              <w:spacing w:after="0"/>
              <w:rPr>
                <w:sz w:val="23"/>
                <w:szCs w:val="23"/>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Senior Vice President, Chief Accounting Officer and Controller</w:t>
            </w:r>
          </w:p>
        </w:tc>
      </w:tr>
      <w:tr>
        <w:trPr>
          <w:trHeight w:val="270"/>
        </w:trPr>
        <w:tc>
          <w:tcPr>
            <w:tcW w:w="920" w:type="dxa"/>
            <w:vAlign w:val="bottom"/>
          </w:tcPr>
          <w:p>
            <w:pPr>
              <w:spacing w:after="0"/>
              <w:rPr>
                <w:sz w:val="23"/>
                <w:szCs w:val="23"/>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2020</w:t>
      </w:r>
    </w:p>
    <w:p>
      <w:pPr>
        <w:sectPr>
          <w:pgSz w:w="11900" w:h="16838" w:orient="portrait"/>
          <w:cols w:equalWidth="0" w:num="1">
            <w:col w:w="11240"/>
          </w:cols>
          <w:pgMar w:left="320" w:top="110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10"/>
        </w:trPr>
        <w:tc>
          <w:tcPr>
            <w:tcW w:w="5640" w:type="dxa"/>
            <w:vAlign w:val="bottom"/>
            <w:gridSpan w:val="4"/>
          </w:tcPr>
          <w:p>
            <w:pPr>
              <w:ind w:left="20"/>
              <w:spacing w:after="0"/>
              <w:rPr>
                <w:sz w:val="20"/>
                <w:szCs w:val="20"/>
                <w:color w:val="auto"/>
              </w:rPr>
            </w:pPr>
            <w:r>
              <w:rPr>
                <w:rFonts w:ascii="Arial" w:cs="Arial" w:eastAsia="Arial" w:hAnsi="Arial"/>
                <w:sz w:val="27"/>
                <w:szCs w:val="27"/>
                <w:b w:val="1"/>
                <w:bCs w:val="1"/>
                <w:color w:val="auto"/>
              </w:rPr>
              <w:t xml:space="preserve">n e w s </w:t>
            </w:r>
            <w:r>
              <w:rPr>
                <w:rFonts w:ascii="Arial" w:cs="Arial" w:eastAsia="Arial" w:hAnsi="Arial"/>
                <w:sz w:val="27"/>
                <w:szCs w:val="27"/>
                <w:color w:val="auto"/>
              </w:rPr>
              <w:t>r e l e a s e</w:t>
            </w: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ind w:left="240"/>
              <w:spacing w:after="0"/>
              <w:rPr>
                <w:sz w:val="20"/>
                <w:szCs w:val="20"/>
                <w:color w:val="auto"/>
              </w:rPr>
            </w:pPr>
            <w:r>
              <w:rPr>
                <w:rFonts w:ascii="Arial" w:cs="Arial" w:eastAsia="Arial" w:hAnsi="Arial"/>
                <w:sz w:val="20"/>
                <w:szCs w:val="20"/>
                <w:b w:val="1"/>
                <w:bCs w:val="1"/>
                <w:color w:val="auto"/>
                <w:w w:val="97"/>
              </w:rPr>
              <w:t>Exhibit 99.1</w:t>
            </w:r>
          </w:p>
        </w:tc>
      </w:tr>
      <w:tr>
        <w:trPr>
          <w:trHeight w:val="131"/>
        </w:trPr>
        <w:tc>
          <w:tcPr>
            <w:tcW w:w="6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580" w:type="dxa"/>
            <w:vAlign w:val="bottom"/>
            <w:gridSpan w:val="3"/>
          </w:tcPr>
          <w:p>
            <w:pPr>
              <w:ind w:left="2120"/>
              <w:spacing w:after="0" w:line="131" w:lineRule="exact"/>
              <w:rPr>
                <w:sz w:val="20"/>
                <w:szCs w:val="20"/>
                <w:color w:val="auto"/>
              </w:rPr>
            </w:pPr>
            <w:r>
              <w:rPr>
                <w:rFonts w:ascii="Arial" w:cs="Arial" w:eastAsia="Arial" w:hAnsi="Arial"/>
                <w:sz w:val="15"/>
                <w:szCs w:val="15"/>
                <w:color w:val="auto"/>
              </w:rPr>
              <w:t>Humana Inc.</w:t>
            </w:r>
          </w:p>
        </w:tc>
      </w:tr>
      <w:tr>
        <w:trPr>
          <w:trHeight w:val="189"/>
        </w:trPr>
        <w:tc>
          <w:tcPr>
            <w:tcW w:w="6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580" w:type="dxa"/>
            <w:vAlign w:val="bottom"/>
            <w:gridSpan w:val="3"/>
          </w:tcPr>
          <w:p>
            <w:pPr>
              <w:ind w:left="2120"/>
              <w:spacing w:after="0" w:line="189" w:lineRule="exact"/>
              <w:rPr>
                <w:sz w:val="20"/>
                <w:szCs w:val="20"/>
                <w:color w:val="auto"/>
              </w:rPr>
            </w:pPr>
            <w:r>
              <w:rPr>
                <w:rFonts w:ascii="Arial" w:cs="Arial" w:eastAsia="Arial" w:hAnsi="Arial"/>
                <w:sz w:val="20"/>
                <w:szCs w:val="20"/>
                <w:color w:val="auto"/>
              </w:rPr>
              <w:t>500 West Main Street</w:t>
            </w:r>
          </w:p>
        </w:tc>
      </w:tr>
      <w:tr>
        <w:trPr>
          <w:trHeight w:val="189"/>
        </w:trPr>
        <w:tc>
          <w:tcPr>
            <w:tcW w:w="6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580" w:type="dxa"/>
            <w:vAlign w:val="bottom"/>
            <w:gridSpan w:val="3"/>
          </w:tcPr>
          <w:p>
            <w:pPr>
              <w:ind w:left="2120"/>
              <w:spacing w:after="0" w:line="189" w:lineRule="exact"/>
              <w:rPr>
                <w:sz w:val="20"/>
                <w:szCs w:val="20"/>
                <w:color w:val="auto"/>
              </w:rPr>
            </w:pPr>
            <w:r>
              <w:rPr>
                <w:rFonts w:ascii="Arial" w:cs="Arial" w:eastAsia="Arial" w:hAnsi="Arial"/>
                <w:sz w:val="20"/>
                <w:szCs w:val="20"/>
                <w:color w:val="auto"/>
              </w:rPr>
              <w:t>P.O. Box 1438</w:t>
            </w:r>
          </w:p>
        </w:tc>
      </w:tr>
      <w:tr>
        <w:trPr>
          <w:trHeight w:val="189"/>
        </w:trPr>
        <w:tc>
          <w:tcPr>
            <w:tcW w:w="6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580" w:type="dxa"/>
            <w:vAlign w:val="bottom"/>
            <w:gridSpan w:val="3"/>
          </w:tcPr>
          <w:p>
            <w:pPr>
              <w:ind w:left="2120"/>
              <w:spacing w:after="0" w:line="189" w:lineRule="exact"/>
              <w:rPr>
                <w:sz w:val="20"/>
                <w:szCs w:val="20"/>
                <w:color w:val="auto"/>
              </w:rPr>
            </w:pPr>
            <w:r>
              <w:rPr>
                <w:rFonts w:ascii="Arial" w:cs="Arial" w:eastAsia="Arial" w:hAnsi="Arial"/>
                <w:sz w:val="20"/>
                <w:szCs w:val="20"/>
                <w:color w:val="auto"/>
              </w:rPr>
              <w:t>Louisville, KY 40202</w:t>
            </w:r>
          </w:p>
        </w:tc>
      </w:tr>
      <w:tr>
        <w:trPr>
          <w:trHeight w:val="193"/>
        </w:trPr>
        <w:tc>
          <w:tcPr>
            <w:tcW w:w="6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580" w:type="dxa"/>
            <w:vAlign w:val="bottom"/>
            <w:gridSpan w:val="3"/>
          </w:tcPr>
          <w:p>
            <w:pPr>
              <w:ind w:left="2120"/>
              <w:spacing w:after="0" w:line="193" w:lineRule="exact"/>
              <w:rPr>
                <w:sz w:val="20"/>
                <w:szCs w:val="20"/>
                <w:color w:val="auto"/>
              </w:rPr>
            </w:pPr>
            <w:r>
              <w:rPr>
                <w:rFonts w:ascii="Arial" w:cs="Arial" w:eastAsia="Arial" w:hAnsi="Arial"/>
                <w:sz w:val="20"/>
                <w:szCs w:val="20"/>
                <w:color w:val="auto"/>
              </w:rPr>
              <w:t>http://www.humana.com</w:t>
            </w:r>
          </w:p>
        </w:tc>
      </w:tr>
      <w:tr>
        <w:trPr>
          <w:trHeight w:val="362"/>
        </w:trPr>
        <w:tc>
          <w:tcPr>
            <w:tcW w:w="5640" w:type="dxa"/>
            <w:vAlign w:val="bottom"/>
            <w:gridSpan w:val="4"/>
          </w:tcPr>
          <w:p>
            <w:pPr>
              <w:spacing w:after="0"/>
              <w:rPr>
                <w:sz w:val="20"/>
                <w:szCs w:val="20"/>
                <w:color w:val="auto"/>
              </w:rPr>
            </w:pPr>
            <w:r>
              <w:rPr>
                <w:rFonts w:ascii="Arial" w:cs="Arial" w:eastAsia="Arial" w:hAnsi="Arial"/>
                <w:sz w:val="20"/>
                <w:szCs w:val="20"/>
                <w:color w:val="auto"/>
              </w:rPr>
              <w:t>FOR MORE INFORMATION CONTACT:</w:t>
            </w:r>
          </w:p>
        </w:tc>
        <w:tc>
          <w:tcPr>
            <w:tcW w:w="212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316"/>
        </w:trPr>
        <w:tc>
          <w:tcPr>
            <w:tcW w:w="5640" w:type="dxa"/>
            <w:vAlign w:val="bottom"/>
            <w:gridSpan w:val="4"/>
          </w:tcPr>
          <w:p>
            <w:pPr>
              <w:ind w:left="20"/>
              <w:spacing w:after="0"/>
              <w:rPr>
                <w:sz w:val="20"/>
                <w:szCs w:val="20"/>
                <w:color w:val="auto"/>
              </w:rPr>
            </w:pPr>
            <w:r>
              <w:rPr>
                <w:rFonts w:ascii="Arial" w:cs="Arial" w:eastAsia="Arial" w:hAnsi="Arial"/>
                <w:sz w:val="20"/>
                <w:szCs w:val="20"/>
                <w:color w:val="auto"/>
              </w:rPr>
              <w:t>Amy Smith</w:t>
            </w: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9"/>
        </w:trPr>
        <w:tc>
          <w:tcPr>
            <w:tcW w:w="5640" w:type="dxa"/>
            <w:vAlign w:val="bottom"/>
            <w:gridSpan w:val="4"/>
          </w:tcPr>
          <w:p>
            <w:pPr>
              <w:ind w:left="20"/>
              <w:spacing w:after="0" w:line="189" w:lineRule="exact"/>
              <w:rPr>
                <w:sz w:val="20"/>
                <w:szCs w:val="20"/>
                <w:color w:val="auto"/>
              </w:rPr>
            </w:pPr>
            <w:r>
              <w:rPr>
                <w:rFonts w:ascii="Arial" w:cs="Arial" w:eastAsia="Arial" w:hAnsi="Arial"/>
                <w:sz w:val="20"/>
                <w:szCs w:val="20"/>
                <w:color w:val="auto"/>
              </w:rPr>
              <w:t>Humana Investor Relations</w:t>
            </w:r>
          </w:p>
        </w:tc>
        <w:tc>
          <w:tcPr>
            <w:tcW w:w="2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2880" w:type="dxa"/>
            <w:vAlign w:val="bottom"/>
            <w:gridSpan w:val="2"/>
          </w:tcPr>
          <w:p>
            <w:pPr>
              <w:ind w:left="20"/>
              <w:spacing w:after="0" w:line="189" w:lineRule="exact"/>
              <w:rPr>
                <w:sz w:val="20"/>
                <w:szCs w:val="20"/>
                <w:color w:val="auto"/>
              </w:rPr>
            </w:pPr>
            <w:r>
              <w:rPr>
                <w:rFonts w:ascii="Arial" w:cs="Arial" w:eastAsia="Arial" w:hAnsi="Arial"/>
                <w:sz w:val="20"/>
                <w:szCs w:val="20"/>
                <w:color w:val="auto"/>
              </w:rPr>
              <w:t>(502) 580-2811</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5640" w:type="dxa"/>
            <w:vAlign w:val="bottom"/>
            <w:gridSpan w:val="4"/>
          </w:tcPr>
          <w:p>
            <w:pPr>
              <w:ind w:left="20"/>
              <w:spacing w:after="0" w:line="193" w:lineRule="exact"/>
              <w:rPr>
                <w:sz w:val="20"/>
                <w:szCs w:val="20"/>
                <w:color w:val="auto"/>
              </w:rPr>
            </w:pPr>
            <w:r>
              <w:rPr>
                <w:rFonts w:ascii="Arial" w:cs="Arial" w:eastAsia="Arial" w:hAnsi="Arial"/>
                <w:sz w:val="20"/>
                <w:szCs w:val="20"/>
                <w:color w:val="auto"/>
              </w:rPr>
              <w:t>e-mail: Amysmith@humana.com</w:t>
            </w:r>
          </w:p>
        </w:tc>
        <w:tc>
          <w:tcPr>
            <w:tcW w:w="2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62"/>
        </w:trPr>
        <w:tc>
          <w:tcPr>
            <w:tcW w:w="5640" w:type="dxa"/>
            <w:vAlign w:val="bottom"/>
            <w:gridSpan w:val="4"/>
          </w:tcPr>
          <w:p>
            <w:pPr>
              <w:spacing w:after="0"/>
              <w:rPr>
                <w:sz w:val="20"/>
                <w:szCs w:val="20"/>
                <w:color w:val="auto"/>
              </w:rPr>
            </w:pPr>
            <w:r>
              <w:rPr>
                <w:rFonts w:ascii="Arial" w:cs="Arial" w:eastAsia="Arial" w:hAnsi="Arial"/>
                <w:sz w:val="20"/>
                <w:szCs w:val="20"/>
                <w:color w:val="auto"/>
              </w:rPr>
              <w:t>Kelley Murphy</w:t>
            </w: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5640" w:type="dxa"/>
            <w:vAlign w:val="bottom"/>
            <w:gridSpan w:val="4"/>
          </w:tcPr>
          <w:p>
            <w:pPr>
              <w:spacing w:after="0"/>
              <w:rPr>
                <w:sz w:val="20"/>
                <w:szCs w:val="20"/>
                <w:color w:val="auto"/>
              </w:rPr>
            </w:pPr>
            <w:r>
              <w:rPr>
                <w:rFonts w:ascii="Arial" w:cs="Arial" w:eastAsia="Arial" w:hAnsi="Arial"/>
                <w:sz w:val="20"/>
                <w:szCs w:val="20"/>
                <w:color w:val="auto"/>
              </w:rPr>
              <w:t>Humana Corporate Communications</w:t>
            </w:r>
          </w:p>
        </w:tc>
        <w:tc>
          <w:tcPr>
            <w:tcW w:w="2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880" w:type="dxa"/>
            <w:vAlign w:val="bottom"/>
            <w:gridSpan w:val="2"/>
          </w:tcPr>
          <w:p>
            <w:pPr>
              <w:spacing w:after="0"/>
              <w:rPr>
                <w:sz w:val="20"/>
                <w:szCs w:val="20"/>
                <w:color w:val="auto"/>
              </w:rPr>
            </w:pPr>
            <w:r>
              <w:rPr>
                <w:rFonts w:ascii="Arial" w:cs="Arial" w:eastAsia="Arial" w:hAnsi="Arial"/>
                <w:sz w:val="20"/>
                <w:szCs w:val="20"/>
                <w:color w:val="auto"/>
              </w:rPr>
              <w:t>(502) 224-1755</w:t>
            </w:r>
          </w:p>
        </w:tc>
        <w:tc>
          <w:tcPr>
            <w:tcW w:w="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93"/>
        </w:trPr>
        <w:tc>
          <w:tcPr>
            <w:tcW w:w="5640" w:type="dxa"/>
            <w:vAlign w:val="bottom"/>
            <w:gridSpan w:val="4"/>
          </w:tcPr>
          <w:p>
            <w:pPr>
              <w:spacing w:after="0" w:line="193" w:lineRule="exact"/>
              <w:rPr>
                <w:sz w:val="20"/>
                <w:szCs w:val="20"/>
                <w:color w:val="auto"/>
              </w:rPr>
            </w:pPr>
            <w:r>
              <w:rPr>
                <w:rFonts w:ascii="Arial" w:cs="Arial" w:eastAsia="Arial" w:hAnsi="Arial"/>
                <w:sz w:val="20"/>
                <w:szCs w:val="20"/>
                <w:color w:val="auto"/>
              </w:rPr>
              <w:t>e-mail: Kmurphy26@humana.com</w:t>
            </w:r>
          </w:p>
        </w:tc>
        <w:tc>
          <w:tcPr>
            <w:tcW w:w="2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680" w:type="dxa"/>
            <w:vAlign w:val="bottom"/>
            <w:tcBorders>
              <w:right w:val="single" w:sz="8" w:color="auto"/>
            </w:tcBorders>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-1268095</wp:posOffset>
            </wp:positionV>
            <wp:extent cx="1851660"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16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Humana Reports Second Quarter 2020 Financial Results;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Continues Proactive Relief Efforts Amid Pandemic</w:t>
      </w:r>
    </w:p>
    <w:p>
      <w:pPr>
        <w:spacing w:after="0" w:line="253" w:lineRule="exact"/>
        <w:rPr>
          <w:sz w:val="20"/>
          <w:szCs w:val="20"/>
          <w:color w:val="auto"/>
        </w:rPr>
      </w:pPr>
    </w:p>
    <w:p>
      <w:pPr>
        <w:ind w:left="660" w:right="420" w:hanging="328"/>
        <w:spacing w:after="0" w:line="246"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color w:val="auto"/>
        </w:rPr>
        <w:t>Ongoing actions to support its members, providers, employees, and communities during the COVID-19 pandemic, including the donation of an additional $150 million to the Humana Foundation to address social determinants of health in an effort to promote more healthy days and encourage greater health equity</w:t>
      </w:r>
    </w:p>
    <w:p>
      <w:pPr>
        <w:spacing w:after="0" w:line="1" w:lineRule="exact"/>
        <w:rPr>
          <w:rFonts w:ascii="Arial" w:cs="Arial" w:eastAsia="Arial" w:hAnsi="Arial"/>
          <w:sz w:val="16"/>
          <w:szCs w:val="16"/>
          <w:color w:val="auto"/>
        </w:rPr>
      </w:pPr>
    </w:p>
    <w:p>
      <w:pPr>
        <w:ind w:left="660" w:right="480" w:hanging="328"/>
        <w:spacing w:after="0" w:line="246"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Reports 2Q20 earnings per diluted common share (EPS) of $13.75 on a GAAP basis, $12.56 on an Adjusted basis; reports YTD 2020 EPS of $17.31 on a GAAP basis, $17.97 on an Adjusted basis</w:t>
      </w: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Comments on FY 2020 guidance:</w:t>
      </w:r>
    </w:p>
    <w:p>
      <w:pPr>
        <w:spacing w:after="0" w:line="5" w:lineRule="exact"/>
        <w:rPr>
          <w:rFonts w:ascii="Arial" w:cs="Arial" w:eastAsia="Arial" w:hAnsi="Arial"/>
          <w:sz w:val="16"/>
          <w:szCs w:val="16"/>
          <w:color w:val="auto"/>
        </w:rPr>
      </w:pPr>
    </w:p>
    <w:p>
      <w:pPr>
        <w:ind w:left="1200" w:hanging="220"/>
        <w:spacing w:after="0"/>
        <w:tabs>
          <w:tab w:leader="none" w:pos="12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FY 2020 GAAP EPS expected to be in a range of $17.36 to $17.86</w:t>
      </w:r>
    </w:p>
    <w:p>
      <w:pPr>
        <w:spacing w:after="0" w:line="5" w:lineRule="exact"/>
        <w:rPr>
          <w:rFonts w:ascii="Arial" w:cs="Arial" w:eastAsia="Arial" w:hAnsi="Arial"/>
          <w:sz w:val="16"/>
          <w:szCs w:val="16"/>
          <w:color w:val="auto"/>
        </w:rPr>
      </w:pPr>
    </w:p>
    <w:p>
      <w:pPr>
        <w:ind w:left="1300" w:right="600" w:hanging="320"/>
        <w:spacing w:after="0" w:line="246" w:lineRule="auto"/>
        <w:tabs>
          <w:tab w:leader="none" w:pos="1195" w:val="left"/>
        </w:tabs>
        <w:numPr>
          <w:ilvl w:val="1"/>
          <w:numId w:val="2"/>
        </w:numPr>
        <w:rPr>
          <w:rFonts w:ascii="Arial" w:cs="Arial" w:eastAsia="Arial" w:hAnsi="Arial"/>
          <w:sz w:val="16"/>
          <w:szCs w:val="16"/>
          <w:color w:val="auto"/>
        </w:rPr>
      </w:pPr>
      <w:r>
        <w:rPr>
          <w:rFonts w:ascii="Arial" w:cs="Arial" w:eastAsia="Arial" w:hAnsi="Arial"/>
          <w:sz w:val="16"/>
          <w:szCs w:val="16"/>
          <w:color w:val="auto"/>
        </w:rPr>
        <w:t>Reaffirms FY 2020 Adjusted EPS guidance range of $18.25 to $18.75 while acknowledging the inherent uncertainty surrounding the ongoing pandemic</w:t>
      </w:r>
    </w:p>
    <w:p>
      <w:pPr>
        <w:ind w:left="1300" w:right="300" w:hanging="320"/>
        <w:spacing w:after="0" w:line="260" w:lineRule="auto"/>
        <w:tabs>
          <w:tab w:leader="none" w:pos="1195" w:val="left"/>
        </w:tabs>
        <w:numPr>
          <w:ilvl w:val="1"/>
          <w:numId w:val="2"/>
        </w:numPr>
        <w:rPr>
          <w:rFonts w:ascii="Arial" w:cs="Arial" w:eastAsia="Arial" w:hAnsi="Arial"/>
          <w:sz w:val="16"/>
          <w:szCs w:val="16"/>
          <w:color w:val="auto"/>
        </w:rPr>
      </w:pPr>
      <w:r>
        <w:rPr>
          <w:rFonts w:ascii="Arial" w:cs="Arial" w:eastAsia="Arial" w:hAnsi="Arial"/>
          <w:sz w:val="16"/>
          <w:szCs w:val="16"/>
          <w:color w:val="auto"/>
        </w:rPr>
        <w:t>Increases full year expected individual Medicare Advantage membership growth to 330,000 to 360,000 members from previous range of 300,000 to 350,000 members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color w:val="auto"/>
        </w:rPr>
        <w:t xml:space="preserve">LOUISVILLE, KY (August 5, 2020) </w:t>
      </w:r>
      <w:r>
        <w:rPr>
          <w:rFonts w:ascii="Arial" w:cs="Arial" w:eastAsia="Arial" w:hAnsi="Arial"/>
          <w:sz w:val="20"/>
          <w:szCs w:val="20"/>
          <w:color w:val="auto"/>
        </w:rPr>
        <w:t>– During the second quarter of 2020, Humana Inc. (NYSE: HUM) continued to take actions</w:t>
      </w:r>
      <w:r>
        <w:rPr>
          <w:rFonts w:ascii="Arial" w:cs="Arial" w:eastAsia="Arial" w:hAnsi="Arial"/>
          <w:sz w:val="20"/>
          <w:szCs w:val="20"/>
          <w:b w:val="1"/>
          <w:bCs w:val="1"/>
          <w:color w:val="auto"/>
        </w:rPr>
        <w:t xml:space="preserve"> </w:t>
      </w:r>
      <w:r>
        <w:rPr>
          <w:rFonts w:ascii="Arial" w:cs="Arial" w:eastAsia="Arial" w:hAnsi="Arial"/>
          <w:sz w:val="20"/>
          <w:szCs w:val="20"/>
          <w:color w:val="auto"/>
        </w:rPr>
        <w:t>to protect, inform, and care for its members, providers, employees, and other stakeholders during the COVID-19 crisis. Specifically, Humana took the following actions to support its members:</w:t>
      </w:r>
    </w:p>
    <w:p>
      <w:pPr>
        <w:spacing w:after="0" w:line="2" w:lineRule="exact"/>
        <w:rPr>
          <w:sz w:val="20"/>
          <w:szCs w:val="20"/>
          <w:color w:val="auto"/>
        </w:rPr>
      </w:pPr>
    </w:p>
    <w:p>
      <w:pPr>
        <w:ind w:left="660" w:hanging="328"/>
        <w:spacing w:after="0" w:line="239"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waiving all cost sharing for in-network primary care, outpatient behavioral health, and telehealth visits for the remainder of 2020 for its Medicare Advantage members, to reduce financial barriers to members seeking to re-engage with their providers, while continuing to encourage the use of telehealth;</w:t>
      </w:r>
    </w:p>
    <w:p>
      <w:pPr>
        <w:spacing w:after="0" w:line="1" w:lineRule="exact"/>
        <w:rPr>
          <w:rFonts w:ascii="Arial" w:cs="Arial" w:eastAsia="Arial" w:hAnsi="Arial"/>
          <w:sz w:val="20"/>
          <w:szCs w:val="20"/>
          <w:color w:val="auto"/>
        </w:rPr>
      </w:pPr>
    </w:p>
    <w:p>
      <w:pPr>
        <w:ind w:left="660" w:right="980" w:hanging="328"/>
        <w:spacing w:after="0" w:line="239"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making it easier for members to be tested for COVID-19 by offering a pilot at-home testing program, as well as collaborating with other providers to deploy drive-thru testing at hundreds of sites throughout the country;</w:t>
      </w:r>
    </w:p>
    <w:p>
      <w:pPr>
        <w:ind w:left="660" w:right="80" w:hanging="328"/>
        <w:spacing w:after="0" w:line="239"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mailing in-home screening kits to members, to encourage members to seek preventive care that may have been delayed during the pandemic;</w:t>
      </w:r>
    </w:p>
    <w:p>
      <w:pPr>
        <w:ind w:left="660" w:right="180" w:hanging="328"/>
        <w:spacing w:after="0" w:line="239"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proactively delivering safety kits, including face masks, to member and employee homes to facilitate access to care and support visits to providers safely;</w:t>
      </w:r>
    </w:p>
    <w:p>
      <w:pPr>
        <w:ind w:left="660" w:right="480" w:hanging="328"/>
        <w:spacing w:after="0" w:line="239"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continuing to extend grace periods for premium payments for its fully-insured commercial group members, to ensure continuity of coverage during times of financial stress; and</w:t>
      </w: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providing a concierge line dedicated to COVID-19 related inquires.</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8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color w:val="auto"/>
        </w:rPr>
        <w:t>In addition, Humana took steps to support its provider partners and boost system viability:</w:t>
      </w:r>
    </w:p>
    <w:p>
      <w:pPr>
        <w:ind w:left="660" w:right="540" w:hanging="328"/>
        <w:spacing w:after="0" w:line="239"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expanding modifications to certain utilization management processes, to ease administrative stress and make sure providers are able to most efficiently care for their patients; and</w:t>
      </w:r>
    </w:p>
    <w:p>
      <w:pPr>
        <w:jc w:val="both"/>
        <w:ind w:left="660" w:right="100" w:hanging="328"/>
        <w:spacing w:after="0" w:line="243"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simplifying and expediting claims processing and releasing approximately $1 billion in advanced funding to providers, to get reimbursement payments to providers as quickly as possible and ease financial concerns so that members are able to continue to access the care and information they need.</w:t>
      </w:r>
    </w:p>
    <w:p>
      <w:pPr>
        <w:spacing w:after="0" w:line="233" w:lineRule="exact"/>
        <w:rPr>
          <w:sz w:val="20"/>
          <w:szCs w:val="20"/>
          <w:color w:val="auto"/>
        </w:rPr>
      </w:pPr>
    </w:p>
    <w:p>
      <w:pPr>
        <w:ind w:right="480"/>
        <w:spacing w:after="0" w:line="243" w:lineRule="auto"/>
        <w:rPr>
          <w:sz w:val="20"/>
          <w:szCs w:val="20"/>
          <w:color w:val="auto"/>
        </w:rPr>
      </w:pPr>
      <w:r>
        <w:rPr>
          <w:rFonts w:ascii="Arial" w:cs="Arial" w:eastAsia="Arial" w:hAnsi="Arial"/>
          <w:sz w:val="20"/>
          <w:szCs w:val="20"/>
          <w:color w:val="auto"/>
        </w:rPr>
        <w:t>Finally, Humana continued to support the communities it serves by donating $200 million ($150 million during the second quarter) to the Humana Foundation to address social determinants of health in an effort to promote more healthy days and encourage greater health equity.</w:t>
      </w:r>
    </w:p>
    <w:p>
      <w:pPr>
        <w:spacing w:after="0" w:line="233" w:lineRule="exact"/>
        <w:rPr>
          <w:sz w:val="20"/>
          <w:szCs w:val="20"/>
          <w:color w:val="auto"/>
        </w:rPr>
      </w:pPr>
    </w:p>
    <w:p>
      <w:pPr>
        <w:ind w:right="40"/>
        <w:spacing w:after="0"/>
        <w:rPr>
          <w:sz w:val="20"/>
          <w:szCs w:val="20"/>
          <w:color w:val="auto"/>
        </w:rPr>
      </w:pPr>
      <w:r>
        <w:rPr>
          <w:rFonts w:ascii="Arial" w:cs="Arial" w:eastAsia="Arial" w:hAnsi="Arial"/>
          <w:sz w:val="20"/>
          <w:szCs w:val="20"/>
          <w:color w:val="auto"/>
        </w:rPr>
        <w:t>Humana's second quarter results of operations were materially impacted by the significant, temporary deferral of care resulting from stay-at-home orders, physical distancing measures, and other restrictions on movement and economic activity implemented throughout the country to reduce the spread of COVID-19. Hospital admissions and utilization were significantly depressed in April, increased throughout May and June, and remained modestly below normal at the close of the quarter. The impact of the deferral of care on second quarter results was partially offset by COVID-19 testing and treatment costs, as well as the company's ongoing pandemic relief efforts.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Humana anticipates its second quarter results will be offset in the latter half of 2020 as demand for previously deferred care normalizes, combined with the financial impact of the company's ongoing relief efforts to ease the burden of the pandemic for its constituents, which is heavily weighted to the second half of 2020. As the COVID-19 pandemic progresses, Humana will continue to monitor the impact on the company and all of its stakeholders and adjust its response accordingly, proactively leveraging its integrated care delivery model to best serve its members, partnering with federal and state governments to develop comprehensive and actionable response plans, minimizing the impact on its provider partners, and advancing the long-term sustainability of the company and the healthcare system.</w:t>
      </w:r>
    </w:p>
    <w:p>
      <w:pPr>
        <w:spacing w:after="0" w:line="388" w:lineRule="exact"/>
        <w:rPr>
          <w:sz w:val="20"/>
          <w:szCs w:val="20"/>
          <w:color w:val="auto"/>
        </w:rPr>
      </w:pPr>
    </w:p>
    <w:p>
      <w:pPr>
        <w:ind w:right="20"/>
        <w:spacing w:after="0"/>
        <w:rPr>
          <w:sz w:val="20"/>
          <w:szCs w:val="20"/>
          <w:color w:val="auto"/>
        </w:rPr>
      </w:pPr>
      <w:r>
        <w:rPr>
          <w:rFonts w:ascii="Arial" w:cs="Arial" w:eastAsia="Arial" w:hAnsi="Arial"/>
          <w:sz w:val="20"/>
          <w:szCs w:val="20"/>
          <w:color w:val="auto"/>
        </w:rPr>
        <w:t>“As we continue to navigate the global coronavirus pandemic, Humana is committed to ongoing investments in benefits and initiatives designed to improve access to care and ease the financial burden for our members, employer groups and providers,” said Bruce D. Broussard, Humana’s President and Chief Executive Officer. “We remain focused on being responsive to our member and patient needs and providing convenient and safe choices of care. Among many preventive clinical interventions, we are distributing 1 million in-home screening kits to members. Members can also engage with nurse practitioners and primary care physicians in the home, or via telehealth, to identify and address gaps in care. These measures are increasing access to preventive and routine care that many members have delayed during the pandemic, ensuring proper diagnoses and improved clinical outcomes.”</w:t>
      </w:r>
    </w:p>
    <w:p>
      <w:pPr>
        <w:sectPr>
          <w:pgSz w:w="11900" w:h="16838" w:orient="portrait"/>
          <w:cols w:equalWidth="0" w:num="1">
            <w:col w:w="11180"/>
          </w:cols>
          <w:pgMar w:left="320" w:top="11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80"/>
          </w:cols>
          <w:pgMar w:left="320" w:top="1148" w:right="3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Summary of Quarterly and Year to Date Results</w:t>
      </w:r>
    </w:p>
    <w:p>
      <w:pPr>
        <w:spacing w:after="0" w:line="267"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Humana today reported consolidated pretax income and diluted earnings per common share (EPS) for the quarter ended June 30, 2020 (2Q20) versus the quarter ended June 30, 2019 (2Q19) and for the six months ended June 30, 2020 (YTD 2020) versus the six months ended June 30, 2019 (YTD 2019) as follows.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6000" w:type="dxa"/>
            <w:vAlign w:val="bottom"/>
            <w:tcBorders>
              <w:top w:val="single" w:sz="8" w:color="auto"/>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Consolidated income before income taxes and equity in earnings (pretax</w:t>
            </w:r>
          </w:p>
        </w:tc>
        <w:tc>
          <w:tcPr>
            <w:tcW w:w="1300" w:type="dxa"/>
            <w:vAlign w:val="bottom"/>
            <w:tcBorders>
              <w:top w:val="single" w:sz="8" w:color="auto"/>
              <w:right w:val="single" w:sz="8" w:color="auto"/>
            </w:tcBorders>
            <w:gridSpan w:val="2"/>
            <w:vMerge w:val="restart"/>
            <w:shd w:val="clear" w:color="auto" w:fill="EAEAEA"/>
          </w:tcPr>
          <w:p>
            <w:pPr>
              <w:ind w:left="320"/>
              <w:spacing w:after="0"/>
              <w:rPr>
                <w:sz w:val="20"/>
                <w:szCs w:val="20"/>
                <w:color w:val="auto"/>
              </w:rPr>
            </w:pPr>
            <w:r>
              <w:rPr>
                <w:rFonts w:ascii="Arial" w:cs="Arial" w:eastAsia="Arial" w:hAnsi="Arial"/>
                <w:sz w:val="16"/>
                <w:szCs w:val="16"/>
                <w:b w:val="1"/>
                <w:bCs w:val="1"/>
                <w:color w:val="auto"/>
              </w:rPr>
              <w:t>2Q20 (a)</w:t>
            </w:r>
          </w:p>
        </w:tc>
        <w:tc>
          <w:tcPr>
            <w:tcW w:w="1320" w:type="dxa"/>
            <w:vAlign w:val="bottom"/>
            <w:tcBorders>
              <w:top w:val="single" w:sz="8" w:color="auto"/>
              <w:right w:val="single" w:sz="8" w:color="auto"/>
            </w:tcBorders>
          </w:tcPr>
          <w:p>
            <w:pPr>
              <w:spacing w:after="0"/>
              <w:rPr>
                <w:sz w:val="15"/>
                <w:szCs w:val="15"/>
                <w:color w:val="auto"/>
              </w:rPr>
            </w:pPr>
          </w:p>
        </w:tc>
        <w:tc>
          <w:tcPr>
            <w:tcW w:w="1300" w:type="dxa"/>
            <w:vAlign w:val="bottom"/>
            <w:tcBorders>
              <w:top w:val="single" w:sz="8" w:color="auto"/>
              <w:right w:val="single" w:sz="8" w:color="auto"/>
            </w:tcBorders>
            <w:gridSpan w:val="2"/>
            <w:vMerge w:val="restart"/>
            <w:shd w:val="clear" w:color="auto" w:fill="EAEAEA"/>
          </w:tcPr>
          <w:p>
            <w:pPr>
              <w:ind w:left="140"/>
              <w:spacing w:after="0"/>
              <w:rPr>
                <w:sz w:val="20"/>
                <w:szCs w:val="20"/>
                <w:color w:val="auto"/>
              </w:rPr>
            </w:pPr>
            <w:r>
              <w:rPr>
                <w:rFonts w:ascii="Arial" w:cs="Arial" w:eastAsia="Arial" w:hAnsi="Arial"/>
                <w:sz w:val="16"/>
                <w:szCs w:val="16"/>
                <w:b w:val="1"/>
                <w:bCs w:val="1"/>
                <w:color w:val="auto"/>
              </w:rPr>
              <w:t>YTD 2020 (c)</w:t>
            </w:r>
          </w:p>
        </w:tc>
        <w:tc>
          <w:tcPr>
            <w:tcW w:w="13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income) </w:t>
            </w:r>
            <w:r>
              <w:rPr>
                <w:rFonts w:ascii="Arial" w:cs="Arial" w:eastAsia="Arial" w:hAnsi="Arial"/>
                <w:sz w:val="16"/>
                <w:szCs w:val="16"/>
                <w:i w:val="1"/>
                <w:iCs w:val="1"/>
                <w:color w:val="auto"/>
              </w:rPr>
              <w:t>In millions</w:t>
            </w:r>
          </w:p>
        </w:tc>
        <w:tc>
          <w:tcPr>
            <w:tcW w:w="1300" w:type="dxa"/>
            <w:vAlign w:val="bottom"/>
            <w:tcBorders>
              <w:bottom w:val="single" w:sz="8" w:color="auto"/>
              <w:right w:val="single" w:sz="8" w:color="auto"/>
            </w:tcBorders>
            <w:gridSpan w:val="2"/>
            <w:vMerge w:val="continue"/>
            <w:shd w:val="clear" w:color="auto" w:fill="EAEAEA"/>
          </w:tcPr>
          <w:p>
            <w:pPr>
              <w:spacing w:after="0"/>
              <w:rPr>
                <w:sz w:val="18"/>
                <w:szCs w:val="18"/>
                <w:color w:val="auto"/>
              </w:rPr>
            </w:pPr>
          </w:p>
        </w:tc>
        <w:tc>
          <w:tcPr>
            <w:tcW w:w="13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2Q19 (b)</w:t>
            </w:r>
          </w:p>
        </w:tc>
        <w:tc>
          <w:tcPr>
            <w:tcW w:w="1300" w:type="dxa"/>
            <w:vAlign w:val="bottom"/>
            <w:tcBorders>
              <w:bottom w:val="single" w:sz="8" w:color="auto"/>
              <w:right w:val="single" w:sz="8" w:color="auto"/>
            </w:tcBorders>
            <w:gridSpan w:val="2"/>
            <w:vMerge w:val="continue"/>
            <w:shd w:val="clear" w:color="auto" w:fill="EAEAEA"/>
          </w:tcPr>
          <w:p>
            <w:pPr>
              <w:spacing w:after="0"/>
              <w:rPr>
                <w:sz w:val="18"/>
                <w:szCs w:val="18"/>
                <w:color w:val="auto"/>
              </w:rPr>
            </w:pPr>
          </w:p>
        </w:tc>
        <w:tc>
          <w:tcPr>
            <w:tcW w:w="134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YTD 2019 (d)</w:t>
            </w:r>
          </w:p>
        </w:tc>
        <w:tc>
          <w:tcPr>
            <w:tcW w:w="0" w:type="dxa"/>
            <w:vAlign w:val="bottom"/>
          </w:tcPr>
          <w:p>
            <w:pPr>
              <w:spacing w:after="0"/>
              <w:rPr>
                <w:sz w:val="1"/>
                <w:szCs w:val="1"/>
                <w:color w:val="auto"/>
              </w:rPr>
            </w:pPr>
          </w:p>
        </w:tc>
      </w:tr>
      <w:tr>
        <w:trPr>
          <w:trHeight w:val="231"/>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Generally Accepted Accounting Principles (GAAP)</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$2,586</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$1,229</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$3,303</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36"/>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43</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8"/>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w:t>
            </w:r>
          </w:p>
        </w:tc>
        <w:tc>
          <w:tcPr>
            <w:tcW w:w="118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(227)</w:t>
            </w:r>
          </w:p>
        </w:tc>
        <w:tc>
          <w:tcPr>
            <w:tcW w:w="120" w:type="dxa"/>
            <w:vAlign w:val="bottom"/>
            <w:tcBorders>
              <w:right w:val="single" w:sz="8" w:color="auto"/>
            </w:tcBorders>
            <w:shd w:val="clear" w:color="auto" w:fill="EAEAEA"/>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18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70</w:t>
            </w:r>
          </w:p>
        </w:tc>
        <w:tc>
          <w:tcPr>
            <w:tcW w:w="120" w:type="dxa"/>
            <w:vAlign w:val="bottom"/>
            <w:tcBorders>
              <w:right w:val="single" w:sz="8" w:color="auto"/>
            </w:tcBorders>
            <w:shd w:val="clear" w:color="auto" w:fill="EAEAEA"/>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minority interest investments</w:t>
            </w:r>
          </w:p>
        </w:tc>
        <w:tc>
          <w:tcPr>
            <w:tcW w:w="118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(174)</w:t>
            </w:r>
          </w:p>
        </w:tc>
        <w:tc>
          <w:tcPr>
            <w:tcW w:w="118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$2,381</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$1,073</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$3,416</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364"/>
        </w:trPr>
        <w:tc>
          <w:tcPr>
            <w:tcW w:w="60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Diluted earnings per common share (EPS)</w:t>
            </w:r>
          </w:p>
        </w:tc>
        <w:tc>
          <w:tcPr>
            <w:tcW w:w="1300" w:type="dxa"/>
            <w:vAlign w:val="bottom"/>
            <w:tcBorders>
              <w:bottom w:val="single" w:sz="8" w:color="auto"/>
              <w:right w:val="single" w:sz="8" w:color="auto"/>
            </w:tcBorders>
            <w:gridSpan w:val="2"/>
            <w:shd w:val="clear" w:color="auto" w:fill="EAEAEA"/>
          </w:tcPr>
          <w:p>
            <w:pPr>
              <w:ind w:left="320"/>
              <w:spacing w:after="0"/>
              <w:rPr>
                <w:sz w:val="20"/>
                <w:szCs w:val="20"/>
                <w:color w:val="auto"/>
              </w:rPr>
            </w:pPr>
            <w:r>
              <w:rPr>
                <w:rFonts w:ascii="Arial" w:cs="Arial" w:eastAsia="Arial" w:hAnsi="Arial"/>
                <w:sz w:val="16"/>
                <w:szCs w:val="16"/>
                <w:b w:val="1"/>
                <w:bCs w:val="1"/>
                <w:color w:val="auto"/>
              </w:rPr>
              <w:t>2Q20 (a)</w:t>
            </w:r>
          </w:p>
        </w:tc>
        <w:tc>
          <w:tcPr>
            <w:tcW w:w="13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2Q19 (b)</w:t>
            </w:r>
          </w:p>
        </w:tc>
        <w:tc>
          <w:tcPr>
            <w:tcW w:w="1300" w:type="dxa"/>
            <w:vAlign w:val="bottom"/>
            <w:tcBorders>
              <w:bottom w:val="single" w:sz="8" w:color="auto"/>
              <w:right w:val="single" w:sz="8" w:color="auto"/>
            </w:tcBorders>
            <w:gridSpan w:val="2"/>
            <w:shd w:val="clear" w:color="auto" w:fill="EAEAEA"/>
          </w:tcPr>
          <w:p>
            <w:pPr>
              <w:ind w:left="140"/>
              <w:spacing w:after="0"/>
              <w:rPr>
                <w:sz w:val="20"/>
                <w:szCs w:val="20"/>
                <w:color w:val="auto"/>
              </w:rPr>
            </w:pPr>
            <w:r>
              <w:rPr>
                <w:rFonts w:ascii="Arial" w:cs="Arial" w:eastAsia="Arial" w:hAnsi="Arial"/>
                <w:sz w:val="16"/>
                <w:szCs w:val="16"/>
                <w:b w:val="1"/>
                <w:bCs w:val="1"/>
                <w:color w:val="auto"/>
              </w:rPr>
              <w:t>YTD 2020 (c)</w:t>
            </w:r>
          </w:p>
        </w:tc>
        <w:tc>
          <w:tcPr>
            <w:tcW w:w="1340" w:type="dxa"/>
            <w:vAlign w:val="bottom"/>
            <w:tcBorders>
              <w:bottom w:val="single" w:sz="8" w:color="auto"/>
              <w:right w:val="single" w:sz="8" w:color="auto"/>
            </w:tcBorders>
          </w:tcPr>
          <w:p>
            <w:pPr>
              <w:jc w:val="right"/>
              <w:ind w:right="119"/>
              <w:spacing w:after="0"/>
              <w:rPr>
                <w:sz w:val="20"/>
                <w:szCs w:val="20"/>
                <w:color w:val="auto"/>
              </w:rPr>
            </w:pPr>
            <w:r>
              <w:rPr>
                <w:rFonts w:ascii="Arial" w:cs="Arial" w:eastAsia="Arial" w:hAnsi="Arial"/>
                <w:sz w:val="16"/>
                <w:szCs w:val="16"/>
                <w:color w:val="auto"/>
              </w:rPr>
              <w:t>YTD 2019 (d)</w:t>
            </w:r>
          </w:p>
        </w:tc>
        <w:tc>
          <w:tcPr>
            <w:tcW w:w="0" w:type="dxa"/>
            <w:vAlign w:val="bottom"/>
          </w:tcPr>
          <w:p>
            <w:pPr>
              <w:spacing w:after="0"/>
              <w:rPr>
                <w:sz w:val="1"/>
                <w:szCs w:val="1"/>
                <w:color w:val="auto"/>
              </w:rPr>
            </w:pPr>
          </w:p>
        </w:tc>
      </w:tr>
      <w:tr>
        <w:trPr>
          <w:trHeight w:val="236"/>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$13.75</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$6.94</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$17.31</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7"/>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0.13</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0.10</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0.26</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18"/>
        </w:trPr>
        <w:tc>
          <w:tcPr>
            <w:tcW w:w="6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w:t>
            </w:r>
          </w:p>
        </w:tc>
        <w:tc>
          <w:tcPr>
            <w:tcW w:w="118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(1.32)</w:t>
            </w:r>
          </w:p>
        </w:tc>
        <w:tc>
          <w:tcPr>
            <w:tcW w:w="120" w:type="dxa"/>
            <w:vAlign w:val="bottom"/>
            <w:tcBorders>
              <w:right w:val="single" w:sz="8" w:color="auto"/>
            </w:tcBorders>
            <w:shd w:val="clear" w:color="auto" w:fill="EAEAEA"/>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18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0.40</w:t>
            </w:r>
          </w:p>
        </w:tc>
        <w:tc>
          <w:tcPr>
            <w:tcW w:w="120" w:type="dxa"/>
            <w:vAlign w:val="bottom"/>
            <w:tcBorders>
              <w:right w:val="single" w:sz="8" w:color="auto"/>
            </w:tcBorders>
            <w:shd w:val="clear" w:color="auto" w:fill="EAEAEA"/>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minority interest investments</w:t>
            </w:r>
          </w:p>
        </w:tc>
        <w:tc>
          <w:tcPr>
            <w:tcW w:w="118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(0.99)</w:t>
            </w:r>
          </w:p>
        </w:tc>
        <w:tc>
          <w:tcPr>
            <w:tcW w:w="118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37"/>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$12.56</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$6.05</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$17.97</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ectPr>
          <w:pgSz w:w="11900" w:h="16838" w:orient="portrait"/>
          <w:cols w:equalWidth="0" w:num="1">
            <w:col w:w="11260"/>
          </w:cols>
          <w:pgMar w:left="320" w:top="88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881" w:right="319" w:bottom="1440" w:gutter="0" w:footer="0" w:header="0"/>
          <w:type w:val="continuous"/>
        </w:sectPr>
      </w:pPr>
    </w:p>
    <w:bookmarkStart w:id="6" w:name="page7"/>
    <w:bookmarkEnd w:id="6"/>
    <w:p>
      <w:pPr>
        <w:ind w:right="120"/>
        <w:spacing w:after="0" w:line="246" w:lineRule="auto"/>
        <w:rPr>
          <w:sz w:val="20"/>
          <w:szCs w:val="20"/>
          <w:color w:val="auto"/>
        </w:rPr>
      </w:pPr>
      <w:r>
        <w:rPr>
          <w:rFonts w:ascii="Arial" w:cs="Arial" w:eastAsia="Arial" w:hAnsi="Arial"/>
          <w:sz w:val="20"/>
          <w:szCs w:val="20"/>
          <w:color w:val="auto"/>
        </w:rPr>
        <w:t>Please refer to the tables above, as well as the consolidated and segment highlight sections in the detailed earnings release for additional discussion of the factors impacting the year-over-comparisons.</w:t>
      </w:r>
    </w:p>
    <w:p>
      <w:pPr>
        <w:spacing w:after="0" w:line="204"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In addition, below is a summary of key consolidated and segment statistics comparing 2Q20 to 2Q19 and YTD 2020 to YTD 2019.</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960" w:type="dxa"/>
            <w:vAlign w:val="bottom"/>
            <w:tcBorders>
              <w:top w:val="single" w:sz="8" w:color="auto"/>
              <w:left w:val="single" w:sz="8" w:color="auto"/>
              <w:right w:val="single" w:sz="8" w:color="auto"/>
            </w:tcBorders>
          </w:tcPr>
          <w:p>
            <w:pPr>
              <w:ind w:left="40"/>
              <w:spacing w:after="0" w:line="204" w:lineRule="exact"/>
              <w:rPr>
                <w:sz w:val="20"/>
                <w:szCs w:val="20"/>
                <w:color w:val="auto"/>
              </w:rPr>
            </w:pPr>
            <w:r>
              <w:rPr>
                <w:rFonts w:ascii="Arial" w:cs="Arial" w:eastAsia="Arial" w:hAnsi="Arial"/>
                <w:sz w:val="18"/>
                <w:szCs w:val="18"/>
                <w:b w:val="1"/>
                <w:bCs w:val="1"/>
                <w:color w:val="auto"/>
              </w:rPr>
              <w:t>Humana Inc. Summary of Quarterly Results</w:t>
            </w:r>
            <w:r>
              <w:rPr>
                <w:rFonts w:ascii="MS PGothic" w:cs="MS PGothic" w:eastAsia="MS PGothic" w:hAnsi="MS PGothic"/>
                <w:sz w:val="18"/>
                <w:szCs w:val="18"/>
                <w:color w:val="auto"/>
              </w:rPr>
              <w:t> </w:t>
            </w:r>
          </w:p>
        </w:tc>
        <w:tc>
          <w:tcPr>
            <w:tcW w:w="1820" w:type="dxa"/>
            <w:vAlign w:val="bottom"/>
            <w:tcBorders>
              <w:top w:val="single" w:sz="8" w:color="auto"/>
              <w:right w:val="single" w:sz="8" w:color="auto"/>
            </w:tcBorders>
            <w:gridSpan w:val="2"/>
            <w:vMerge w:val="restart"/>
            <w:shd w:val="clear" w:color="auto" w:fill="EAEAEA"/>
          </w:tcPr>
          <w:p>
            <w:pPr>
              <w:jc w:val="right"/>
              <w:ind w:right="519"/>
              <w:spacing w:after="0"/>
              <w:rPr>
                <w:sz w:val="20"/>
                <w:szCs w:val="20"/>
                <w:color w:val="auto"/>
              </w:rPr>
            </w:pPr>
            <w:r>
              <w:rPr>
                <w:rFonts w:ascii="Arial" w:cs="Arial" w:eastAsia="Arial" w:hAnsi="Arial"/>
                <w:sz w:val="16"/>
                <w:szCs w:val="16"/>
                <w:color w:val="auto"/>
              </w:rPr>
              <w:t>2Q20 (a)</w:t>
            </w:r>
          </w:p>
        </w:tc>
        <w:tc>
          <w:tcPr>
            <w:tcW w:w="1820" w:type="dxa"/>
            <w:vAlign w:val="bottom"/>
            <w:tcBorders>
              <w:top w:val="single" w:sz="8" w:color="auto"/>
              <w:right w:val="single" w:sz="8" w:color="auto"/>
            </w:tcBorders>
            <w:vMerge w:val="restart"/>
          </w:tcPr>
          <w:p>
            <w:pPr>
              <w:jc w:val="right"/>
              <w:ind w:right="519"/>
              <w:spacing w:after="0"/>
              <w:rPr>
                <w:sz w:val="20"/>
                <w:szCs w:val="20"/>
                <w:color w:val="auto"/>
              </w:rPr>
            </w:pPr>
            <w:r>
              <w:rPr>
                <w:rFonts w:ascii="Arial" w:cs="Arial" w:eastAsia="Arial" w:hAnsi="Arial"/>
                <w:sz w:val="16"/>
                <w:szCs w:val="16"/>
                <w:color w:val="auto"/>
              </w:rPr>
              <w:t>2Q19 (b)</w:t>
            </w:r>
          </w:p>
        </w:tc>
        <w:tc>
          <w:tcPr>
            <w:tcW w:w="1820" w:type="dxa"/>
            <w:vAlign w:val="bottom"/>
            <w:tcBorders>
              <w:top w:val="single" w:sz="8" w:color="auto"/>
              <w:right w:val="single" w:sz="8" w:color="auto"/>
            </w:tcBorders>
            <w:gridSpan w:val="2"/>
            <w:vMerge w:val="restart"/>
            <w:shd w:val="clear" w:color="auto" w:fill="EAEAEA"/>
          </w:tcPr>
          <w:p>
            <w:pPr>
              <w:jc w:val="right"/>
              <w:ind w:right="359"/>
              <w:spacing w:after="0"/>
              <w:rPr>
                <w:sz w:val="20"/>
                <w:szCs w:val="20"/>
                <w:color w:val="auto"/>
              </w:rPr>
            </w:pPr>
            <w:r>
              <w:rPr>
                <w:rFonts w:ascii="Arial" w:cs="Arial" w:eastAsia="Arial" w:hAnsi="Arial"/>
                <w:sz w:val="16"/>
                <w:szCs w:val="16"/>
                <w:color w:val="auto"/>
              </w:rPr>
              <w:t>YTD 2020 (c)</w:t>
            </w:r>
          </w:p>
        </w:tc>
        <w:tc>
          <w:tcPr>
            <w:tcW w:w="1840" w:type="dxa"/>
            <w:vAlign w:val="bottom"/>
            <w:tcBorders>
              <w:top w:val="single" w:sz="8" w:color="auto"/>
              <w:right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YTD 2019 (d)</w:t>
            </w:r>
          </w:p>
        </w:tc>
        <w:tc>
          <w:tcPr>
            <w:tcW w:w="0" w:type="dxa"/>
            <w:vAlign w:val="bottom"/>
          </w:tcPr>
          <w:p>
            <w:pPr>
              <w:spacing w:after="0"/>
              <w:rPr>
                <w:sz w:val="1"/>
                <w:szCs w:val="1"/>
                <w:color w:val="auto"/>
              </w:rPr>
            </w:pPr>
          </w:p>
        </w:tc>
      </w:tr>
      <w:tr>
        <w:trPr>
          <w:trHeight w:val="198"/>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(dollars in millions, except per share amounts)</w:t>
            </w:r>
          </w:p>
        </w:tc>
        <w:tc>
          <w:tcPr>
            <w:tcW w:w="1820" w:type="dxa"/>
            <w:vAlign w:val="bottom"/>
            <w:tcBorders>
              <w:bottom w:val="single" w:sz="8" w:color="auto"/>
              <w:right w:val="single" w:sz="8" w:color="auto"/>
            </w:tcBorders>
            <w:gridSpan w:val="2"/>
            <w:vMerge w:val="continue"/>
            <w:shd w:val="clear" w:color="auto" w:fill="EAEAEA"/>
          </w:tcPr>
          <w:p>
            <w:pPr>
              <w:spacing w:after="0"/>
              <w:rPr>
                <w:sz w:val="17"/>
                <w:szCs w:val="17"/>
                <w:color w:val="auto"/>
              </w:rPr>
            </w:pPr>
          </w:p>
        </w:tc>
        <w:tc>
          <w:tcPr>
            <w:tcW w:w="1820" w:type="dxa"/>
            <w:vAlign w:val="bottom"/>
            <w:tcBorders>
              <w:bottom w:val="single" w:sz="8" w:color="auto"/>
              <w:right w:val="single" w:sz="8" w:color="auto"/>
            </w:tcBorders>
            <w:vMerge w:val="continue"/>
          </w:tcPr>
          <w:p>
            <w:pPr>
              <w:spacing w:after="0"/>
              <w:rPr>
                <w:sz w:val="17"/>
                <w:szCs w:val="17"/>
                <w:color w:val="auto"/>
              </w:rPr>
            </w:pPr>
          </w:p>
        </w:tc>
        <w:tc>
          <w:tcPr>
            <w:tcW w:w="1820" w:type="dxa"/>
            <w:vAlign w:val="bottom"/>
            <w:tcBorders>
              <w:bottom w:val="single" w:sz="8" w:color="auto"/>
              <w:right w:val="single" w:sz="8" w:color="auto"/>
            </w:tcBorders>
            <w:gridSpan w:val="2"/>
            <w:vMerge w:val="continue"/>
            <w:shd w:val="clear" w:color="auto" w:fill="EAEAEA"/>
          </w:tcPr>
          <w:p>
            <w:pPr>
              <w:spacing w:after="0"/>
              <w:rPr>
                <w:sz w:val="17"/>
                <w:szCs w:val="17"/>
                <w:color w:val="auto"/>
              </w:rPr>
            </w:pPr>
          </w:p>
        </w:tc>
        <w:tc>
          <w:tcPr>
            <w:tcW w:w="18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20" w:type="dxa"/>
            <w:vAlign w:val="bottom"/>
            <w:tcBorders>
              <w:bottom w:val="single" w:sz="8" w:color="auto"/>
              <w:right w:val="single" w:sz="8" w:color="auto"/>
            </w:tcBorders>
            <w:shd w:val="clear" w:color="auto" w:fill="EAEAEA"/>
          </w:tcPr>
          <w:p>
            <w:pPr>
              <w:spacing w:after="0"/>
              <w:rPr>
                <w:sz w:val="20"/>
                <w:szCs w:val="20"/>
                <w:color w:val="auto"/>
              </w:rPr>
            </w:pP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$19,083</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$16,245</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$38,018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$32,352</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$2,586</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$3,303</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Adjusted</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$2,381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$3,416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$13.75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$17.31</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Adjusted</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$12.56</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$17.97</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76.4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84.4 %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80.7</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85.3 %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10.6 %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cash flows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$3,067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$3,541</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Parent company cash and short term investments</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$2,452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$1,871</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Debt-to-total capitalization</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35.1 %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32.5 %</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Retail segment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20" w:type="dxa"/>
            <w:vAlign w:val="bottom"/>
            <w:tcBorders>
              <w:bottom w:val="single" w:sz="8" w:color="auto"/>
              <w:right w:val="single" w:sz="8" w:color="auto"/>
            </w:tcBorders>
            <w:shd w:val="clear" w:color="auto" w:fill="EAEAEA"/>
          </w:tcPr>
          <w:p>
            <w:pPr>
              <w:spacing w:after="0"/>
              <w:rPr>
                <w:sz w:val="20"/>
                <w:szCs w:val="20"/>
                <w:color w:val="auto"/>
              </w:rPr>
            </w:pP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$16,961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$14,158</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$33,723</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$28,171</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78.3</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85.2 %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82.4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86.7 %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9.7</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$1,989</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$2,674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$1,993</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$2,682</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Group and Specialty segment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20" w:type="dxa"/>
            <w:vAlign w:val="bottom"/>
            <w:tcBorders>
              <w:bottom w:val="single" w:sz="8" w:color="auto"/>
              <w:right w:val="single" w:sz="8" w:color="auto"/>
            </w:tcBorders>
            <w:shd w:val="clear" w:color="auto" w:fill="EAEAEA"/>
          </w:tcPr>
          <w:p>
            <w:pPr>
              <w:spacing w:after="0"/>
              <w:rPr>
                <w:sz w:val="20"/>
                <w:szCs w:val="20"/>
                <w:color w:val="auto"/>
              </w:rPr>
            </w:pP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$1,835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$3,700</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$3,761</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67.0</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86.3 %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73.1</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81.3 %</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23.8</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21.7 %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$287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$392</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$288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$394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Healthcare Services segment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20" w:type="dxa"/>
            <w:vAlign w:val="bottom"/>
            <w:tcBorders>
              <w:bottom w:val="single" w:sz="8" w:color="auto"/>
              <w:right w:val="single" w:sz="8" w:color="auto"/>
            </w:tcBorders>
            <w:shd w:val="clear" w:color="auto" w:fill="EAEAEA"/>
          </w:tcPr>
          <w:p>
            <w:pPr>
              <w:spacing w:after="0"/>
              <w:rPr>
                <w:sz w:val="20"/>
                <w:szCs w:val="20"/>
                <w:color w:val="auto"/>
              </w:rPr>
            </w:pP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$6,941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$6,387</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$14,026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$12,485</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95.1 %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96.1 %</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95.6 %</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96.3 %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$317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$567</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8"/>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Adjusted earnings before interest, taxes, depreciation</w:t>
            </w:r>
          </w:p>
        </w:tc>
        <w:tc>
          <w:tcPr>
            <w:tcW w:w="1620" w:type="dxa"/>
            <w:vAlign w:val="bottom"/>
            <w:shd w:val="clear" w:color="auto" w:fill="EAEAEA"/>
          </w:tcPr>
          <w:p>
            <w:pPr>
              <w:spacing w:after="0"/>
              <w:rPr>
                <w:sz w:val="18"/>
                <w:szCs w:val="18"/>
                <w:color w:val="auto"/>
              </w:rPr>
            </w:pPr>
          </w:p>
        </w:tc>
        <w:tc>
          <w:tcPr>
            <w:tcW w:w="200" w:type="dxa"/>
            <w:vAlign w:val="bottom"/>
            <w:tcBorders>
              <w:right w:val="single" w:sz="8" w:color="auto"/>
            </w:tcBorders>
            <w:shd w:val="clear" w:color="auto" w:fill="EAEAEA"/>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20" w:type="dxa"/>
            <w:vAlign w:val="bottom"/>
            <w:shd w:val="clear" w:color="auto" w:fill="EAEAEA"/>
          </w:tcPr>
          <w:p>
            <w:pPr>
              <w:spacing w:after="0"/>
              <w:rPr>
                <w:sz w:val="18"/>
                <w:szCs w:val="18"/>
                <w:color w:val="auto"/>
              </w:rPr>
            </w:pPr>
          </w:p>
        </w:tc>
        <w:tc>
          <w:tcPr>
            <w:tcW w:w="200" w:type="dxa"/>
            <w:vAlign w:val="bottom"/>
            <w:tcBorders>
              <w:right w:val="single" w:sz="8" w:color="auto"/>
            </w:tcBorders>
            <w:shd w:val="clear" w:color="auto" w:fill="EAEAEA"/>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and amortization (Adjusted EBITDA) (e)</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$390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$709</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121" w:right="31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2020 Earnings Guidance</w:t>
      </w:r>
    </w:p>
    <w:p>
      <w:pPr>
        <w:spacing w:after="0" w:line="25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Humana is revising its GAAP EPS guidance range for the year ending December 31, 2020 (FY 2020) to $17.36 to $17.86 from the previous range of $16.04 to $16.54, reflecting the YTD 2020 impact of the company's non-consolidating minority interest put/call valuation adjustments. While acknowledging the inherent uncertainty surrounding the ongoing crisis, Humana is maintaining its FY 2020 Adjusted EPS range of $18.25 to $ 18.75. For comparison, FY 2020 GAAP and Adjusted EPS guidance is detailed below along with GAAP and Adjusted results for the year ended December 31, 2019 (FY 2019).</w:t>
      </w:r>
    </w:p>
    <w:p>
      <w:pPr>
        <w:spacing w:after="0" w:line="209"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The company is revising its net membership growth estimate for its individual Medicare Advantage products now expecting growth in a range of 330,000 to 360,000 members for FY 2020 compared to the previous guidance growth range of 300,000 to 350,000 members. This anticipated increase in 2020 represents year-over-year growth of approximately 10 percent at the midpoint of the guidance range.</w:t>
      </w:r>
    </w:p>
    <w:p>
      <w:pPr>
        <w:spacing w:after="0" w:line="210" w:lineRule="exact"/>
        <w:rPr>
          <w:sz w:val="20"/>
          <w:szCs w:val="20"/>
          <w:color w:val="auto"/>
        </w:rPr>
      </w:pPr>
    </w:p>
    <w:p>
      <w:pPr>
        <w:ind w:right="460"/>
        <w:spacing w:after="0" w:line="246" w:lineRule="auto"/>
        <w:rPr>
          <w:sz w:val="20"/>
          <w:szCs w:val="20"/>
          <w:color w:val="auto"/>
        </w:rPr>
      </w:pPr>
      <w:r>
        <w:rPr>
          <w:rFonts w:ascii="Arial" w:cs="Arial" w:eastAsia="Arial" w:hAnsi="Arial"/>
          <w:sz w:val="20"/>
          <w:szCs w:val="20"/>
          <w:color w:val="auto"/>
        </w:rPr>
        <w:t>The company is reiterating its expectations for group Medicare Advantage net membership gains for FY 2020, projecting an increase of approximately 90,000 members year over year.</w:t>
      </w:r>
    </w:p>
    <w:p>
      <w:pPr>
        <w:spacing w:after="0" w:line="204"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For its stand-alone PDP business, Humana continues to estimate a net membership decline of approximately 550,000 members for FY 2020.</w:t>
      </w:r>
    </w:p>
    <w:p>
      <w:pPr>
        <w:spacing w:after="0" w:line="204"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Given the likelihood of significant variability of results by financial statement line item (and related ratios), Humana previously withdrew its additional FY 2020 detailed guidance points that were initially provided as part of the company's fourth quarter 2019 earnings release dated February 5, 2020.</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340" w:type="dxa"/>
            <w:vAlign w:val="bottom"/>
            <w:tcBorders>
              <w:top w:val="single" w:sz="8" w:color="auto"/>
              <w:left w:val="single" w:sz="8" w:color="auto"/>
              <w:right w:val="single" w:sz="8" w:color="auto"/>
            </w:tcBorders>
            <w:shd w:val="clear" w:color="auto" w:fill="EAEAEA"/>
          </w:tcPr>
          <w:p>
            <w:pPr>
              <w:spacing w:after="0"/>
              <w:rPr>
                <w:sz w:val="16"/>
                <w:szCs w:val="16"/>
                <w:color w:val="auto"/>
              </w:rPr>
            </w:pPr>
          </w:p>
        </w:tc>
        <w:tc>
          <w:tcPr>
            <w:tcW w:w="1460" w:type="dxa"/>
            <w:vAlign w:val="bottom"/>
            <w:tcBorders>
              <w:top w:val="single" w:sz="8" w:color="auto"/>
              <w:right w:val="single" w:sz="8" w:color="auto"/>
            </w:tcBorders>
            <w:shd w:val="clear" w:color="auto" w:fill="EAEAEA"/>
          </w:tcPr>
          <w:p>
            <w:pPr>
              <w:jc w:val="right"/>
              <w:ind w:right="402"/>
              <w:spacing w:after="0"/>
              <w:rPr>
                <w:sz w:val="20"/>
                <w:szCs w:val="20"/>
                <w:color w:val="auto"/>
              </w:rPr>
            </w:pPr>
            <w:r>
              <w:rPr>
                <w:rFonts w:ascii="Arial" w:cs="Arial" w:eastAsia="Arial" w:hAnsi="Arial"/>
                <w:sz w:val="14"/>
                <w:szCs w:val="14"/>
                <w:b w:val="1"/>
                <w:bCs w:val="1"/>
                <w:color w:val="auto"/>
              </w:rPr>
              <w:t>FY 2020</w:t>
            </w:r>
          </w:p>
        </w:tc>
        <w:tc>
          <w:tcPr>
            <w:tcW w:w="1460" w:type="dxa"/>
            <w:vAlign w:val="bottom"/>
            <w:tcBorders>
              <w:top w:val="single" w:sz="8" w:color="auto"/>
              <w:right w:val="single" w:sz="8" w:color="auto"/>
            </w:tcBorders>
          </w:tcPr>
          <w:p>
            <w:pPr>
              <w:spacing w:after="0"/>
              <w:rPr>
                <w:sz w:val="16"/>
                <w:szCs w:val="16"/>
                <w:color w:val="auto"/>
              </w:rPr>
            </w:pPr>
          </w:p>
        </w:tc>
      </w:tr>
      <w:tr>
        <w:trPr>
          <w:trHeight w:val="196"/>
        </w:trPr>
        <w:tc>
          <w:tcPr>
            <w:tcW w:w="8340" w:type="dxa"/>
            <w:vAlign w:val="bottom"/>
            <w:tcBorders>
              <w:left w:val="single" w:sz="8" w:color="auto"/>
              <w:bottom w:val="single" w:sz="8" w:color="auto"/>
              <w:right w:val="single" w:sz="8" w:color="auto"/>
            </w:tcBorders>
            <w:shd w:val="clear" w:color="auto" w:fill="EAEAEA"/>
          </w:tcPr>
          <w:p>
            <w:pPr>
              <w:ind w:left="2940"/>
              <w:spacing w:after="0"/>
              <w:rPr>
                <w:sz w:val="20"/>
                <w:szCs w:val="20"/>
                <w:color w:val="auto"/>
              </w:rPr>
            </w:pPr>
            <w:r>
              <w:rPr>
                <w:rFonts w:ascii="Arial" w:cs="Arial" w:eastAsia="Arial" w:hAnsi="Arial"/>
                <w:sz w:val="14"/>
                <w:szCs w:val="14"/>
                <w:b w:val="1"/>
                <w:bCs w:val="1"/>
                <w:color w:val="auto"/>
              </w:rPr>
              <w:t>Diluted earnings per common share</w:t>
            </w:r>
          </w:p>
        </w:tc>
        <w:tc>
          <w:tcPr>
            <w:tcW w:w="1460" w:type="dxa"/>
            <w:vAlign w:val="bottom"/>
            <w:tcBorders>
              <w:bottom w:val="single" w:sz="8" w:color="auto"/>
              <w:right w:val="single" w:sz="8" w:color="auto"/>
            </w:tcBorders>
            <w:shd w:val="clear" w:color="auto" w:fill="EAEAEA"/>
          </w:tcPr>
          <w:p>
            <w:pPr>
              <w:jc w:val="right"/>
              <w:ind w:right="222"/>
              <w:spacing w:after="0"/>
              <w:rPr>
                <w:sz w:val="20"/>
                <w:szCs w:val="20"/>
                <w:color w:val="auto"/>
              </w:rPr>
            </w:pPr>
            <w:r>
              <w:rPr>
                <w:rFonts w:ascii="Arial" w:cs="Arial" w:eastAsia="Arial" w:hAnsi="Arial"/>
                <w:sz w:val="14"/>
                <w:szCs w:val="14"/>
                <w:b w:val="1"/>
                <w:bCs w:val="1"/>
                <w:color w:val="auto"/>
              </w:rPr>
              <w:t>Guidance (f)</w:t>
            </w:r>
          </w:p>
        </w:tc>
        <w:tc>
          <w:tcPr>
            <w:tcW w:w="1460" w:type="dxa"/>
            <w:vAlign w:val="bottom"/>
            <w:tcBorders>
              <w:bottom w:val="single" w:sz="8" w:color="auto"/>
              <w:right w:val="single" w:sz="8" w:color="auto"/>
            </w:tcBorders>
          </w:tcPr>
          <w:p>
            <w:pPr>
              <w:jc w:val="right"/>
              <w:ind w:right="281"/>
              <w:spacing w:after="0"/>
              <w:rPr>
                <w:sz w:val="20"/>
                <w:szCs w:val="20"/>
                <w:color w:val="auto"/>
              </w:rPr>
            </w:pPr>
            <w:r>
              <w:rPr>
                <w:rFonts w:ascii="Arial" w:cs="Arial" w:eastAsia="Arial" w:hAnsi="Arial"/>
                <w:sz w:val="14"/>
                <w:szCs w:val="14"/>
                <w:color w:val="auto"/>
              </w:rPr>
              <w:t>FY 2019 (g)</w:t>
            </w:r>
          </w:p>
        </w:tc>
      </w:tr>
      <w:tr>
        <w:trPr>
          <w:trHeight w:val="236"/>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46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$17.36 to $17.86</w:t>
            </w:r>
          </w:p>
        </w:tc>
        <w:tc>
          <w:tcPr>
            <w:tcW w:w="1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$20.10</w:t>
            </w:r>
          </w:p>
        </w:tc>
      </w:tr>
      <w:tr>
        <w:trPr>
          <w:trHeight w:val="237"/>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of identifiable intangibles</w:t>
            </w:r>
          </w:p>
        </w:tc>
        <w:tc>
          <w:tcPr>
            <w:tcW w:w="1460" w:type="dxa"/>
            <w:vAlign w:val="bottom"/>
            <w:tcBorders>
              <w:bottom w:val="single" w:sz="8" w:color="auto"/>
              <w:right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0.49</w:t>
            </w:r>
          </w:p>
        </w:tc>
        <w:tc>
          <w:tcPr>
            <w:tcW w:w="1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0.40</w:t>
            </w:r>
          </w:p>
        </w:tc>
      </w:tr>
      <w:tr>
        <w:trPr>
          <w:trHeight w:val="236"/>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 minority interest investments</w:t>
            </w:r>
          </w:p>
        </w:tc>
        <w:tc>
          <w:tcPr>
            <w:tcW w:w="1460" w:type="dxa"/>
            <w:vAlign w:val="bottom"/>
            <w:tcBorders>
              <w:bottom w:val="single" w:sz="8" w:color="auto"/>
              <w:right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0.40</w:t>
            </w:r>
          </w:p>
        </w:tc>
        <w:tc>
          <w:tcPr>
            <w:tcW w:w="14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(2.89)</w:t>
            </w:r>
          </w:p>
        </w:tc>
      </w:tr>
      <w:tr>
        <w:trPr>
          <w:trHeight w:val="237"/>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Charges associated with workforce optimization</w:t>
            </w:r>
          </w:p>
        </w:tc>
        <w:tc>
          <w:tcPr>
            <w:tcW w:w="146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0.26</w:t>
            </w:r>
          </w:p>
        </w:tc>
      </w:tr>
      <w:tr>
        <w:trPr>
          <w:trHeight w:val="237"/>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 – FY 2020 projected; FY 2019 reported</w:t>
            </w:r>
          </w:p>
        </w:tc>
        <w:tc>
          <w:tcPr>
            <w:tcW w:w="146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$18.25 to $18.75</w:t>
            </w:r>
          </w:p>
        </w:tc>
        <w:tc>
          <w:tcPr>
            <w:tcW w:w="1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$17.87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60"/>
          </w:cols>
          <w:pgMar w:left="320" w:top="1297" w:right="31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Detailed Press Release</w:t>
      </w:r>
    </w:p>
    <w:p>
      <w:pPr>
        <w:spacing w:after="0" w:line="252"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Humana’s full earnings press release including the statistical pages has been posted to the company’s Investor Relations site and may be accessed at https://humana.gcs-web.com/ or via a current report on Form 8-K filed by the company with the Securities and Exchange Commission this morning (available at www.sec.gov or on the company’s website).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w:t>
      </w:r>
    </w:p>
    <w:p>
      <w:pPr>
        <w:spacing w:after="0" w:line="252" w:lineRule="exact"/>
        <w:rPr>
          <w:sz w:val="20"/>
          <w:szCs w:val="20"/>
          <w:color w:val="auto"/>
        </w:rPr>
      </w:pPr>
    </w:p>
    <w:p>
      <w:pPr>
        <w:ind w:right="740"/>
        <w:spacing w:after="0" w:line="246" w:lineRule="auto"/>
        <w:rPr>
          <w:sz w:val="20"/>
          <w:szCs w:val="20"/>
          <w:color w:val="auto"/>
        </w:rPr>
      </w:pPr>
      <w:r>
        <w:rPr>
          <w:rFonts w:ascii="Arial" w:cs="Arial" w:eastAsia="Arial" w:hAnsi="Arial"/>
          <w:sz w:val="20"/>
          <w:szCs w:val="20"/>
          <w:color w:val="auto"/>
        </w:rPr>
        <w:t>Humana will host a conference call at 9:00 a.m. Eastern time today to discuss its financial results for the quarter and the company’s expectations for future earnings.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All parties interested in the company’s 2Q20 earnings conference call are invited to dial 888-625-7430. No password is required. The audio-only webcast of the 2Q20 earnings call may be accessed via Humana’s Investor Relations page at humana.com. The company suggests participants for both the conference call and those listening via the web dial in or sign on at least 15 minutes in advance of the call.</w:t>
      </w:r>
    </w:p>
    <w:p>
      <w:pPr>
        <w:spacing w:after="0" w:line="21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For those unable to participate in the live event, the archive will be available in the Historical Webcasts and Presentations section of the Investor Relations page at humana.com, approximately two hours following the live webcast. Telephone replays will also be available from approximately 12:15 p.m. Eastern time on August 5, 2020 until 10:59 p.m. Eastern time on October 4, 2020 and can be accessed by dialing 855-859-2056 and providing the conference ID #7379965.</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Footnotes</w:t>
      </w:r>
    </w:p>
    <w:p>
      <w:pPr>
        <w:spacing w:after="0" w:line="252" w:lineRule="exact"/>
        <w:rPr>
          <w:sz w:val="20"/>
          <w:szCs w:val="20"/>
          <w:color w:val="auto"/>
        </w:rPr>
      </w:pPr>
    </w:p>
    <w:p>
      <w:pPr>
        <w:ind w:left="300" w:hanging="292"/>
        <w:spacing w:after="0"/>
        <w:tabs>
          <w:tab w:leader="none" w:pos="30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2Q20 Adjusted results exclude the following:</w:t>
      </w:r>
    </w:p>
    <w:p>
      <w:pPr>
        <w:spacing w:after="0" w:line="215" w:lineRule="exact"/>
        <w:rPr>
          <w:rFonts w:ascii="Arial" w:cs="Arial" w:eastAsia="Arial" w:hAnsi="Arial"/>
          <w:sz w:val="20"/>
          <w:szCs w:val="20"/>
          <w:color w:val="auto"/>
        </w:rPr>
      </w:pPr>
    </w:p>
    <w:p>
      <w:pPr>
        <w:ind w:left="980" w:right="340" w:hanging="243"/>
        <w:spacing w:after="0" w:line="243" w:lineRule="auto"/>
        <w:tabs>
          <w:tab w:leader="none" w:pos="941" w:val="left"/>
        </w:tabs>
        <w:numPr>
          <w:ilvl w:val="1"/>
          <w:numId w:val="5"/>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$22 million pretax, or $0.13 per diluted common share; GAAP measures affected in this release include consolidated pretax, EPS, and segment earnings (for respective amortization expense for the Retail and Group and Specialty segments).</w:t>
      </w:r>
    </w:p>
    <w:p>
      <w:pPr>
        <w:spacing w:after="0" w:line="205" w:lineRule="exact"/>
        <w:rPr>
          <w:rFonts w:ascii="Arial" w:cs="Arial" w:eastAsia="Arial" w:hAnsi="Arial"/>
          <w:sz w:val="20"/>
          <w:szCs w:val="20"/>
          <w:color w:val="auto"/>
        </w:rPr>
      </w:pPr>
    </w:p>
    <w:p>
      <w:pPr>
        <w:ind w:left="1060" w:right="320" w:hanging="323"/>
        <w:spacing w:after="0" w:line="243" w:lineRule="auto"/>
        <w:tabs>
          <w:tab w:leader="none" w:pos="1021" w:val="left"/>
        </w:tabs>
        <w:numPr>
          <w:ilvl w:val="1"/>
          <w:numId w:val="5"/>
        </w:numPr>
        <w:rPr>
          <w:rFonts w:ascii="Arial" w:cs="Arial" w:eastAsia="Arial" w:hAnsi="Arial"/>
          <w:sz w:val="20"/>
          <w:szCs w:val="20"/>
          <w:color w:val="auto"/>
        </w:rPr>
      </w:pPr>
      <w:r>
        <w:rPr>
          <w:rFonts w:ascii="Arial" w:cs="Arial" w:eastAsia="Arial" w:hAnsi="Arial"/>
          <w:sz w:val="20"/>
          <w:szCs w:val="20"/>
          <w:color w:val="auto"/>
        </w:rPr>
        <w:t>Put/call valuation adjustments of approximately $227 million, or $1.32 per diluted common share, associated with Humana’s non-consolidating minority interest investments. GAAP measures affected in this release include consolidated pretax and EPS.</w:t>
      </w:r>
    </w:p>
    <w:p>
      <w:pPr>
        <w:spacing w:after="0" w:line="232" w:lineRule="exact"/>
        <w:rPr>
          <w:rFonts w:ascii="Arial" w:cs="Arial" w:eastAsia="Arial" w:hAnsi="Arial"/>
          <w:sz w:val="20"/>
          <w:szCs w:val="20"/>
          <w:color w:val="auto"/>
        </w:rPr>
      </w:pPr>
    </w:p>
    <w:p>
      <w:pPr>
        <w:ind w:left="300" w:hanging="292"/>
        <w:spacing w:after="0"/>
        <w:tabs>
          <w:tab w:leader="none" w:pos="30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2Q19 Adjusted results exclude the following:</w:t>
      </w:r>
    </w:p>
    <w:p>
      <w:pPr>
        <w:ind w:left="1060" w:right="260" w:hanging="323"/>
        <w:spacing w:after="0" w:line="239" w:lineRule="auto"/>
        <w:tabs>
          <w:tab w:leader="none" w:pos="1021" w:val="left"/>
        </w:tabs>
        <w:numPr>
          <w:ilvl w:val="1"/>
          <w:numId w:val="5"/>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$18 million pretax, or $0.10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060" w:right="320" w:hanging="323"/>
        <w:spacing w:after="0" w:line="243" w:lineRule="auto"/>
        <w:tabs>
          <w:tab w:leader="none" w:pos="1021" w:val="left"/>
        </w:tabs>
        <w:numPr>
          <w:ilvl w:val="1"/>
          <w:numId w:val="5"/>
        </w:numPr>
        <w:rPr>
          <w:rFonts w:ascii="Arial" w:cs="Arial" w:eastAsia="Arial" w:hAnsi="Arial"/>
          <w:sz w:val="20"/>
          <w:szCs w:val="20"/>
          <w:color w:val="auto"/>
        </w:rPr>
      </w:pPr>
      <w:r>
        <w:rPr>
          <w:rFonts w:ascii="Arial" w:cs="Arial" w:eastAsia="Arial" w:hAnsi="Arial"/>
          <w:sz w:val="20"/>
          <w:szCs w:val="20"/>
          <w:color w:val="auto"/>
        </w:rPr>
        <w:t>Put/call valuation adjustments of approximately $174 million, or $0.99 per diluted common share, associated with Humana’s non-consolidating minority interest investments. GAAP measures affected in this release include consolidated pretax and EPS.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 ) </w:t>
      </w:r>
      <w:r>
        <w:rPr>
          <w:rFonts w:ascii="Arial" w:cs="Arial" w:eastAsia="Arial" w:hAnsi="Arial"/>
          <w:sz w:val="20"/>
          <w:szCs w:val="20"/>
          <w:u w:val="single" w:color="auto"/>
          <w:color w:val="auto"/>
        </w:rPr>
        <w:t>YTD 2020 Adjusted results exclude the following:</w:t>
      </w:r>
    </w:p>
    <w:p>
      <w:pPr>
        <w:ind w:left="1060" w:right="260" w:hanging="323"/>
        <w:spacing w:after="0" w:line="243" w:lineRule="auto"/>
        <w:tabs>
          <w:tab w:leader="none" w:pos="10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$43 million pretax, or $0.26 per diluted common share; GAAP measures affected in this release include consolidated pretax, EPS and segment earnings (for respective amortization expense for the Retail and Group and Specialty segments.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0"/>
          </w:cols>
          <w:pgMar w:left="320" w:top="1095" w:right="359" w:bottom="1440" w:gutter="0" w:footer="0" w:header="0"/>
        </w:sectPr>
      </w:pPr>
    </w:p>
    <w:bookmarkStart w:id="9" w:name="page10"/>
    <w:bookmarkEnd w:id="9"/>
    <w:p>
      <w:pPr>
        <w:ind w:left="1060" w:right="480" w:hanging="323"/>
        <w:spacing w:after="0" w:line="243" w:lineRule="auto"/>
        <w:tabs>
          <w:tab w:leader="none" w:pos="1021" w:val="left"/>
        </w:tabs>
        <w:numPr>
          <w:ilvl w:val="1"/>
          <w:numId w:val="7"/>
        </w:numPr>
        <w:rPr>
          <w:rFonts w:ascii="Arial" w:cs="Arial" w:eastAsia="Arial" w:hAnsi="Arial"/>
          <w:sz w:val="20"/>
          <w:szCs w:val="20"/>
          <w:color w:val="auto"/>
        </w:rPr>
      </w:pPr>
      <w:r>
        <w:rPr>
          <w:rFonts w:ascii="Arial" w:cs="Arial" w:eastAsia="Arial" w:hAnsi="Arial"/>
          <w:sz w:val="20"/>
          <w:szCs w:val="20"/>
          <w:color w:val="auto"/>
        </w:rPr>
        <w:t>Put/call valuation adjustments of approximately $70 million or $0.40 per diluted common share, associated with Humana's non-consolidating minority interest investments. GAAP measures affected in this release include consolidated pretax and EPS.</w:t>
      </w:r>
    </w:p>
    <w:p>
      <w:pPr>
        <w:spacing w:after="0" w:line="232" w:lineRule="exact"/>
        <w:rPr>
          <w:rFonts w:ascii="Arial" w:cs="Arial" w:eastAsia="Arial" w:hAnsi="Arial"/>
          <w:sz w:val="20"/>
          <w:szCs w:val="20"/>
          <w:color w:val="auto"/>
        </w:rPr>
      </w:pPr>
    </w:p>
    <w:p>
      <w:pPr>
        <w:ind w:left="300" w:hanging="292"/>
        <w:spacing w:after="0"/>
        <w:tabs>
          <w:tab w:leader="none" w:pos="300"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YTD 2019 Adjusted results exclude the following:</w:t>
      </w:r>
    </w:p>
    <w:p>
      <w:pPr>
        <w:ind w:left="1060" w:right="260" w:hanging="323"/>
        <w:spacing w:after="0" w:line="239" w:lineRule="auto"/>
        <w:tabs>
          <w:tab w:leader="none" w:pos="1021" w:val="left"/>
        </w:tabs>
        <w:numPr>
          <w:ilvl w:val="1"/>
          <w:numId w:val="7"/>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$36 million pretax, or $0.20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060" w:right="320" w:hanging="323"/>
        <w:spacing w:after="0" w:line="243" w:lineRule="auto"/>
        <w:tabs>
          <w:tab w:leader="none" w:pos="1021" w:val="left"/>
        </w:tabs>
        <w:numPr>
          <w:ilvl w:val="1"/>
          <w:numId w:val="7"/>
        </w:numPr>
        <w:rPr>
          <w:rFonts w:ascii="Arial" w:cs="Arial" w:eastAsia="Arial" w:hAnsi="Arial"/>
          <w:sz w:val="20"/>
          <w:szCs w:val="20"/>
          <w:color w:val="auto"/>
        </w:rPr>
      </w:pPr>
      <w:r>
        <w:rPr>
          <w:rFonts w:ascii="Arial" w:cs="Arial" w:eastAsia="Arial" w:hAnsi="Arial"/>
          <w:sz w:val="20"/>
          <w:szCs w:val="20"/>
          <w:color w:val="auto"/>
        </w:rPr>
        <w:t>Put/call valuation adjustments of approximately $135 million, or $0.77 per diluted common share, associated with Humana's non-consolidating minority interest investments. GAAP measures affected in this release include consolidated pretax and EPS.</w:t>
      </w:r>
    </w:p>
    <w:p>
      <w:pPr>
        <w:spacing w:after="0" w:line="232" w:lineRule="exact"/>
        <w:rPr>
          <w:rFonts w:ascii="Arial" w:cs="Arial" w:eastAsia="Arial" w:hAnsi="Arial"/>
          <w:sz w:val="20"/>
          <w:szCs w:val="20"/>
          <w:color w:val="auto"/>
        </w:rPr>
      </w:pPr>
    </w:p>
    <w:p>
      <w:pPr>
        <w:ind w:left="180" w:right="260" w:hanging="172"/>
        <w:spacing w:after="0" w:line="241" w:lineRule="auto"/>
        <w:tabs>
          <w:tab w:leader="none" w:pos="315"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Healthcare Services segment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minority interest in Kindred at Home and the strategic partnership with Welsh, Carson, Anderson &amp; Stowe (WCAS) to develop and operate senior-focused, payor-agnostic, primary care centers.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 FY 2020 Adjusted EPS projections exclude the following:</w:t>
      </w:r>
    </w:p>
    <w:p>
      <w:pPr>
        <w:ind w:left="620" w:hanging="288"/>
        <w:spacing w:after="0"/>
        <w:tabs>
          <w:tab w:leader="none" w:pos="620" w:val="left"/>
        </w:tabs>
        <w:numPr>
          <w:ilvl w:val="1"/>
          <w:numId w:val="8"/>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$0.49 per diluted common share.</w:t>
      </w:r>
    </w:p>
    <w:p>
      <w:pPr>
        <w:ind w:left="660" w:hanging="328"/>
        <w:spacing w:after="0" w:line="241" w:lineRule="auto"/>
        <w:tabs>
          <w:tab w:leader="none" w:pos="621" w:val="left"/>
        </w:tabs>
        <w:numPr>
          <w:ilvl w:val="1"/>
          <w:numId w:val="8"/>
        </w:numPr>
        <w:rPr>
          <w:rFonts w:ascii="Arial" w:cs="Arial" w:eastAsia="Arial" w:hAnsi="Arial"/>
          <w:sz w:val="20"/>
          <w:szCs w:val="20"/>
          <w:color w:val="auto"/>
        </w:rPr>
      </w:pPr>
      <w:r>
        <w:rPr>
          <w:rFonts w:ascii="Arial" w:cs="Arial" w:eastAsia="Arial" w:hAnsi="Arial"/>
          <w:sz w:val="20"/>
          <w:szCs w:val="20"/>
          <w:color w:val="auto"/>
        </w:rPr>
        <w:t>Put/call valuation adjustments of $0.40 per diluted common share related to Humana's non-consolidating minority interest investments. FY20 GAAP EPS guidance excludes the impact of future value changes of put/call options related to Humana’s non-consolidating minority interest investments. The future value change of these put/call options cannot be estimated.</w:t>
      </w:r>
    </w:p>
    <w:p>
      <w:pPr>
        <w:spacing w:after="0" w:line="236" w:lineRule="exact"/>
        <w:rPr>
          <w:rFonts w:ascii="Arial" w:cs="Arial" w:eastAsia="Arial" w:hAnsi="Arial"/>
          <w:sz w:val="20"/>
          <w:szCs w:val="20"/>
          <w:color w:val="auto"/>
        </w:rPr>
      </w:pPr>
    </w:p>
    <w:p>
      <w:pPr>
        <w:ind w:left="300" w:hanging="292"/>
        <w:spacing w:after="0"/>
        <w:tabs>
          <w:tab w:leader="none" w:pos="30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FY 2019 Adjusted results exclude the following:</w:t>
      </w:r>
    </w:p>
    <w:p>
      <w:pPr>
        <w:ind w:left="1060" w:right="260" w:hanging="323"/>
        <w:spacing w:after="0" w:line="239" w:lineRule="auto"/>
        <w:tabs>
          <w:tab w:leader="none" w:pos="1021" w:val="left"/>
        </w:tabs>
        <w:numPr>
          <w:ilvl w:val="2"/>
          <w:numId w:val="8"/>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$70 million pretax, or $0.40 per diluted common share.</w:t>
      </w:r>
    </w:p>
    <w:p>
      <w:pPr>
        <w:ind w:left="1060" w:right="320" w:hanging="323"/>
        <w:spacing w:after="0" w:line="239" w:lineRule="auto"/>
        <w:tabs>
          <w:tab w:leader="none" w:pos="1021" w:val="left"/>
        </w:tabs>
        <w:numPr>
          <w:ilvl w:val="2"/>
          <w:numId w:val="8"/>
        </w:numPr>
        <w:rPr>
          <w:rFonts w:ascii="Arial" w:cs="Arial" w:eastAsia="Arial" w:hAnsi="Arial"/>
          <w:sz w:val="20"/>
          <w:szCs w:val="20"/>
          <w:color w:val="auto"/>
        </w:rPr>
      </w:pPr>
      <w:r>
        <w:rPr>
          <w:rFonts w:ascii="Arial" w:cs="Arial" w:eastAsia="Arial" w:hAnsi="Arial"/>
          <w:sz w:val="20"/>
          <w:szCs w:val="20"/>
          <w:color w:val="auto"/>
        </w:rPr>
        <w:t>Put/call valuation adjustments of approximately $506 million, or $2.89 per diluted common share, associated with Humana’s non-consolidating minority interest investments.</w:t>
      </w:r>
    </w:p>
    <w:p>
      <w:pPr>
        <w:ind w:left="1060" w:right="300" w:hanging="323"/>
        <w:spacing w:after="0" w:line="246" w:lineRule="auto"/>
        <w:tabs>
          <w:tab w:leader="none" w:pos="1021" w:val="left"/>
        </w:tabs>
        <w:numPr>
          <w:ilvl w:val="2"/>
          <w:numId w:val="8"/>
        </w:numPr>
        <w:rPr>
          <w:rFonts w:ascii="Arial" w:cs="Arial" w:eastAsia="Arial" w:hAnsi="Arial"/>
          <w:sz w:val="20"/>
          <w:szCs w:val="20"/>
          <w:color w:val="auto"/>
        </w:rPr>
      </w:pPr>
      <w:r>
        <w:rPr>
          <w:rFonts w:ascii="Arial" w:cs="Arial" w:eastAsia="Arial" w:hAnsi="Arial"/>
          <w:sz w:val="20"/>
          <w:szCs w:val="20"/>
          <w:color w:val="auto"/>
        </w:rPr>
        <w:t>Expense associated with involuntary workforce reduction of approximately $47 million pretax, or $0.26 per diluted common share.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Cautionary Statement</w:t>
      </w:r>
    </w:p>
    <w:p>
      <w:pPr>
        <w:spacing w:after="0" w:line="24" w:lineRule="exact"/>
        <w:rPr>
          <w:sz w:val="20"/>
          <w:szCs w:val="20"/>
          <w:color w:val="auto"/>
        </w:rPr>
      </w:pPr>
    </w:p>
    <w:p>
      <w:pPr>
        <w:ind w:left="340" w:right="180"/>
        <w:spacing w:after="0" w:line="241" w:lineRule="auto"/>
        <w:rPr>
          <w:sz w:val="20"/>
          <w:szCs w:val="20"/>
          <w:color w:val="auto"/>
        </w:rPr>
      </w:pPr>
      <w:r>
        <w:rPr>
          <w:rFonts w:ascii="Arial" w:cs="Arial" w:eastAsia="Arial" w:hAnsi="Arial"/>
          <w:sz w:val="20"/>
          <w:szCs w:val="20"/>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236" w:lineRule="exact"/>
        <w:rPr>
          <w:sz w:val="20"/>
          <w:szCs w:val="20"/>
          <w:color w:val="auto"/>
        </w:rPr>
      </w:pPr>
    </w:p>
    <w:p>
      <w:pPr>
        <w:ind w:left="340" w:right="100"/>
        <w:spacing w:after="0" w:line="243" w:lineRule="auto"/>
        <w:rPr>
          <w:sz w:val="20"/>
          <w:szCs w:val="20"/>
          <w:color w:val="auto"/>
        </w:rPr>
      </w:pPr>
      <w:r>
        <w:rPr>
          <w:rFonts w:ascii="Arial" w:cs="Arial" w:eastAsia="Arial" w:hAnsi="Arial"/>
          <w:sz w:val="20"/>
          <w:szCs w:val="20"/>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233" w:lineRule="exact"/>
        <w:rPr>
          <w:sz w:val="20"/>
          <w:szCs w:val="20"/>
          <w:color w:val="auto"/>
        </w:rPr>
      </w:pPr>
    </w:p>
    <w:p>
      <w:pPr>
        <w:ind w:left="660" w:right="100" w:hanging="328"/>
        <w:spacing w:after="0" w:line="241"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905" w:right="359" w:bottom="1440" w:gutter="0" w:footer="0" w:header="0"/>
        </w:sectPr>
      </w:pPr>
    </w:p>
    <w:bookmarkStart w:id="10" w:name="page11"/>
    <w:bookmarkEnd w:id="10"/>
    <w:p>
      <w:pPr>
        <w:ind w:left="328" w:right="100"/>
        <w:spacing w:after="0" w:line="239" w:lineRule="auto"/>
        <w:rPr>
          <w:sz w:val="20"/>
          <w:szCs w:val="20"/>
          <w:color w:val="auto"/>
        </w:rPr>
      </w:pPr>
      <w:r>
        <w:rPr>
          <w:rFonts w:ascii="Arial" w:cs="Arial" w:eastAsia="Arial" w:hAnsi="Arial"/>
          <w:sz w:val="20"/>
          <w:szCs w:val="20"/>
          <w:color w:val="auto"/>
        </w:rPr>
        <w:t>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4" w:lineRule="exact"/>
        <w:rPr>
          <w:sz w:val="20"/>
          <w:szCs w:val="20"/>
          <w:color w:val="auto"/>
        </w:rPr>
      </w:pPr>
    </w:p>
    <w:p>
      <w:pPr>
        <w:ind w:left="328" w:right="380" w:hanging="328"/>
        <w:spacing w:after="0" w:line="239" w:lineRule="auto"/>
        <w:tabs>
          <w:tab w:leader="none" w:pos="2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1" w:lineRule="exact"/>
        <w:rPr>
          <w:rFonts w:ascii="Arial" w:cs="Arial" w:eastAsia="Arial" w:hAnsi="Arial"/>
          <w:sz w:val="20"/>
          <w:szCs w:val="20"/>
          <w:color w:val="auto"/>
        </w:rPr>
      </w:pPr>
    </w:p>
    <w:p>
      <w:pPr>
        <w:ind w:left="328" w:hanging="328"/>
        <w:spacing w:after="0" w:line="239" w:lineRule="auto"/>
        <w:tabs>
          <w:tab w:leader="none" w:pos="2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If Humana fails to properly maintain the integrity of its data, to strategically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2" w:lineRule="exact"/>
        <w:rPr>
          <w:rFonts w:ascii="Arial" w:cs="Arial" w:eastAsia="Arial" w:hAnsi="Arial"/>
          <w:sz w:val="20"/>
          <w:szCs w:val="20"/>
          <w:color w:val="auto"/>
        </w:rPr>
      </w:pPr>
    </w:p>
    <w:p>
      <w:pPr>
        <w:ind w:left="328" w:right="180" w:hanging="328"/>
        <w:spacing w:after="0" w:line="239" w:lineRule="auto"/>
        <w:tabs>
          <w:tab w:leader="none" w:pos="2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2" w:lineRule="exact"/>
        <w:rPr>
          <w:rFonts w:ascii="Arial" w:cs="Arial" w:eastAsia="Arial" w:hAnsi="Arial"/>
          <w:sz w:val="20"/>
          <w:szCs w:val="20"/>
          <w:color w:val="auto"/>
        </w:rPr>
      </w:pPr>
    </w:p>
    <w:p>
      <w:pPr>
        <w:ind w:left="328" w:right="20" w:hanging="328"/>
        <w:spacing w:after="0" w:line="239" w:lineRule="auto"/>
        <w:tabs>
          <w:tab w:leader="none" w:pos="2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4" w:lineRule="exact"/>
        <w:rPr>
          <w:rFonts w:ascii="Arial" w:cs="Arial" w:eastAsia="Arial" w:hAnsi="Arial"/>
          <w:sz w:val="20"/>
          <w:szCs w:val="20"/>
          <w:color w:val="auto"/>
        </w:rPr>
      </w:pPr>
    </w:p>
    <w:p>
      <w:pPr>
        <w:ind w:left="328" w:right="20" w:hanging="328"/>
        <w:spacing w:after="0" w:line="239" w:lineRule="auto"/>
        <w:tabs>
          <w:tab w:leader="none" w:pos="2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4" w:lineRule="exact"/>
        <w:rPr>
          <w:rFonts w:ascii="Arial" w:cs="Arial" w:eastAsia="Arial" w:hAnsi="Arial"/>
          <w:sz w:val="20"/>
          <w:szCs w:val="20"/>
          <w:color w:val="auto"/>
        </w:rPr>
      </w:pPr>
    </w:p>
    <w:p>
      <w:pPr>
        <w:ind w:left="328" w:right="20" w:hanging="328"/>
        <w:spacing w:after="0" w:line="239" w:lineRule="auto"/>
        <w:tabs>
          <w:tab w:leader="none" w:pos="2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Humana’s failure to manage acquisitions, divestitures and other significant transactions successfully may have a material adverse effect on the company’s results of operations, financial position, and cash flows.</w:t>
      </w:r>
    </w:p>
    <w:p>
      <w:pPr>
        <w:ind w:left="328" w:right="900" w:hanging="328"/>
        <w:spacing w:after="0" w:line="239" w:lineRule="auto"/>
        <w:tabs>
          <w:tab w:leader="none" w:pos="2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If Humana fails to develop and maintain satisfactory relationships with the providers of care to its members, the company’s business may be adversely affected.</w:t>
      </w:r>
    </w:p>
    <w:p>
      <w:pPr>
        <w:ind w:left="328" w:right="140" w:hanging="328"/>
        <w:spacing w:after="0" w:line="246" w:lineRule="auto"/>
        <w:tabs>
          <w:tab w:leader="none" w:pos="289" w:val="left"/>
        </w:tabs>
        <w:numPr>
          <w:ilvl w:val="0"/>
          <w:numId w:val="10"/>
        </w:numPr>
        <w:rPr>
          <w:rFonts w:ascii="Arial" w:cs="Arial" w:eastAsia="Arial" w:hAnsi="Arial"/>
          <w:sz w:val="20"/>
          <w:szCs w:val="20"/>
          <w:color w:val="auto"/>
        </w:rPr>
      </w:pPr>
      <w:r>
        <w:rPr>
          <w:rFonts w:ascii="Arial" w:cs="Arial" w:eastAsia="Arial" w:hAnsi="Arial"/>
          <w:sz w:val="20"/>
          <w:szCs w:val="20"/>
          <w:color w:val="auto"/>
        </w:rPr>
        <w:t>Humana’s pharmacy business is highly competitive and subjects it to regulations in addition to those the company faces with its core health benefits businesses.</w:t>
      </w:r>
    </w:p>
    <w:p>
      <w:pPr>
        <w:spacing w:after="0" w:line="200" w:lineRule="exact"/>
        <w:rPr>
          <w:sz w:val="20"/>
          <w:szCs w:val="20"/>
          <w:color w:val="auto"/>
        </w:rPr>
      </w:pPr>
    </w:p>
    <w:p>
      <w:pPr>
        <w:spacing w:after="0" w:line="314" w:lineRule="exact"/>
        <w:rPr>
          <w:sz w:val="20"/>
          <w:szCs w:val="20"/>
          <w:color w:val="auto"/>
        </w:rPr>
      </w:pPr>
    </w:p>
    <w:p>
      <w:pPr>
        <w:jc w:val="center"/>
        <w:ind w:right="292"/>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888"/>
          </w:cols>
          <w:pgMar w:left="652" w:top="905" w:right="359" w:bottom="1440" w:gutter="0" w:footer="0" w:header="0"/>
        </w:sectPr>
      </w:pPr>
    </w:p>
    <w:bookmarkStart w:id="11" w:name="page12"/>
    <w:bookmarkEnd w:id="11"/>
    <w:p>
      <w:pPr>
        <w:ind w:left="288" w:hanging="288"/>
        <w:spacing w:after="0"/>
        <w:tabs>
          <w:tab w:leader="none" w:pos="288"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the prescription drug industry pricing benchmarks may adversely affect Humana’s financial performance.</w:t>
      </w:r>
    </w:p>
    <w:p>
      <w:pPr>
        <w:ind w:left="328" w:right="1060" w:hanging="328"/>
        <w:spacing w:after="0" w:line="239" w:lineRule="auto"/>
        <w:tabs>
          <w:tab w:leader="none" w:pos="289" w:val="left"/>
        </w:tabs>
        <w:numPr>
          <w:ilvl w:val="0"/>
          <w:numId w:val="11"/>
        </w:numPr>
        <w:rPr>
          <w:rFonts w:ascii="Arial" w:cs="Arial" w:eastAsia="Arial" w:hAnsi="Arial"/>
          <w:sz w:val="20"/>
          <w:szCs w:val="20"/>
          <w:color w:val="auto"/>
        </w:rPr>
      </w:pPr>
      <w:r>
        <w:rPr>
          <w:rFonts w:ascii="Arial" w:cs="Arial" w:eastAsia="Arial" w:hAnsi="Arial"/>
          <w:sz w:val="20"/>
          <w:szCs w:val="20"/>
          <w:color w:val="auto"/>
        </w:rPr>
        <w:t>If Humana does not continue to earn and retain purchase discounts and volume rebates from pharmaceutical manufacturers at current levels, Humana’s gross margins may decline.</w:t>
      </w:r>
    </w:p>
    <w:p>
      <w:pPr>
        <w:ind w:left="288" w:hanging="288"/>
        <w:spacing w:after="0"/>
        <w:tabs>
          <w:tab w:leader="none" w:pos="288" w:val="left"/>
        </w:tabs>
        <w:numPr>
          <w:ilvl w:val="0"/>
          <w:numId w:val="11"/>
        </w:numPr>
        <w:rPr>
          <w:rFonts w:ascii="Arial" w:cs="Arial" w:eastAsia="Arial" w:hAnsi="Arial"/>
          <w:sz w:val="20"/>
          <w:szCs w:val="20"/>
          <w:color w:val="auto"/>
        </w:rPr>
      </w:pPr>
      <w:r>
        <w:rPr>
          <w:rFonts w:ascii="Arial" w:cs="Arial" w:eastAsia="Arial" w:hAnsi="Arial"/>
          <w:sz w:val="20"/>
          <w:szCs w:val="20"/>
          <w:color w:val="auto"/>
        </w:rPr>
        <w:t>Humana’s ability to obtain funds from certain of its licensed subsidiaries is restricted by state insurance regulations.</w:t>
      </w:r>
    </w:p>
    <w:p>
      <w:pPr>
        <w:ind w:left="328" w:right="260" w:hanging="328"/>
        <w:spacing w:after="0" w:line="239" w:lineRule="auto"/>
        <w:tabs>
          <w:tab w:leader="none" w:pos="289" w:val="left"/>
        </w:tabs>
        <w:numPr>
          <w:ilvl w:val="0"/>
          <w:numId w:val="11"/>
        </w:numPr>
        <w:rPr>
          <w:rFonts w:ascii="Arial" w:cs="Arial" w:eastAsia="Arial" w:hAnsi="Arial"/>
          <w:sz w:val="20"/>
          <w:szCs w:val="20"/>
          <w:color w:val="auto"/>
        </w:rPr>
      </w:pPr>
      <w:r>
        <w:rPr>
          <w:rFonts w:ascii="Arial" w:cs="Arial" w:eastAsia="Arial" w:hAnsi="Arial"/>
          <w:sz w:val="20"/>
          <w:szCs w:val="20"/>
          <w:color w:val="auto"/>
        </w:rPr>
        <w:t>Downgrades in Humana’s debt ratings, should they occur, may adversely affect its business, results of operations, and financial condition.</w:t>
      </w:r>
    </w:p>
    <w:p>
      <w:pPr>
        <w:ind w:left="328" w:right="760" w:hanging="328"/>
        <w:spacing w:after="0" w:line="239" w:lineRule="auto"/>
        <w:tabs>
          <w:tab w:leader="none" w:pos="289"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securities and credit markets may experience volatility and disruption, which may adversely affect Humana’s business.</w:t>
      </w:r>
    </w:p>
    <w:p>
      <w:pPr>
        <w:ind w:left="328" w:right="80" w:hanging="328"/>
        <w:spacing w:after="0" w:line="243" w:lineRule="auto"/>
        <w:tabs>
          <w:tab w:leader="none" w:pos="289"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spread of, and response to, the novel coronavirus, or COVID-19, underscores certain risks Humana faces, including those discussed above, and the rapid development and fluidity of this situation precludes any prediction as to the ultimate adverse impact to Humana of COVID-19.</w:t>
      </w:r>
    </w:p>
    <w:p>
      <w:pPr>
        <w:spacing w:after="0" w:line="233" w:lineRule="exact"/>
        <w:rPr>
          <w:sz w:val="20"/>
          <w:szCs w:val="20"/>
          <w:color w:val="auto"/>
        </w:rPr>
      </w:pPr>
    </w:p>
    <w:p>
      <w:pPr>
        <w:ind w:left="328"/>
        <w:spacing w:after="0" w:line="241" w:lineRule="auto"/>
        <w:rPr>
          <w:sz w:val="20"/>
          <w:szCs w:val="20"/>
          <w:color w:val="auto"/>
        </w:rPr>
      </w:pPr>
      <w:r>
        <w:rPr>
          <w:rFonts w:ascii="Arial" w:cs="Arial" w:eastAsia="Arial" w:hAnsi="Arial"/>
          <w:sz w:val="20"/>
          <w:szCs w:val="20"/>
          <w:color w:val="auto"/>
        </w:rPr>
        <w:t>In December 2019, a novel strain of coronavirus (COVID-19) was reported to have surfaced in Wuhan, China. COVID-19 has since spread to over 200 countries, including every state in the United States. On March 11, 2020 the World Health Organization declared COVID-19 a pandemic, and on March 13, 2020 the United States declared a national emergency with respect to COVID-19.</w:t>
      </w:r>
    </w:p>
    <w:p>
      <w:pPr>
        <w:spacing w:after="0" w:line="237" w:lineRule="exact"/>
        <w:rPr>
          <w:sz w:val="20"/>
          <w:szCs w:val="20"/>
          <w:color w:val="auto"/>
        </w:rPr>
      </w:pPr>
    </w:p>
    <w:p>
      <w:pPr>
        <w:ind w:left="328" w:right="160"/>
        <w:spacing w:after="0" w:line="239" w:lineRule="auto"/>
        <w:rPr>
          <w:sz w:val="20"/>
          <w:szCs w:val="20"/>
          <w:color w:val="auto"/>
        </w:rPr>
      </w:pPr>
      <w:r>
        <w:rPr>
          <w:rFonts w:ascii="Arial" w:cs="Arial" w:eastAsia="Arial" w:hAnsi="Arial"/>
          <w:sz w:val="20"/>
          <w:szCs w:val="20"/>
          <w:color w:val="auto"/>
        </w:rPr>
        <w:t>Governmental and non-governmental organizations may not effectively combat the spread and severity of COVID-19, increasing the potential for harm for Humana’s members. If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Over time, Humana may also experience increased costs or decreased revenues if, as a result of the company’s members being unable to see their providers due to actions taken to mitigate the spread of COVID-19, Humana is unable to implement clinical initiatives to manage health care costs and chronic conditions of its members, and appropriately document their risk profiles. In addition, Humana is offering its members expanded benefit coverage, such as providing full coverage for COVID-19 diagnostic testing and treatment, certain additional coverages have been mandated by governmental action, and Humana is taking actions designed to help provide financial and administrative relief for the health care provider community. Such measures and any further steps taken by Humana, or governmental action, to continue to respond to and address the ongoing impact of COVID-19, including further expansion or modification of the services delivered to its members, the adoption or modification or regulatory requirements associated with those services and the costs and challenges associated with ensuring timely compliance with such requirements, further relief for the health care provider community, or in connection with the relaxation of stay-at-home and physical distancing orders and other restrictions on movement and economic activity, including the potential for widespread testing as a component of lifting these measures, could adversely impact the company’s profitability.</w:t>
      </w:r>
    </w:p>
    <w:p>
      <w:pPr>
        <w:spacing w:after="0" w:line="252" w:lineRule="exact"/>
        <w:rPr>
          <w:sz w:val="20"/>
          <w:szCs w:val="20"/>
          <w:color w:val="auto"/>
        </w:rPr>
      </w:pPr>
    </w:p>
    <w:p>
      <w:pPr>
        <w:ind w:left="328" w:right="60"/>
        <w:spacing w:after="0"/>
        <w:rPr>
          <w:sz w:val="20"/>
          <w:szCs w:val="20"/>
          <w:color w:val="auto"/>
        </w:rPr>
      </w:pPr>
      <w:r>
        <w:rPr>
          <w:rFonts w:ascii="Arial" w:cs="Arial" w:eastAsia="Arial" w:hAnsi="Arial"/>
          <w:sz w:val="20"/>
          <w:szCs w:val="20"/>
          <w:color w:val="auto"/>
        </w:rPr>
        <w:t>The spread and impact of COVID-19, or actions taken to mitigate this spread, could have material and adverse effects on Humana’s ability to operate effectively, including as a result of the complete or partial closure of facilities or labor shortages. Disruptions in public and private infrastructure, including communications, availability of in-person sales and marketing channels, financial services and supply 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w:t>
      </w:r>
    </w:p>
    <w:p>
      <w:pPr>
        <w:spacing w:after="0" w:line="200" w:lineRule="exact"/>
        <w:rPr>
          <w:sz w:val="20"/>
          <w:szCs w:val="20"/>
          <w:color w:val="auto"/>
        </w:rPr>
      </w:pPr>
    </w:p>
    <w:p>
      <w:pPr>
        <w:spacing w:after="0" w:line="321" w:lineRule="exact"/>
        <w:rPr>
          <w:sz w:val="20"/>
          <w:szCs w:val="20"/>
          <w:color w:val="auto"/>
        </w:rPr>
      </w:pPr>
    </w:p>
    <w:p>
      <w:pPr>
        <w:jc w:val="center"/>
        <w:ind w:right="292"/>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888"/>
          </w:cols>
          <w:pgMar w:left="652" w:top="905" w:right="359" w:bottom="1440" w:gutter="0" w:footer="0" w:header="0"/>
        </w:sectPr>
      </w:pPr>
    </w:p>
    <w:bookmarkStart w:id="12" w:name="page13"/>
    <w:bookmarkEnd w:id="12"/>
    <w:p>
      <w:pPr>
        <w:ind w:left="660" w:right="100"/>
        <w:spacing w:after="0" w:line="272" w:lineRule="auto"/>
        <w:rPr>
          <w:sz w:val="20"/>
          <w:szCs w:val="20"/>
          <w:color w:val="auto"/>
        </w:rPr>
      </w:pPr>
      <w:r>
        <w:rPr>
          <w:rFonts w:ascii="Arial" w:cs="Arial" w:eastAsia="Arial" w:hAnsi="Arial"/>
          <w:sz w:val="19"/>
          <w:szCs w:val="19"/>
          <w:color w:val="auto"/>
        </w:rPr>
        <w:t>Humana’s operations, these developments may adversely affect the timing of commercial customer premium collections and corresponding claim payments, the value of the company’s investment portfolio, or future liquidity needs.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rapid development and fluidity of this situation precludes any prediction as to the ultimate adverse impact to Humana of COVID-19. Humana is continuing to monitor the spread of COVID-19, changes to the company’s benefit coverages, the ongoing costs and business impacts of dealing with COVID-19, including the potential costs and impacts associated with lifting, or reimposing restrictions on movement and economic activity and ultimately a vaccine, and related risks. The magnitude and duration of the pandemic and its impact on Humana’s business, results of operations, financial position, and cash flows is uncertain as this continues to evolve globally, but such impacts could be material to the company’s business, results of operations, financial position and cash flows.</w:t>
      </w:r>
    </w:p>
    <w:p>
      <w:pPr>
        <w:spacing w:after="0" w:line="240"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22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Humana advises investors to read the following documents as filed by the company with the SEC for further discussion both of the risks it faces and its historical performance:</w:t>
      </w:r>
    </w:p>
    <w:p>
      <w:pPr>
        <w:spacing w:after="0" w:line="231"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Form 10-K for the year ended December 31, 2019;</w:t>
      </w:r>
    </w:p>
    <w:p>
      <w:pPr>
        <w:spacing w:after="0" w:line="215" w:lineRule="exact"/>
        <w:rPr>
          <w:rFonts w:ascii="Arial" w:cs="Arial" w:eastAsia="Arial" w:hAnsi="Arial"/>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Form 10-Q for the quarter ended March 31, 2020; and</w:t>
      </w:r>
    </w:p>
    <w:p>
      <w:pPr>
        <w:spacing w:after="0" w:line="242" w:lineRule="exact"/>
        <w:rPr>
          <w:rFonts w:ascii="Arial" w:cs="Arial" w:eastAsia="Arial" w:hAnsi="Arial"/>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Form 8-Ks filed during 2020.</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About Humana</w:t>
      </w:r>
    </w:p>
    <w:p>
      <w:pPr>
        <w:spacing w:after="0" w:line="25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210"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210" w:lineRule="exact"/>
        <w:rPr>
          <w:sz w:val="20"/>
          <w:szCs w:val="20"/>
          <w:color w:val="auto"/>
        </w:rPr>
      </w:pPr>
    </w:p>
    <w:p>
      <w:pPr>
        <w:ind w:right="680"/>
        <w:spacing w:after="0" w:line="246" w:lineRule="auto"/>
        <w:rPr>
          <w:sz w:val="20"/>
          <w:szCs w:val="20"/>
          <w:color w:val="auto"/>
        </w:rPr>
      </w:pPr>
      <w:r>
        <w:rPr>
          <w:rFonts w:ascii="Arial" w:cs="Arial" w:eastAsia="Arial" w:hAnsi="Arial"/>
          <w:sz w:val="20"/>
          <w:szCs w:val="20"/>
          <w:color w:val="auto"/>
        </w:rPr>
        <w:t>More information regarding Humana is available to investors via the Investor Relations page of the company’s website at humana.com, including copies of:</w:t>
      </w:r>
    </w:p>
    <w:p>
      <w:pPr>
        <w:spacing w:after="0" w:line="230"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Annual reports to stockholders</w:t>
      </w: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Securities and Exchange Commission filings</w:t>
      </w: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Most recent investor conference presentations</w:t>
      </w: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Quarterly earnings news releases and conference calls</w:t>
      </w: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Calendar of events</w:t>
      </w:r>
    </w:p>
    <w:p>
      <w:pPr>
        <w:ind w:left="620" w:hanging="288"/>
        <w:spacing w:after="0"/>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905"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7"/>
          <w:szCs w:val="27"/>
          <w:b w:val="1"/>
          <w:bCs w:val="1"/>
          <w:color w:val="auto"/>
        </w:rPr>
        <w:t xml:space="preserve">n e w s </w:t>
      </w:r>
      <w:r>
        <w:rPr>
          <w:rFonts w:ascii="Arial" w:cs="Arial" w:eastAsia="Arial" w:hAnsi="Arial"/>
          <w:sz w:val="27"/>
          <w:szCs w:val="27"/>
          <w:color w:val="auto"/>
        </w:rPr>
        <w:t>r e l e a s 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82" w:lineRule="exact"/>
        <w:rPr>
          <w:sz w:val="20"/>
          <w:szCs w:val="20"/>
          <w:color w:val="auto"/>
        </w:rPr>
      </w:pPr>
    </w:p>
    <w:p>
      <w:pPr>
        <w:ind w:left="9000"/>
        <w:spacing w:after="0"/>
        <w:rPr>
          <w:sz w:val="20"/>
          <w:szCs w:val="20"/>
          <w:color w:val="auto"/>
        </w:rPr>
      </w:pPr>
      <w:r>
        <w:rPr>
          <w:rFonts w:ascii="Arial" w:cs="Arial" w:eastAsia="Arial" w:hAnsi="Arial"/>
          <w:sz w:val="20"/>
          <w:szCs w:val="20"/>
          <w:color w:val="auto"/>
        </w:rPr>
        <w:t>Humana Inc.</w:t>
      </w:r>
    </w:p>
    <w:p>
      <w:pPr>
        <w:ind w:left="9000"/>
        <w:spacing w:after="0" w:line="197" w:lineRule="auto"/>
        <w:rPr>
          <w:sz w:val="20"/>
          <w:szCs w:val="20"/>
          <w:color w:val="auto"/>
        </w:rPr>
      </w:pPr>
      <w:r>
        <w:rPr>
          <w:rFonts w:ascii="Arial" w:cs="Arial" w:eastAsia="Arial" w:hAnsi="Arial"/>
          <w:sz w:val="20"/>
          <w:szCs w:val="20"/>
          <w:color w:val="auto"/>
        </w:rPr>
        <w:t>500 West Main Street</w:t>
      </w:r>
    </w:p>
    <w:p>
      <w:pPr>
        <w:ind w:left="9000"/>
        <w:spacing w:after="0" w:line="197" w:lineRule="auto"/>
        <w:rPr>
          <w:sz w:val="20"/>
          <w:szCs w:val="20"/>
          <w:color w:val="auto"/>
        </w:rPr>
      </w:pPr>
      <w:r>
        <w:rPr>
          <w:rFonts w:ascii="Arial" w:cs="Arial" w:eastAsia="Arial" w:hAnsi="Arial"/>
          <w:sz w:val="20"/>
          <w:szCs w:val="20"/>
          <w:color w:val="auto"/>
        </w:rPr>
        <w:t>P.O. Box 1438</w:t>
      </w:r>
    </w:p>
    <w:p>
      <w:pPr>
        <w:ind w:left="9000"/>
        <w:spacing w:after="0" w:line="197" w:lineRule="auto"/>
        <w:rPr>
          <w:sz w:val="20"/>
          <w:szCs w:val="20"/>
          <w:color w:val="auto"/>
        </w:rPr>
      </w:pPr>
      <w:r>
        <w:rPr>
          <w:rFonts w:ascii="Arial" w:cs="Arial" w:eastAsia="Arial" w:hAnsi="Arial"/>
          <w:sz w:val="20"/>
          <w:szCs w:val="20"/>
          <w:color w:val="auto"/>
        </w:rPr>
        <w:t>Louisville, KY 40202</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20"/>
          <w:szCs w:val="20"/>
          <w:u w:val="single" w:color="auto"/>
          <w:color w:val="auto"/>
        </w:rPr>
        <w:t>http://www.humana.com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27940</wp:posOffset>
            </wp:positionV>
            <wp:extent cx="185166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55753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Amy Smith</w:t>
      </w:r>
    </w:p>
    <w:p>
      <w:pPr>
        <w:ind w:left="20"/>
        <w:spacing w:after="0" w:line="197" w:lineRule="auto"/>
        <w:rPr>
          <w:sz w:val="20"/>
          <w:szCs w:val="20"/>
          <w:color w:val="auto"/>
        </w:rPr>
      </w:pPr>
      <w:r>
        <w:rPr>
          <w:rFonts w:ascii="Arial" w:cs="Arial" w:eastAsia="Arial" w:hAnsi="Arial"/>
          <w:sz w:val="20"/>
          <w:szCs w:val="20"/>
          <w:color w:val="auto"/>
        </w:rPr>
        <w:t>Humana Investor Relations</w:t>
      </w:r>
    </w:p>
    <w:p>
      <w:pPr>
        <w:ind w:left="20"/>
        <w:spacing w:after="0" w:line="197" w:lineRule="auto"/>
        <w:rPr>
          <w:sz w:val="20"/>
          <w:szCs w:val="20"/>
          <w:color w:val="auto"/>
        </w:rPr>
      </w:pPr>
      <w:r>
        <w:rPr>
          <w:rFonts w:ascii="Arial" w:cs="Arial" w:eastAsia="Arial" w:hAnsi="Arial"/>
          <w:sz w:val="20"/>
          <w:szCs w:val="20"/>
          <w:color w:val="auto"/>
        </w:rPr>
        <w:t>(502) 580-2811</w:t>
      </w:r>
    </w:p>
    <w:p>
      <w:pPr>
        <w:ind w:left="2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Amysmith@humana.com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Kelley Murphy</w:t>
      </w:r>
    </w:p>
    <w:p>
      <w:pPr>
        <w:spacing w:after="0"/>
        <w:rPr>
          <w:sz w:val="20"/>
          <w:szCs w:val="20"/>
          <w:color w:val="auto"/>
        </w:rPr>
      </w:pPr>
      <w:r>
        <w:rPr>
          <w:rFonts w:ascii="Arial" w:cs="Arial" w:eastAsia="Arial" w:hAnsi="Arial"/>
          <w:sz w:val="20"/>
          <w:szCs w:val="20"/>
          <w:color w:val="auto"/>
        </w:rPr>
        <w:t>Humana Corporate Communications</w:t>
      </w:r>
    </w:p>
    <w:p>
      <w:pPr>
        <w:spacing w:after="0"/>
        <w:rPr>
          <w:sz w:val="20"/>
          <w:szCs w:val="20"/>
          <w:color w:val="auto"/>
        </w:rPr>
      </w:pPr>
      <w:r>
        <w:rPr>
          <w:rFonts w:ascii="Arial" w:cs="Arial" w:eastAsia="Arial" w:hAnsi="Arial"/>
          <w:sz w:val="20"/>
          <w:szCs w:val="20"/>
          <w:color w:val="auto"/>
        </w:rPr>
        <w:t>(502) 224-1755</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Kmurphy26@humana.com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Humana Reports Second Quarter 2020 Financial Results;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Continues Proactive Relief Efforts Amid Pandemic</w:t>
      </w:r>
    </w:p>
    <w:p>
      <w:pPr>
        <w:spacing w:after="0" w:line="200" w:lineRule="exact"/>
        <w:rPr>
          <w:sz w:val="20"/>
          <w:szCs w:val="20"/>
          <w:color w:val="auto"/>
        </w:rPr>
      </w:pPr>
    </w:p>
    <w:p>
      <w:pPr>
        <w:spacing w:after="0" w:line="215" w:lineRule="exact"/>
        <w:rPr>
          <w:sz w:val="20"/>
          <w:szCs w:val="20"/>
          <w:color w:val="auto"/>
        </w:rPr>
      </w:pPr>
    </w:p>
    <w:p>
      <w:pPr>
        <w:ind w:left="660" w:right="420" w:hanging="328"/>
        <w:spacing w:after="0" w:line="246"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Ongoing actions to support its members, providers, employees, and communities during the COVID-19 pandemic, including the donation of an additional $150 million to the Humana Foundation to address social determinants of health in an effort to promote more healthy days and encourage greater health equity</w:t>
      </w:r>
    </w:p>
    <w:p>
      <w:pPr>
        <w:spacing w:after="0" w:line="1" w:lineRule="exact"/>
        <w:rPr>
          <w:rFonts w:ascii="Arial" w:cs="Arial" w:eastAsia="Arial" w:hAnsi="Arial"/>
          <w:sz w:val="16"/>
          <w:szCs w:val="16"/>
          <w:color w:val="auto"/>
        </w:rPr>
      </w:pPr>
    </w:p>
    <w:p>
      <w:pPr>
        <w:ind w:left="660" w:right="480" w:hanging="328"/>
        <w:spacing w:after="0" w:line="246"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Reports 2Q20 earnings per diluted common share (EPS) of $13.75 on a GAAP basis, $12.56 on an Adjusted basis; reports YTD 2020 EPS of $17.31 on a GAAP basis, $17.97 on an Adjusted basis</w:t>
      </w: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Comments on FY 2020 guidance:</w:t>
      </w:r>
    </w:p>
    <w:p>
      <w:pPr>
        <w:spacing w:after="0" w:line="5" w:lineRule="exact"/>
        <w:rPr>
          <w:rFonts w:ascii="Arial" w:cs="Arial" w:eastAsia="Arial" w:hAnsi="Arial"/>
          <w:sz w:val="16"/>
          <w:szCs w:val="16"/>
          <w:color w:val="auto"/>
        </w:rPr>
      </w:pPr>
    </w:p>
    <w:p>
      <w:pPr>
        <w:ind w:left="1200" w:hanging="220"/>
        <w:spacing w:after="0"/>
        <w:tabs>
          <w:tab w:leader="none" w:pos="12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FY 2020 GAAP EPS expected to be in a range of $17.36 to $17.86</w:t>
      </w:r>
    </w:p>
    <w:p>
      <w:pPr>
        <w:spacing w:after="0" w:line="5" w:lineRule="exact"/>
        <w:rPr>
          <w:sz w:val="20"/>
          <w:szCs w:val="20"/>
          <w:color w:val="auto"/>
        </w:rPr>
      </w:pPr>
    </w:p>
    <w:p>
      <w:pPr>
        <w:ind w:left="1300" w:right="600" w:hanging="320"/>
        <w:spacing w:after="0" w:line="246" w:lineRule="auto"/>
        <w:tabs>
          <w:tab w:leader="none" w:pos="11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Reaffirms FY 2020 Adjusted EPS guidance range of $18.25 to $18.75 while acknowledging the inherent uncertainty surrounding the ongoing pandemic</w:t>
      </w:r>
    </w:p>
    <w:p>
      <w:pPr>
        <w:ind w:left="1300" w:right="300" w:hanging="320"/>
        <w:spacing w:after="0" w:line="260" w:lineRule="auto"/>
        <w:tabs>
          <w:tab w:leader="none" w:pos="11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Increases full year expected individual Medicare Advantage membership growth to 330,000 to 360,000 members from previous range of 300,000 to 350,000 members</w:t>
      </w:r>
    </w:p>
    <w:p>
      <w:pPr>
        <w:spacing w:after="0" w:line="200" w:lineRule="exact"/>
        <w:rPr>
          <w:sz w:val="20"/>
          <w:szCs w:val="20"/>
          <w:color w:val="auto"/>
        </w:rPr>
      </w:pPr>
    </w:p>
    <w:p>
      <w:pPr>
        <w:spacing w:after="0" w:line="236"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color w:val="auto"/>
        </w:rPr>
        <w:t xml:space="preserve">LOUISVILLE, KY (August 5, 2020) </w:t>
      </w:r>
      <w:r>
        <w:rPr>
          <w:rFonts w:ascii="Arial" w:cs="Arial" w:eastAsia="Arial" w:hAnsi="Arial"/>
          <w:sz w:val="20"/>
          <w:szCs w:val="20"/>
          <w:color w:val="auto"/>
        </w:rPr>
        <w:t>– During the second quarter of 2020, Humana Inc. (NYSE: HUM) continued to take actions</w:t>
      </w:r>
      <w:r>
        <w:rPr>
          <w:rFonts w:ascii="Arial" w:cs="Arial" w:eastAsia="Arial" w:hAnsi="Arial"/>
          <w:sz w:val="20"/>
          <w:szCs w:val="20"/>
          <w:b w:val="1"/>
          <w:bCs w:val="1"/>
          <w:color w:val="auto"/>
        </w:rPr>
        <w:t xml:space="preserve"> </w:t>
      </w:r>
      <w:r>
        <w:rPr>
          <w:rFonts w:ascii="Arial" w:cs="Arial" w:eastAsia="Arial" w:hAnsi="Arial"/>
          <w:sz w:val="20"/>
          <w:szCs w:val="20"/>
          <w:color w:val="auto"/>
        </w:rPr>
        <w:t>to protect, inform, and care for its members, providers, employees, and other stakeholders during the COVID-19 crisis. Specifically, Humana took the following actions to support its members:</w:t>
      </w:r>
    </w:p>
    <w:p>
      <w:pPr>
        <w:spacing w:after="0" w:line="2" w:lineRule="exact"/>
        <w:rPr>
          <w:sz w:val="20"/>
          <w:szCs w:val="20"/>
          <w:color w:val="auto"/>
        </w:rPr>
      </w:pPr>
    </w:p>
    <w:p>
      <w:pPr>
        <w:ind w:left="660" w:hanging="328"/>
        <w:spacing w:after="0" w:line="239"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20"/>
          <w:szCs w:val="20"/>
          <w:color w:val="auto"/>
        </w:rPr>
        <w:t>waiving all cost sharing for in-network primary care, outpatient behavioral health, and telehealth visits for the remainder of 2020 for its Medicare Advantage members, to reduce financial barriers to members seeking to re-engage with their providers, while continuing to encourage the use of telehealth;</w:t>
      </w:r>
    </w:p>
    <w:p>
      <w:pPr>
        <w:spacing w:after="0" w:line="1" w:lineRule="exact"/>
        <w:rPr>
          <w:rFonts w:ascii="Arial" w:cs="Arial" w:eastAsia="Arial" w:hAnsi="Arial"/>
          <w:sz w:val="20"/>
          <w:szCs w:val="20"/>
          <w:color w:val="auto"/>
        </w:rPr>
      </w:pPr>
    </w:p>
    <w:p>
      <w:pPr>
        <w:ind w:left="660" w:right="980" w:hanging="328"/>
        <w:spacing w:after="0" w:line="239"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making it easier for members to be tested for COVID-19 by offering a pilot at-home testing program, as well as collaborating with other providers to deploy drive-thru testing at hundreds of sites throughout the country;</w:t>
      </w:r>
    </w:p>
    <w:p>
      <w:pPr>
        <w:ind w:left="660" w:right="80" w:hanging="328"/>
        <w:spacing w:after="0" w:line="239"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mailing in-home screening kits to members, to encourage members to seek preventive care that may have been delayed during the pandemic;</w:t>
      </w:r>
    </w:p>
    <w:p>
      <w:pPr>
        <w:ind w:left="660" w:right="180" w:hanging="328"/>
        <w:spacing w:after="0" w:line="239"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proactively delivering safety kits, including face masks, to member and employee homes to facilitate access to care and support visits to providers safely;</w:t>
      </w:r>
    </w:p>
    <w:p>
      <w:pPr>
        <w:ind w:left="660" w:right="480" w:hanging="328"/>
        <w:spacing w:after="0" w:line="239"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continuing to extend grace periods for premium payments for its fully-insured commercial group members, to ensure continuity of coverage during times of financial stress; and</w:t>
      </w:r>
    </w:p>
    <w:p>
      <w:pPr>
        <w:ind w:left="620" w:hanging="288"/>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providing a concierge line dedicated to COVID-19 related inquires.</w:t>
      </w:r>
    </w:p>
    <w:p>
      <w:pPr>
        <w:sectPr>
          <w:pgSz w:w="11900" w:h="16838" w:orient="portrait"/>
          <w:cols w:equalWidth="0" w:num="1">
            <w:col w:w="11240"/>
          </w:cols>
          <w:pgMar w:left="320" w:top="1117"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1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color w:val="auto"/>
        </w:rPr>
        <w:t>In addition, Humana took steps to support its provider partners and boost system viability:</w:t>
      </w:r>
    </w:p>
    <w:p>
      <w:pPr>
        <w:ind w:left="660" w:right="540" w:hanging="328"/>
        <w:spacing w:after="0" w:line="239" w:lineRule="auto"/>
        <w:tabs>
          <w:tab w:leader="none" w:pos="621"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expanding modifications to certain utilization management processes, to ease administrative stress and make sure providers are able to most efficiently care for their patients; and</w:t>
      </w:r>
    </w:p>
    <w:p>
      <w:pPr>
        <w:jc w:val="both"/>
        <w:ind w:left="660" w:right="100" w:hanging="328"/>
        <w:spacing w:after="0" w:line="243" w:lineRule="auto"/>
        <w:tabs>
          <w:tab w:leader="none" w:pos="621" w:val="left"/>
        </w:tabs>
        <w:numPr>
          <w:ilvl w:val="0"/>
          <w:numId w:val="17"/>
        </w:numPr>
        <w:rPr>
          <w:rFonts w:ascii="Arial" w:cs="Arial" w:eastAsia="Arial" w:hAnsi="Arial"/>
          <w:sz w:val="20"/>
          <w:szCs w:val="20"/>
          <w:color w:val="auto"/>
        </w:rPr>
      </w:pPr>
      <w:r>
        <w:rPr>
          <w:rFonts w:ascii="Arial" w:cs="Arial" w:eastAsia="Arial" w:hAnsi="Arial"/>
          <w:sz w:val="20"/>
          <w:szCs w:val="20"/>
          <w:color w:val="auto"/>
        </w:rPr>
        <w:t>simplifying and expediting claims processing and releasing approximately $1 billion in advanced funding to providers, to get reimbursement payments to providers as quickly as possible and ease financial concerns so that members are able to continue to access the care and information they need.</w:t>
      </w:r>
    </w:p>
    <w:p>
      <w:pPr>
        <w:spacing w:after="0" w:line="233" w:lineRule="exact"/>
        <w:rPr>
          <w:sz w:val="20"/>
          <w:szCs w:val="20"/>
          <w:color w:val="auto"/>
        </w:rPr>
      </w:pPr>
    </w:p>
    <w:p>
      <w:pPr>
        <w:ind w:right="480"/>
        <w:spacing w:after="0" w:line="243" w:lineRule="auto"/>
        <w:rPr>
          <w:sz w:val="20"/>
          <w:szCs w:val="20"/>
          <w:color w:val="auto"/>
        </w:rPr>
      </w:pPr>
      <w:r>
        <w:rPr>
          <w:rFonts w:ascii="Arial" w:cs="Arial" w:eastAsia="Arial" w:hAnsi="Arial"/>
          <w:sz w:val="20"/>
          <w:szCs w:val="20"/>
          <w:color w:val="auto"/>
        </w:rPr>
        <w:t>Finally, Humana continued to support the communities it serves by donating $200 million ($150 million during the second quarter) to the Humana Foundation to address social determinants of health in an effort to promote more healthy days and encourage greater health equity.</w:t>
      </w:r>
    </w:p>
    <w:p>
      <w:pPr>
        <w:spacing w:after="0" w:line="233" w:lineRule="exact"/>
        <w:rPr>
          <w:sz w:val="20"/>
          <w:szCs w:val="20"/>
          <w:color w:val="auto"/>
        </w:rPr>
      </w:pPr>
    </w:p>
    <w:p>
      <w:pPr>
        <w:ind w:right="40"/>
        <w:spacing w:after="0"/>
        <w:rPr>
          <w:sz w:val="20"/>
          <w:szCs w:val="20"/>
          <w:color w:val="auto"/>
        </w:rPr>
      </w:pPr>
      <w:r>
        <w:rPr>
          <w:rFonts w:ascii="Arial" w:cs="Arial" w:eastAsia="Arial" w:hAnsi="Arial"/>
          <w:sz w:val="20"/>
          <w:szCs w:val="20"/>
          <w:color w:val="auto"/>
        </w:rPr>
        <w:t>Humana's second quarter results of operations were materially impacted by the significant, temporary deferral of care resulting from stay-at-home orders, physical distancing measures, and other restrictions on movement and economic activity implemented throughout the country to reduce the spread of COVID-19. Hospital admissions and utilization were significantly depressed in April, increased throughout May and June, and remained modestly below normal at the close of the quarter. The impact of the deferral of care on second quarter results was partially offset by COVID-19 testing and treatment costs, as well as the company's ongoing pandemic relief efforts.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Humana anticipates its second quarter results will be offset in the latter half of 2020 as demand for previously deferred care normalizes, combined with the financial impact of the company's ongoing relief efforts to ease the burden of the pandemic for its constituents, which is heavily weighted to the second half of 2020. As the COVID-19 pandemic progresses, Humana will continue to monitor the impact on the company and all of its stakeholders and adjust its response accordingly, proactively leveraging its integrated care delivery model to best serve its members, partnering with federal and state governments to develop comprehensive and actionable response plans, minimizing the impact on its provider partners, and advancing the long-term sustainability of the company and the healthcare system.</w:t>
      </w:r>
    </w:p>
    <w:p>
      <w:pPr>
        <w:spacing w:after="0" w:line="13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“As we continue to navigate the global coronavirus pandemic, Humana is committed to ongoing investments in benefits and initiatives designed to improve access to care and ease the financial burden for our members, employer groups and providers,” said Bruce D. Broussard, Humana’s President and Chief Executive Officer. “We remain focused on being responsive to our member and patient needs and providing convenient and safe choices of care. Among many preventive clinical interventions, we are distributing 1 million in-home screening kits to members. Members can also engage with nurse practitioners and primary care physicians in the home, or via telehealth, to identify and address gaps in care. These measures are increasing access to preventive and routine care that many members have delayed during the pandemic, ensuring proper diagnoses and improved clinical outcomes.”</w:t>
      </w:r>
    </w:p>
    <w:p>
      <w:pPr>
        <w:sectPr>
          <w:pgSz w:w="11900" w:h="16838" w:orient="portrait"/>
          <w:cols w:equalWidth="0" w:num="1">
            <w:col w:w="11180"/>
          </w:cols>
          <w:pgMar w:left="320" w:top="135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80"/>
          </w:cols>
          <w:pgMar w:left="320" w:top="1350" w:right="3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u w:val="single" w:color="auto"/>
          <w:color w:val="auto"/>
        </w:rPr>
        <w:t>Summary of Quarterly and Year to Date Results</w:t>
      </w:r>
    </w:p>
    <w:p>
      <w:pPr>
        <w:spacing w:after="0" w:line="200" w:lineRule="exact"/>
        <w:rPr>
          <w:sz w:val="20"/>
          <w:szCs w:val="20"/>
          <w:color w:val="auto"/>
        </w:rPr>
      </w:pPr>
    </w:p>
    <w:p>
      <w:pPr>
        <w:spacing w:after="0" w:line="310"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Humana today reported consolidated pretax income and diluted earnings per common share (EPS) for the quarter ended June 30, 2020 (2Q20) versus the quarter ended June 30, 2019 (2Q19) and for the six months ended June 30, 2020 (YTD 2020) versus the six months ended June 30, 2019 (YTD 2019) as follows.</w:t>
      </w:r>
    </w:p>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176"/>
        </w:trPr>
        <w:tc>
          <w:tcPr>
            <w:tcW w:w="5980" w:type="dxa"/>
            <w:vAlign w:val="bottom"/>
            <w:tcBorders>
              <w:top w:val="single" w:sz="8" w:color="auto"/>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Consolidated income before income taxes and equity in earnings (pretax</w:t>
            </w:r>
          </w:p>
        </w:tc>
        <w:tc>
          <w:tcPr>
            <w:tcW w:w="1300" w:type="dxa"/>
            <w:vAlign w:val="bottom"/>
            <w:tcBorders>
              <w:top w:val="single" w:sz="8" w:color="auto"/>
              <w:right w:val="single" w:sz="8" w:color="auto"/>
            </w:tcBorders>
            <w:gridSpan w:val="2"/>
            <w:vMerge w:val="restart"/>
            <w:shd w:val="clear" w:color="auto" w:fill="EAEAEA"/>
          </w:tcPr>
          <w:p>
            <w:pPr>
              <w:ind w:left="320"/>
              <w:spacing w:after="0"/>
              <w:rPr>
                <w:sz w:val="20"/>
                <w:szCs w:val="20"/>
                <w:color w:val="auto"/>
              </w:rPr>
            </w:pPr>
            <w:r>
              <w:rPr>
                <w:rFonts w:ascii="Arial" w:cs="Arial" w:eastAsia="Arial" w:hAnsi="Arial"/>
                <w:sz w:val="16"/>
                <w:szCs w:val="16"/>
                <w:b w:val="1"/>
                <w:bCs w:val="1"/>
                <w:color w:val="auto"/>
              </w:rPr>
              <w:t>2Q20 (a)</w:t>
            </w:r>
          </w:p>
        </w:tc>
        <w:tc>
          <w:tcPr>
            <w:tcW w:w="1300" w:type="dxa"/>
            <w:vAlign w:val="bottom"/>
            <w:tcBorders>
              <w:top w:val="single" w:sz="8" w:color="auto"/>
              <w:right w:val="single" w:sz="8" w:color="auto"/>
            </w:tcBorders>
          </w:tcPr>
          <w:p>
            <w:pPr>
              <w:spacing w:after="0"/>
              <w:rPr>
                <w:sz w:val="15"/>
                <w:szCs w:val="15"/>
                <w:color w:val="auto"/>
              </w:rPr>
            </w:pPr>
          </w:p>
        </w:tc>
        <w:tc>
          <w:tcPr>
            <w:tcW w:w="1300" w:type="dxa"/>
            <w:vAlign w:val="bottom"/>
            <w:tcBorders>
              <w:top w:val="single" w:sz="8" w:color="auto"/>
              <w:right w:val="single" w:sz="8" w:color="auto"/>
            </w:tcBorders>
            <w:gridSpan w:val="2"/>
            <w:vMerge w:val="restart"/>
            <w:shd w:val="clear" w:color="auto" w:fill="EAEAEA"/>
          </w:tcPr>
          <w:p>
            <w:pPr>
              <w:ind w:left="160"/>
              <w:spacing w:after="0"/>
              <w:rPr>
                <w:sz w:val="20"/>
                <w:szCs w:val="20"/>
                <w:color w:val="auto"/>
              </w:rPr>
            </w:pPr>
            <w:r>
              <w:rPr>
                <w:rFonts w:ascii="Arial" w:cs="Arial" w:eastAsia="Arial" w:hAnsi="Arial"/>
                <w:sz w:val="16"/>
                <w:szCs w:val="16"/>
                <w:b w:val="1"/>
                <w:bCs w:val="1"/>
                <w:color w:val="auto"/>
              </w:rPr>
              <w:t>YTD 2020 (c)</w:t>
            </w:r>
          </w:p>
        </w:tc>
        <w:tc>
          <w:tcPr>
            <w:tcW w:w="13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income) </w:t>
            </w:r>
            <w:r>
              <w:rPr>
                <w:rFonts w:ascii="Arial" w:cs="Arial" w:eastAsia="Arial" w:hAnsi="Arial"/>
                <w:sz w:val="16"/>
                <w:szCs w:val="16"/>
                <w:i w:val="1"/>
                <w:iCs w:val="1"/>
                <w:color w:val="auto"/>
              </w:rPr>
              <w:t>In millions</w:t>
            </w:r>
          </w:p>
        </w:tc>
        <w:tc>
          <w:tcPr>
            <w:tcW w:w="1300" w:type="dxa"/>
            <w:vAlign w:val="bottom"/>
            <w:tcBorders>
              <w:bottom w:val="single" w:sz="8" w:color="auto"/>
              <w:right w:val="single" w:sz="8" w:color="auto"/>
            </w:tcBorders>
            <w:gridSpan w:val="2"/>
            <w:vMerge w:val="continue"/>
            <w:shd w:val="clear" w:color="auto" w:fill="EAEAEA"/>
          </w:tcPr>
          <w:p>
            <w:pPr>
              <w:spacing w:after="0"/>
              <w:rPr>
                <w:sz w:val="18"/>
                <w:szCs w:val="18"/>
                <w:color w:val="auto"/>
              </w:rPr>
            </w:pPr>
          </w:p>
        </w:tc>
        <w:tc>
          <w:tcPr>
            <w:tcW w:w="130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2Q19 (b)</w:t>
            </w:r>
          </w:p>
        </w:tc>
        <w:tc>
          <w:tcPr>
            <w:tcW w:w="1300" w:type="dxa"/>
            <w:vAlign w:val="bottom"/>
            <w:tcBorders>
              <w:bottom w:val="single" w:sz="8" w:color="auto"/>
              <w:right w:val="single" w:sz="8" w:color="auto"/>
            </w:tcBorders>
            <w:gridSpan w:val="2"/>
            <w:vMerge w:val="continue"/>
            <w:shd w:val="clear" w:color="auto" w:fill="EAEAEA"/>
          </w:tcPr>
          <w:p>
            <w:pPr>
              <w:spacing w:after="0"/>
              <w:rPr>
                <w:sz w:val="18"/>
                <w:szCs w:val="18"/>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YTD 2019 (d)</w:t>
            </w:r>
          </w:p>
        </w:tc>
        <w:tc>
          <w:tcPr>
            <w:tcW w:w="0" w:type="dxa"/>
            <w:vAlign w:val="bottom"/>
          </w:tcPr>
          <w:p>
            <w:pPr>
              <w:spacing w:after="0"/>
              <w:rPr>
                <w:sz w:val="1"/>
                <w:szCs w:val="1"/>
                <w:color w:val="auto"/>
              </w:rPr>
            </w:pPr>
          </w:p>
        </w:tc>
      </w:tr>
      <w:tr>
        <w:trPr>
          <w:trHeight w:val="231"/>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Generally Accepted Accounting Principles (GAAP)</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$2,586</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$1,229</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$3,303</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36"/>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22</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43</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8"/>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w:t>
            </w:r>
          </w:p>
        </w:tc>
        <w:tc>
          <w:tcPr>
            <w:tcW w:w="116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(227)</w:t>
            </w:r>
          </w:p>
        </w:tc>
        <w:tc>
          <w:tcPr>
            <w:tcW w:w="140" w:type="dxa"/>
            <w:vAlign w:val="bottom"/>
            <w:tcBorders>
              <w:right w:val="single" w:sz="8" w:color="auto"/>
            </w:tcBorders>
            <w:shd w:val="clear" w:color="auto" w:fill="EAEAEA"/>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18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70</w:t>
            </w:r>
          </w:p>
        </w:tc>
        <w:tc>
          <w:tcPr>
            <w:tcW w:w="120" w:type="dxa"/>
            <w:vAlign w:val="bottom"/>
            <w:tcBorders>
              <w:right w:val="single" w:sz="8" w:color="auto"/>
            </w:tcBorders>
            <w:shd w:val="clear" w:color="auto" w:fill="EAEAEA"/>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minority interest investments</w:t>
            </w:r>
          </w:p>
        </w:tc>
        <w:tc>
          <w:tcPr>
            <w:tcW w:w="1160" w:type="dxa"/>
            <w:vAlign w:val="bottom"/>
            <w:tcBorders>
              <w:bottom w:val="single" w:sz="8" w:color="auto"/>
            </w:tcBorders>
            <w:vMerge w:val="continue"/>
            <w:shd w:val="clear" w:color="auto" w:fill="EAEAEA"/>
          </w:tcPr>
          <w:p>
            <w:pPr>
              <w:spacing w:after="0"/>
              <w:rPr>
                <w:sz w:val="18"/>
                <w:szCs w:val="18"/>
                <w:color w:val="auto"/>
              </w:rPr>
            </w:pPr>
          </w:p>
        </w:tc>
        <w:tc>
          <w:tcPr>
            <w:tcW w:w="140" w:type="dxa"/>
            <w:vAlign w:val="bottom"/>
            <w:tcBorders>
              <w:bottom w:val="single" w:sz="8" w:color="auto"/>
              <w:right w:val="single" w:sz="8" w:color="auto"/>
            </w:tcBorders>
            <w:shd w:val="clear" w:color="auto" w:fill="EAEAEA"/>
          </w:tcPr>
          <w:p>
            <w:pPr>
              <w:spacing w:after="0"/>
              <w:rPr>
                <w:sz w:val="18"/>
                <w:szCs w:val="18"/>
                <w:color w:val="auto"/>
              </w:rPr>
            </w:pP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(174)</w:t>
            </w:r>
          </w:p>
        </w:tc>
        <w:tc>
          <w:tcPr>
            <w:tcW w:w="118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$2,381</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$1,073</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$3,416</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607"/>
        </w:trPr>
        <w:tc>
          <w:tcPr>
            <w:tcW w:w="5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Diluted earnings per common share (EPS)</w:t>
            </w:r>
          </w:p>
        </w:tc>
        <w:tc>
          <w:tcPr>
            <w:tcW w:w="1300" w:type="dxa"/>
            <w:vAlign w:val="bottom"/>
            <w:tcBorders>
              <w:bottom w:val="single" w:sz="8" w:color="auto"/>
              <w:right w:val="single" w:sz="8" w:color="auto"/>
            </w:tcBorders>
            <w:gridSpan w:val="2"/>
            <w:shd w:val="clear" w:color="auto" w:fill="EAEAEA"/>
          </w:tcPr>
          <w:p>
            <w:pPr>
              <w:ind w:left="320"/>
              <w:spacing w:after="0"/>
              <w:rPr>
                <w:sz w:val="20"/>
                <w:szCs w:val="20"/>
                <w:color w:val="auto"/>
              </w:rPr>
            </w:pPr>
            <w:r>
              <w:rPr>
                <w:rFonts w:ascii="Arial" w:cs="Arial" w:eastAsia="Arial" w:hAnsi="Arial"/>
                <w:sz w:val="16"/>
                <w:szCs w:val="16"/>
                <w:b w:val="1"/>
                <w:bCs w:val="1"/>
                <w:color w:val="auto"/>
              </w:rPr>
              <w:t>2Q20 (a)</w:t>
            </w:r>
          </w:p>
        </w:tc>
        <w:tc>
          <w:tcPr>
            <w:tcW w:w="130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2Q19 (b)</w:t>
            </w:r>
          </w:p>
        </w:tc>
        <w:tc>
          <w:tcPr>
            <w:tcW w:w="1300" w:type="dxa"/>
            <w:vAlign w:val="bottom"/>
            <w:tcBorders>
              <w:bottom w:val="single" w:sz="8" w:color="auto"/>
              <w:right w:val="single" w:sz="8" w:color="auto"/>
            </w:tcBorders>
            <w:gridSpan w:val="2"/>
            <w:shd w:val="clear" w:color="auto" w:fill="EAEAEA"/>
          </w:tcPr>
          <w:p>
            <w:pPr>
              <w:ind w:left="160"/>
              <w:spacing w:after="0"/>
              <w:rPr>
                <w:sz w:val="20"/>
                <w:szCs w:val="20"/>
                <w:color w:val="auto"/>
              </w:rPr>
            </w:pPr>
            <w:r>
              <w:rPr>
                <w:rFonts w:ascii="Arial" w:cs="Arial" w:eastAsia="Arial" w:hAnsi="Arial"/>
                <w:sz w:val="16"/>
                <w:szCs w:val="16"/>
                <w:b w:val="1"/>
                <w:bCs w:val="1"/>
                <w:color w:val="auto"/>
              </w:rPr>
              <w:t>YTD 2020 (c)</w:t>
            </w: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YTD 2019 (d)</w:t>
            </w:r>
          </w:p>
        </w:tc>
        <w:tc>
          <w:tcPr>
            <w:tcW w:w="0" w:type="dxa"/>
            <w:vAlign w:val="bottom"/>
          </w:tcPr>
          <w:p>
            <w:pPr>
              <w:spacing w:after="0"/>
              <w:rPr>
                <w:sz w:val="1"/>
                <w:szCs w:val="1"/>
                <w:color w:val="auto"/>
              </w:rPr>
            </w:pPr>
          </w:p>
        </w:tc>
      </w:tr>
      <w:tr>
        <w:trPr>
          <w:trHeight w:val="236"/>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$13.75</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$6.94</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$17.31</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0.13</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0.10</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0.26</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18"/>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w:t>
            </w:r>
          </w:p>
        </w:tc>
        <w:tc>
          <w:tcPr>
            <w:tcW w:w="116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(1.32)</w:t>
            </w:r>
          </w:p>
        </w:tc>
        <w:tc>
          <w:tcPr>
            <w:tcW w:w="140" w:type="dxa"/>
            <w:vAlign w:val="bottom"/>
            <w:tcBorders>
              <w:right w:val="single" w:sz="8" w:color="auto"/>
            </w:tcBorders>
            <w:shd w:val="clear" w:color="auto" w:fill="EAEAEA"/>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180" w:type="dxa"/>
            <w:vAlign w:val="bottom"/>
            <w:vMerge w:val="restart"/>
            <w:shd w:val="clear" w:color="auto" w:fill="EAEAEA"/>
          </w:tcPr>
          <w:p>
            <w:pPr>
              <w:jc w:val="right"/>
              <w:spacing w:after="0"/>
              <w:rPr>
                <w:sz w:val="20"/>
                <w:szCs w:val="20"/>
                <w:color w:val="auto"/>
              </w:rPr>
            </w:pPr>
            <w:r>
              <w:rPr>
                <w:rFonts w:ascii="Arial" w:cs="Arial" w:eastAsia="Arial" w:hAnsi="Arial"/>
                <w:sz w:val="16"/>
                <w:szCs w:val="16"/>
                <w:b w:val="1"/>
                <w:bCs w:val="1"/>
                <w:color w:val="auto"/>
              </w:rPr>
              <w:t>0.40</w:t>
            </w:r>
          </w:p>
        </w:tc>
        <w:tc>
          <w:tcPr>
            <w:tcW w:w="120" w:type="dxa"/>
            <w:vAlign w:val="bottom"/>
            <w:tcBorders>
              <w:right w:val="single" w:sz="8" w:color="auto"/>
            </w:tcBorders>
            <w:shd w:val="clear" w:color="auto" w:fill="EAEAEA"/>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minority interest investments</w:t>
            </w:r>
          </w:p>
        </w:tc>
        <w:tc>
          <w:tcPr>
            <w:tcW w:w="1160" w:type="dxa"/>
            <w:vAlign w:val="bottom"/>
            <w:tcBorders>
              <w:bottom w:val="single" w:sz="8" w:color="auto"/>
            </w:tcBorders>
            <w:vMerge w:val="continue"/>
            <w:shd w:val="clear" w:color="auto" w:fill="EAEAEA"/>
          </w:tcPr>
          <w:p>
            <w:pPr>
              <w:spacing w:after="0"/>
              <w:rPr>
                <w:sz w:val="18"/>
                <w:szCs w:val="18"/>
                <w:color w:val="auto"/>
              </w:rPr>
            </w:pPr>
          </w:p>
        </w:tc>
        <w:tc>
          <w:tcPr>
            <w:tcW w:w="140" w:type="dxa"/>
            <w:vAlign w:val="bottom"/>
            <w:tcBorders>
              <w:bottom w:val="single" w:sz="8" w:color="auto"/>
              <w:right w:val="single" w:sz="8" w:color="auto"/>
            </w:tcBorders>
            <w:shd w:val="clear" w:color="auto" w:fill="EAEAEA"/>
          </w:tcPr>
          <w:p>
            <w:pPr>
              <w:spacing w:after="0"/>
              <w:rPr>
                <w:sz w:val="18"/>
                <w:szCs w:val="18"/>
                <w:color w:val="auto"/>
              </w:rPr>
            </w:pP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(0.99)</w:t>
            </w:r>
          </w:p>
        </w:tc>
        <w:tc>
          <w:tcPr>
            <w:tcW w:w="1180" w:type="dxa"/>
            <w:vAlign w:val="bottom"/>
            <w:tcBorders>
              <w:bottom w:val="single" w:sz="8" w:color="auto"/>
            </w:tcBorders>
            <w:vMerge w:val="continue"/>
            <w:shd w:val="clear" w:color="auto" w:fill="EAEAEA"/>
          </w:tcPr>
          <w:p>
            <w:pPr>
              <w:spacing w:after="0"/>
              <w:rPr>
                <w:sz w:val="18"/>
                <w:szCs w:val="18"/>
                <w:color w:val="auto"/>
              </w:rPr>
            </w:pPr>
          </w:p>
        </w:tc>
        <w:tc>
          <w:tcPr>
            <w:tcW w:w="120" w:type="dxa"/>
            <w:vAlign w:val="bottom"/>
            <w:tcBorders>
              <w:bottom w:val="single" w:sz="8" w:color="auto"/>
              <w:right w:val="single" w:sz="8" w:color="auto"/>
            </w:tcBorders>
            <w:shd w:val="clear" w:color="auto" w:fill="EAEAEA"/>
          </w:tcPr>
          <w:p>
            <w:pPr>
              <w:spacing w:after="0"/>
              <w:rPr>
                <w:sz w:val="18"/>
                <w:szCs w:val="18"/>
                <w:color w:val="auto"/>
              </w:rPr>
            </w:pPr>
          </w:p>
        </w:tc>
        <w:tc>
          <w:tcPr>
            <w:tcW w:w="1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37"/>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$12.56</w:t>
            </w:r>
          </w:p>
        </w:tc>
        <w:tc>
          <w:tcPr>
            <w:tcW w:w="140" w:type="dxa"/>
            <w:vAlign w:val="bottom"/>
            <w:tcBorders>
              <w:bottom w:val="single" w:sz="8" w:color="auto"/>
              <w:right w:val="single" w:sz="8" w:color="auto"/>
            </w:tcBorders>
            <w:shd w:val="clear" w:color="auto" w:fill="EAEAEA"/>
          </w:tcPr>
          <w:p>
            <w:pPr>
              <w:spacing w:after="0"/>
              <w:rPr>
                <w:sz w:val="20"/>
                <w:szCs w:val="20"/>
                <w:color w:val="auto"/>
              </w:rPr>
            </w:pPr>
          </w:p>
        </w:tc>
        <w:tc>
          <w:tcPr>
            <w:tcW w:w="13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$6.05</w:t>
            </w:r>
          </w:p>
        </w:tc>
        <w:tc>
          <w:tcPr>
            <w:tcW w:w="1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$17.97</w:t>
            </w:r>
          </w:p>
        </w:tc>
        <w:tc>
          <w:tcPr>
            <w:tcW w:w="120" w:type="dxa"/>
            <w:vAlign w:val="bottom"/>
            <w:tcBorders>
              <w:bottom w:val="single" w:sz="8" w:color="auto"/>
              <w:right w:val="single" w:sz="8" w:color="auto"/>
            </w:tcBorders>
            <w:shd w:val="clear" w:color="auto" w:fill="EAEAEA"/>
          </w:tcPr>
          <w:p>
            <w:pPr>
              <w:spacing w:after="0"/>
              <w:rPr>
                <w:sz w:val="20"/>
                <w:szCs w:val="20"/>
                <w:color w:val="auto"/>
              </w:rPr>
            </w:pPr>
          </w:p>
        </w:tc>
        <w:tc>
          <w:tcPr>
            <w:tcW w:w="134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9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Please refer to the tables above, as well as the consolidated and segment highlight sections that follow for additional discussion of the factors impacting the year-over-year comparisons.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084" w:right="339" w:bottom="1440" w:gutter="0" w:footer="0" w:header="0"/>
        </w:sectPr>
      </w:pPr>
    </w:p>
    <w:bookmarkStart w:id="16" w:name="page17"/>
    <w:bookmarkEnd w:id="16"/>
    <w:p>
      <w:pPr>
        <w:ind w:right="440"/>
        <w:spacing w:after="0" w:line="246" w:lineRule="auto"/>
        <w:rPr>
          <w:sz w:val="20"/>
          <w:szCs w:val="20"/>
          <w:color w:val="auto"/>
        </w:rPr>
      </w:pPr>
      <w:r>
        <w:rPr>
          <w:rFonts w:ascii="Arial" w:cs="Arial" w:eastAsia="Arial" w:hAnsi="Arial"/>
          <w:sz w:val="20"/>
          <w:szCs w:val="20"/>
          <w:color w:val="auto"/>
        </w:rPr>
        <w:t>In addition, below is a summary of key consolidated and segment statistics comparing 2Q20 to 2Q19 and YTD 2020 to YTD 2019.</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960" w:type="dxa"/>
            <w:vAlign w:val="bottom"/>
            <w:tcBorders>
              <w:top w:val="single" w:sz="8" w:color="auto"/>
              <w:left w:val="single" w:sz="8" w:color="auto"/>
              <w:right w:val="single" w:sz="8" w:color="auto"/>
            </w:tcBorders>
          </w:tcPr>
          <w:p>
            <w:pPr>
              <w:ind w:left="40"/>
              <w:spacing w:after="0" w:line="204" w:lineRule="exact"/>
              <w:rPr>
                <w:sz w:val="20"/>
                <w:szCs w:val="20"/>
                <w:color w:val="auto"/>
              </w:rPr>
            </w:pPr>
            <w:r>
              <w:rPr>
                <w:rFonts w:ascii="Arial" w:cs="Arial" w:eastAsia="Arial" w:hAnsi="Arial"/>
                <w:sz w:val="18"/>
                <w:szCs w:val="18"/>
                <w:b w:val="1"/>
                <w:bCs w:val="1"/>
                <w:color w:val="auto"/>
              </w:rPr>
              <w:t>Humana Inc. Summary of Quarterly Results</w:t>
            </w:r>
            <w:r>
              <w:rPr>
                <w:rFonts w:ascii="MS PGothic" w:cs="MS PGothic" w:eastAsia="MS PGothic" w:hAnsi="MS PGothic"/>
                <w:sz w:val="18"/>
                <w:szCs w:val="18"/>
                <w:color w:val="auto"/>
              </w:rPr>
              <w:t> </w:t>
            </w:r>
          </w:p>
        </w:tc>
        <w:tc>
          <w:tcPr>
            <w:tcW w:w="1820" w:type="dxa"/>
            <w:vAlign w:val="bottom"/>
            <w:tcBorders>
              <w:top w:val="single" w:sz="8" w:color="auto"/>
              <w:right w:val="single" w:sz="8" w:color="auto"/>
            </w:tcBorders>
            <w:gridSpan w:val="2"/>
            <w:vMerge w:val="restart"/>
            <w:shd w:val="clear" w:color="auto" w:fill="EAEAEA"/>
          </w:tcPr>
          <w:p>
            <w:pPr>
              <w:jc w:val="right"/>
              <w:ind w:right="519"/>
              <w:spacing w:after="0"/>
              <w:rPr>
                <w:sz w:val="20"/>
                <w:szCs w:val="20"/>
                <w:color w:val="auto"/>
              </w:rPr>
            </w:pPr>
            <w:r>
              <w:rPr>
                <w:rFonts w:ascii="Arial" w:cs="Arial" w:eastAsia="Arial" w:hAnsi="Arial"/>
                <w:sz w:val="16"/>
                <w:szCs w:val="16"/>
                <w:color w:val="auto"/>
              </w:rPr>
              <w:t>2Q20 (a)</w:t>
            </w:r>
          </w:p>
        </w:tc>
        <w:tc>
          <w:tcPr>
            <w:tcW w:w="1820" w:type="dxa"/>
            <w:vAlign w:val="bottom"/>
            <w:tcBorders>
              <w:top w:val="single" w:sz="8" w:color="auto"/>
              <w:right w:val="single" w:sz="8" w:color="auto"/>
            </w:tcBorders>
            <w:vMerge w:val="restart"/>
          </w:tcPr>
          <w:p>
            <w:pPr>
              <w:jc w:val="right"/>
              <w:ind w:right="519"/>
              <w:spacing w:after="0"/>
              <w:rPr>
                <w:sz w:val="20"/>
                <w:szCs w:val="20"/>
                <w:color w:val="auto"/>
              </w:rPr>
            </w:pPr>
            <w:r>
              <w:rPr>
                <w:rFonts w:ascii="Arial" w:cs="Arial" w:eastAsia="Arial" w:hAnsi="Arial"/>
                <w:sz w:val="16"/>
                <w:szCs w:val="16"/>
                <w:color w:val="auto"/>
              </w:rPr>
              <w:t>2Q19 (b)</w:t>
            </w:r>
          </w:p>
        </w:tc>
        <w:tc>
          <w:tcPr>
            <w:tcW w:w="1820" w:type="dxa"/>
            <w:vAlign w:val="bottom"/>
            <w:tcBorders>
              <w:top w:val="single" w:sz="8" w:color="auto"/>
              <w:right w:val="single" w:sz="8" w:color="auto"/>
            </w:tcBorders>
            <w:gridSpan w:val="2"/>
            <w:vMerge w:val="restart"/>
            <w:shd w:val="clear" w:color="auto" w:fill="EAEAEA"/>
          </w:tcPr>
          <w:p>
            <w:pPr>
              <w:jc w:val="right"/>
              <w:ind w:right="359"/>
              <w:spacing w:after="0"/>
              <w:rPr>
                <w:sz w:val="20"/>
                <w:szCs w:val="20"/>
                <w:color w:val="auto"/>
              </w:rPr>
            </w:pPr>
            <w:r>
              <w:rPr>
                <w:rFonts w:ascii="Arial" w:cs="Arial" w:eastAsia="Arial" w:hAnsi="Arial"/>
                <w:sz w:val="16"/>
                <w:szCs w:val="16"/>
                <w:color w:val="auto"/>
              </w:rPr>
              <w:t>YTD 2020 (c)</w:t>
            </w:r>
          </w:p>
        </w:tc>
        <w:tc>
          <w:tcPr>
            <w:tcW w:w="1840" w:type="dxa"/>
            <w:vAlign w:val="bottom"/>
            <w:tcBorders>
              <w:top w:val="single" w:sz="8" w:color="auto"/>
              <w:right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YTD 2019 (d)</w:t>
            </w:r>
          </w:p>
        </w:tc>
        <w:tc>
          <w:tcPr>
            <w:tcW w:w="0" w:type="dxa"/>
            <w:vAlign w:val="bottom"/>
          </w:tcPr>
          <w:p>
            <w:pPr>
              <w:spacing w:after="0"/>
              <w:rPr>
                <w:sz w:val="1"/>
                <w:szCs w:val="1"/>
                <w:color w:val="auto"/>
              </w:rPr>
            </w:pPr>
          </w:p>
        </w:tc>
      </w:tr>
      <w:tr>
        <w:trPr>
          <w:trHeight w:val="198"/>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(dollars in millions, except per share amounts)</w:t>
            </w:r>
          </w:p>
        </w:tc>
        <w:tc>
          <w:tcPr>
            <w:tcW w:w="1820" w:type="dxa"/>
            <w:vAlign w:val="bottom"/>
            <w:tcBorders>
              <w:bottom w:val="single" w:sz="8" w:color="auto"/>
              <w:right w:val="single" w:sz="8" w:color="auto"/>
            </w:tcBorders>
            <w:gridSpan w:val="2"/>
            <w:vMerge w:val="continue"/>
            <w:shd w:val="clear" w:color="auto" w:fill="EAEAEA"/>
          </w:tcPr>
          <w:p>
            <w:pPr>
              <w:spacing w:after="0"/>
              <w:rPr>
                <w:sz w:val="17"/>
                <w:szCs w:val="17"/>
                <w:color w:val="auto"/>
              </w:rPr>
            </w:pPr>
          </w:p>
        </w:tc>
        <w:tc>
          <w:tcPr>
            <w:tcW w:w="1820" w:type="dxa"/>
            <w:vAlign w:val="bottom"/>
            <w:tcBorders>
              <w:bottom w:val="single" w:sz="8" w:color="auto"/>
              <w:right w:val="single" w:sz="8" w:color="auto"/>
            </w:tcBorders>
            <w:vMerge w:val="continue"/>
          </w:tcPr>
          <w:p>
            <w:pPr>
              <w:spacing w:after="0"/>
              <w:rPr>
                <w:sz w:val="17"/>
                <w:szCs w:val="17"/>
                <w:color w:val="auto"/>
              </w:rPr>
            </w:pPr>
          </w:p>
        </w:tc>
        <w:tc>
          <w:tcPr>
            <w:tcW w:w="1820" w:type="dxa"/>
            <w:vAlign w:val="bottom"/>
            <w:tcBorders>
              <w:bottom w:val="single" w:sz="8" w:color="auto"/>
              <w:right w:val="single" w:sz="8" w:color="auto"/>
            </w:tcBorders>
            <w:gridSpan w:val="2"/>
            <w:vMerge w:val="continue"/>
            <w:shd w:val="clear" w:color="auto" w:fill="EAEAEA"/>
          </w:tcPr>
          <w:p>
            <w:pPr>
              <w:spacing w:after="0"/>
              <w:rPr>
                <w:sz w:val="17"/>
                <w:szCs w:val="17"/>
                <w:color w:val="auto"/>
              </w:rPr>
            </w:pPr>
          </w:p>
        </w:tc>
        <w:tc>
          <w:tcPr>
            <w:tcW w:w="18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9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20" w:type="dxa"/>
            <w:vAlign w:val="bottom"/>
            <w:tcBorders>
              <w:bottom w:val="single" w:sz="8" w:color="auto"/>
              <w:right w:val="single" w:sz="8" w:color="auto"/>
            </w:tcBorders>
            <w:shd w:val="clear" w:color="auto" w:fill="EAEAEA"/>
          </w:tcPr>
          <w:p>
            <w:pPr>
              <w:spacing w:after="0"/>
              <w:rPr>
                <w:sz w:val="20"/>
                <w:szCs w:val="20"/>
                <w:color w:val="auto"/>
              </w:rPr>
            </w:pP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$19,083</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$16,245</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$38,018</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$32,352</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$2,586</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$3,303</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Pretax income - Adjusted</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$2,381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$3,416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$13.75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$17.31</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EPS - Adjusted</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$12.56</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$17.97</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76.4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84.4 %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80.7</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85.3 %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10.6 %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cash flows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$3,067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$3,541</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Parent company cash and short term investments</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$2,452</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$1,871</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Debt-to-total capitalization</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35.1 %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32.5 %</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Retail segment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20" w:type="dxa"/>
            <w:vAlign w:val="bottom"/>
            <w:tcBorders>
              <w:bottom w:val="single" w:sz="8" w:color="auto"/>
              <w:right w:val="single" w:sz="8" w:color="auto"/>
            </w:tcBorders>
            <w:shd w:val="clear" w:color="auto" w:fill="EAEAEA"/>
          </w:tcPr>
          <w:p>
            <w:pPr>
              <w:spacing w:after="0"/>
              <w:rPr>
                <w:sz w:val="20"/>
                <w:szCs w:val="20"/>
                <w:color w:val="auto"/>
              </w:rPr>
            </w:pP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$16,961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$14,158</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$33,723</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$28,171</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78.3</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85.2 %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82.4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86.7 %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9.7</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$1,989</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$2,674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$1,993</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$2,682</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Group and Specialty segment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20" w:type="dxa"/>
            <w:vAlign w:val="bottom"/>
            <w:tcBorders>
              <w:bottom w:val="single" w:sz="8" w:color="auto"/>
              <w:right w:val="single" w:sz="8" w:color="auto"/>
            </w:tcBorders>
            <w:shd w:val="clear" w:color="auto" w:fill="EAEAEA"/>
          </w:tcPr>
          <w:p>
            <w:pPr>
              <w:spacing w:after="0"/>
              <w:rPr>
                <w:sz w:val="20"/>
                <w:szCs w:val="20"/>
                <w:color w:val="auto"/>
              </w:rPr>
            </w:pP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$1,835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$3,700</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$3,761</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Benefits expense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67.0</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86.3 %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73.1</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81.3 %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23.8</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21.7 %</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23.4</w:t>
            </w:r>
          </w:p>
        </w:tc>
        <w:tc>
          <w:tcPr>
            <w:tcW w:w="20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$287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$392</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Adjusted</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$288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$394</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shd w:val="clear" w:color="auto" w:fill="EAEAEA"/>
          </w:tcPr>
          <w:p>
            <w:pPr>
              <w:ind w:left="40"/>
              <w:spacing w:after="0"/>
              <w:rPr>
                <w:sz w:val="20"/>
                <w:szCs w:val="20"/>
                <w:color w:val="auto"/>
              </w:rPr>
            </w:pPr>
            <w:r>
              <w:rPr>
                <w:rFonts w:ascii="Arial" w:cs="Arial" w:eastAsia="Arial" w:hAnsi="Arial"/>
                <w:sz w:val="16"/>
                <w:szCs w:val="16"/>
                <w:b w:val="1"/>
                <w:bCs w:val="1"/>
                <w:color w:val="auto"/>
              </w:rPr>
              <w:t>Healthcare Services segment results:</w:t>
            </w: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20" w:type="dxa"/>
            <w:vAlign w:val="bottom"/>
            <w:tcBorders>
              <w:bottom w:val="single" w:sz="8" w:color="auto"/>
              <w:right w:val="single" w:sz="8" w:color="auto"/>
            </w:tcBorders>
            <w:shd w:val="clear" w:color="auto" w:fill="EAEAEA"/>
          </w:tcPr>
          <w:p>
            <w:pPr>
              <w:spacing w:after="0"/>
              <w:rPr>
                <w:sz w:val="20"/>
                <w:szCs w:val="20"/>
                <w:color w:val="auto"/>
              </w:rPr>
            </w:pPr>
          </w:p>
        </w:tc>
        <w:tc>
          <w:tcPr>
            <w:tcW w:w="1620" w:type="dxa"/>
            <w:vAlign w:val="bottom"/>
            <w:tcBorders>
              <w:bottom w:val="single" w:sz="8" w:color="auto"/>
            </w:tcBorders>
            <w:shd w:val="clear" w:color="auto" w:fill="EAEAEA"/>
          </w:tcPr>
          <w:p>
            <w:pPr>
              <w:spacing w:after="0"/>
              <w:rPr>
                <w:sz w:val="20"/>
                <w:szCs w:val="20"/>
                <w:color w:val="auto"/>
              </w:rPr>
            </w:pPr>
          </w:p>
        </w:tc>
        <w:tc>
          <w:tcPr>
            <w:tcW w:w="200" w:type="dxa"/>
            <w:vAlign w:val="bottom"/>
            <w:tcBorders>
              <w:bottom w:val="single" w:sz="8" w:color="auto"/>
              <w:right w:val="single" w:sz="8" w:color="auto"/>
            </w:tcBorders>
            <w:shd w:val="clear" w:color="auto" w:fill="EAEAEA"/>
          </w:tcPr>
          <w:p>
            <w:pPr>
              <w:spacing w:after="0"/>
              <w:rPr>
                <w:sz w:val="20"/>
                <w:szCs w:val="20"/>
                <w:color w:val="auto"/>
              </w:rPr>
            </w:pPr>
          </w:p>
        </w:tc>
        <w:tc>
          <w:tcPr>
            <w:tcW w:w="1840" w:type="dxa"/>
            <w:vAlign w:val="bottom"/>
            <w:tcBorders>
              <w:bottom w:val="single" w:sz="8" w:color="auto"/>
              <w:right w:val="single" w:sz="8" w:color="auto"/>
            </w:tcBorders>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Revenues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$6,941</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$6,387</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$14,026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$12,485</w:t>
            </w:r>
          </w:p>
        </w:tc>
        <w:tc>
          <w:tcPr>
            <w:tcW w:w="0" w:type="dxa"/>
            <w:vAlign w:val="bottom"/>
          </w:tcPr>
          <w:p>
            <w:pPr>
              <w:spacing w:after="0"/>
              <w:rPr>
                <w:sz w:val="1"/>
                <w:szCs w:val="1"/>
                <w:color w:val="auto"/>
              </w:rPr>
            </w:pPr>
          </w:p>
        </w:tc>
      </w:tr>
      <w:tr>
        <w:trPr>
          <w:trHeight w:val="23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cost ratio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95.1 %</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96.1 %</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95.6 %</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96.3 %</w:t>
            </w: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Segment earnings - GAAP</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$317</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$567</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8"/>
        </w:trPr>
        <w:tc>
          <w:tcPr>
            <w:tcW w:w="3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Adjusted earnings before interest, taxes, depreciation</w:t>
            </w:r>
          </w:p>
        </w:tc>
        <w:tc>
          <w:tcPr>
            <w:tcW w:w="1620" w:type="dxa"/>
            <w:vAlign w:val="bottom"/>
            <w:shd w:val="clear" w:color="auto" w:fill="EAEAEA"/>
          </w:tcPr>
          <w:p>
            <w:pPr>
              <w:spacing w:after="0"/>
              <w:rPr>
                <w:sz w:val="18"/>
                <w:szCs w:val="18"/>
                <w:color w:val="auto"/>
              </w:rPr>
            </w:pPr>
          </w:p>
        </w:tc>
        <w:tc>
          <w:tcPr>
            <w:tcW w:w="200" w:type="dxa"/>
            <w:vAlign w:val="bottom"/>
            <w:tcBorders>
              <w:right w:val="single" w:sz="8" w:color="auto"/>
            </w:tcBorders>
            <w:shd w:val="clear" w:color="auto" w:fill="EAEAEA"/>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20" w:type="dxa"/>
            <w:vAlign w:val="bottom"/>
            <w:shd w:val="clear" w:color="auto" w:fill="EAEAEA"/>
          </w:tcPr>
          <w:p>
            <w:pPr>
              <w:spacing w:after="0"/>
              <w:rPr>
                <w:sz w:val="18"/>
                <w:szCs w:val="18"/>
                <w:color w:val="auto"/>
              </w:rPr>
            </w:pPr>
          </w:p>
        </w:tc>
        <w:tc>
          <w:tcPr>
            <w:tcW w:w="200" w:type="dxa"/>
            <w:vAlign w:val="bottom"/>
            <w:tcBorders>
              <w:right w:val="single" w:sz="8" w:color="auto"/>
            </w:tcBorders>
            <w:shd w:val="clear" w:color="auto" w:fill="EAEAEA"/>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and amortization (Adjusted EBITDA) (e)</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$390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82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rPr>
              <w:t>$709</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60"/>
          </w:cols>
          <w:pgMar w:left="320" w:top="1324" w:right="31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u w:val="single" w:color="auto"/>
          <w:color w:val="auto"/>
        </w:rPr>
        <w:t>2020 Earnings Guidance</w:t>
      </w:r>
    </w:p>
    <w:p>
      <w:pPr>
        <w:spacing w:after="0" w:line="279"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Humana is revising its GAAP EPS guidance range for the year ending December 31, 2020 (FY 2020) to $17.36 to $17.86 from the previous range of $16.04 to $16.54, reflecting the YTD 2020 impact of the company's non-consolidating minority interest put/call valuation adjustments. While acknowledging the inherent uncertainty surrounding the ongoing crisis, Humana is maintaining its FY 2020 Adjusted EPS range of $18.25 to $ 18.75. For comparison, FY 2020 GAAP and Adjusted EPS guidance is detailed below along with GAAP and Adjusted results for the year ended December 31, 2019 (FY 2019).</w:t>
      </w:r>
    </w:p>
    <w:p>
      <w:pPr>
        <w:spacing w:after="0" w:line="236"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The company is revising its net membership growth estimate for its individual Medicare Advantage products now expecting growth in a range of 330,000 to 360,000 members for FY 2020 compared to the previous guidance growth range of 300,000 to 350,000 members. This anticipated increase in 2020 represents year-over-year growth of approximately 10 percent at the midpoint of the guidance range.</w:t>
      </w:r>
    </w:p>
    <w:p>
      <w:pPr>
        <w:spacing w:after="0" w:line="237" w:lineRule="exact"/>
        <w:rPr>
          <w:sz w:val="20"/>
          <w:szCs w:val="20"/>
          <w:color w:val="auto"/>
        </w:rPr>
      </w:pPr>
    </w:p>
    <w:p>
      <w:pPr>
        <w:ind w:right="460"/>
        <w:spacing w:after="0" w:line="246" w:lineRule="auto"/>
        <w:rPr>
          <w:sz w:val="20"/>
          <w:szCs w:val="20"/>
          <w:color w:val="auto"/>
        </w:rPr>
      </w:pPr>
      <w:r>
        <w:rPr>
          <w:rFonts w:ascii="Arial" w:cs="Arial" w:eastAsia="Arial" w:hAnsi="Arial"/>
          <w:sz w:val="20"/>
          <w:szCs w:val="20"/>
          <w:color w:val="auto"/>
        </w:rPr>
        <w:t>The company is reiterating its expectations for group Medicare Advantage net membership gains for FY 2020, projecting an increase of approximately 90,000 members year over year.</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For its stand-alone PDP business, Humana continues to estimate a net membership decline of approximately 550,000 members for FY 2020.</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Given the likelihood of significant variability of results by financial statement line item (and related ratios), Humana previously withdrew its additional FY 2020 detailed guidance points that were initially provided as part of the company's fourth quarter 2019 earnings release dated February 5, 2020.</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340" w:type="dxa"/>
            <w:vAlign w:val="bottom"/>
            <w:tcBorders>
              <w:top w:val="single" w:sz="8" w:color="auto"/>
              <w:left w:val="single" w:sz="8" w:color="auto"/>
              <w:right w:val="single" w:sz="8" w:color="auto"/>
            </w:tcBorders>
            <w:shd w:val="clear" w:color="auto" w:fill="EAEAEA"/>
          </w:tcPr>
          <w:p>
            <w:pPr>
              <w:spacing w:after="0"/>
              <w:rPr>
                <w:sz w:val="16"/>
                <w:szCs w:val="16"/>
                <w:color w:val="auto"/>
              </w:rPr>
            </w:pPr>
          </w:p>
        </w:tc>
        <w:tc>
          <w:tcPr>
            <w:tcW w:w="1460" w:type="dxa"/>
            <w:vAlign w:val="bottom"/>
            <w:tcBorders>
              <w:top w:val="single" w:sz="8" w:color="auto"/>
              <w:right w:val="single" w:sz="8" w:color="auto"/>
            </w:tcBorders>
            <w:shd w:val="clear" w:color="auto" w:fill="EAEAEA"/>
          </w:tcPr>
          <w:p>
            <w:pPr>
              <w:jc w:val="right"/>
              <w:ind w:right="402"/>
              <w:spacing w:after="0"/>
              <w:rPr>
                <w:sz w:val="20"/>
                <w:szCs w:val="20"/>
                <w:color w:val="auto"/>
              </w:rPr>
            </w:pPr>
            <w:r>
              <w:rPr>
                <w:rFonts w:ascii="Arial" w:cs="Arial" w:eastAsia="Arial" w:hAnsi="Arial"/>
                <w:sz w:val="14"/>
                <w:szCs w:val="14"/>
                <w:b w:val="1"/>
                <w:bCs w:val="1"/>
                <w:color w:val="auto"/>
              </w:rPr>
              <w:t>FY 2020</w:t>
            </w:r>
          </w:p>
        </w:tc>
        <w:tc>
          <w:tcPr>
            <w:tcW w:w="1460" w:type="dxa"/>
            <w:vAlign w:val="bottom"/>
            <w:tcBorders>
              <w:top w:val="single" w:sz="8" w:color="auto"/>
              <w:right w:val="single" w:sz="8" w:color="auto"/>
            </w:tcBorders>
          </w:tcPr>
          <w:p>
            <w:pPr>
              <w:spacing w:after="0"/>
              <w:rPr>
                <w:sz w:val="16"/>
                <w:szCs w:val="16"/>
                <w:color w:val="auto"/>
              </w:rPr>
            </w:pPr>
          </w:p>
        </w:tc>
      </w:tr>
      <w:tr>
        <w:trPr>
          <w:trHeight w:val="196"/>
        </w:trPr>
        <w:tc>
          <w:tcPr>
            <w:tcW w:w="8340" w:type="dxa"/>
            <w:vAlign w:val="bottom"/>
            <w:tcBorders>
              <w:left w:val="single" w:sz="8" w:color="auto"/>
              <w:bottom w:val="single" w:sz="8" w:color="auto"/>
              <w:right w:val="single" w:sz="8" w:color="auto"/>
            </w:tcBorders>
            <w:shd w:val="clear" w:color="auto" w:fill="EAEAEA"/>
          </w:tcPr>
          <w:p>
            <w:pPr>
              <w:ind w:left="2940"/>
              <w:spacing w:after="0"/>
              <w:rPr>
                <w:sz w:val="20"/>
                <w:szCs w:val="20"/>
                <w:color w:val="auto"/>
              </w:rPr>
            </w:pPr>
            <w:r>
              <w:rPr>
                <w:rFonts w:ascii="Arial" w:cs="Arial" w:eastAsia="Arial" w:hAnsi="Arial"/>
                <w:sz w:val="14"/>
                <w:szCs w:val="14"/>
                <w:b w:val="1"/>
                <w:bCs w:val="1"/>
                <w:color w:val="auto"/>
              </w:rPr>
              <w:t>Diluted earnings per common share</w:t>
            </w:r>
          </w:p>
        </w:tc>
        <w:tc>
          <w:tcPr>
            <w:tcW w:w="1460" w:type="dxa"/>
            <w:vAlign w:val="bottom"/>
            <w:tcBorders>
              <w:bottom w:val="single" w:sz="8" w:color="auto"/>
              <w:right w:val="single" w:sz="8" w:color="auto"/>
            </w:tcBorders>
            <w:shd w:val="clear" w:color="auto" w:fill="EAEAEA"/>
          </w:tcPr>
          <w:p>
            <w:pPr>
              <w:jc w:val="right"/>
              <w:ind w:right="222"/>
              <w:spacing w:after="0"/>
              <w:rPr>
                <w:sz w:val="20"/>
                <w:szCs w:val="20"/>
                <w:color w:val="auto"/>
              </w:rPr>
            </w:pPr>
            <w:r>
              <w:rPr>
                <w:rFonts w:ascii="Arial" w:cs="Arial" w:eastAsia="Arial" w:hAnsi="Arial"/>
                <w:sz w:val="14"/>
                <w:szCs w:val="14"/>
                <w:b w:val="1"/>
                <w:bCs w:val="1"/>
                <w:color w:val="auto"/>
              </w:rPr>
              <w:t>Guidance (f)</w:t>
            </w:r>
          </w:p>
        </w:tc>
        <w:tc>
          <w:tcPr>
            <w:tcW w:w="1460" w:type="dxa"/>
            <w:vAlign w:val="bottom"/>
            <w:tcBorders>
              <w:bottom w:val="single" w:sz="8" w:color="auto"/>
              <w:right w:val="single" w:sz="8" w:color="auto"/>
            </w:tcBorders>
          </w:tcPr>
          <w:p>
            <w:pPr>
              <w:jc w:val="right"/>
              <w:ind w:right="281"/>
              <w:spacing w:after="0"/>
              <w:rPr>
                <w:sz w:val="20"/>
                <w:szCs w:val="20"/>
                <w:color w:val="auto"/>
              </w:rPr>
            </w:pPr>
            <w:r>
              <w:rPr>
                <w:rFonts w:ascii="Arial" w:cs="Arial" w:eastAsia="Arial" w:hAnsi="Arial"/>
                <w:sz w:val="14"/>
                <w:szCs w:val="14"/>
                <w:color w:val="auto"/>
              </w:rPr>
              <w:t>FY 2019 (g)</w:t>
            </w:r>
          </w:p>
        </w:tc>
      </w:tr>
      <w:tr>
        <w:trPr>
          <w:trHeight w:val="236"/>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46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$17.36 to $17.86</w:t>
            </w:r>
          </w:p>
        </w:tc>
        <w:tc>
          <w:tcPr>
            <w:tcW w:w="1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$20.10</w:t>
            </w:r>
          </w:p>
        </w:tc>
      </w:tr>
      <w:tr>
        <w:trPr>
          <w:trHeight w:val="237"/>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of identifiable intangibles</w:t>
            </w:r>
          </w:p>
        </w:tc>
        <w:tc>
          <w:tcPr>
            <w:tcW w:w="1460" w:type="dxa"/>
            <w:vAlign w:val="bottom"/>
            <w:tcBorders>
              <w:bottom w:val="single" w:sz="8" w:color="auto"/>
              <w:right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0.49</w:t>
            </w:r>
          </w:p>
        </w:tc>
        <w:tc>
          <w:tcPr>
            <w:tcW w:w="1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0.40</w:t>
            </w:r>
          </w:p>
        </w:tc>
      </w:tr>
      <w:tr>
        <w:trPr>
          <w:trHeight w:val="237"/>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Put/call valuation adjustments associated with company's non-consolidating minority interest investments</w:t>
            </w:r>
          </w:p>
        </w:tc>
        <w:tc>
          <w:tcPr>
            <w:tcW w:w="1460" w:type="dxa"/>
            <w:vAlign w:val="bottom"/>
            <w:tcBorders>
              <w:bottom w:val="single" w:sz="8" w:color="auto"/>
              <w:right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0.40</w:t>
            </w:r>
          </w:p>
        </w:tc>
        <w:tc>
          <w:tcPr>
            <w:tcW w:w="1460" w:type="dxa"/>
            <w:vAlign w:val="bottom"/>
            <w:tcBorders>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(2.89)</w:t>
            </w:r>
          </w:p>
        </w:tc>
      </w:tr>
      <w:tr>
        <w:trPr>
          <w:trHeight w:val="236"/>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Charges associated with workforce optimization</w:t>
            </w:r>
          </w:p>
        </w:tc>
        <w:tc>
          <w:tcPr>
            <w:tcW w:w="146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0.26</w:t>
            </w:r>
          </w:p>
        </w:tc>
      </w:tr>
      <w:tr>
        <w:trPr>
          <w:trHeight w:val="237"/>
        </w:trPr>
        <w:tc>
          <w:tcPr>
            <w:tcW w:w="8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 – FY 2020 projected; FY 2019 reported</w:t>
            </w:r>
          </w:p>
        </w:tc>
        <w:tc>
          <w:tcPr>
            <w:tcW w:w="146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6"/>
                <w:szCs w:val="16"/>
                <w:b w:val="1"/>
                <w:bCs w:val="1"/>
                <w:color w:val="auto"/>
              </w:rPr>
              <w:t>$18.25 to $18.75</w:t>
            </w:r>
          </w:p>
        </w:tc>
        <w:tc>
          <w:tcPr>
            <w:tcW w:w="1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$17.87</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Humana Consolidated Highlights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revenues</w:t>
      </w:r>
    </w:p>
    <w:p>
      <w:pPr>
        <w:spacing w:after="0" w:line="235" w:lineRule="exact"/>
        <w:rPr>
          <w:sz w:val="20"/>
          <w:szCs w:val="20"/>
          <w:color w:val="auto"/>
        </w:rPr>
      </w:pPr>
    </w:p>
    <w:p>
      <w:pPr>
        <w:ind w:right="360"/>
        <w:spacing w:after="0"/>
        <w:rPr>
          <w:sz w:val="20"/>
          <w:szCs w:val="20"/>
          <w:color w:val="auto"/>
        </w:rPr>
      </w:pPr>
      <w:r>
        <w:rPr>
          <w:rFonts w:ascii="Arial" w:cs="Arial" w:eastAsia="Arial" w:hAnsi="Arial"/>
          <w:sz w:val="20"/>
          <w:szCs w:val="20"/>
          <w:color w:val="auto"/>
        </w:rPr>
        <w:t>GAAP consolidated revenues for 2Q20 were $19.08 billion, an increase of $2.84 billion, or 17 percent, from $ 16.25 billion in 2Q19. Total premiums and services revenues of $19.01 billion in 2Q20 increased $ 2.88 billion, or 18 percent, from $16.13 billion in 2Q19. The favorable year-over-year comparisons were primarily driven by higher premium revenues stemming from Medicare Advantage and state-based contracts membership growth and higher per member Medicare Advantage premiums, while being partially offset by the impact of declining year-over-year stand-alone PDP and fully-insured commercial medical membership.</w:t>
      </w:r>
    </w:p>
    <w:p>
      <w:pPr>
        <w:spacing w:after="0" w:line="21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GAAP consolidated revenues for YTD 2020 increased $ 5.67 billion, or 18 percent, to $38.02 billion from $32.35 billion in YTD 2019. Total YTD 2020 premiums and services revenues rose to $37.79 billion, increasing $5.66 billion, or 18 percent, from $32.14 billion in the prior-year period. The YTD 2020 increases were primarily driven by the same factors impacting the quarterly GAAP comparison.</w:t>
      </w:r>
    </w:p>
    <w:p>
      <w:pPr>
        <w:sectPr>
          <w:pgSz w:w="11900" w:h="16838" w:orient="portrait"/>
          <w:cols w:equalWidth="0" w:num="1">
            <w:col w:w="11260"/>
          </w:cols>
          <w:pgMar w:left="320" w:top="129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297" w:right="3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u w:val="single" w:color="auto"/>
          <w:color w:val="auto"/>
        </w:rPr>
        <w:t>Consolidated benefits expense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The 2Q20 and YTD 2020 GAAP consolidated benefit ratios of 76.4 percent and 80.7 percent, respectively, compared to the 2Q19 and YTD 2019 GAAP consolidated benefit ratios of 84.4 percent and 85.3 percent, respectively. As anticipated, the quarter and year-over-year decreases were primarily the result of the previously discussed impact of the temporary deferral of non-essential care amid the COVID-19 pandemic. The temporary reduction in utilization was partially offset by COVID-19 testing and treatment costs along with the company's ongoing pandemic relief efforts. These relief efforts include the waiver of all cost sharing for in-network primary care, outpatient behavioral health, and telehealth visits for its Medicare Advantage members, delivery of approximately 840,000 meals to senior members in need through YTD 2020, and establishing a clinical outreach team to proactively engage with the company's most vulnerable members.</w:t>
      </w:r>
    </w:p>
    <w:p>
      <w:pPr>
        <w:spacing w:after="0" w:line="239" w:lineRule="exact"/>
        <w:rPr>
          <w:sz w:val="20"/>
          <w:szCs w:val="20"/>
          <w:color w:val="auto"/>
        </w:rPr>
      </w:pPr>
    </w:p>
    <w:p>
      <w:pPr>
        <w:jc w:val="both"/>
        <w:ind w:right="80"/>
        <w:spacing w:after="0" w:line="232" w:lineRule="auto"/>
        <w:rPr>
          <w:sz w:val="20"/>
          <w:szCs w:val="20"/>
          <w:color w:val="auto"/>
        </w:rPr>
      </w:pPr>
      <w:r>
        <w:rPr>
          <w:rFonts w:ascii="Arial" w:cs="Arial" w:eastAsia="Arial" w:hAnsi="Arial"/>
          <w:sz w:val="20"/>
          <w:szCs w:val="20"/>
          <w:color w:val="auto"/>
        </w:rPr>
        <w:t>The 2Q20 and YTD 2020 GAAP consolidated benefit ratios were also lower when compared to the prior year periods due to the reinstatement of the non-deductible health insurance industry fee (HIF) in 2020 that was contemplated in the pricing and benefit design of the company's products.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Prior Period Medical Claims Reserve Development (Prior Period Development)</w:t>
      </w:r>
    </w:p>
    <w:p>
      <w:pPr>
        <w:spacing w:after="0" w:line="240"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As anticipated, Humana experienced negative Prior Period Development for 2Q20 as a result of the suspension of certain financial recovery programs for a period of time in the quarter. The suspension was intended to provide financial and administrative relief for providers facing unprecedented strain during the COVID-19 pandemic. The company anticipates it will recover some of the amounts associated with the temporary suspension in the latter half of 2020 and in 2021.</w:t>
      </w:r>
    </w:p>
    <w:p>
      <w:pPr>
        <w:spacing w:after="0" w:line="221" w:lineRule="exact"/>
        <w:rPr>
          <w:sz w:val="20"/>
          <w:szCs w:val="20"/>
          <w:color w:val="auto"/>
        </w:rPr>
      </w:pPr>
    </w:p>
    <w:tbl>
      <w:tblPr>
        <w:tblLayout w:type="fixed"/>
        <w:tblInd w:w="1070" w:type="dxa"/>
        <w:tblCellMar>
          <w:top w:w="0" w:type="dxa"/>
          <w:left w:w="0" w:type="dxa"/>
          <w:bottom w:w="0" w:type="dxa"/>
          <w:right w:w="0" w:type="dxa"/>
        </w:tblCellMar>
      </w:tblPr>
      <w:tr>
        <w:trPr>
          <w:trHeight w:val="211"/>
        </w:trPr>
        <w:tc>
          <w:tcPr>
            <w:tcW w:w="51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Prior Period Development (in millions)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First</w:t>
            </w:r>
          </w:p>
        </w:tc>
        <w:tc>
          <w:tcPr>
            <w:tcW w:w="13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6"/>
                <w:szCs w:val="16"/>
                <w:b w:val="1"/>
                <w:bCs w:val="1"/>
                <w:color w:val="auto"/>
              </w:rPr>
              <w:t>Second</w:t>
            </w:r>
          </w:p>
        </w:tc>
        <w:tc>
          <w:tcPr>
            <w:tcW w:w="1200" w:type="dxa"/>
            <w:vAlign w:val="bottom"/>
            <w:tcBorders>
              <w:top w:val="single" w:sz="8" w:color="auto"/>
              <w:right w:val="single" w:sz="8" w:color="auto"/>
            </w:tcBorders>
          </w:tcPr>
          <w:p>
            <w:pPr>
              <w:spacing w:after="0"/>
              <w:rPr>
                <w:sz w:val="18"/>
                <w:szCs w:val="18"/>
                <w:color w:val="auto"/>
              </w:rPr>
            </w:pPr>
          </w:p>
        </w:tc>
      </w:tr>
      <w:tr>
        <w:trPr>
          <w:trHeight w:val="228"/>
        </w:trPr>
        <w:tc>
          <w:tcPr>
            <w:tcW w:w="5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Favorable (unfavorable)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Quarter</w:t>
            </w:r>
          </w:p>
        </w:tc>
        <w:tc>
          <w:tcPr>
            <w:tcW w:w="13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b w:val="1"/>
                <w:bCs w:val="1"/>
                <w:color w:val="auto"/>
              </w:rPr>
              <w:t>Quarter</w:t>
            </w:r>
          </w:p>
        </w:tc>
        <w:tc>
          <w:tcPr>
            <w:tcW w:w="12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YTD</w:t>
            </w:r>
          </w:p>
        </w:tc>
      </w:tr>
      <w:tr>
        <w:trPr>
          <w:trHeight w:val="237"/>
        </w:trPr>
        <w:tc>
          <w:tcPr>
            <w:tcW w:w="5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Prior Period Development from prior years recognized in 2020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$284</w:t>
            </w:r>
          </w:p>
        </w:tc>
        <w:tc>
          <w:tcPr>
            <w:tcW w:w="134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$(49)</w:t>
            </w:r>
          </w:p>
        </w:tc>
        <w:tc>
          <w:tcPr>
            <w:tcW w:w="1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$235</w:t>
            </w:r>
          </w:p>
        </w:tc>
      </w:tr>
      <w:tr>
        <w:trPr>
          <w:trHeight w:val="236"/>
        </w:trPr>
        <w:tc>
          <w:tcPr>
            <w:tcW w:w="5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Prior Period Development from prior years recognized in 2019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$267</w:t>
            </w:r>
          </w:p>
        </w:tc>
        <w:tc>
          <w:tcPr>
            <w:tcW w:w="134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6"/>
                <w:szCs w:val="16"/>
                <w:color w:val="auto"/>
              </w:rPr>
              <w:t>$8</w:t>
            </w:r>
          </w:p>
        </w:tc>
        <w:tc>
          <w:tcPr>
            <w:tcW w:w="1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$275</w:t>
            </w:r>
          </w:p>
        </w:tc>
      </w:tr>
    </w:tbl>
    <w:p>
      <w:pPr>
        <w:spacing w:after="0" w:line="212"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Unfavorable Prior Period Development increased the consolidated benefit ratio by 30 basis points in 2Q20 while favorable Prior Period Development decreased the 2Q19 ratio by 10 basis points. Favorable Prior Period Development decreased the YTD 2020 consolidated benefit ratio by 60 basis points and decreased the YTD 2019 consolidated benefit ratio by 90 basis points.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Consolidated operating expenses</w:t>
      </w:r>
    </w:p>
    <w:p>
      <w:pPr>
        <w:spacing w:after="0" w:line="262"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2Q20 GAAP consolidated operating cost ratio (operating costs as a percent of total revenues less investment income) of 12.4 percent increased 180 basis points from the 2Q19 ratio of 10.6 percent. The increase was primarily related to the following factors:</w:t>
      </w:r>
    </w:p>
    <w:p>
      <w:pPr>
        <w:spacing w:after="0" w:line="206" w:lineRule="exact"/>
        <w:rPr>
          <w:sz w:val="20"/>
          <w:szCs w:val="20"/>
          <w:color w:val="auto"/>
        </w:rPr>
      </w:pPr>
    </w:p>
    <w:p>
      <w:pPr>
        <w:ind w:left="660" w:right="800" w:hanging="328"/>
        <w:spacing w:after="0" w:line="246"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reinstatement of the non-deductible HIF in 2020, which increased the consolidated GAAP operating cost ratio by approximately 150 basis points in 2Q20,</w:t>
      </w:r>
    </w:p>
    <w:p>
      <w:pPr>
        <w:spacing w:after="0" w:line="203" w:lineRule="exact"/>
        <w:rPr>
          <w:rFonts w:ascii="Arial" w:cs="Arial" w:eastAsia="Arial" w:hAnsi="Arial"/>
          <w:sz w:val="20"/>
          <w:szCs w:val="20"/>
          <w:color w:val="auto"/>
        </w:rPr>
      </w:pPr>
    </w:p>
    <w:p>
      <w:pPr>
        <w:ind w:left="660" w:right="320" w:hanging="328"/>
        <w:spacing w:after="0" w:line="246"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$150 million contribution to the Humana Foundation to support the communities served by the company, particularly those with social and health disparities, and</w:t>
      </w:r>
    </w:p>
    <w:p>
      <w:pPr>
        <w:spacing w:after="0" w:line="203" w:lineRule="exact"/>
        <w:rPr>
          <w:rFonts w:ascii="Arial" w:cs="Arial" w:eastAsia="Arial" w:hAnsi="Arial"/>
          <w:sz w:val="20"/>
          <w:szCs w:val="20"/>
          <w:color w:val="auto"/>
        </w:rPr>
      </w:pPr>
    </w:p>
    <w:p>
      <w:pPr>
        <w:ind w:left="660" w:right="220" w:hanging="328"/>
        <w:spacing w:after="0" w:line="246"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COVID-19 related costs, including those associated with personal protective equipment, member response efforts, and the build-out of infrastructure necessary to support employees working remotely.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above items were partially offset by the following items:</w:t>
      </w:r>
    </w:p>
    <w:p>
      <w:pPr>
        <w:spacing w:after="0" w:line="216"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scale efficiencies associated with growth in the company's Medicare Advantage membership; and</w:t>
      </w:r>
    </w:p>
    <w:p>
      <w:pPr>
        <w:spacing w:after="0" w:line="215" w:lineRule="exact"/>
        <w:rPr>
          <w:rFonts w:ascii="Arial" w:cs="Arial" w:eastAsia="Arial" w:hAnsi="Arial"/>
          <w:sz w:val="20"/>
          <w:szCs w:val="20"/>
          <w:color w:val="auto"/>
        </w:rPr>
      </w:pPr>
    </w:p>
    <w:p>
      <w:pPr>
        <w:ind w:left="620" w:hanging="288"/>
        <w:spacing w:after="0"/>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significant operating cost efficiencies in 2Q20 driven by previously disclosed productivity initiatives.</w:t>
      </w:r>
    </w:p>
    <w:p>
      <w:pPr>
        <w:sectPr>
          <w:pgSz w:w="11900" w:h="16838" w:orient="portrait"/>
          <w:cols w:equalWidth="0" w:num="1">
            <w:col w:w="11220"/>
          </w:cols>
          <w:pgMar w:left="320" w:top="1309"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1309" w:right="359" w:bottom="1440" w:gutter="0" w:footer="0" w:header="0"/>
          <w:type w:val="continuous"/>
        </w:sectPr>
      </w:pPr>
    </w:p>
    <w:bookmarkStart w:id="19" w:name="page20"/>
    <w:bookmarkEnd w:id="19"/>
    <w:p>
      <w:pPr>
        <w:ind w:right="40"/>
        <w:spacing w:after="0" w:line="243" w:lineRule="auto"/>
        <w:rPr>
          <w:sz w:val="20"/>
          <w:szCs w:val="20"/>
          <w:color w:val="auto"/>
        </w:rPr>
      </w:pPr>
      <w:r>
        <w:rPr>
          <w:rFonts w:ascii="Arial" w:cs="Arial" w:eastAsia="Arial" w:hAnsi="Arial"/>
          <w:sz w:val="20"/>
          <w:szCs w:val="20"/>
          <w:color w:val="auto"/>
        </w:rPr>
        <w:t>The 130 basis point increase in the YTD 2020 GAAP consolidated operating cost ratio of 11.8 percent from 10.5 percent in YTD 2019 was primarily impacted by the same factors influencing the second quarter GAAP comparison. The non-deductible HIF increased the YTD 2020 consolidated GAAP operating cost ratio by approximately 160 basis points.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w:t>
      </w:r>
    </w:p>
    <w:p>
      <w:pPr>
        <w:spacing w:after="0" w:line="235" w:lineRule="exact"/>
        <w:rPr>
          <w:sz w:val="20"/>
          <w:szCs w:val="20"/>
          <w:color w:val="auto"/>
        </w:rPr>
      </w:pPr>
    </w:p>
    <w:p>
      <w:pPr>
        <w:ind w:left="660" w:right="20" w:hanging="328"/>
        <w:spacing w:after="0" w:line="241" w:lineRule="auto"/>
        <w:tabs>
          <w:tab w:leader="none" w:pos="621" w:val="left"/>
        </w:tabs>
        <w:numPr>
          <w:ilvl w:val="0"/>
          <w:numId w:val="20"/>
        </w:numPr>
        <w:rPr>
          <w:rFonts w:ascii="Arial" w:cs="Arial" w:eastAsia="Arial" w:hAnsi="Arial"/>
          <w:sz w:val="20"/>
          <w:szCs w:val="20"/>
          <w:color w:val="auto"/>
        </w:rPr>
      </w:pPr>
      <w:r>
        <w:rPr>
          <w:rFonts w:ascii="Arial" w:cs="Arial" w:eastAsia="Arial" w:hAnsi="Arial"/>
          <w:sz w:val="20"/>
          <w:szCs w:val="20"/>
          <w:color w:val="auto"/>
        </w:rPr>
        <w:t>At June 30, 2020, the company had cash, cash equivalents, and investment securities of $20.39 billion, up approximately $2.84 billion, or 16 percent, from $17.55 billion at March 31, 2020. The growth primarily results from increased operating income driven by the deferral of care, partially offset by the acceleration of provider payments and the contribution to the Humana Foundation. Additional changes are outlined in the company’s consolidated statement of cash flows on pages S-6 of the statistical supplement included in this release.</w:t>
      </w:r>
    </w:p>
    <w:p>
      <w:pPr>
        <w:spacing w:after="0" w:line="154" w:lineRule="exact"/>
        <w:rPr>
          <w:rFonts w:ascii="Arial" w:cs="Arial" w:eastAsia="Arial" w:hAnsi="Arial"/>
          <w:sz w:val="20"/>
          <w:szCs w:val="20"/>
          <w:color w:val="auto"/>
        </w:rPr>
      </w:pPr>
    </w:p>
    <w:p>
      <w:pPr>
        <w:ind w:left="660" w:right="140" w:hanging="328"/>
        <w:spacing w:after="0" w:line="258" w:lineRule="auto"/>
        <w:tabs>
          <w:tab w:leader="none" w:pos="621" w:val="left"/>
        </w:tabs>
        <w:numPr>
          <w:ilvl w:val="0"/>
          <w:numId w:val="20"/>
        </w:numPr>
        <w:rPr>
          <w:rFonts w:ascii="Arial" w:cs="Arial" w:eastAsia="Arial" w:hAnsi="Arial"/>
          <w:sz w:val="19"/>
          <w:szCs w:val="19"/>
          <w:color w:val="auto"/>
        </w:rPr>
      </w:pPr>
      <w:r>
        <w:rPr>
          <w:rFonts w:ascii="Arial" w:cs="Arial" w:eastAsia="Arial" w:hAnsi="Arial"/>
          <w:sz w:val="19"/>
          <w:szCs w:val="19"/>
          <w:color w:val="auto"/>
        </w:rPr>
        <w:t>At June 30, 2020, cash and short-term investments held at the parent company of $2.45 billion increased approximately $100 million, or 4 percent, from $2.35 billion at March 31, 2020. The sequential increase primarily resulted from dividends received from subsidiaries in 2Q20 along with non-regulated subsidiary earnings. These increases were partially offset by repayment of commercial paper loans, capital expenditures, and cash dividends to shareholders.</w:t>
      </w:r>
    </w:p>
    <w:p>
      <w:pPr>
        <w:spacing w:after="0" w:line="140" w:lineRule="exact"/>
        <w:rPr>
          <w:rFonts w:ascii="Arial" w:cs="Arial" w:eastAsia="Arial" w:hAnsi="Arial"/>
          <w:sz w:val="19"/>
          <w:szCs w:val="19"/>
          <w:color w:val="auto"/>
        </w:rPr>
      </w:pPr>
    </w:p>
    <w:p>
      <w:pPr>
        <w:jc w:val="both"/>
        <w:ind w:left="660" w:right="240" w:hanging="328"/>
        <w:spacing w:after="0" w:line="252" w:lineRule="auto"/>
        <w:tabs>
          <w:tab w:leader="none" w:pos="621" w:val="left"/>
        </w:tabs>
        <w:numPr>
          <w:ilvl w:val="0"/>
          <w:numId w:val="20"/>
        </w:numPr>
        <w:rPr>
          <w:rFonts w:ascii="Arial" w:cs="Arial" w:eastAsia="Arial" w:hAnsi="Arial"/>
          <w:sz w:val="19"/>
          <w:szCs w:val="19"/>
          <w:color w:val="auto"/>
        </w:rPr>
      </w:pPr>
      <w:r>
        <w:rPr>
          <w:rFonts w:ascii="Arial" w:cs="Arial" w:eastAsia="Arial" w:hAnsi="Arial"/>
          <w:sz w:val="19"/>
          <w:szCs w:val="19"/>
          <w:color w:val="auto"/>
        </w:rPr>
        <w:t>Days in claims payable (DCP) of 51.2 days at June 30, 2020, increased by 9.9 days from 41.3 days at March 31, 2020 and increased 11.3 days from 39.9 days at June 30, 2019. DCP was impacted by the timing of benefits expense in the quarter which, as previously discussed, was meaningfully depressed early in the quarter before beginning to rebound.</w:t>
      </w:r>
    </w:p>
    <w:p>
      <w:pPr>
        <w:ind w:left="660"/>
        <w:spacing w:after="0" w:line="241" w:lineRule="auto"/>
        <w:rPr>
          <w:rFonts w:ascii="Arial" w:cs="Arial" w:eastAsia="Arial" w:hAnsi="Arial"/>
          <w:sz w:val="19"/>
          <w:szCs w:val="19"/>
          <w:color w:val="auto"/>
        </w:rPr>
      </w:pPr>
      <w:r>
        <w:rPr>
          <w:rFonts w:ascii="Arial" w:cs="Arial" w:eastAsia="Arial" w:hAnsi="Arial"/>
          <w:sz w:val="20"/>
          <w:szCs w:val="20"/>
          <w:color w:val="auto"/>
        </w:rPr>
        <w:t>The depressed utilization reduced the average benefits expense per day for the quarter, but did not have a comparable impact on reserves which were weighted to June when utilization reached its peak in the quarter. Depressed utilization in the quarter also led to higher provider surplus accruals related to the company's risk sharing arrangements. Changes are outlined in the DCP rollforward on page S-19 of the statistical supplement included in this release.</w:t>
      </w:r>
    </w:p>
    <w:p>
      <w:pPr>
        <w:spacing w:after="0" w:line="156" w:lineRule="exact"/>
        <w:rPr>
          <w:rFonts w:ascii="Arial" w:cs="Arial" w:eastAsia="Arial" w:hAnsi="Arial"/>
          <w:sz w:val="19"/>
          <w:szCs w:val="19"/>
          <w:color w:val="auto"/>
        </w:rPr>
      </w:pPr>
    </w:p>
    <w:p>
      <w:pPr>
        <w:ind w:left="660" w:right="180" w:hanging="328"/>
        <w:spacing w:after="0" w:line="243" w:lineRule="auto"/>
        <w:tabs>
          <w:tab w:leader="none" w:pos="621" w:val="left"/>
        </w:tabs>
        <w:numPr>
          <w:ilvl w:val="0"/>
          <w:numId w:val="20"/>
        </w:numPr>
        <w:rPr>
          <w:rFonts w:ascii="Arial" w:cs="Arial" w:eastAsia="Arial" w:hAnsi="Arial"/>
          <w:sz w:val="20"/>
          <w:szCs w:val="20"/>
          <w:color w:val="auto"/>
        </w:rPr>
      </w:pPr>
      <w:r>
        <w:rPr>
          <w:rFonts w:ascii="Arial" w:cs="Arial" w:eastAsia="Arial" w:hAnsi="Arial"/>
          <w:sz w:val="20"/>
          <w:szCs w:val="20"/>
          <w:color w:val="auto"/>
        </w:rPr>
        <w:t>Debt-to-total capitalization at June 30, 2020 was 35.1 percent, down 410 basis points from 39.2 percent at March 30, 2020 primarily resulting from the net impact of 2Q20 earnings and the net repayment of commercial paper loans during 2Q20.</w:t>
      </w:r>
    </w:p>
    <w:p>
      <w:pPr>
        <w:spacing w:after="0" w:line="152" w:lineRule="exact"/>
        <w:rPr>
          <w:sz w:val="20"/>
          <w:szCs w:val="20"/>
          <w:color w:val="auto"/>
        </w:rPr>
      </w:pPr>
    </w:p>
    <w:p>
      <w:pPr>
        <w:ind w:left="660"/>
        <w:spacing w:after="0" w:line="262" w:lineRule="auto"/>
        <w:rPr>
          <w:sz w:val="20"/>
          <w:szCs w:val="20"/>
          <w:color w:val="auto"/>
        </w:rPr>
      </w:pPr>
      <w:r>
        <w:rPr>
          <w:rFonts w:ascii="Arial" w:cs="Arial" w:eastAsia="Arial" w:hAnsi="Arial"/>
          <w:sz w:val="19"/>
          <w:szCs w:val="19"/>
          <w:color w:val="auto"/>
        </w:rPr>
        <w:t>The company’s long-term debt-to-total capitalization target of approximately 35 percent is expected to allow the company to maintain its investment grade credit rating while providing significant financial flexibility. At times, the company's debt-to-total capitalization will exceed this target due to the timing of share repurchases, acquisitions, and debt issuance.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cash flows</w:t>
      </w:r>
    </w:p>
    <w:p>
      <w:pPr>
        <w:spacing w:after="0" w:line="240" w:lineRule="exact"/>
        <w:rPr>
          <w:sz w:val="20"/>
          <w:szCs w:val="20"/>
          <w:color w:val="auto"/>
        </w:rPr>
      </w:pPr>
    </w:p>
    <w:p>
      <w:pPr>
        <w:ind w:left="660" w:right="140" w:hanging="328"/>
        <w:spacing w:after="0" w:line="243" w:lineRule="auto"/>
        <w:tabs>
          <w:tab w:leader="none" w:pos="621" w:val="left"/>
        </w:tabs>
        <w:numPr>
          <w:ilvl w:val="0"/>
          <w:numId w:val="21"/>
        </w:numPr>
        <w:rPr>
          <w:rFonts w:ascii="Arial" w:cs="Arial" w:eastAsia="Arial" w:hAnsi="Arial"/>
          <w:sz w:val="20"/>
          <w:szCs w:val="20"/>
          <w:color w:val="auto"/>
        </w:rPr>
      </w:pPr>
      <w:r>
        <w:rPr>
          <w:rFonts w:ascii="Arial" w:cs="Arial" w:eastAsia="Arial" w:hAnsi="Arial"/>
          <w:sz w:val="20"/>
          <w:szCs w:val="20"/>
          <w:color w:val="auto"/>
        </w:rPr>
        <w:t>GAAP cash flows provided by operations of $3.07 billion in 2Q20 compared to GAAP cash flows provided by operations of $1.43 billion in 2Q19, an increase of $1.63 billion year over year. The year-over-year increase was impacted by the following factors:</w:t>
      </w:r>
    </w:p>
    <w:p>
      <w:pPr>
        <w:spacing w:after="0" w:line="205" w:lineRule="exact"/>
        <w:rPr>
          <w:rFonts w:ascii="Arial" w:cs="Arial" w:eastAsia="Arial" w:hAnsi="Arial"/>
          <w:sz w:val="20"/>
          <w:szCs w:val="20"/>
          <w:color w:val="auto"/>
        </w:rPr>
      </w:pPr>
    </w:p>
    <w:p>
      <w:pPr>
        <w:ind w:left="1180" w:hanging="200"/>
        <w:spacing w:after="0"/>
        <w:tabs>
          <w:tab w:leader="none" w:pos="11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higher earnings in 2Q20 as compared to 2Q19,</w:t>
      </w:r>
    </w:p>
    <w:p>
      <w:pPr>
        <w:spacing w:after="0" w:line="215" w:lineRule="exact"/>
        <w:rPr>
          <w:rFonts w:ascii="Arial" w:cs="Arial" w:eastAsia="Arial" w:hAnsi="Arial"/>
          <w:sz w:val="20"/>
          <w:szCs w:val="20"/>
          <w:color w:val="auto"/>
        </w:rPr>
      </w:pPr>
    </w:p>
    <w:p>
      <w:pPr>
        <w:ind w:left="1300" w:right="100" w:hanging="320"/>
        <w:spacing w:after="0" w:line="246" w:lineRule="auto"/>
        <w:tabs>
          <w:tab w:leader="none" w:pos="1168"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timing of working capital items, primarily related to benefits payable, including higher provider surplus accruals from the company's risk sharing arrangements, and</w:t>
      </w:r>
    </w:p>
    <w:p>
      <w:pPr>
        <w:spacing w:after="0" w:line="203" w:lineRule="exact"/>
        <w:rPr>
          <w:rFonts w:ascii="Arial" w:cs="Arial" w:eastAsia="Arial" w:hAnsi="Arial"/>
          <w:sz w:val="20"/>
          <w:szCs w:val="20"/>
          <w:color w:val="auto"/>
        </w:rPr>
      </w:pPr>
    </w:p>
    <w:p>
      <w:pPr>
        <w:ind w:left="1300" w:right="60" w:hanging="320"/>
        <w:spacing w:after="0" w:line="246" w:lineRule="auto"/>
        <w:tabs>
          <w:tab w:leader="none" w:pos="1168"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delayed payment of estimated 2Q20 federal income taxes until the third quarter of 2020 in accordance with the CARES Act.</w:t>
      </w:r>
    </w:p>
    <w:p>
      <w:pPr>
        <w:spacing w:after="0" w:line="204" w:lineRule="exact"/>
        <w:rPr>
          <w:sz w:val="20"/>
          <w:szCs w:val="20"/>
          <w:color w:val="auto"/>
        </w:rPr>
      </w:pPr>
    </w:p>
    <w:p>
      <w:pPr>
        <w:ind w:left="660" w:right="80"/>
        <w:spacing w:after="0" w:line="246" w:lineRule="auto"/>
        <w:rPr>
          <w:sz w:val="20"/>
          <w:szCs w:val="20"/>
          <w:color w:val="auto"/>
        </w:rPr>
      </w:pPr>
      <w:r>
        <w:rPr>
          <w:rFonts w:ascii="Arial" w:cs="Arial" w:eastAsia="Arial" w:hAnsi="Arial"/>
          <w:sz w:val="20"/>
          <w:szCs w:val="20"/>
          <w:color w:val="auto"/>
        </w:rPr>
        <w:t>The favorable working capital items were partially offset by the timing of the mid-year Medicare risk adjustment premium revenue collections that were received in July 2020 versus the second quarter in 2019.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1324" w:right="359" w:bottom="1440" w:gutter="0" w:footer="0" w:header="0"/>
        </w:sectPr>
      </w:pPr>
    </w:p>
    <w:bookmarkStart w:id="20" w:name="page21"/>
    <w:bookmarkEnd w:id="20"/>
    <w:p>
      <w:pPr>
        <w:ind w:left="660" w:hanging="328"/>
        <w:spacing w:after="0" w:line="243" w:lineRule="auto"/>
        <w:tabs>
          <w:tab w:leader="none" w:pos="621" w:val="left"/>
        </w:tabs>
        <w:numPr>
          <w:ilvl w:val="0"/>
          <w:numId w:val="22"/>
        </w:numPr>
        <w:rPr>
          <w:rFonts w:ascii="Arial" w:cs="Arial" w:eastAsia="Arial" w:hAnsi="Arial"/>
          <w:sz w:val="20"/>
          <w:szCs w:val="20"/>
          <w:color w:val="auto"/>
        </w:rPr>
      </w:pPr>
      <w:r>
        <w:rPr>
          <w:rFonts w:ascii="Arial" w:cs="Arial" w:eastAsia="Arial" w:hAnsi="Arial"/>
          <w:sz w:val="20"/>
          <w:szCs w:val="20"/>
          <w:color w:val="auto"/>
        </w:rPr>
        <w:t>GAAP cash flows provided by operations for YTD 2020 totaled $3.54 billion versus $2.33 billion during YTD 2019, an increase of $1.21 billion year over year. The strong operating cash flows for YTD 2020 primarily reflect the same factors impacting the second quarter comparison.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Share repurchases</w:t>
      </w:r>
    </w:p>
    <w:p>
      <w:pPr>
        <w:spacing w:after="0" w:line="240"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Humana did not complete any open-market transactions during YTD 2020.</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Cash dividends</w:t>
      </w:r>
    </w:p>
    <w:p>
      <w:pPr>
        <w:spacing w:after="0" w:line="240" w:lineRule="exact"/>
        <w:rPr>
          <w:sz w:val="20"/>
          <w:szCs w:val="20"/>
          <w:color w:val="auto"/>
        </w:rPr>
      </w:pPr>
    </w:p>
    <w:p>
      <w:pPr>
        <w:ind w:left="660" w:right="40" w:hanging="328"/>
        <w:spacing w:after="0" w:line="241" w:lineRule="auto"/>
        <w:tabs>
          <w:tab w:leader="none" w:pos="621"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 paid cash dividends to its stockholders of $83 million in 2Q20 versus $74 million in 2Q19. Cash dividends of $156 million were paid to the company’s stockholders during YTD 2020 compared to $142 million in YTD 2019. The quarter and year-over-year growth reflect an increase in the per share dividend amount to $0.625, as approved by the company's Board of Directors in February 2020, versus the previous per share amount of $0.55.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00"/>
          </w:cols>
          <w:pgMar w:left="320" w:top="1324" w:right="479" w:bottom="1440" w:gutter="0" w:footer="0" w:header="0"/>
        </w:sectPr>
      </w:pPr>
    </w:p>
    <w:bookmarkStart w:id="21" w:name="page22"/>
    <w:bookmarkEnd w:id="21"/>
    <w:p>
      <w:pPr>
        <w:spacing w:after="0"/>
        <w:rPr>
          <w:sz w:val="20"/>
          <w:szCs w:val="20"/>
          <w:color w:val="auto"/>
        </w:rPr>
      </w:pPr>
      <w:r>
        <w:rPr>
          <w:rFonts w:ascii="Arial" w:cs="Arial" w:eastAsia="Arial" w:hAnsi="Arial"/>
          <w:sz w:val="25"/>
          <w:szCs w:val="25"/>
          <w:b w:val="1"/>
          <w:bCs w:val="1"/>
          <w:u w:val="single" w:color="auto"/>
          <w:color w:val="auto"/>
        </w:rPr>
        <w:t>Humana’s Retail Segment</w:t>
      </w:r>
    </w:p>
    <w:p>
      <w:pPr>
        <w:spacing w:after="0" w:line="252" w:lineRule="exact"/>
        <w:rPr>
          <w:sz w:val="20"/>
          <w:szCs w:val="20"/>
          <w:color w:val="auto"/>
        </w:rPr>
      </w:pPr>
    </w:p>
    <w:p>
      <w:pPr>
        <w:jc w:val="both"/>
        <w:ind w:right="60"/>
        <w:spacing w:after="0" w:line="257" w:lineRule="auto"/>
        <w:rPr>
          <w:sz w:val="20"/>
          <w:szCs w:val="20"/>
          <w:color w:val="auto"/>
        </w:rPr>
      </w:pPr>
      <w:r>
        <w:rPr>
          <w:rFonts w:ascii="Arial" w:cs="Arial" w:eastAsia="Arial" w:hAnsi="Arial"/>
          <w:sz w:val="19"/>
          <w:szCs w:val="19"/>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services under the Medicaid program, including Temporary Assistance for Needy Families (TANF), dual eligible, and Long-Term Support Services benefits. In addition, this segment also includes the company’s contract with Centers for Medicare &amp; Medicaid Services (CMS) to administer the Limited Income Newly Eligible Transition prescription drug plan (PDP) program.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segment revenues:</w:t>
      </w:r>
    </w:p>
    <w:p>
      <w:pPr>
        <w:spacing w:after="0" w:line="240" w:lineRule="exact"/>
        <w:rPr>
          <w:sz w:val="20"/>
          <w:szCs w:val="20"/>
          <w:color w:val="auto"/>
        </w:rPr>
      </w:pPr>
    </w:p>
    <w:p>
      <w:pPr>
        <w:ind w:left="660" w:right="20" w:hanging="328"/>
        <w:spacing w:after="0" w:line="241" w:lineRule="auto"/>
        <w:tabs>
          <w:tab w:leader="none" w:pos="621"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2Q20 revenues for the Retail segment were $16.96 billion, an increase of $2.80 billion, or 20 percent, from $14.16 billion in 2Q19 primarily reflecting higher premiums as a result of Medicare Advantage and state-based contracts membership growth and higher per member Medicare Advantage premiums. These favorable items were partially offset by the decline in membership in the company's stand-alone PDP offerings. The year-over-year membership changes are further discussed below.</w:t>
      </w:r>
    </w:p>
    <w:p>
      <w:pPr>
        <w:spacing w:after="0" w:line="208" w:lineRule="exact"/>
        <w:rPr>
          <w:rFonts w:ascii="Arial" w:cs="Arial" w:eastAsia="Arial" w:hAnsi="Arial"/>
          <w:sz w:val="20"/>
          <w:szCs w:val="20"/>
          <w:color w:val="auto"/>
        </w:rPr>
      </w:pPr>
    </w:p>
    <w:p>
      <w:pPr>
        <w:ind w:left="660" w:right="100" w:hanging="328"/>
        <w:spacing w:after="0" w:line="246" w:lineRule="auto"/>
        <w:tabs>
          <w:tab w:leader="none" w:pos="621"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YTD 2020 revenues for the Retail segment were $33.72 billion, up $5.55 billion, or 20 percent, from $28.17 billion in YTD 2019, primarily reflecting the same factors impacting the year-over-year second quarter comparison.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segment enrollment:</w:t>
      </w:r>
    </w:p>
    <w:p>
      <w:pPr>
        <w:spacing w:after="0" w:line="216" w:lineRule="exact"/>
        <w:rPr>
          <w:sz w:val="20"/>
          <w:szCs w:val="20"/>
          <w:color w:val="auto"/>
        </w:rPr>
      </w:pPr>
    </w:p>
    <w:p>
      <w:pPr>
        <w:ind w:left="660" w:right="100" w:hanging="328"/>
        <w:spacing w:after="0" w:line="261" w:lineRule="auto"/>
        <w:tabs>
          <w:tab w:leader="none" w:pos="621" w:val="left"/>
        </w:tabs>
        <w:numPr>
          <w:ilvl w:val="0"/>
          <w:numId w:val="2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Individual Medicare Advantage </w:t>
      </w:r>
      <w:r>
        <w:rPr>
          <w:rFonts w:ascii="Arial" w:cs="Arial" w:eastAsia="Arial" w:hAnsi="Arial"/>
          <w:sz w:val="19"/>
          <w:szCs w:val="19"/>
          <w:color w:val="auto"/>
        </w:rPr>
        <w:t>membership was 3,877,200 as of June 30, 2020, a net increase of 392,700 or 11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percent, from 3,484,500 as of June 30, 2019, and up 290,000, or 8 percent, from 3,587,200 as of December 31, 2019. The increases were primarily due to membership additions associated with the most recent Annual Election Period (AEP) and Open Election Period (OEP) for Medicare beneficiaries. The 2020 OEP sales period, which ran from January 1 to March 31, 2020, added approximately 30,000 members. Since the conclusion of the 2020 OEP, enrollment continued to increase due to special elections, age-ins, and Dual Eligible Special Need Plans (D-SNP) members.</w:t>
      </w:r>
    </w:p>
    <w:p>
      <w:pPr>
        <w:spacing w:after="0" w:line="191" w:lineRule="exact"/>
        <w:rPr>
          <w:sz w:val="20"/>
          <w:szCs w:val="20"/>
          <w:color w:val="auto"/>
        </w:rPr>
      </w:pPr>
    </w:p>
    <w:p>
      <w:pPr>
        <w:ind w:left="660" w:right="40"/>
        <w:spacing w:after="0" w:line="241" w:lineRule="auto"/>
        <w:rPr>
          <w:sz w:val="20"/>
          <w:szCs w:val="20"/>
          <w:color w:val="auto"/>
        </w:rPr>
      </w:pPr>
      <w:r>
        <w:rPr>
          <w:rFonts w:ascii="Arial" w:cs="Arial" w:eastAsia="Arial" w:hAnsi="Arial"/>
          <w:sz w:val="20"/>
          <w:szCs w:val="20"/>
          <w:color w:val="auto"/>
        </w:rPr>
        <w:t>Individual Medicare Advantage membership includes 365,300 D-SNP members as of June 30, 2020, a net increase of 101,100, or 38 percent, from 264,200 as of June 30, 2019, and up 77,100, or 27 percent, from 288,200 as of December 31, 2019. D-SNP membership as of June 30, 2019 grew by approximately 46,000 members compared to membership at December 31, 2018.</w:t>
      </w:r>
    </w:p>
    <w:p>
      <w:pPr>
        <w:spacing w:after="0" w:line="186" w:lineRule="exact"/>
        <w:rPr>
          <w:sz w:val="20"/>
          <w:szCs w:val="20"/>
          <w:color w:val="auto"/>
        </w:rPr>
      </w:pPr>
    </w:p>
    <w:p>
      <w:pPr>
        <w:ind w:left="660" w:right="100" w:hanging="328"/>
        <w:spacing w:after="0" w:line="250" w:lineRule="auto"/>
        <w:tabs>
          <w:tab w:leader="none" w:pos="621" w:val="left"/>
        </w:tabs>
        <w:numPr>
          <w:ilvl w:val="0"/>
          <w:numId w:val="27"/>
        </w:numPr>
        <w:rPr>
          <w:rFonts w:ascii="Arial" w:cs="Arial" w:eastAsia="Arial" w:hAnsi="Arial"/>
          <w:sz w:val="20"/>
          <w:szCs w:val="20"/>
          <w:color w:val="auto"/>
        </w:rPr>
      </w:pPr>
      <w:r>
        <w:rPr>
          <w:rFonts w:ascii="Arial" w:cs="Arial" w:eastAsia="Arial" w:hAnsi="Arial"/>
          <w:sz w:val="20"/>
          <w:szCs w:val="20"/>
          <w:b w:val="1"/>
          <w:bCs w:val="1"/>
          <w:i w:val="1"/>
          <w:iCs w:val="1"/>
          <w:color w:val="auto"/>
        </w:rPr>
        <w:t>Group Medicare Advantag</w:t>
      </w:r>
      <w:r>
        <w:rPr>
          <w:rFonts w:ascii="Arial" w:cs="Arial" w:eastAsia="Arial" w:hAnsi="Arial"/>
          <w:sz w:val="20"/>
          <w:szCs w:val="20"/>
          <w:b w:val="1"/>
          <w:bCs w:val="1"/>
          <w:color w:val="auto"/>
        </w:rPr>
        <w: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membership was 608,300 as of June 30, 2020, a net increase of 89,200, or 17 percent,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519,100 at June 30, 2019, and up 83,000, or 16 percent, from 525,300 as of December 31, 2019. These increases primarily resulted from the addition of a large account in January 2020, along with net membership additions associated with the most recent AEP for Medicare beneficiaries.</w:t>
      </w:r>
    </w:p>
    <w:p>
      <w:pPr>
        <w:spacing w:after="0" w:line="175" w:lineRule="exact"/>
        <w:rPr>
          <w:rFonts w:ascii="Arial" w:cs="Arial" w:eastAsia="Arial" w:hAnsi="Arial"/>
          <w:sz w:val="20"/>
          <w:szCs w:val="20"/>
          <w:color w:val="auto"/>
        </w:rPr>
      </w:pPr>
    </w:p>
    <w:p>
      <w:pPr>
        <w:ind w:left="660" w:hanging="328"/>
        <w:spacing w:after="0" w:line="244" w:lineRule="auto"/>
        <w:tabs>
          <w:tab w:leader="none" w:pos="621"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Membership in the company’s </w:t>
      </w:r>
      <w:r>
        <w:rPr>
          <w:rFonts w:ascii="Arial" w:cs="Arial" w:eastAsia="Arial" w:hAnsi="Arial"/>
          <w:sz w:val="20"/>
          <w:szCs w:val="20"/>
          <w:b w:val="1"/>
          <w:bCs w:val="1"/>
          <w:i w:val="1"/>
          <w:iCs w:val="1"/>
          <w:color w:val="auto"/>
        </w:rPr>
        <w:t>stand-alone PDP</w:t>
      </w:r>
      <w:r>
        <w:rPr>
          <w:rFonts w:ascii="Arial" w:cs="Arial" w:eastAsia="Arial" w:hAnsi="Arial"/>
          <w:sz w:val="20"/>
          <w:szCs w:val="20"/>
          <w:color w:val="auto"/>
        </w:rPr>
        <w:t xml:space="preserve"> offerings was 3,888,400 as of June 30, 2020, a net decrease of 512,100, or 12 percent, from 4,400,500 as of June 30, 2019, and down 476,800, or 11 percent, from 4,365,200 as of December 31, 2019. These comparisons primarily reflect net declines during the most recent AEP for Medicare beneficiaries. The anticipated declines were primarily the result of terminations driven by premium and benefit adjustments experienced by members that were previously enrolled in the company's 2019 Humana Walmart Rx plan and the 2019 Humana Enhanced plan, which were consolidated into the Premier Rx plan in 2020. The expected PDP losses were partially offset by growth in the new low-price Humana Walmart Value Rx plan, driven by both new sales and plan to plan changes.</w:t>
      </w:r>
    </w:p>
    <w:p>
      <w:pPr>
        <w:spacing w:after="0" w:line="181" w:lineRule="exact"/>
        <w:rPr>
          <w:rFonts w:ascii="Arial" w:cs="Arial" w:eastAsia="Arial" w:hAnsi="Arial"/>
          <w:sz w:val="20"/>
          <w:szCs w:val="20"/>
          <w:color w:val="auto"/>
        </w:rPr>
      </w:pPr>
    </w:p>
    <w:p>
      <w:pPr>
        <w:ind w:left="660" w:hanging="328"/>
        <w:spacing w:after="0" w:line="250" w:lineRule="auto"/>
        <w:tabs>
          <w:tab w:leader="none" w:pos="621" w:val="left"/>
        </w:tabs>
        <w:numPr>
          <w:ilvl w:val="0"/>
          <w:numId w:val="2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State-based contracts </w:t>
      </w:r>
      <w:r>
        <w:rPr>
          <w:rFonts w:ascii="Arial" w:cs="Arial" w:eastAsia="Arial" w:hAnsi="Arial"/>
          <w:sz w:val="20"/>
          <w:szCs w:val="20"/>
          <w:color w:val="auto"/>
        </w:rPr>
        <w:t>membership (including dual-eligible demonstration members) was 689,200 as of June 30, 2020,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net increase of 224,000, or 48 percent, from 465,200 at June 30, 2019, and up 220,200, or 47 percent, from 469,000 at December 31, 2019. Theses increases primarily reflect the impact of discontinuing the reinsurance agreement with CareSource and the assumption of full financial risk for the existing Kentucky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20" w:top="879" w:right="359" w:bottom="1440" w:gutter="0" w:footer="0" w:header="0"/>
        </w:sectPr>
      </w:pPr>
    </w:p>
    <w:bookmarkStart w:id="22" w:name="page23"/>
    <w:bookmarkEnd w:id="22"/>
    <w:p>
      <w:pPr>
        <w:ind w:left="660" w:right="640"/>
        <w:spacing w:after="0" w:line="246" w:lineRule="auto"/>
        <w:rPr>
          <w:sz w:val="20"/>
          <w:szCs w:val="20"/>
          <w:color w:val="auto"/>
        </w:rPr>
      </w:pPr>
      <w:r>
        <w:rPr>
          <w:rFonts w:ascii="Arial" w:cs="Arial" w:eastAsia="Arial" w:hAnsi="Arial"/>
          <w:sz w:val="20"/>
          <w:szCs w:val="20"/>
          <w:color w:val="auto"/>
        </w:rPr>
        <w:t>Medicaid contract as of January 1, 2020, as well as additional enrollment, particularly in Florida, resulting from the current economic downturn driven by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segment benefits expense: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2Q20 and YTD 2020 GAAP segment benefit ratios of 78.3 percent and 82.4 percent, respectively, compared to the 2Q19 and YTD 2019 GAAP segment benefit ratios of 85.2 percent and 86.7 percent, respectively. As anticipated, the quarter and year-over-year decreases were primarily the result of the previously discussed impact of the temporary deferral of non-essential care amid the COVID-19 pandemic. The temporary reduction in utilization was partially offset by COVID-19 testing and treatment costs along with the company's ongoing pandemic relief efforts. These relief efforts include the waiver of all cost sharing for in-network primary care, outpatient behavioral health, and telehealth visits for its Medicare Advantage members, delivery of meals to senior members in need, and establishing a clinical outreach team to proactively engage with the company's most vulnerable members.</w:t>
      </w:r>
    </w:p>
    <w:p>
      <w:pPr>
        <w:spacing w:after="0" w:line="239" w:lineRule="exact"/>
        <w:rPr>
          <w:sz w:val="20"/>
          <w:szCs w:val="20"/>
          <w:color w:val="auto"/>
        </w:rPr>
      </w:pPr>
    </w:p>
    <w:p>
      <w:pPr>
        <w:ind w:left="660" w:right="120"/>
        <w:spacing w:after="0" w:line="232" w:lineRule="auto"/>
        <w:rPr>
          <w:sz w:val="20"/>
          <w:szCs w:val="20"/>
          <w:color w:val="auto"/>
        </w:rPr>
      </w:pPr>
      <w:r>
        <w:rPr>
          <w:rFonts w:ascii="Arial" w:cs="Arial" w:eastAsia="Arial" w:hAnsi="Arial"/>
          <w:sz w:val="20"/>
          <w:szCs w:val="20"/>
          <w:color w:val="auto"/>
        </w:rPr>
        <w:t>The 2Q20 and YTD 2020 GAAP segment benefit ratios were also lower when compared to the prior year periods due to the reinstatement of the non-deductible HIF in 2020 that was contemplated in the pricing and benefit design of the company's products.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Prior Period Development</w:t>
      </w:r>
    </w:p>
    <w:p>
      <w:pPr>
        <w:spacing w:after="0" w:line="240" w:lineRule="exact"/>
        <w:rPr>
          <w:sz w:val="20"/>
          <w:szCs w:val="20"/>
          <w:color w:val="auto"/>
        </w:rPr>
      </w:pPr>
    </w:p>
    <w:p>
      <w:pPr>
        <w:ind w:left="660" w:right="320"/>
        <w:spacing w:after="0" w:line="243" w:lineRule="auto"/>
        <w:rPr>
          <w:sz w:val="20"/>
          <w:szCs w:val="20"/>
          <w:color w:val="auto"/>
        </w:rPr>
      </w:pPr>
      <w:r>
        <w:rPr>
          <w:rFonts w:ascii="Arial" w:cs="Arial" w:eastAsia="Arial" w:hAnsi="Arial"/>
          <w:sz w:val="20"/>
          <w:szCs w:val="20"/>
          <w:color w:val="auto"/>
        </w:rPr>
        <w:t>The Retail segment's unfavorable Prior Period Development for 2Q20, as noted in the table below, increased the segment benefit ratio by 20 basis points compared to 2Q19 favorable Prior Period Development decreasing the 2Q19 ratio by 20 basis points.</w:t>
      </w:r>
    </w:p>
    <w:p>
      <w:pPr>
        <w:spacing w:after="0" w:line="206" w:lineRule="exact"/>
        <w:rPr>
          <w:sz w:val="20"/>
          <w:szCs w:val="20"/>
          <w:color w:val="auto"/>
        </w:rPr>
      </w:pPr>
    </w:p>
    <w:p>
      <w:pPr>
        <w:ind w:left="660" w:right="420"/>
        <w:spacing w:after="0" w:line="246" w:lineRule="auto"/>
        <w:rPr>
          <w:sz w:val="20"/>
          <w:szCs w:val="20"/>
          <w:color w:val="auto"/>
        </w:rPr>
      </w:pPr>
      <w:r>
        <w:rPr>
          <w:rFonts w:ascii="Arial" w:cs="Arial" w:eastAsia="Arial" w:hAnsi="Arial"/>
          <w:sz w:val="20"/>
          <w:szCs w:val="20"/>
          <w:color w:val="auto"/>
        </w:rPr>
        <w:t>Favorable Prior Period Development decreased the YTD 2020 ratio by 60 basis points and decreased the YTD 2019 benefit ratio by 110 basis points.</w:t>
      </w:r>
    </w:p>
    <w:p>
      <w:pPr>
        <w:spacing w:after="0" w:line="204" w:lineRule="exact"/>
        <w:rPr>
          <w:sz w:val="20"/>
          <w:szCs w:val="20"/>
          <w:color w:val="auto"/>
        </w:rPr>
      </w:pPr>
    </w:p>
    <w:p>
      <w:pPr>
        <w:ind w:left="660" w:right="100"/>
        <w:spacing w:after="0" w:line="241" w:lineRule="auto"/>
        <w:rPr>
          <w:sz w:val="20"/>
          <w:szCs w:val="20"/>
          <w:color w:val="auto"/>
        </w:rPr>
      </w:pPr>
      <w:r>
        <w:rPr>
          <w:rFonts w:ascii="Arial" w:cs="Arial" w:eastAsia="Arial" w:hAnsi="Arial"/>
          <w:sz w:val="20"/>
          <w:szCs w:val="20"/>
          <w:color w:val="auto"/>
        </w:rPr>
        <w:t>As previously discussed, Humana experienced negative Prior Period Development for 2Q20 as a result of the suspension of certain financial recovery programs for a period of time in the quarter. The suspension was intended to provide financial and administrative relief for providers facing unprecedented strain during the COVID-19 pandemic. The company anticipates it will recover some of the amounts associated with the temporary suspension in the latter half of 2020 and in 2021.</w:t>
      </w:r>
    </w:p>
    <w:p>
      <w:pPr>
        <w:spacing w:after="0" w:line="200" w:lineRule="exact"/>
        <w:rPr>
          <w:sz w:val="20"/>
          <w:szCs w:val="20"/>
          <w:color w:val="auto"/>
        </w:rPr>
      </w:pPr>
    </w:p>
    <w:p>
      <w:pPr>
        <w:spacing w:after="0" w:line="262" w:lineRule="exact"/>
        <w:rPr>
          <w:sz w:val="20"/>
          <w:szCs w:val="20"/>
          <w:color w:val="auto"/>
        </w:rPr>
      </w:pPr>
    </w:p>
    <w:tbl>
      <w:tblPr>
        <w:tblLayout w:type="fixed"/>
        <w:tblInd w:w="2370" w:type="dxa"/>
        <w:tblCellMar>
          <w:top w:w="0" w:type="dxa"/>
          <w:left w:w="0" w:type="dxa"/>
          <w:bottom w:w="0" w:type="dxa"/>
          <w:right w:w="0" w:type="dxa"/>
        </w:tblCellMar>
      </w:tblPr>
      <w:tr>
        <w:trPr>
          <w:trHeight w:val="211"/>
        </w:trPr>
        <w:tc>
          <w:tcPr>
            <w:tcW w:w="40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Retail segment Prior Period Development (in millions)</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First</w:t>
            </w:r>
          </w:p>
        </w:tc>
        <w:tc>
          <w:tcPr>
            <w:tcW w:w="84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Second</w:t>
            </w:r>
          </w:p>
        </w:tc>
        <w:tc>
          <w:tcPr>
            <w:tcW w:w="8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Favorable (unfavorable)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Quarter</w:t>
            </w:r>
          </w:p>
        </w:tc>
        <w:tc>
          <w:tcPr>
            <w:tcW w:w="8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Quarter</w:t>
            </w:r>
          </w:p>
        </w:tc>
        <w:tc>
          <w:tcPr>
            <w:tcW w:w="8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b w:val="1"/>
                <w:bCs w:val="1"/>
                <w:color w:val="auto"/>
              </w:rPr>
              <w:t>YTD</w:t>
            </w:r>
          </w:p>
        </w:tc>
        <w:tc>
          <w:tcPr>
            <w:tcW w:w="0" w:type="dxa"/>
            <w:vAlign w:val="bottom"/>
          </w:tcPr>
          <w:p>
            <w:pPr>
              <w:spacing w:after="0"/>
              <w:rPr>
                <w:sz w:val="1"/>
                <w:szCs w:val="1"/>
                <w:color w:val="auto"/>
              </w:rPr>
            </w:pPr>
          </w:p>
        </w:tc>
      </w:tr>
      <w:tr>
        <w:trPr>
          <w:trHeight w:val="218"/>
        </w:trPr>
        <w:tc>
          <w:tcPr>
            <w:tcW w:w="4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Prior Period Development from prior years recognized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$238</w:t>
            </w:r>
          </w:p>
        </w:tc>
        <w:tc>
          <w:tcPr>
            <w:tcW w:w="840" w:type="dxa"/>
            <w:vAlign w:val="bottom"/>
            <w:tcBorders>
              <w:right w:val="single" w:sz="8" w:color="auto"/>
            </w:tcBorders>
            <w:vMerge w:val="restart"/>
          </w:tcPr>
          <w:p>
            <w:pPr>
              <w:jc w:val="right"/>
              <w:ind w:right="159"/>
              <w:spacing w:after="0"/>
              <w:rPr>
                <w:sz w:val="20"/>
                <w:szCs w:val="20"/>
                <w:color w:val="auto"/>
              </w:rPr>
            </w:pPr>
            <w:r>
              <w:rPr>
                <w:rFonts w:ascii="Arial" w:cs="Arial" w:eastAsia="Arial" w:hAnsi="Arial"/>
                <w:sz w:val="16"/>
                <w:szCs w:val="16"/>
                <w:b w:val="1"/>
                <w:bCs w:val="1"/>
                <w:color w:val="auto"/>
              </w:rPr>
              <w:t>$(33)</w:t>
            </w:r>
          </w:p>
        </w:tc>
        <w:tc>
          <w:tcPr>
            <w:tcW w:w="84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$205</w:t>
            </w:r>
          </w:p>
        </w:tc>
        <w:tc>
          <w:tcPr>
            <w:tcW w:w="0" w:type="dxa"/>
            <w:vAlign w:val="bottom"/>
          </w:tcPr>
          <w:p>
            <w:pPr>
              <w:spacing w:after="0"/>
              <w:rPr>
                <w:sz w:val="1"/>
                <w:szCs w:val="1"/>
                <w:color w:val="auto"/>
              </w:rPr>
            </w:pPr>
          </w:p>
        </w:tc>
      </w:tr>
      <w:tr>
        <w:trPr>
          <w:trHeight w:val="208"/>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YTD 2020</w:t>
            </w:r>
          </w:p>
        </w:tc>
        <w:tc>
          <w:tcPr>
            <w:tcW w:w="860" w:type="dxa"/>
            <w:vAlign w:val="bottom"/>
            <w:tcBorders>
              <w:bottom w:val="single" w:sz="8" w:color="auto"/>
              <w:right w:val="single" w:sz="8" w:color="auto"/>
            </w:tcBorders>
            <w:vMerge w:val="continue"/>
          </w:tcPr>
          <w:p>
            <w:pPr>
              <w:spacing w:after="0"/>
              <w:rPr>
                <w:sz w:val="18"/>
                <w:szCs w:val="18"/>
                <w:color w:val="auto"/>
              </w:rPr>
            </w:pPr>
          </w:p>
        </w:tc>
        <w:tc>
          <w:tcPr>
            <w:tcW w:w="840" w:type="dxa"/>
            <w:vAlign w:val="bottom"/>
            <w:tcBorders>
              <w:bottom w:val="single" w:sz="8" w:color="auto"/>
              <w:right w:val="single" w:sz="8" w:color="auto"/>
            </w:tcBorders>
            <w:vMerge w:val="continue"/>
          </w:tcPr>
          <w:p>
            <w:pPr>
              <w:spacing w:after="0"/>
              <w:rPr>
                <w:sz w:val="18"/>
                <w:szCs w:val="18"/>
                <w:color w:val="auto"/>
              </w:rPr>
            </w:pPr>
          </w:p>
        </w:tc>
        <w:tc>
          <w:tcPr>
            <w:tcW w:w="8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Prior Period Development from prior years recognized</w:t>
            </w:r>
          </w:p>
        </w:tc>
        <w:tc>
          <w:tcPr>
            <w:tcW w:w="8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YTD 2019</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$283</w:t>
            </w:r>
          </w:p>
        </w:tc>
        <w:tc>
          <w:tcPr>
            <w:tcW w:w="84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$28</w:t>
            </w:r>
          </w:p>
        </w:tc>
        <w:tc>
          <w:tcPr>
            <w:tcW w:w="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segment operating costs:</w:t>
      </w:r>
    </w:p>
    <w:p>
      <w:pPr>
        <w:spacing w:after="0" w:line="240" w:lineRule="exact"/>
        <w:rPr>
          <w:sz w:val="20"/>
          <w:szCs w:val="20"/>
          <w:color w:val="auto"/>
        </w:rPr>
      </w:pPr>
    </w:p>
    <w:p>
      <w:pPr>
        <w:ind w:left="660" w:right="320" w:hanging="328"/>
        <w:spacing w:after="0" w:line="246" w:lineRule="auto"/>
        <w:tabs>
          <w:tab w:leader="none" w:pos="621"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Retail segment’s operating cost ratio of 9.7 percent in 2Q20 increased 120 basis points from 8.5 percent in 2Q19. The year-over-year comparison was negatively impacted by the following factors:</w:t>
      </w:r>
    </w:p>
    <w:p>
      <w:pPr>
        <w:spacing w:after="0" w:line="203" w:lineRule="exact"/>
        <w:rPr>
          <w:rFonts w:ascii="Arial" w:cs="Arial" w:eastAsia="Arial" w:hAnsi="Arial"/>
          <w:sz w:val="20"/>
          <w:szCs w:val="20"/>
          <w:color w:val="auto"/>
        </w:rPr>
      </w:pPr>
    </w:p>
    <w:p>
      <w:pPr>
        <w:ind w:left="980" w:right="240" w:hanging="324"/>
        <w:spacing w:after="0" w:line="246" w:lineRule="auto"/>
        <w:tabs>
          <w:tab w:leader="none" w:pos="848" w:val="left"/>
        </w:tabs>
        <w:numPr>
          <w:ilvl w:val="1"/>
          <w:numId w:val="28"/>
        </w:numPr>
        <w:rPr>
          <w:rFonts w:ascii="Arial" w:cs="Arial" w:eastAsia="Arial" w:hAnsi="Arial"/>
          <w:sz w:val="20"/>
          <w:szCs w:val="20"/>
          <w:color w:val="auto"/>
        </w:rPr>
      </w:pPr>
      <w:r>
        <w:rPr>
          <w:rFonts w:ascii="Arial" w:cs="Arial" w:eastAsia="Arial" w:hAnsi="Arial"/>
          <w:sz w:val="20"/>
          <w:szCs w:val="20"/>
          <w:color w:val="auto"/>
        </w:rPr>
        <w:t>reinstatement of the non-deductible HIF in 2020, which increased the Retail segment's GAAP operating cost ratio by approximately 160 basis points in 2Q20; and</w:t>
      </w:r>
    </w:p>
    <w:p>
      <w:pPr>
        <w:spacing w:after="0" w:line="203" w:lineRule="exact"/>
        <w:rPr>
          <w:rFonts w:ascii="Arial" w:cs="Arial" w:eastAsia="Arial" w:hAnsi="Arial"/>
          <w:sz w:val="20"/>
          <w:szCs w:val="20"/>
          <w:color w:val="auto"/>
        </w:rPr>
      </w:pPr>
    </w:p>
    <w:p>
      <w:pPr>
        <w:ind w:left="840" w:hanging="184"/>
        <w:spacing w:after="0"/>
        <w:tabs>
          <w:tab w:leader="none" w:pos="840" w:val="left"/>
        </w:tabs>
        <w:numPr>
          <w:ilvl w:val="1"/>
          <w:numId w:val="28"/>
        </w:numPr>
        <w:rPr>
          <w:rFonts w:ascii="Arial" w:cs="Arial" w:eastAsia="Arial" w:hAnsi="Arial"/>
          <w:sz w:val="20"/>
          <w:szCs w:val="20"/>
          <w:color w:val="auto"/>
        </w:rPr>
      </w:pPr>
      <w:r>
        <w:rPr>
          <w:rFonts w:ascii="Arial" w:cs="Arial" w:eastAsia="Arial" w:hAnsi="Arial"/>
          <w:sz w:val="20"/>
          <w:szCs w:val="20"/>
          <w:color w:val="auto"/>
        </w:rPr>
        <w:t>COVID-19 related costs as previously discussed.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above increases were partially offset by the following items: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scale efficiencies associated with growth in the company's Medicare Advantage membership; and</w:t>
      </w:r>
    </w:p>
    <w:p>
      <w:pPr>
        <w:sectPr>
          <w:pgSz w:w="11900" w:h="16838" w:orient="portrait"/>
          <w:cols w:equalWidth="0" w:num="1">
            <w:col w:w="11240"/>
          </w:cols>
          <w:pgMar w:left="320" w:top="1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121" w:right="339" w:bottom="1440" w:gutter="0" w:footer="0" w:header="0"/>
          <w:type w:val="continuous"/>
        </w:sectPr>
      </w:pPr>
    </w:p>
    <w:bookmarkStart w:id="23" w:name="page24"/>
    <w:bookmarkEnd w:id="23"/>
    <w:p>
      <w:pPr>
        <w:ind w:left="660"/>
        <w:spacing w:after="0"/>
        <w:rPr>
          <w:sz w:val="20"/>
          <w:szCs w:val="20"/>
          <w:color w:val="auto"/>
        </w:rPr>
      </w:pPr>
      <w:r>
        <w:rPr>
          <w:rFonts w:ascii="Arial" w:cs="Arial" w:eastAsia="Arial" w:hAnsi="Arial"/>
          <w:sz w:val="20"/>
          <w:szCs w:val="20"/>
          <w:color w:val="auto"/>
        </w:rPr>
        <w:t>◦ significant operating cost efficiencies in 2Q20 driven by previously disclosed productivity initiatives.</w:t>
      </w:r>
    </w:p>
    <w:p>
      <w:pPr>
        <w:spacing w:after="0" w:line="215" w:lineRule="exact"/>
        <w:rPr>
          <w:sz w:val="20"/>
          <w:szCs w:val="20"/>
          <w:color w:val="auto"/>
        </w:rPr>
      </w:pPr>
    </w:p>
    <w:p>
      <w:pPr>
        <w:ind w:left="660" w:right="120" w:hanging="328"/>
        <w:spacing w:after="0" w:line="243" w:lineRule="auto"/>
        <w:tabs>
          <w:tab w:leader="none" w:pos="621"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Retail segment’s YTD 2020 operating cost ratio of 9.4 percent increased 100 basis points from 8.4 percent in YTD 2019 primarily reflecting the same factors that impacted the year-over-year comparison for the second quarter. The non-deductible HIF impacted the segment’s YTD 2020 operating cost ratio by approximately 160 basis points.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segment results: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00" w:type="dxa"/>
            <w:vAlign w:val="bottom"/>
            <w:tcBorders>
              <w:top w:val="single" w:sz="8" w:color="auto"/>
              <w:left w:val="single" w:sz="8" w:color="auto"/>
              <w:bottom w:val="single" w:sz="8" w:color="auto"/>
              <w:right w:val="single" w:sz="8" w:color="auto"/>
            </w:tcBorders>
          </w:tcPr>
          <w:p>
            <w:pPr>
              <w:ind w:left="40"/>
              <w:spacing w:after="0" w:line="184" w:lineRule="exact"/>
              <w:rPr>
                <w:sz w:val="20"/>
                <w:szCs w:val="20"/>
                <w:color w:val="auto"/>
              </w:rPr>
            </w:pPr>
            <w:r>
              <w:rPr>
                <w:rFonts w:ascii="Arial" w:cs="Arial" w:eastAsia="Arial" w:hAnsi="Arial"/>
                <w:sz w:val="14"/>
                <w:szCs w:val="14"/>
                <w:b w:val="1"/>
                <w:bCs w:val="1"/>
                <w:color w:val="auto"/>
              </w:rPr>
              <w:t>Retail segment earnings</w:t>
            </w:r>
            <w:r>
              <w:rPr>
                <w:rFonts w:ascii="Arial" w:cs="Arial" w:eastAsia="Arial" w:hAnsi="Arial"/>
                <w:sz w:val="16"/>
                <w:szCs w:val="16"/>
                <w:i w:val="1"/>
                <w:iCs w:val="1"/>
                <w:color w:val="auto"/>
              </w:rPr>
              <w:t>in</w:t>
            </w:r>
            <w:r>
              <w:rPr>
                <w:rFonts w:ascii="MS PGothic" w:cs="MS PGothic" w:eastAsia="MS PGothic" w:hAnsi="MS PGothic"/>
                <w:sz w:val="14"/>
                <w:szCs w:val="14"/>
                <w:color w:val="auto"/>
              </w:rPr>
              <w:t> </w:t>
            </w:r>
            <w:r>
              <w:rPr>
                <w:rFonts w:ascii="Arial" w:cs="Arial" w:eastAsia="Arial" w:hAnsi="Arial"/>
                <w:sz w:val="14"/>
                <w:szCs w:val="14"/>
                <w:b w:val="1"/>
                <w:bCs w:val="1"/>
                <w:color w:val="auto"/>
              </w:rPr>
              <w:t xml:space="preserve"> </w:t>
            </w:r>
            <w:r>
              <w:rPr>
                <w:rFonts w:ascii="Arial" w:cs="Arial" w:eastAsia="Arial" w:hAnsi="Arial"/>
                <w:sz w:val="16"/>
                <w:szCs w:val="16"/>
                <w:i w:val="1"/>
                <w:iCs w:val="1"/>
                <w:color w:val="auto"/>
              </w:rPr>
              <w:t>millions</w:t>
            </w:r>
          </w:p>
        </w:tc>
        <w:tc>
          <w:tcPr>
            <w:tcW w:w="1360" w:type="dxa"/>
            <w:vAlign w:val="bottom"/>
            <w:tcBorders>
              <w:top w:val="single" w:sz="8" w:color="auto"/>
              <w:bottom w:val="single" w:sz="8" w:color="auto"/>
              <w:right w:val="single" w:sz="8" w:color="auto"/>
            </w:tcBorders>
            <w:shd w:val="clear" w:color="auto" w:fill="EAEAEA"/>
          </w:tcPr>
          <w:p>
            <w:pPr>
              <w:jc w:val="right"/>
              <w:ind w:right="321"/>
              <w:spacing w:after="0"/>
              <w:rPr>
                <w:sz w:val="20"/>
                <w:szCs w:val="20"/>
                <w:color w:val="auto"/>
              </w:rPr>
            </w:pPr>
            <w:r>
              <w:rPr>
                <w:rFonts w:ascii="Arial" w:cs="Arial" w:eastAsia="Arial" w:hAnsi="Arial"/>
                <w:sz w:val="14"/>
                <w:szCs w:val="14"/>
                <w:b w:val="1"/>
                <w:bCs w:val="1"/>
                <w:color w:val="auto"/>
              </w:rPr>
              <w:t>2Q20 (a)</w:t>
            </w:r>
          </w:p>
        </w:tc>
        <w:tc>
          <w:tcPr>
            <w:tcW w:w="1380" w:type="dxa"/>
            <w:vAlign w:val="bottom"/>
            <w:tcBorders>
              <w:top w:val="single" w:sz="8" w:color="auto"/>
              <w:bottom w:val="single" w:sz="8" w:color="auto"/>
              <w:right w:val="single" w:sz="8" w:color="auto"/>
            </w:tcBorders>
          </w:tcPr>
          <w:p>
            <w:pPr>
              <w:jc w:val="right"/>
              <w:ind w:right="341"/>
              <w:spacing w:after="0"/>
              <w:rPr>
                <w:sz w:val="20"/>
                <w:szCs w:val="20"/>
                <w:color w:val="auto"/>
              </w:rPr>
            </w:pPr>
            <w:r>
              <w:rPr>
                <w:rFonts w:ascii="Arial" w:cs="Arial" w:eastAsia="Arial" w:hAnsi="Arial"/>
                <w:sz w:val="14"/>
                <w:szCs w:val="14"/>
                <w:color w:val="auto"/>
              </w:rPr>
              <w:t>2Q19 (b)</w:t>
            </w:r>
          </w:p>
        </w:tc>
        <w:tc>
          <w:tcPr>
            <w:tcW w:w="1360" w:type="dxa"/>
            <w:vAlign w:val="bottom"/>
            <w:tcBorders>
              <w:top w:val="single" w:sz="8" w:color="auto"/>
              <w:bottom w:val="single" w:sz="8" w:color="auto"/>
              <w:right w:val="single" w:sz="8" w:color="auto"/>
            </w:tcBorders>
            <w:shd w:val="clear" w:color="auto" w:fill="EAEAEA"/>
          </w:tcPr>
          <w:p>
            <w:pPr>
              <w:jc w:val="right"/>
              <w:ind w:right="181"/>
              <w:spacing w:after="0"/>
              <w:rPr>
                <w:sz w:val="20"/>
                <w:szCs w:val="20"/>
                <w:color w:val="auto"/>
              </w:rPr>
            </w:pPr>
            <w:r>
              <w:rPr>
                <w:rFonts w:ascii="Arial" w:cs="Arial" w:eastAsia="Arial" w:hAnsi="Arial"/>
                <w:sz w:val="14"/>
                <w:szCs w:val="14"/>
                <w:b w:val="1"/>
                <w:bCs w:val="1"/>
                <w:color w:val="auto"/>
              </w:rPr>
              <w:t>YTD 2020 (c)</w:t>
            </w:r>
          </w:p>
        </w:tc>
        <w:tc>
          <w:tcPr>
            <w:tcW w:w="1360" w:type="dxa"/>
            <w:vAlign w:val="bottom"/>
            <w:tcBorders>
              <w:top w:val="single" w:sz="8" w:color="auto"/>
              <w:bottom w:val="single" w:sz="8" w:color="auto"/>
              <w:right w:val="single" w:sz="8" w:color="auto"/>
            </w:tcBorders>
          </w:tcPr>
          <w:p>
            <w:pPr>
              <w:jc w:val="right"/>
              <w:ind w:right="181"/>
              <w:spacing w:after="0"/>
              <w:rPr>
                <w:sz w:val="20"/>
                <w:szCs w:val="20"/>
                <w:color w:val="auto"/>
              </w:rPr>
            </w:pPr>
            <w:r>
              <w:rPr>
                <w:rFonts w:ascii="Arial" w:cs="Arial" w:eastAsia="Arial" w:hAnsi="Arial"/>
                <w:sz w:val="14"/>
                <w:szCs w:val="14"/>
                <w:color w:val="auto"/>
              </w:rPr>
              <w:t>YTD 2019 (d)</w:t>
            </w:r>
          </w:p>
        </w:tc>
      </w:tr>
      <w:tr>
        <w:trPr>
          <w:trHeight w:val="230"/>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360" w:type="dxa"/>
            <w:vAlign w:val="bottom"/>
            <w:tcBorders>
              <w:bottom w:val="single" w:sz="8" w:color="auto"/>
              <w:right w:val="single" w:sz="8" w:color="auto"/>
            </w:tcBorders>
            <w:shd w:val="clear" w:color="auto" w:fill="EAEAEA"/>
          </w:tcPr>
          <w:p>
            <w:pPr>
              <w:jc w:val="right"/>
              <w:ind w:right="81"/>
              <w:spacing w:after="0"/>
              <w:rPr>
                <w:sz w:val="20"/>
                <w:szCs w:val="20"/>
                <w:color w:val="auto"/>
              </w:rPr>
            </w:pPr>
            <w:r>
              <w:rPr>
                <w:rFonts w:ascii="Arial" w:cs="Arial" w:eastAsia="Arial" w:hAnsi="Arial"/>
                <w:sz w:val="16"/>
                <w:szCs w:val="16"/>
                <w:b w:val="1"/>
                <w:bCs w:val="1"/>
                <w:color w:val="auto"/>
              </w:rPr>
              <w:t>$1,989</w:t>
            </w:r>
          </w:p>
        </w:tc>
        <w:tc>
          <w:tcPr>
            <w:tcW w:w="138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$856</w:t>
            </w:r>
          </w:p>
        </w:tc>
        <w:tc>
          <w:tcPr>
            <w:tcW w:w="1360" w:type="dxa"/>
            <w:vAlign w:val="bottom"/>
            <w:tcBorders>
              <w:bottom w:val="single" w:sz="8" w:color="auto"/>
              <w:right w:val="single" w:sz="8" w:color="auto"/>
            </w:tcBorders>
            <w:shd w:val="clear" w:color="auto" w:fill="EAEAEA"/>
          </w:tcPr>
          <w:p>
            <w:pPr>
              <w:jc w:val="right"/>
              <w:ind w:right="101"/>
              <w:spacing w:after="0"/>
              <w:rPr>
                <w:sz w:val="20"/>
                <w:szCs w:val="20"/>
                <w:color w:val="auto"/>
              </w:rPr>
            </w:pPr>
            <w:r>
              <w:rPr>
                <w:rFonts w:ascii="Arial" w:cs="Arial" w:eastAsia="Arial" w:hAnsi="Arial"/>
                <w:sz w:val="16"/>
                <w:szCs w:val="16"/>
                <w:b w:val="1"/>
                <w:bCs w:val="1"/>
                <w:color w:val="auto"/>
              </w:rPr>
              <w:t>$2,674</w:t>
            </w:r>
          </w:p>
        </w:tc>
        <w:tc>
          <w:tcPr>
            <w:tcW w:w="13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$1,321</w:t>
            </w:r>
          </w:p>
        </w:tc>
      </w:tr>
      <w:tr>
        <w:trPr>
          <w:trHeight w:val="237"/>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360" w:type="dxa"/>
            <w:vAlign w:val="bottom"/>
            <w:tcBorders>
              <w:bottom w:val="single" w:sz="8" w:color="auto"/>
              <w:right w:val="single" w:sz="8" w:color="auto"/>
            </w:tcBorders>
            <w:shd w:val="clear" w:color="auto" w:fill="EAEAEA"/>
          </w:tcPr>
          <w:p>
            <w:pPr>
              <w:jc w:val="right"/>
              <w:ind w:right="81"/>
              <w:spacing w:after="0"/>
              <w:rPr>
                <w:sz w:val="20"/>
                <w:szCs w:val="20"/>
                <w:color w:val="auto"/>
              </w:rPr>
            </w:pPr>
            <w:r>
              <w:rPr>
                <w:rFonts w:ascii="Arial" w:cs="Arial" w:eastAsia="Arial" w:hAnsi="Arial"/>
                <w:sz w:val="16"/>
                <w:szCs w:val="16"/>
                <w:b w:val="1"/>
                <w:bCs w:val="1"/>
                <w:color w:val="auto"/>
              </w:rPr>
              <w:t>4</w:t>
            </w:r>
          </w:p>
        </w:tc>
        <w:tc>
          <w:tcPr>
            <w:tcW w:w="138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4</w:t>
            </w:r>
          </w:p>
        </w:tc>
        <w:tc>
          <w:tcPr>
            <w:tcW w:w="1360" w:type="dxa"/>
            <w:vAlign w:val="bottom"/>
            <w:tcBorders>
              <w:bottom w:val="single" w:sz="8" w:color="auto"/>
              <w:right w:val="single" w:sz="8" w:color="auto"/>
            </w:tcBorders>
            <w:shd w:val="clear" w:color="auto" w:fill="EAEAEA"/>
          </w:tcPr>
          <w:p>
            <w:pPr>
              <w:jc w:val="right"/>
              <w:ind w:right="101"/>
              <w:spacing w:after="0"/>
              <w:rPr>
                <w:sz w:val="20"/>
                <w:szCs w:val="20"/>
                <w:color w:val="auto"/>
              </w:rPr>
            </w:pPr>
            <w:r>
              <w:rPr>
                <w:rFonts w:ascii="Arial" w:cs="Arial" w:eastAsia="Arial" w:hAnsi="Arial"/>
                <w:sz w:val="16"/>
                <w:szCs w:val="16"/>
                <w:b w:val="1"/>
                <w:bCs w:val="1"/>
                <w:color w:val="auto"/>
              </w:rPr>
              <w:t>8</w:t>
            </w:r>
          </w:p>
        </w:tc>
        <w:tc>
          <w:tcPr>
            <w:tcW w:w="13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8</w:t>
            </w:r>
          </w:p>
        </w:tc>
      </w:tr>
      <w:tr>
        <w:trPr>
          <w:trHeight w:val="237"/>
        </w:trPr>
        <w:tc>
          <w:tcPr>
            <w:tcW w:w="5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360" w:type="dxa"/>
            <w:vAlign w:val="bottom"/>
            <w:tcBorders>
              <w:bottom w:val="single" w:sz="8" w:color="auto"/>
              <w:right w:val="single" w:sz="8" w:color="auto"/>
            </w:tcBorders>
            <w:shd w:val="clear" w:color="auto" w:fill="EAEAEA"/>
          </w:tcPr>
          <w:p>
            <w:pPr>
              <w:jc w:val="right"/>
              <w:ind w:right="81"/>
              <w:spacing w:after="0"/>
              <w:rPr>
                <w:sz w:val="20"/>
                <w:szCs w:val="20"/>
                <w:color w:val="auto"/>
              </w:rPr>
            </w:pPr>
            <w:r>
              <w:rPr>
                <w:rFonts w:ascii="Arial" w:cs="Arial" w:eastAsia="Arial" w:hAnsi="Arial"/>
                <w:sz w:val="16"/>
                <w:szCs w:val="16"/>
                <w:b w:val="1"/>
                <w:bCs w:val="1"/>
                <w:color w:val="auto"/>
              </w:rPr>
              <w:t>$1,993</w:t>
            </w:r>
          </w:p>
        </w:tc>
        <w:tc>
          <w:tcPr>
            <w:tcW w:w="138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$860</w:t>
            </w:r>
          </w:p>
        </w:tc>
        <w:tc>
          <w:tcPr>
            <w:tcW w:w="1360" w:type="dxa"/>
            <w:vAlign w:val="bottom"/>
            <w:tcBorders>
              <w:bottom w:val="single" w:sz="8" w:color="auto"/>
              <w:right w:val="single" w:sz="8" w:color="auto"/>
            </w:tcBorders>
            <w:shd w:val="clear" w:color="auto" w:fill="EAEAEA"/>
          </w:tcPr>
          <w:p>
            <w:pPr>
              <w:jc w:val="right"/>
              <w:ind w:right="101"/>
              <w:spacing w:after="0"/>
              <w:rPr>
                <w:sz w:val="20"/>
                <w:szCs w:val="20"/>
                <w:color w:val="auto"/>
              </w:rPr>
            </w:pPr>
            <w:r>
              <w:rPr>
                <w:rFonts w:ascii="Arial" w:cs="Arial" w:eastAsia="Arial" w:hAnsi="Arial"/>
                <w:sz w:val="16"/>
                <w:szCs w:val="16"/>
                <w:b w:val="1"/>
                <w:bCs w:val="1"/>
                <w:color w:val="auto"/>
              </w:rPr>
              <w:t>$2,682</w:t>
            </w:r>
          </w:p>
        </w:tc>
        <w:tc>
          <w:tcPr>
            <w:tcW w:w="13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$1,329</w:t>
            </w:r>
          </w:p>
        </w:tc>
      </w:tr>
    </w:tbl>
    <w:p>
      <w:pPr>
        <w:spacing w:after="0" w:line="199" w:lineRule="exact"/>
        <w:rPr>
          <w:sz w:val="20"/>
          <w:szCs w:val="20"/>
          <w:color w:val="auto"/>
        </w:rPr>
      </w:pPr>
    </w:p>
    <w:p>
      <w:pPr>
        <w:ind w:left="660" w:right="140" w:hanging="328"/>
        <w:spacing w:after="0" w:line="246" w:lineRule="auto"/>
        <w:tabs>
          <w:tab w:leader="none" w:pos="6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year-over-year favorable comparison, for both quarter and YTD, in GAAP segment earnings resulted from the same factors that led to an improving benefit ratio, partially offset by the segment's higher operating cost ratio.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Humana’s Group and Specialty Segment</w:t>
      </w:r>
    </w:p>
    <w:p>
      <w:pPr>
        <w:spacing w:after="0" w:line="252"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color w:val="auto"/>
        </w:rPr>
        <w:t>This segment consists of the company’s employer group fully-insured commercial medical products and specialty insurance benefits marketed to individuals and groups, including dental, vision, and life insurance benefits. In addition, the segment also includes the company’s administrative services only (ASO) products and its military services businesses.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revenues:</w:t>
      </w:r>
    </w:p>
    <w:p>
      <w:pPr>
        <w:spacing w:after="0" w:line="240" w:lineRule="exact"/>
        <w:rPr>
          <w:sz w:val="20"/>
          <w:szCs w:val="20"/>
          <w:color w:val="auto"/>
        </w:rPr>
      </w:pPr>
    </w:p>
    <w:p>
      <w:pPr>
        <w:ind w:left="660" w:right="340" w:hanging="328"/>
        <w:spacing w:after="0" w:line="243" w:lineRule="auto"/>
        <w:tabs>
          <w:tab w:leader="none" w:pos="6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2Q20 revenues for the Group and Specialty segment were $1.84 billion, down $39 million, or 2 percent, year over year from $1.87 billion in 2Q19. This decrease was primarily due to the decline in the company's fully-insured group commercial membership, partially offset by the following factors:</w:t>
      </w:r>
    </w:p>
    <w:p>
      <w:pPr>
        <w:spacing w:after="0" w:line="205" w:lineRule="exact"/>
        <w:rPr>
          <w:rFonts w:ascii="Arial" w:cs="Arial" w:eastAsia="Arial" w:hAnsi="Arial"/>
          <w:sz w:val="20"/>
          <w:szCs w:val="20"/>
          <w:color w:val="auto"/>
        </w:rPr>
      </w:pPr>
    </w:p>
    <w:p>
      <w:pPr>
        <w:ind w:left="1060" w:right="160" w:hanging="404"/>
        <w:spacing w:after="0" w:line="246" w:lineRule="auto"/>
        <w:tabs>
          <w:tab w:leader="none" w:pos="928" w:val="left"/>
        </w:tabs>
        <w:numPr>
          <w:ilvl w:val="1"/>
          <w:numId w:val="31"/>
        </w:numPr>
        <w:rPr>
          <w:rFonts w:ascii="Arial" w:cs="Arial" w:eastAsia="Arial" w:hAnsi="Arial"/>
          <w:sz w:val="20"/>
          <w:szCs w:val="20"/>
          <w:color w:val="auto"/>
        </w:rPr>
      </w:pPr>
      <w:r>
        <w:rPr>
          <w:rFonts w:ascii="Arial" w:cs="Arial" w:eastAsia="Arial" w:hAnsi="Arial"/>
          <w:sz w:val="20"/>
          <w:szCs w:val="20"/>
          <w:color w:val="auto"/>
        </w:rPr>
        <w:t>higher stop-loss revenues related to the company's level-funded ASO accounts resulting from membership growth in this product as more fully described below; and</w:t>
      </w:r>
    </w:p>
    <w:p>
      <w:pPr>
        <w:spacing w:after="0" w:line="203" w:lineRule="exact"/>
        <w:rPr>
          <w:rFonts w:ascii="Arial" w:cs="Arial" w:eastAsia="Arial" w:hAnsi="Arial"/>
          <w:sz w:val="20"/>
          <w:szCs w:val="20"/>
          <w:color w:val="auto"/>
        </w:rPr>
      </w:pPr>
    </w:p>
    <w:p>
      <w:pPr>
        <w:ind w:left="920" w:hanging="264"/>
        <w:spacing w:after="0"/>
        <w:tabs>
          <w:tab w:leader="none" w:pos="920" w:val="left"/>
        </w:tabs>
        <w:numPr>
          <w:ilvl w:val="1"/>
          <w:numId w:val="31"/>
        </w:numPr>
        <w:rPr>
          <w:rFonts w:ascii="Arial" w:cs="Arial" w:eastAsia="Arial" w:hAnsi="Arial"/>
          <w:sz w:val="20"/>
          <w:szCs w:val="20"/>
          <w:color w:val="auto"/>
        </w:rPr>
      </w:pPr>
      <w:r>
        <w:rPr>
          <w:rFonts w:ascii="Arial" w:cs="Arial" w:eastAsia="Arial" w:hAnsi="Arial"/>
          <w:sz w:val="20"/>
          <w:szCs w:val="20"/>
          <w:color w:val="auto"/>
        </w:rPr>
        <w:t>higher per member premiums across the fully-insured commercial business.</w:t>
      </w:r>
    </w:p>
    <w:p>
      <w:pPr>
        <w:spacing w:after="0" w:line="215" w:lineRule="exact"/>
        <w:rPr>
          <w:rFonts w:ascii="Arial" w:cs="Arial" w:eastAsia="Arial" w:hAnsi="Arial"/>
          <w:sz w:val="20"/>
          <w:szCs w:val="20"/>
          <w:color w:val="auto"/>
        </w:rPr>
      </w:pPr>
    </w:p>
    <w:p>
      <w:pPr>
        <w:ind w:left="660" w:right="360" w:hanging="328"/>
        <w:spacing w:after="0" w:line="243" w:lineRule="auto"/>
        <w:tabs>
          <w:tab w:leader="none" w:pos="6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YTD 2020 revenues for the Group and Specialty segment were $3.70 billion, down $61 million, or 2 percent, from $3.76 billion in YTD 2019, primarily reflecting the same factors that impacted the year-over-year second quarter comparison.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enrollment:</w:t>
      </w:r>
    </w:p>
    <w:p>
      <w:pPr>
        <w:spacing w:after="0" w:line="216" w:lineRule="exact"/>
        <w:rPr>
          <w:sz w:val="20"/>
          <w:szCs w:val="20"/>
          <w:color w:val="auto"/>
        </w:rPr>
      </w:pPr>
    </w:p>
    <w:p>
      <w:pPr>
        <w:ind w:left="660" w:right="20" w:hanging="328"/>
        <w:spacing w:after="0" w:line="243" w:lineRule="auto"/>
        <w:tabs>
          <w:tab w:leader="none" w:pos="621" w:val="left"/>
        </w:tabs>
        <w:numPr>
          <w:ilvl w:val="0"/>
          <w:numId w:val="3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Group fully-insured commercial medical </w:t>
      </w:r>
      <w:r>
        <w:rPr>
          <w:rFonts w:ascii="Arial" w:cs="Arial" w:eastAsia="Arial" w:hAnsi="Arial"/>
          <w:sz w:val="20"/>
          <w:szCs w:val="20"/>
          <w:color w:val="auto"/>
        </w:rPr>
        <w:t>membership was 820,800 at June 30, 2020, a decrease of 121,700, or 13</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percent, from 942,500 at June 30, 2019, and down 87,800, or 10 percent, from 908,600 at December 31, 2019. These anticipated declines primarily reflect lower membership in small group accounts due in part to more small group accounts selecting level-funded ASO products, as well as the loss of certain large group accounts due to disciplined pricing in the competitive environment. Additionally, the declines in membership were modestly impacted by the current economic downturn driven by the COVID-19 pandemic resulting in higher unemployment rates and loss of coverage for fully-insured commercial group members. The portion of group fully-insured commercial medical membership in small group accounts (2-99 sized employer groups) was approximately 57 percent at June 30, 2020 compared to 59 percent at December 31, 2019 and 61 percent at June 30, 2019.</w:t>
      </w: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60"/>
          </w:cols>
          <w:pgMar w:left="320" w:top="1121" w:right="319" w:bottom="1440" w:gutter="0" w:footer="0" w:header="0"/>
        </w:sectPr>
      </w:pPr>
    </w:p>
    <w:bookmarkStart w:id="24" w:name="page25"/>
    <w:bookmarkEnd w:id="24"/>
    <w:p>
      <w:pPr>
        <w:ind w:left="660" w:right="20" w:hanging="328"/>
        <w:spacing w:after="0" w:line="244" w:lineRule="auto"/>
        <w:tabs>
          <w:tab w:leader="none" w:pos="621" w:val="left"/>
        </w:tabs>
        <w:numPr>
          <w:ilvl w:val="0"/>
          <w:numId w:val="3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Group ASO commercial medical </w:t>
      </w:r>
      <w:r>
        <w:rPr>
          <w:rFonts w:ascii="Arial" w:cs="Arial" w:eastAsia="Arial" w:hAnsi="Arial"/>
          <w:sz w:val="20"/>
          <w:szCs w:val="20"/>
          <w:color w:val="auto"/>
        </w:rPr>
        <w:t>membership was 506,200 at June 30, 2020, an increase of 10,200, or 2 percent,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496,000 at June 30, 2019, but down 23,000, or 4 percent, from 529,200 at December 31, 2019. These changes primarily reflect more small group accounts selecting level-funded ASO products partially offset by the loss of certain large group accounts due to continued discipline in pricing of services for self-funded accounts amid a highly competitive environment and a modest impact from the current economic downturn driven by the COVID-19 pandemic as previously discussed. Small group membership comprised 45 percent of group ASO medical membership at June 30, 2020 versus 40 percent at December 31, 2019 and 37 percent at June 30, 2019.</w:t>
      </w:r>
    </w:p>
    <w:p>
      <w:pPr>
        <w:spacing w:after="0" w:line="185" w:lineRule="exact"/>
        <w:rPr>
          <w:rFonts w:ascii="Arial" w:cs="Arial" w:eastAsia="Arial" w:hAnsi="Arial"/>
          <w:sz w:val="20"/>
          <w:szCs w:val="20"/>
          <w:color w:val="auto"/>
        </w:rPr>
      </w:pPr>
    </w:p>
    <w:p>
      <w:pPr>
        <w:ind w:left="660" w:right="200" w:hanging="328"/>
        <w:spacing w:after="0" w:line="250" w:lineRule="auto"/>
        <w:tabs>
          <w:tab w:leader="none" w:pos="621" w:val="left"/>
        </w:tabs>
        <w:numPr>
          <w:ilvl w:val="0"/>
          <w:numId w:val="3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Military services </w:t>
      </w:r>
      <w:r>
        <w:rPr>
          <w:rFonts w:ascii="Arial" w:cs="Arial" w:eastAsia="Arial" w:hAnsi="Arial"/>
          <w:sz w:val="20"/>
          <w:szCs w:val="20"/>
          <w:color w:val="auto"/>
        </w:rPr>
        <w:t>membership was 6,033,300 at June 30, 2020, an increase of 61,900, or 1 percent, from 5,971,400 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June 30, 2019, and up 49,000, or 1 percent, versus 5,984,300 at December 31, 2019. Membership includes military service members, retirees, and their families to whom the company is providing healthcare services under the current TRICARE East Region contract.</w:t>
      </w:r>
    </w:p>
    <w:p>
      <w:pPr>
        <w:spacing w:after="0" w:line="175" w:lineRule="exact"/>
        <w:rPr>
          <w:rFonts w:ascii="Arial" w:cs="Arial" w:eastAsia="Arial" w:hAnsi="Arial"/>
          <w:sz w:val="20"/>
          <w:szCs w:val="20"/>
          <w:color w:val="auto"/>
        </w:rPr>
      </w:pPr>
    </w:p>
    <w:p>
      <w:pPr>
        <w:ind w:left="660" w:right="220" w:hanging="328"/>
        <w:spacing w:after="0" w:line="247" w:lineRule="auto"/>
        <w:tabs>
          <w:tab w:leader="none" w:pos="6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Membership in </w:t>
      </w:r>
      <w:r>
        <w:rPr>
          <w:rFonts w:ascii="Arial" w:cs="Arial" w:eastAsia="Arial" w:hAnsi="Arial"/>
          <w:sz w:val="20"/>
          <w:szCs w:val="20"/>
          <w:b w:val="1"/>
          <w:bCs w:val="1"/>
          <w:i w:val="1"/>
          <w:iCs w:val="1"/>
          <w:color w:val="auto"/>
        </w:rPr>
        <w:t>specialty products</w:t>
      </w:r>
      <w:r>
        <w:rPr>
          <w:rFonts w:ascii="Arial" w:cs="Arial" w:eastAsia="Arial" w:hAnsi="Arial"/>
          <w:sz w:val="20"/>
          <w:szCs w:val="20"/>
          <w:color w:val="auto"/>
          <w:vertAlign w:val="superscript"/>
        </w:rPr>
        <w:t>(h)</w:t>
      </w:r>
      <w:r>
        <w:rPr>
          <w:rFonts w:ascii="Arial" w:cs="Arial" w:eastAsia="Arial" w:hAnsi="Arial"/>
          <w:sz w:val="20"/>
          <w:szCs w:val="20"/>
          <w:color w:val="auto"/>
        </w:rPr>
        <w:t xml:space="preserve"> was 5,344,900 at June 30, 2020, a decrease of 515,100, or 9 percent, from 5,860,000, at June 30, 2019, and down 81,000, or 1 percent, from 5,425,900 at December 31, 2019. These decreases resulted from the loss of certain group accounts, including one jumbo account, offering stand-alone dental and vision products, as well as a modest impact from the current economic downturn driven by the COVID-19 pandemic as previously discussed.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benefits expense:</w:t>
      </w:r>
    </w:p>
    <w:p>
      <w:pPr>
        <w:spacing w:after="0" w:line="240" w:lineRule="exact"/>
        <w:rPr>
          <w:sz w:val="20"/>
          <w:szCs w:val="20"/>
          <w:color w:val="auto"/>
        </w:rPr>
      </w:pPr>
    </w:p>
    <w:p>
      <w:pPr>
        <w:ind w:left="660"/>
        <w:spacing w:after="0" w:line="241" w:lineRule="auto"/>
        <w:rPr>
          <w:sz w:val="20"/>
          <w:szCs w:val="20"/>
          <w:color w:val="auto"/>
        </w:rPr>
      </w:pPr>
      <w:r>
        <w:rPr>
          <w:rFonts w:ascii="Arial" w:cs="Arial" w:eastAsia="Arial" w:hAnsi="Arial"/>
          <w:sz w:val="20"/>
          <w:szCs w:val="20"/>
          <w:color w:val="auto"/>
        </w:rPr>
        <w:t>The 2Q20 and YTD 2020 GAAP segment benefit ratios of 67.0 percent and 73.1 percent, respectively, compared to the 2Q19 and YTD 2019 GAAP segment benefit ratios of 86.3 percent and 81.3 percent, respectively. As anticipated, the quarter and year-over-year decreases were primarily the result of the previously discussed impact of the temporary deferral of non-essential care amid the COVID-19 pandemic. The temporary reduction in utilization was partially offset by COVID-19 testing and treatment costs along with the company's ongoing pandemic relief efforts.</w:t>
      </w:r>
    </w:p>
    <w:p>
      <w:pPr>
        <w:spacing w:after="0" w:line="236" w:lineRule="exact"/>
        <w:rPr>
          <w:sz w:val="20"/>
          <w:szCs w:val="20"/>
          <w:color w:val="auto"/>
        </w:rPr>
      </w:pPr>
    </w:p>
    <w:p>
      <w:pPr>
        <w:ind w:left="660" w:right="100"/>
        <w:spacing w:after="0" w:line="232" w:lineRule="auto"/>
        <w:rPr>
          <w:sz w:val="20"/>
          <w:szCs w:val="20"/>
          <w:color w:val="auto"/>
        </w:rPr>
      </w:pPr>
      <w:r>
        <w:rPr>
          <w:rFonts w:ascii="Arial" w:cs="Arial" w:eastAsia="Arial" w:hAnsi="Arial"/>
          <w:sz w:val="20"/>
          <w:szCs w:val="20"/>
          <w:color w:val="auto"/>
        </w:rPr>
        <w:t>The 2Q20 and YTD 2020 GAAP segment benefit ratios were also lower when compared to the prior year periods due to the reinstatement of the non-deductible HIF in 2020 that was contemplated in the pricing and benefit design of the company's products.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Prior Period Development</w:t>
      </w:r>
    </w:p>
    <w:p>
      <w:pPr>
        <w:spacing w:after="0" w:line="240" w:lineRule="exact"/>
        <w:rPr>
          <w:sz w:val="20"/>
          <w:szCs w:val="20"/>
          <w:color w:val="auto"/>
        </w:rPr>
      </w:pPr>
    </w:p>
    <w:p>
      <w:pPr>
        <w:ind w:left="660" w:right="380"/>
        <w:spacing w:after="0" w:line="243" w:lineRule="auto"/>
        <w:rPr>
          <w:sz w:val="20"/>
          <w:szCs w:val="20"/>
          <w:color w:val="auto"/>
        </w:rPr>
      </w:pPr>
      <w:r>
        <w:rPr>
          <w:rFonts w:ascii="Arial" w:cs="Arial" w:eastAsia="Arial" w:hAnsi="Arial"/>
          <w:sz w:val="20"/>
          <w:szCs w:val="20"/>
          <w:color w:val="auto"/>
        </w:rPr>
        <w:t>The Group and Specialty segment's unfavorable Prior Period Development for 2Q20, as noted in the table below, increased the segment benefit ratio by 100 basis points in 2Q20 compared to increasing the 2Q19 ratio by 120 basis points.</w:t>
      </w:r>
    </w:p>
    <w:p>
      <w:pPr>
        <w:spacing w:after="0" w:line="206" w:lineRule="exact"/>
        <w:rPr>
          <w:sz w:val="20"/>
          <w:szCs w:val="20"/>
          <w:color w:val="auto"/>
        </w:rPr>
      </w:pPr>
    </w:p>
    <w:p>
      <w:pPr>
        <w:ind w:left="660" w:right="40"/>
        <w:spacing w:after="0" w:line="246" w:lineRule="auto"/>
        <w:rPr>
          <w:sz w:val="20"/>
          <w:szCs w:val="20"/>
          <w:color w:val="auto"/>
        </w:rPr>
      </w:pPr>
      <w:r>
        <w:rPr>
          <w:rFonts w:ascii="Arial" w:cs="Arial" w:eastAsia="Arial" w:hAnsi="Arial"/>
          <w:sz w:val="20"/>
          <w:szCs w:val="20"/>
          <w:color w:val="auto"/>
        </w:rPr>
        <w:t>Favorable Prior Period Development decreased the YTD 2020 ratio by 90 basis points while unfavorable development in YTD 2019 increased the benefit ratio by 110 basis points.</w:t>
      </w:r>
    </w:p>
    <w:p>
      <w:pPr>
        <w:spacing w:after="0" w:line="204" w:lineRule="exact"/>
        <w:rPr>
          <w:sz w:val="20"/>
          <w:szCs w:val="20"/>
          <w:color w:val="auto"/>
        </w:rPr>
      </w:pPr>
    </w:p>
    <w:p>
      <w:pPr>
        <w:ind w:left="660" w:right="80"/>
        <w:spacing w:after="0" w:line="241" w:lineRule="auto"/>
        <w:rPr>
          <w:sz w:val="20"/>
          <w:szCs w:val="20"/>
          <w:color w:val="auto"/>
        </w:rPr>
      </w:pPr>
      <w:r>
        <w:rPr>
          <w:rFonts w:ascii="Arial" w:cs="Arial" w:eastAsia="Arial" w:hAnsi="Arial"/>
          <w:sz w:val="20"/>
          <w:szCs w:val="20"/>
          <w:color w:val="auto"/>
        </w:rPr>
        <w:t>As previously discussed, Humana experienced negative Prior Period Development for 2Q20 as a result of the suspension of certain financial recovery programs for a period of time in the quarter. The suspension was intended to provide financial and administrative relief for providers facing unprecedented strain during the COVID-19 pandemic. The company anticipates it will recover some of the amounts associated with the temporary suspension in the latter half of 2020 and in 2021.</w:t>
      </w:r>
    </w:p>
    <w:p>
      <w:pPr>
        <w:spacing w:after="0" w:line="200" w:lineRule="exact"/>
        <w:rPr>
          <w:sz w:val="20"/>
          <w:szCs w:val="20"/>
          <w:color w:val="auto"/>
        </w:rPr>
      </w:pPr>
    </w:p>
    <w:p>
      <w:pPr>
        <w:spacing w:after="0" w:line="262" w:lineRule="exact"/>
        <w:rPr>
          <w:sz w:val="20"/>
          <w:szCs w:val="20"/>
          <w:color w:val="auto"/>
        </w:rPr>
      </w:pPr>
    </w:p>
    <w:tbl>
      <w:tblPr>
        <w:tblLayout w:type="fixed"/>
        <w:tblInd w:w="1510" w:type="dxa"/>
        <w:tblCellMar>
          <w:top w:w="0" w:type="dxa"/>
          <w:left w:w="0" w:type="dxa"/>
          <w:bottom w:w="0" w:type="dxa"/>
          <w:right w:w="0" w:type="dxa"/>
        </w:tblCellMar>
      </w:tblPr>
      <w:tr>
        <w:trPr>
          <w:trHeight w:val="211"/>
        </w:trPr>
        <w:tc>
          <w:tcPr>
            <w:tcW w:w="50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Group and Specialty segment Prior Period Development (in</w:t>
            </w:r>
          </w:p>
        </w:tc>
        <w:tc>
          <w:tcPr>
            <w:tcW w:w="106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Second</w:t>
            </w:r>
          </w:p>
        </w:tc>
        <w:tc>
          <w:tcPr>
            <w:tcW w:w="1080" w:type="dxa"/>
            <w:vAlign w:val="bottom"/>
            <w:tcBorders>
              <w:top w:val="single" w:sz="8" w:color="auto"/>
              <w:right w:val="single" w:sz="8" w:color="auto"/>
            </w:tcBorders>
          </w:tcPr>
          <w:p>
            <w:pPr>
              <w:spacing w:after="0"/>
              <w:rPr>
                <w:sz w:val="18"/>
                <w:szCs w:val="18"/>
                <w:color w:val="auto"/>
              </w:rPr>
            </w:pPr>
          </w:p>
        </w:tc>
      </w:tr>
      <w:tr>
        <w:trPr>
          <w:trHeight w:val="228"/>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millions) Favorable (unfavorable)</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First Quarter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Quarter</w:t>
            </w:r>
          </w:p>
        </w:tc>
        <w:tc>
          <w:tcPr>
            <w:tcW w:w="108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YTD</w:t>
            </w:r>
          </w:p>
        </w:tc>
      </w:tr>
      <w:tr>
        <w:trPr>
          <w:trHeight w:val="198"/>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Prior Period Development from prior years recognized in YTD</w:t>
            </w:r>
          </w:p>
        </w:tc>
        <w:tc>
          <w:tcPr>
            <w:tcW w:w="10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28"/>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106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$46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$(16)</w:t>
            </w:r>
          </w:p>
        </w:tc>
        <w:tc>
          <w:tcPr>
            <w:tcW w:w="108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$30</w:t>
            </w:r>
          </w:p>
        </w:tc>
      </w:tr>
      <w:tr>
        <w:trPr>
          <w:trHeight w:val="236"/>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Prior Period Development from prior years recognized in YTD 2019</w:t>
            </w:r>
          </w:p>
        </w:tc>
        <w:tc>
          <w:tcPr>
            <w:tcW w:w="106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$(16)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w:t>
            </w:r>
          </w:p>
        </w:tc>
        <w:tc>
          <w:tcPr>
            <w:tcW w:w="108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rPr>
              <w:t>$(36)</w:t>
            </w:r>
          </w:p>
        </w:tc>
      </w:tr>
    </w:tbl>
    <w:p>
      <w:pPr>
        <w:spacing w:after="0" w:line="200" w:lineRule="exact"/>
        <w:rPr>
          <w:sz w:val="20"/>
          <w:szCs w:val="20"/>
          <w:color w:val="auto"/>
        </w:rPr>
      </w:pPr>
    </w:p>
    <w:p>
      <w:pPr>
        <w:sectPr>
          <w:pgSz w:w="11900" w:h="16838" w:orient="portrait"/>
          <w:cols w:equalWidth="0" w:num="1">
            <w:col w:w="11220"/>
          </w:cols>
          <w:pgMar w:left="320" w:top="1097" w:right="35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320" w:top="1097" w:right="359" w:bottom="1440" w:gutter="0" w:footer="0" w:header="0"/>
          <w:type w:val="continuous"/>
        </w:sectPr>
      </w:pPr>
    </w:p>
    <w:bookmarkStart w:id="25" w:name="page26"/>
    <w:bookmarkEnd w:id="25"/>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operating costs:</w:t>
      </w:r>
    </w:p>
    <w:p>
      <w:pPr>
        <w:spacing w:after="0" w:line="239" w:lineRule="exact"/>
        <w:rPr>
          <w:sz w:val="20"/>
          <w:szCs w:val="20"/>
          <w:color w:val="auto"/>
        </w:rPr>
      </w:pPr>
    </w:p>
    <w:p>
      <w:pPr>
        <w:ind w:left="620" w:hanging="288"/>
        <w:spacing w:after="0"/>
        <w:tabs>
          <w:tab w:leader="none" w:pos="6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Group and Specialty segment’s operating cost ratio was 23.8 percent in 2Q20, an increase of 210 basis points from</w:t>
      </w:r>
    </w:p>
    <w:p>
      <w:pPr>
        <w:ind w:left="660"/>
        <w:spacing w:after="0"/>
        <w:rPr>
          <w:rFonts w:ascii="Arial" w:cs="Arial" w:eastAsia="Arial" w:hAnsi="Arial"/>
          <w:sz w:val="20"/>
          <w:szCs w:val="20"/>
          <w:color w:val="auto"/>
        </w:rPr>
      </w:pPr>
      <w:r>
        <w:rPr>
          <w:rFonts w:ascii="Arial" w:cs="Arial" w:eastAsia="Arial" w:hAnsi="Arial"/>
          <w:sz w:val="20"/>
          <w:szCs w:val="20"/>
          <w:color w:val="auto"/>
        </w:rPr>
        <w:t>21.7 percent in 2Q19 primarily reflecting the following factors:</w:t>
      </w:r>
    </w:p>
    <w:p>
      <w:pPr>
        <w:spacing w:after="0" w:line="215" w:lineRule="exact"/>
        <w:rPr>
          <w:rFonts w:ascii="Arial" w:cs="Arial" w:eastAsia="Arial" w:hAnsi="Arial"/>
          <w:sz w:val="20"/>
          <w:szCs w:val="20"/>
          <w:color w:val="auto"/>
        </w:rPr>
      </w:pPr>
    </w:p>
    <w:p>
      <w:pPr>
        <w:ind w:left="1300" w:right="620" w:hanging="320"/>
        <w:spacing w:after="0" w:line="246" w:lineRule="auto"/>
        <w:tabs>
          <w:tab w:leader="none" w:pos="1168" w:val="left"/>
        </w:tabs>
        <w:numPr>
          <w:ilvl w:val="1"/>
          <w:numId w:val="34"/>
        </w:numPr>
        <w:rPr>
          <w:rFonts w:ascii="Arial" w:cs="Arial" w:eastAsia="Arial" w:hAnsi="Arial"/>
          <w:sz w:val="20"/>
          <w:szCs w:val="20"/>
          <w:color w:val="auto"/>
        </w:rPr>
      </w:pPr>
      <w:r>
        <w:rPr>
          <w:rFonts w:ascii="Arial" w:cs="Arial" w:eastAsia="Arial" w:hAnsi="Arial"/>
          <w:sz w:val="20"/>
          <w:szCs w:val="20"/>
          <w:color w:val="auto"/>
        </w:rPr>
        <w:t>reinstatement of the non-deductible HIF in 2020, which increased the Group and Specialty segment's GAAP operating cost ratio by approximately 130 basis points in 2Q20; and</w:t>
      </w:r>
    </w:p>
    <w:p>
      <w:pPr>
        <w:spacing w:after="0" w:line="203" w:lineRule="exact"/>
        <w:rPr>
          <w:rFonts w:ascii="Arial" w:cs="Arial" w:eastAsia="Arial" w:hAnsi="Arial"/>
          <w:sz w:val="20"/>
          <w:szCs w:val="20"/>
          <w:color w:val="auto"/>
        </w:rPr>
      </w:pPr>
    </w:p>
    <w:p>
      <w:pPr>
        <w:ind w:left="1180" w:hanging="200"/>
        <w:spacing w:after="0"/>
        <w:tabs>
          <w:tab w:leader="none" w:pos="11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COVID-19 related costs as previously discussed.</w:t>
      </w:r>
    </w:p>
    <w:p>
      <w:pPr>
        <w:spacing w:after="0" w:line="216" w:lineRule="exact"/>
        <w:rPr>
          <w:sz w:val="20"/>
          <w:szCs w:val="20"/>
          <w:color w:val="auto"/>
        </w:rPr>
      </w:pPr>
    </w:p>
    <w:p>
      <w:pPr>
        <w:ind w:right="820"/>
        <w:spacing w:after="0" w:line="246" w:lineRule="auto"/>
        <w:rPr>
          <w:sz w:val="20"/>
          <w:szCs w:val="20"/>
          <w:color w:val="auto"/>
        </w:rPr>
      </w:pPr>
      <w:r>
        <w:rPr>
          <w:rFonts w:ascii="Arial" w:cs="Arial" w:eastAsia="Arial" w:hAnsi="Arial"/>
          <w:sz w:val="20"/>
          <w:szCs w:val="20"/>
          <w:color w:val="auto"/>
        </w:rPr>
        <w:t>The impact of the above items was partially offset by significant operating cost efficiencies in 2Q20 driven by previously disclosed productivity initiatives.</w:t>
      </w:r>
    </w:p>
    <w:p>
      <w:pPr>
        <w:spacing w:after="0" w:line="204" w:lineRule="exact"/>
        <w:rPr>
          <w:sz w:val="20"/>
          <w:szCs w:val="20"/>
          <w:color w:val="auto"/>
        </w:rPr>
      </w:pPr>
    </w:p>
    <w:p>
      <w:pPr>
        <w:ind w:left="660" w:right="40" w:hanging="328"/>
        <w:spacing w:after="0" w:line="243" w:lineRule="auto"/>
        <w:tabs>
          <w:tab w:leader="none" w:pos="621"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Group and Specialty segment’s operating cost ratio of 23.4 percent for YTD 2020 was up 160 basis points compared to 21.8 percent for YTD 2019. The year-over-year increase was primarily impacted by the same factors influencing the second quarter comparison.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non-deductible HIF impacted the segment’s YTD 2020 operating cost ratio by approximately 130 basis points.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and Specialty segment results: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162"/>
        </w:trPr>
        <w:tc>
          <w:tcPr>
            <w:tcW w:w="6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Group and Specialty segment earnings</w:t>
            </w:r>
          </w:p>
        </w:tc>
        <w:tc>
          <w:tcPr>
            <w:tcW w:w="1220" w:type="dxa"/>
            <w:vAlign w:val="bottom"/>
            <w:tcBorders>
              <w:top w:val="single" w:sz="8" w:color="auto"/>
              <w:right w:val="single" w:sz="8" w:color="auto"/>
            </w:tcBorders>
            <w:vMerge w:val="restart"/>
            <w:shd w:val="clear" w:color="auto" w:fill="EAEAEA"/>
          </w:tcPr>
          <w:p>
            <w:pPr>
              <w:jc w:val="right"/>
              <w:ind w:right="261"/>
              <w:spacing w:after="0"/>
              <w:rPr>
                <w:sz w:val="20"/>
                <w:szCs w:val="20"/>
                <w:color w:val="auto"/>
              </w:rPr>
            </w:pPr>
            <w:r>
              <w:rPr>
                <w:rFonts w:ascii="Arial" w:cs="Arial" w:eastAsia="Arial" w:hAnsi="Arial"/>
                <w:sz w:val="14"/>
                <w:szCs w:val="14"/>
                <w:b w:val="1"/>
                <w:bCs w:val="1"/>
                <w:color w:val="auto"/>
              </w:rPr>
              <w:t>2Q20 (a)</w:t>
            </w:r>
          </w:p>
        </w:tc>
        <w:tc>
          <w:tcPr>
            <w:tcW w:w="1200" w:type="dxa"/>
            <w:vAlign w:val="bottom"/>
            <w:tcBorders>
              <w:top w:val="single" w:sz="8" w:color="auto"/>
              <w:right w:val="single" w:sz="8" w:color="auto"/>
            </w:tcBorders>
          </w:tcPr>
          <w:p>
            <w:pPr>
              <w:spacing w:after="0"/>
              <w:rPr>
                <w:sz w:val="14"/>
                <w:szCs w:val="14"/>
                <w:color w:val="auto"/>
              </w:rPr>
            </w:pPr>
          </w:p>
        </w:tc>
        <w:tc>
          <w:tcPr>
            <w:tcW w:w="1180" w:type="dxa"/>
            <w:vAlign w:val="bottom"/>
            <w:tcBorders>
              <w:top w:val="single" w:sz="8" w:color="auto"/>
              <w:right w:val="single" w:sz="8" w:color="auto"/>
            </w:tcBorders>
            <w:vMerge w:val="restart"/>
            <w:shd w:val="clear" w:color="auto" w:fill="EAEAEA"/>
          </w:tcPr>
          <w:p>
            <w:pPr>
              <w:jc w:val="right"/>
              <w:ind w:right="101"/>
              <w:spacing w:after="0"/>
              <w:rPr>
                <w:sz w:val="20"/>
                <w:szCs w:val="20"/>
                <w:color w:val="auto"/>
              </w:rPr>
            </w:pPr>
            <w:r>
              <w:rPr>
                <w:rFonts w:ascii="Arial" w:cs="Arial" w:eastAsia="Arial" w:hAnsi="Arial"/>
                <w:sz w:val="14"/>
                <w:szCs w:val="14"/>
                <w:b w:val="1"/>
                <w:bCs w:val="1"/>
                <w:color w:val="auto"/>
              </w:rPr>
              <w:t>YTD 2020 (c)</w:t>
            </w:r>
          </w:p>
        </w:tc>
        <w:tc>
          <w:tcPr>
            <w:tcW w:w="11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220" w:type="dxa"/>
            <w:vAlign w:val="bottom"/>
            <w:tcBorders>
              <w:bottom w:val="single" w:sz="8" w:color="auto"/>
              <w:right w:val="single" w:sz="8" w:color="auto"/>
            </w:tcBorders>
            <w:vMerge w:val="continue"/>
            <w:shd w:val="clear" w:color="auto" w:fill="EAEAEA"/>
          </w:tcPr>
          <w:p>
            <w:pPr>
              <w:spacing w:after="0"/>
              <w:rPr>
                <w:sz w:val="17"/>
                <w:szCs w:val="17"/>
                <w:color w:val="auto"/>
              </w:rPr>
            </w:pPr>
          </w:p>
        </w:tc>
        <w:tc>
          <w:tcPr>
            <w:tcW w:w="1200" w:type="dxa"/>
            <w:vAlign w:val="bottom"/>
            <w:tcBorders>
              <w:bottom w:val="single" w:sz="8" w:color="auto"/>
              <w:right w:val="single" w:sz="8" w:color="auto"/>
            </w:tcBorders>
          </w:tcPr>
          <w:p>
            <w:pPr>
              <w:jc w:val="right"/>
              <w:ind w:right="261"/>
              <w:spacing w:after="0"/>
              <w:rPr>
                <w:sz w:val="20"/>
                <w:szCs w:val="20"/>
                <w:color w:val="auto"/>
              </w:rPr>
            </w:pPr>
            <w:r>
              <w:rPr>
                <w:rFonts w:ascii="Arial" w:cs="Arial" w:eastAsia="Arial" w:hAnsi="Arial"/>
                <w:sz w:val="14"/>
                <w:szCs w:val="14"/>
                <w:color w:val="auto"/>
              </w:rPr>
              <w:t>2Q19 (b)</w:t>
            </w:r>
          </w:p>
        </w:tc>
        <w:tc>
          <w:tcPr>
            <w:tcW w:w="1180" w:type="dxa"/>
            <w:vAlign w:val="bottom"/>
            <w:tcBorders>
              <w:bottom w:val="single" w:sz="8" w:color="auto"/>
              <w:right w:val="single" w:sz="8" w:color="auto"/>
            </w:tcBorders>
            <w:vMerge w:val="continue"/>
            <w:shd w:val="clear" w:color="auto" w:fill="EAEAEA"/>
          </w:tcPr>
          <w:p>
            <w:pPr>
              <w:spacing w:after="0"/>
              <w:rPr>
                <w:sz w:val="17"/>
                <w:szCs w:val="17"/>
                <w:color w:val="auto"/>
              </w:rPr>
            </w:pPr>
          </w:p>
        </w:tc>
        <w:tc>
          <w:tcPr>
            <w:tcW w:w="118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4"/>
                <w:szCs w:val="14"/>
                <w:color w:val="auto"/>
              </w:rPr>
              <w:t>YTD 2019 (d)</w:t>
            </w:r>
          </w:p>
        </w:tc>
        <w:tc>
          <w:tcPr>
            <w:tcW w:w="0" w:type="dxa"/>
            <w:vAlign w:val="bottom"/>
          </w:tcPr>
          <w:p>
            <w:pPr>
              <w:spacing w:after="0"/>
              <w:rPr>
                <w:sz w:val="1"/>
                <w:szCs w:val="1"/>
                <w:color w:val="auto"/>
              </w:rPr>
            </w:pPr>
          </w:p>
        </w:tc>
      </w:tr>
      <w:tr>
        <w:trPr>
          <w:trHeight w:val="230"/>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w:t>
            </w:r>
          </w:p>
        </w:tc>
        <w:tc>
          <w:tcPr>
            <w:tcW w:w="1220" w:type="dxa"/>
            <w:vAlign w:val="bottom"/>
            <w:tcBorders>
              <w:bottom w:val="single" w:sz="8" w:color="auto"/>
              <w:right w:val="single" w:sz="8" w:color="auto"/>
            </w:tcBorders>
            <w:shd w:val="clear" w:color="auto" w:fill="EAEAEA"/>
          </w:tcPr>
          <w:p>
            <w:pPr>
              <w:jc w:val="right"/>
              <w:ind w:right="101"/>
              <w:spacing w:after="0"/>
              <w:rPr>
                <w:sz w:val="20"/>
                <w:szCs w:val="20"/>
                <w:color w:val="auto"/>
              </w:rPr>
            </w:pPr>
            <w:r>
              <w:rPr>
                <w:rFonts w:ascii="Arial" w:cs="Arial" w:eastAsia="Arial" w:hAnsi="Arial"/>
                <w:sz w:val="16"/>
                <w:szCs w:val="16"/>
                <w:b w:val="1"/>
                <w:bCs w:val="1"/>
                <w:color w:val="auto"/>
              </w:rPr>
              <w:t>$287</w:t>
            </w:r>
          </w:p>
        </w:tc>
        <w:tc>
          <w:tcPr>
            <w:tcW w:w="120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$5</w:t>
            </w:r>
          </w:p>
        </w:tc>
        <w:tc>
          <w:tcPr>
            <w:tcW w:w="1180" w:type="dxa"/>
            <w:vAlign w:val="bottom"/>
            <w:tcBorders>
              <w:bottom w:val="single" w:sz="8" w:color="auto"/>
              <w:right w:val="single" w:sz="8" w:color="auto"/>
            </w:tcBorders>
            <w:shd w:val="clear" w:color="auto" w:fill="EAEAEA"/>
          </w:tcPr>
          <w:p>
            <w:pPr>
              <w:jc w:val="right"/>
              <w:ind w:right="101"/>
              <w:spacing w:after="0"/>
              <w:rPr>
                <w:sz w:val="20"/>
                <w:szCs w:val="20"/>
                <w:color w:val="auto"/>
              </w:rPr>
            </w:pPr>
            <w:r>
              <w:rPr>
                <w:rFonts w:ascii="Arial" w:cs="Arial" w:eastAsia="Arial" w:hAnsi="Arial"/>
                <w:sz w:val="16"/>
                <w:szCs w:val="16"/>
                <w:b w:val="1"/>
                <w:bCs w:val="1"/>
                <w:color w:val="auto"/>
              </w:rPr>
              <w:t>$392</w:t>
            </w:r>
          </w:p>
        </w:tc>
        <w:tc>
          <w:tcPr>
            <w:tcW w:w="118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Amortization associated with identifiable intangibles</w:t>
            </w:r>
          </w:p>
        </w:tc>
        <w:tc>
          <w:tcPr>
            <w:tcW w:w="1220" w:type="dxa"/>
            <w:vAlign w:val="bottom"/>
            <w:tcBorders>
              <w:bottom w:val="single" w:sz="8" w:color="auto"/>
              <w:right w:val="single" w:sz="8" w:color="auto"/>
            </w:tcBorders>
            <w:shd w:val="clear" w:color="auto" w:fill="EAEAEA"/>
          </w:tcPr>
          <w:p>
            <w:pPr>
              <w:jc w:val="right"/>
              <w:ind w:right="101"/>
              <w:spacing w:after="0"/>
              <w:rPr>
                <w:sz w:val="20"/>
                <w:szCs w:val="20"/>
                <w:color w:val="auto"/>
              </w:rPr>
            </w:pPr>
            <w:r>
              <w:rPr>
                <w:rFonts w:ascii="Arial" w:cs="Arial" w:eastAsia="Arial" w:hAnsi="Arial"/>
                <w:sz w:val="16"/>
                <w:szCs w:val="16"/>
                <w:b w:val="1"/>
                <w:bCs w:val="1"/>
                <w:color w:val="auto"/>
              </w:rPr>
              <w:t>1</w:t>
            </w:r>
          </w:p>
        </w:tc>
        <w:tc>
          <w:tcPr>
            <w:tcW w:w="120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1180" w:type="dxa"/>
            <w:vAlign w:val="bottom"/>
            <w:tcBorders>
              <w:bottom w:val="single" w:sz="8" w:color="auto"/>
              <w:right w:val="single" w:sz="8" w:color="auto"/>
            </w:tcBorders>
            <w:shd w:val="clear" w:color="auto" w:fill="EAEAEA"/>
          </w:tcPr>
          <w:p>
            <w:pPr>
              <w:jc w:val="right"/>
              <w:ind w:right="101"/>
              <w:spacing w:after="0"/>
              <w:rPr>
                <w:sz w:val="20"/>
                <w:szCs w:val="20"/>
                <w:color w:val="auto"/>
              </w:rPr>
            </w:pPr>
            <w:r>
              <w:rPr>
                <w:rFonts w:ascii="Arial" w:cs="Arial" w:eastAsia="Arial" w:hAnsi="Arial"/>
                <w:sz w:val="16"/>
                <w:szCs w:val="16"/>
                <w:b w:val="1"/>
                <w:bCs w:val="1"/>
                <w:color w:val="auto"/>
              </w:rPr>
              <w:t>2</w:t>
            </w:r>
          </w:p>
        </w:tc>
        <w:tc>
          <w:tcPr>
            <w:tcW w:w="118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(non-GAAP)</w:t>
            </w:r>
          </w:p>
        </w:tc>
        <w:tc>
          <w:tcPr>
            <w:tcW w:w="1220" w:type="dxa"/>
            <w:vAlign w:val="bottom"/>
            <w:tcBorders>
              <w:bottom w:val="single" w:sz="8" w:color="auto"/>
              <w:right w:val="single" w:sz="8" w:color="auto"/>
            </w:tcBorders>
            <w:shd w:val="clear" w:color="auto" w:fill="EAEAEA"/>
          </w:tcPr>
          <w:p>
            <w:pPr>
              <w:jc w:val="right"/>
              <w:ind w:right="101"/>
              <w:spacing w:after="0"/>
              <w:rPr>
                <w:sz w:val="20"/>
                <w:szCs w:val="20"/>
                <w:color w:val="auto"/>
              </w:rPr>
            </w:pPr>
            <w:r>
              <w:rPr>
                <w:rFonts w:ascii="Arial" w:cs="Arial" w:eastAsia="Arial" w:hAnsi="Arial"/>
                <w:sz w:val="16"/>
                <w:szCs w:val="16"/>
                <w:b w:val="1"/>
                <w:bCs w:val="1"/>
                <w:color w:val="auto"/>
              </w:rPr>
              <w:t>$288</w:t>
            </w:r>
          </w:p>
        </w:tc>
        <w:tc>
          <w:tcPr>
            <w:tcW w:w="120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$6</w:t>
            </w:r>
          </w:p>
        </w:tc>
        <w:tc>
          <w:tcPr>
            <w:tcW w:w="1180" w:type="dxa"/>
            <w:vAlign w:val="bottom"/>
            <w:tcBorders>
              <w:bottom w:val="single" w:sz="8" w:color="auto"/>
              <w:right w:val="single" w:sz="8" w:color="auto"/>
            </w:tcBorders>
            <w:shd w:val="clear" w:color="auto" w:fill="EAEAEA"/>
          </w:tcPr>
          <w:p>
            <w:pPr>
              <w:jc w:val="right"/>
              <w:ind w:right="101"/>
              <w:spacing w:after="0"/>
              <w:rPr>
                <w:sz w:val="20"/>
                <w:szCs w:val="20"/>
                <w:color w:val="auto"/>
              </w:rPr>
            </w:pPr>
            <w:r>
              <w:rPr>
                <w:rFonts w:ascii="Arial" w:cs="Arial" w:eastAsia="Arial" w:hAnsi="Arial"/>
                <w:sz w:val="16"/>
                <w:szCs w:val="16"/>
                <w:b w:val="1"/>
                <w:bCs w:val="1"/>
                <w:color w:val="auto"/>
              </w:rPr>
              <w:t>$394</w:t>
            </w:r>
          </w:p>
        </w:tc>
        <w:tc>
          <w:tcPr>
            <w:tcW w:w="118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60" w:right="120" w:hanging="328"/>
        <w:spacing w:after="0" w:line="246" w:lineRule="auto"/>
        <w:tabs>
          <w:tab w:leader="none" w:pos="621"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year-over-year favorable comparison, for both quarter and YTD, in GAAP segment earnings resulted from the same factors that led to an improving benefit ratio, partially offset by the segment's higher operating cost ratio.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Humana’s Healthcare Services Segment</w:t>
      </w:r>
    </w:p>
    <w:p>
      <w:pPr>
        <w:spacing w:after="0" w:line="25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 including the company's non-consolidating minority interest investments in Kindred at Home and the strategic partnership with Welsh, Carson, Anderson &amp; Stowe (WCAS) to develop and operate senior-focused, payor-agnostic, primary care centers.</w:t>
      </w:r>
    </w:p>
    <w:p>
      <w:pPr>
        <w:spacing w:after="0" w:line="20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Services offered by this segment are designed to enhance the healthcare experience overall. These services may lead to lower utilization associated with improved member health and/or lower drug costs.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Healthcare Services segment revenues:</w:t>
      </w:r>
    </w:p>
    <w:p>
      <w:pPr>
        <w:spacing w:after="0" w:line="240" w:lineRule="exact"/>
        <w:rPr>
          <w:sz w:val="20"/>
          <w:szCs w:val="20"/>
          <w:color w:val="auto"/>
        </w:rPr>
      </w:pPr>
    </w:p>
    <w:p>
      <w:pPr>
        <w:ind w:left="660" w:right="440" w:hanging="328"/>
        <w:spacing w:after="0" w:line="246" w:lineRule="auto"/>
        <w:tabs>
          <w:tab w:leader="none" w:pos="621"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Revenues of $6.94 billion in 2Q20 for the Healthcare Services segment increased by $554 million, or 9 percent, from $6.39 billion in 2Q19. The year-over-year comparison was favorably impacted by the following factors:</w:t>
      </w:r>
    </w:p>
    <w:p>
      <w:pPr>
        <w:spacing w:after="0" w:line="203" w:lineRule="exact"/>
        <w:rPr>
          <w:rFonts w:ascii="Arial" w:cs="Arial" w:eastAsia="Arial" w:hAnsi="Arial"/>
          <w:sz w:val="20"/>
          <w:szCs w:val="20"/>
          <w:color w:val="auto"/>
        </w:rPr>
      </w:pPr>
    </w:p>
    <w:p>
      <w:pPr>
        <w:ind w:left="760" w:hanging="185"/>
        <w:spacing w:after="0"/>
        <w:tabs>
          <w:tab w:leader="none" w:pos="760"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company's strong Medicare Advantage membership growth,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26" w:name="page27"/>
    <w:bookmarkEnd w:id="26"/>
    <w:p>
      <w:pPr>
        <w:ind w:left="900" w:right="260" w:hanging="325"/>
        <w:spacing w:after="0" w:line="243" w:lineRule="auto"/>
        <w:tabs>
          <w:tab w:leader="none" w:pos="76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 increase in pharmacy revenues as a result of the company allowing early prescription refills to permit members to prepare for extended supply needs in response to COVID-19, along with a modest shift by members to 90-day mail supply, and</w:t>
      </w:r>
    </w:p>
    <w:p>
      <w:pPr>
        <w:spacing w:after="0" w:line="205" w:lineRule="exact"/>
        <w:rPr>
          <w:rFonts w:ascii="Arial" w:cs="Arial" w:eastAsia="Arial" w:hAnsi="Arial"/>
          <w:sz w:val="20"/>
          <w:szCs w:val="20"/>
          <w:color w:val="auto"/>
        </w:rPr>
      </w:pPr>
    </w:p>
    <w:p>
      <w:pPr>
        <w:ind w:left="760" w:hanging="185"/>
        <w:spacing w:after="0"/>
        <w:tabs>
          <w:tab w:leader="none" w:pos="7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additional pharmacy revenues in 2Q20 associated with the acquisition of Enclara Healthcare.</w:t>
      </w:r>
    </w:p>
    <w:p>
      <w:pPr>
        <w:spacing w:after="0" w:line="216" w:lineRule="exact"/>
        <w:rPr>
          <w:sz w:val="20"/>
          <w:szCs w:val="20"/>
          <w:color w:val="auto"/>
        </w:rPr>
      </w:pPr>
    </w:p>
    <w:p>
      <w:pPr>
        <w:ind w:left="660" w:right="360"/>
        <w:spacing w:after="0" w:line="246" w:lineRule="auto"/>
        <w:rPr>
          <w:sz w:val="20"/>
          <w:szCs w:val="20"/>
          <w:color w:val="auto"/>
        </w:rPr>
      </w:pPr>
      <w:r>
        <w:rPr>
          <w:rFonts w:ascii="Arial" w:cs="Arial" w:eastAsia="Arial" w:hAnsi="Arial"/>
          <w:sz w:val="20"/>
          <w:szCs w:val="20"/>
          <w:color w:val="auto"/>
        </w:rPr>
        <w:t>These increases were partially offset by the loss of intersegment revenues associated with the decline in stand-alone PDP membership as previously discussed.</w:t>
      </w:r>
    </w:p>
    <w:p>
      <w:pPr>
        <w:spacing w:after="0" w:line="204" w:lineRule="exact"/>
        <w:rPr>
          <w:sz w:val="20"/>
          <w:szCs w:val="20"/>
          <w:color w:val="auto"/>
        </w:rPr>
      </w:pPr>
    </w:p>
    <w:p>
      <w:pPr>
        <w:ind w:left="660" w:hanging="328"/>
        <w:spacing w:after="0" w:line="243" w:lineRule="auto"/>
        <w:tabs>
          <w:tab w:leader="none" w:pos="621" w:val="left"/>
        </w:tabs>
        <w:numPr>
          <w:ilvl w:val="0"/>
          <w:numId w:val="39"/>
        </w:numPr>
        <w:rPr>
          <w:rFonts w:ascii="Arial" w:cs="Arial" w:eastAsia="Arial" w:hAnsi="Arial"/>
          <w:sz w:val="20"/>
          <w:szCs w:val="20"/>
          <w:color w:val="auto"/>
        </w:rPr>
      </w:pPr>
      <w:r>
        <w:rPr>
          <w:rFonts w:ascii="Arial" w:cs="Arial" w:eastAsia="Arial" w:hAnsi="Arial"/>
          <w:sz w:val="20"/>
          <w:szCs w:val="20"/>
          <w:color w:val="auto"/>
        </w:rPr>
        <w:t>YTD 2020 revenues for the Healthcare Services segment were $14.03 billion, an increase of $1.54 billion, or 12 percent, from $12.49 billion in YTD 2019 primarily due to the same factors affecting the year-over-year comparison for the second quarter.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Healthcare Services segment operating costs:</w:t>
      </w:r>
    </w:p>
    <w:p>
      <w:pPr>
        <w:spacing w:after="0" w:line="240" w:lineRule="exact"/>
        <w:rPr>
          <w:sz w:val="20"/>
          <w:szCs w:val="20"/>
          <w:color w:val="auto"/>
        </w:rPr>
      </w:pPr>
    </w:p>
    <w:p>
      <w:pPr>
        <w:ind w:left="660" w:right="40" w:hanging="328"/>
        <w:spacing w:after="0"/>
        <w:tabs>
          <w:tab w:leader="none" w:pos="621"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Healthcare Services segment’s operating cost ratio of 95.1 percent in 2Q20 decreased 100 basis points from 96.1 percent in 2Q19 primarily as a result of operational improvements and reduced utilization resulting from COVID-19 in the company's provider services business, as well as significant operating cost efficiencies in 2Q20 driven by previously disclosed productivity initiatives. These improvements were partially offset by COVID-19 administrative related costs, including expenses associated with additional safety measures taken for the company's pharmacy, provider, and clinical teams who have continued to provide services to members during the crisis.</w:t>
      </w:r>
    </w:p>
    <w:p>
      <w:pPr>
        <w:spacing w:after="0" w:line="213" w:lineRule="exact"/>
        <w:rPr>
          <w:rFonts w:ascii="Arial" w:cs="Arial" w:eastAsia="Arial" w:hAnsi="Arial"/>
          <w:sz w:val="20"/>
          <w:szCs w:val="20"/>
          <w:color w:val="auto"/>
        </w:rPr>
      </w:pPr>
    </w:p>
    <w:p>
      <w:pPr>
        <w:jc w:val="both"/>
        <w:ind w:left="660" w:right="180" w:hanging="328"/>
        <w:spacing w:after="0" w:line="272" w:lineRule="auto"/>
        <w:tabs>
          <w:tab w:leader="none" w:pos="621"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Healthcare Services segment’s YTD 2020 operating cost ratio of 95.6 percent decreased 70 basis points from 96.3 percent in YTD 2019 primarily resulting from the same factors affecting the year-over-year second quarter comparison.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Healthcare Services segment operating statistics:</w:t>
      </w:r>
    </w:p>
    <w:p>
      <w:pPr>
        <w:spacing w:after="0" w:line="239" w:lineRule="exact"/>
        <w:rPr>
          <w:sz w:val="20"/>
          <w:szCs w:val="20"/>
          <w:color w:val="auto"/>
        </w:rPr>
      </w:pPr>
    </w:p>
    <w:p>
      <w:pPr>
        <w:ind w:left="620" w:hanging="288"/>
        <w:spacing w:after="0"/>
        <w:tabs>
          <w:tab w:leader="none" w:pos="6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Primary care providers in value-based (shared risk and path to risk) relationships of 66,500 at June 30, 2020 increased</w:t>
      </w:r>
    </w:p>
    <w:p>
      <w:pPr>
        <w:ind w:left="660"/>
        <w:spacing w:after="0"/>
        <w:rPr>
          <w:rFonts w:ascii="Arial" w:cs="Arial" w:eastAsia="Arial" w:hAnsi="Arial"/>
          <w:sz w:val="20"/>
          <w:szCs w:val="20"/>
          <w:color w:val="auto"/>
        </w:rPr>
      </w:pPr>
      <w:r>
        <w:rPr>
          <w:rFonts w:ascii="Arial" w:cs="Arial" w:eastAsia="Arial" w:hAnsi="Arial"/>
          <w:sz w:val="20"/>
          <w:szCs w:val="20"/>
          <w:color w:val="auto"/>
        </w:rPr>
        <w:t>14 percent from 58,500 at June 30, 2019, and increased 7 percent from 61,900 at December 31, 2019. The percentage of the company’s individual Medicare Advantage members in value-based relationships was 66 percent as of June 30, 2020, compared to 65 percent at June 30, 2019 and 67 percent at December 31, 2019. The YTD decline in the percentage of members in value-based relationships was impacted by solid current year membership growth that has led to a greater proportion of new individual Medicare Advantage members that are not yet assigned to a primary care provider.</w:t>
      </w:r>
    </w:p>
    <w:p>
      <w:pPr>
        <w:spacing w:after="0" w:line="213" w:lineRule="exact"/>
        <w:rPr>
          <w:rFonts w:ascii="Arial" w:cs="Arial" w:eastAsia="Arial" w:hAnsi="Arial"/>
          <w:sz w:val="20"/>
          <w:szCs w:val="20"/>
          <w:color w:val="auto"/>
        </w:rPr>
      </w:pPr>
    </w:p>
    <w:p>
      <w:pPr>
        <w:ind w:left="660" w:right="60" w:hanging="328"/>
        <w:spacing w:after="0" w:line="241" w:lineRule="auto"/>
        <w:tabs>
          <w:tab w:leader="none" w:pos="621"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Medicare Advantage and dual demonstration program membership enrolled in a Humana chronic care management program </w:t>
      </w:r>
      <w:r>
        <w:rPr>
          <w:rFonts w:ascii="Arial" w:cs="Arial" w:eastAsia="Arial" w:hAnsi="Arial"/>
          <w:sz w:val="20"/>
          <w:szCs w:val="20"/>
          <w:color w:val="auto"/>
          <w:vertAlign w:val="superscript"/>
        </w:rPr>
        <w:t>(i)</w:t>
      </w:r>
      <w:r>
        <w:rPr>
          <w:rFonts w:ascii="Arial" w:cs="Arial" w:eastAsia="Arial" w:hAnsi="Arial"/>
          <w:sz w:val="20"/>
          <w:szCs w:val="20"/>
          <w:color w:val="auto"/>
        </w:rPr>
        <w:t xml:space="preserve"> was 901,000 at June 30, 2020, up 6 percent from 853,600 at June 30, 2019 and up 4 percent from 868,800 at December 31, 2019. These changes were driven by the company's improved process for identifying and enrolling members in the appropriate program at the right time, coupled with growth in Special Needs Plans (SNP) membership.</w:t>
      </w:r>
    </w:p>
    <w:p>
      <w:pPr>
        <w:spacing w:after="0" w:line="210" w:lineRule="exact"/>
        <w:rPr>
          <w:rFonts w:ascii="Arial" w:cs="Arial" w:eastAsia="Arial" w:hAnsi="Arial"/>
          <w:sz w:val="20"/>
          <w:szCs w:val="20"/>
          <w:color w:val="auto"/>
        </w:rPr>
      </w:pPr>
    </w:p>
    <w:p>
      <w:pPr>
        <w:ind w:left="660" w:right="20" w:hanging="328"/>
        <w:spacing w:after="0" w:line="241" w:lineRule="auto"/>
        <w:tabs>
          <w:tab w:leader="none" w:pos="621" w:val="left"/>
        </w:tabs>
        <w:numPr>
          <w:ilvl w:val="0"/>
          <w:numId w:val="41"/>
        </w:numPr>
        <w:rPr>
          <w:rFonts w:ascii="Arial" w:cs="Arial" w:eastAsia="Arial" w:hAnsi="Arial"/>
          <w:sz w:val="20"/>
          <w:szCs w:val="20"/>
          <w:color w:val="auto"/>
        </w:rPr>
      </w:pPr>
      <w:r>
        <w:rPr>
          <w:rFonts w:ascii="Arial" w:cs="Arial" w:eastAsia="Arial" w:hAnsi="Arial"/>
          <w:sz w:val="20"/>
          <w:szCs w:val="20"/>
          <w:color w:val="auto"/>
        </w:rPr>
        <w:t>Pharmacy script volume on an adjusted 30-day equivalent basis of 116 million for 2Q20 increased 3 percent compared to 113 million for 2Q19. Pharmacy script volume of 236 million for YTD 2020 increased 6 percent compared to 223 million for YTD 2019. These increases primarily were driven by higher Medicare Advantage and state-based contracts membership along with the impact of early prescription refills as members prepared for extended supply needs in response to COVID-19. These increases were partially offset by the decline in stand-alone PDP membership.</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20" w:top="1121" w:right="35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Healthcare Services segment results: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162"/>
        </w:trPr>
        <w:tc>
          <w:tcPr>
            <w:tcW w:w="6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Healthcare Services segment results</w:t>
            </w:r>
          </w:p>
        </w:tc>
        <w:tc>
          <w:tcPr>
            <w:tcW w:w="1220" w:type="dxa"/>
            <w:vAlign w:val="bottom"/>
            <w:tcBorders>
              <w:top w:val="single" w:sz="8" w:color="auto"/>
              <w:right w:val="single" w:sz="8" w:color="auto"/>
            </w:tcBorders>
            <w:vMerge w:val="restart"/>
            <w:shd w:val="clear" w:color="auto" w:fill="EAEAEA"/>
          </w:tcPr>
          <w:p>
            <w:pPr>
              <w:jc w:val="right"/>
              <w:ind w:right="339"/>
              <w:spacing w:after="0"/>
              <w:rPr>
                <w:sz w:val="20"/>
                <w:szCs w:val="20"/>
                <w:color w:val="auto"/>
              </w:rPr>
            </w:pPr>
            <w:r>
              <w:rPr>
                <w:rFonts w:ascii="Arial" w:cs="Arial" w:eastAsia="Arial" w:hAnsi="Arial"/>
                <w:sz w:val="16"/>
                <w:szCs w:val="16"/>
                <w:b w:val="1"/>
                <w:bCs w:val="1"/>
                <w:color w:val="auto"/>
              </w:rPr>
              <w:t>2Q20</w:t>
            </w:r>
          </w:p>
        </w:tc>
        <w:tc>
          <w:tcPr>
            <w:tcW w:w="1200" w:type="dxa"/>
            <w:vAlign w:val="bottom"/>
            <w:tcBorders>
              <w:top w:val="single" w:sz="8" w:color="auto"/>
              <w:right w:val="single" w:sz="8" w:color="auto"/>
            </w:tcBorders>
            <w:vMerge w:val="restart"/>
          </w:tcPr>
          <w:p>
            <w:pPr>
              <w:jc w:val="right"/>
              <w:ind w:right="339"/>
              <w:spacing w:after="0"/>
              <w:rPr>
                <w:sz w:val="20"/>
                <w:szCs w:val="20"/>
                <w:color w:val="auto"/>
              </w:rPr>
            </w:pPr>
            <w:r>
              <w:rPr>
                <w:rFonts w:ascii="Arial" w:cs="Arial" w:eastAsia="Arial" w:hAnsi="Arial"/>
                <w:sz w:val="16"/>
                <w:szCs w:val="16"/>
                <w:color w:val="auto"/>
              </w:rPr>
              <w:t>2Q19</w:t>
            </w:r>
          </w:p>
        </w:tc>
        <w:tc>
          <w:tcPr>
            <w:tcW w:w="1180" w:type="dxa"/>
            <w:vAlign w:val="bottom"/>
            <w:tcBorders>
              <w:top w:val="single" w:sz="8" w:color="auto"/>
              <w:right w:val="single" w:sz="8" w:color="auto"/>
            </w:tcBorders>
            <w:vMerge w:val="restart"/>
            <w:shd w:val="clear" w:color="auto" w:fill="EAEAEA"/>
          </w:tcPr>
          <w:p>
            <w:pPr>
              <w:jc w:val="right"/>
              <w:ind w:right="159"/>
              <w:spacing w:after="0"/>
              <w:rPr>
                <w:sz w:val="20"/>
                <w:szCs w:val="20"/>
                <w:color w:val="auto"/>
              </w:rPr>
            </w:pPr>
            <w:r>
              <w:rPr>
                <w:rFonts w:ascii="Arial" w:cs="Arial" w:eastAsia="Arial" w:hAnsi="Arial"/>
                <w:sz w:val="16"/>
                <w:szCs w:val="16"/>
                <w:b w:val="1"/>
                <w:bCs w:val="1"/>
                <w:color w:val="auto"/>
              </w:rPr>
              <w:t>YTD 2020</w:t>
            </w:r>
          </w:p>
        </w:tc>
        <w:tc>
          <w:tcPr>
            <w:tcW w:w="1180" w:type="dxa"/>
            <w:vAlign w:val="bottom"/>
            <w:tcBorders>
              <w:top w:val="single" w:sz="8" w:color="auto"/>
              <w:right w:val="single" w:sz="8" w:color="auto"/>
            </w:tcBorders>
            <w:vMerge w:val="restart"/>
          </w:tcPr>
          <w:p>
            <w:pPr>
              <w:jc w:val="right"/>
              <w:ind w:right="159"/>
              <w:spacing w:after="0"/>
              <w:rPr>
                <w:sz w:val="20"/>
                <w:szCs w:val="20"/>
                <w:color w:val="auto"/>
              </w:rPr>
            </w:pPr>
            <w:r>
              <w:rPr>
                <w:rFonts w:ascii="Arial" w:cs="Arial" w:eastAsia="Arial" w:hAnsi="Arial"/>
                <w:sz w:val="16"/>
                <w:szCs w:val="16"/>
                <w:color w:val="auto"/>
              </w:rPr>
              <w:t>YTD 2019</w:t>
            </w:r>
          </w:p>
        </w:tc>
        <w:tc>
          <w:tcPr>
            <w:tcW w:w="0" w:type="dxa"/>
            <w:vAlign w:val="bottom"/>
          </w:tcPr>
          <w:p>
            <w:pPr>
              <w:spacing w:after="0"/>
              <w:rPr>
                <w:sz w:val="1"/>
                <w:szCs w:val="1"/>
                <w:color w:val="auto"/>
              </w:rPr>
            </w:pPr>
          </w:p>
        </w:tc>
      </w:tr>
      <w:tr>
        <w:trPr>
          <w:trHeight w:val="203"/>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1220" w:type="dxa"/>
            <w:vAlign w:val="bottom"/>
            <w:tcBorders>
              <w:bottom w:val="single" w:sz="8" w:color="auto"/>
              <w:right w:val="single" w:sz="8" w:color="auto"/>
            </w:tcBorders>
            <w:vMerge w:val="continue"/>
            <w:shd w:val="clear" w:color="auto" w:fill="EAEAEA"/>
          </w:tcPr>
          <w:p>
            <w:pPr>
              <w:spacing w:after="0"/>
              <w:rPr>
                <w:sz w:val="17"/>
                <w:szCs w:val="17"/>
                <w:color w:val="auto"/>
              </w:rPr>
            </w:pPr>
          </w:p>
        </w:tc>
        <w:tc>
          <w:tcPr>
            <w:tcW w:w="1200" w:type="dxa"/>
            <w:vAlign w:val="bottom"/>
            <w:tcBorders>
              <w:bottom w:val="single" w:sz="8" w:color="auto"/>
              <w:right w:val="single" w:sz="8" w:color="auto"/>
            </w:tcBorders>
            <w:vMerge w:val="continue"/>
          </w:tcPr>
          <w:p>
            <w:pPr>
              <w:spacing w:after="0"/>
              <w:rPr>
                <w:sz w:val="17"/>
                <w:szCs w:val="17"/>
                <w:color w:val="auto"/>
              </w:rPr>
            </w:pPr>
          </w:p>
        </w:tc>
        <w:tc>
          <w:tcPr>
            <w:tcW w:w="1180" w:type="dxa"/>
            <w:vAlign w:val="bottom"/>
            <w:tcBorders>
              <w:bottom w:val="single" w:sz="8" w:color="auto"/>
              <w:right w:val="single" w:sz="8" w:color="auto"/>
            </w:tcBorders>
            <w:vMerge w:val="continue"/>
            <w:shd w:val="clear" w:color="auto" w:fill="EAEAEA"/>
          </w:tcPr>
          <w:p>
            <w:pPr>
              <w:spacing w:after="0"/>
              <w:rPr>
                <w:sz w:val="17"/>
                <w:szCs w:val="17"/>
                <w:color w:val="auto"/>
              </w:rPr>
            </w:pPr>
          </w:p>
        </w:tc>
        <w:tc>
          <w:tcPr>
            <w:tcW w:w="11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GAAP segment earnings</w:t>
            </w:r>
          </w:p>
        </w:tc>
        <w:tc>
          <w:tcPr>
            <w:tcW w:w="1220" w:type="dxa"/>
            <w:vAlign w:val="bottom"/>
            <w:tcBorders>
              <w:bottom w:val="single" w:sz="8" w:color="auto"/>
              <w:right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b w:val="1"/>
                <w:bCs w:val="1"/>
                <w:color w:val="auto"/>
              </w:rPr>
              <w:t>$317</w:t>
            </w:r>
          </w:p>
        </w:tc>
        <w:tc>
          <w:tcPr>
            <w:tcW w:w="12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$224</w:t>
            </w:r>
          </w:p>
        </w:tc>
        <w:tc>
          <w:tcPr>
            <w:tcW w:w="1180" w:type="dxa"/>
            <w:vAlign w:val="bottom"/>
            <w:tcBorders>
              <w:bottom w:val="single" w:sz="8" w:color="auto"/>
              <w:right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b w:val="1"/>
                <w:bCs w:val="1"/>
                <w:color w:val="auto"/>
              </w:rPr>
              <w:t>$567</w:t>
            </w:r>
          </w:p>
        </w:tc>
        <w:tc>
          <w:tcPr>
            <w:tcW w:w="118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Depreciation and amortization expense</w:t>
            </w:r>
          </w:p>
        </w:tc>
        <w:tc>
          <w:tcPr>
            <w:tcW w:w="1220" w:type="dxa"/>
            <w:vAlign w:val="bottom"/>
            <w:tcBorders>
              <w:bottom w:val="single" w:sz="8" w:color="auto"/>
              <w:right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b w:val="1"/>
                <w:bCs w:val="1"/>
                <w:color w:val="auto"/>
              </w:rPr>
              <w:t>51</w:t>
            </w:r>
          </w:p>
        </w:tc>
        <w:tc>
          <w:tcPr>
            <w:tcW w:w="12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45</w:t>
            </w:r>
          </w:p>
        </w:tc>
        <w:tc>
          <w:tcPr>
            <w:tcW w:w="1180" w:type="dxa"/>
            <w:vAlign w:val="bottom"/>
            <w:tcBorders>
              <w:bottom w:val="single" w:sz="8" w:color="auto"/>
              <w:right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b w:val="1"/>
                <w:bCs w:val="1"/>
                <w:color w:val="auto"/>
              </w:rPr>
              <w:t>99</w:t>
            </w:r>
          </w:p>
        </w:tc>
        <w:tc>
          <w:tcPr>
            <w:tcW w:w="118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6"/>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Interest and taxes</w:t>
            </w:r>
          </w:p>
        </w:tc>
        <w:tc>
          <w:tcPr>
            <w:tcW w:w="1220" w:type="dxa"/>
            <w:vAlign w:val="bottom"/>
            <w:tcBorders>
              <w:bottom w:val="single" w:sz="8" w:color="auto"/>
              <w:right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b w:val="1"/>
                <w:bCs w:val="1"/>
                <w:color w:val="auto"/>
              </w:rPr>
              <w:t>22</w:t>
            </w:r>
          </w:p>
        </w:tc>
        <w:tc>
          <w:tcPr>
            <w:tcW w:w="12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25</w:t>
            </w:r>
          </w:p>
        </w:tc>
        <w:tc>
          <w:tcPr>
            <w:tcW w:w="1180" w:type="dxa"/>
            <w:vAlign w:val="bottom"/>
            <w:tcBorders>
              <w:bottom w:val="single" w:sz="8" w:color="auto"/>
              <w:right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b w:val="1"/>
                <w:bCs w:val="1"/>
                <w:color w:val="auto"/>
              </w:rPr>
              <w:t>43</w:t>
            </w:r>
          </w:p>
        </w:tc>
        <w:tc>
          <w:tcPr>
            <w:tcW w:w="118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6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Adjusted EBITDA (e)</w:t>
            </w:r>
          </w:p>
        </w:tc>
        <w:tc>
          <w:tcPr>
            <w:tcW w:w="1220" w:type="dxa"/>
            <w:vAlign w:val="bottom"/>
            <w:tcBorders>
              <w:bottom w:val="single" w:sz="8" w:color="auto"/>
              <w:right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b w:val="1"/>
                <w:bCs w:val="1"/>
                <w:color w:val="auto"/>
              </w:rPr>
              <w:t>$390</w:t>
            </w:r>
          </w:p>
        </w:tc>
        <w:tc>
          <w:tcPr>
            <w:tcW w:w="120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$294</w:t>
            </w:r>
          </w:p>
        </w:tc>
        <w:tc>
          <w:tcPr>
            <w:tcW w:w="1180" w:type="dxa"/>
            <w:vAlign w:val="bottom"/>
            <w:tcBorders>
              <w:bottom w:val="single" w:sz="8" w:color="auto"/>
              <w:right w:val="single" w:sz="8" w:color="auto"/>
            </w:tcBorders>
            <w:shd w:val="clear" w:color="auto" w:fill="EAEAEA"/>
          </w:tcPr>
          <w:p>
            <w:pPr>
              <w:jc w:val="right"/>
              <w:ind w:right="99"/>
              <w:spacing w:after="0"/>
              <w:rPr>
                <w:sz w:val="20"/>
                <w:szCs w:val="20"/>
                <w:color w:val="auto"/>
              </w:rPr>
            </w:pPr>
            <w:r>
              <w:rPr>
                <w:rFonts w:ascii="Arial" w:cs="Arial" w:eastAsia="Arial" w:hAnsi="Arial"/>
                <w:sz w:val="16"/>
                <w:szCs w:val="16"/>
                <w:b w:val="1"/>
                <w:bCs w:val="1"/>
                <w:color w:val="auto"/>
              </w:rPr>
              <w:t>$709</w:t>
            </w:r>
          </w:p>
        </w:tc>
        <w:tc>
          <w:tcPr>
            <w:tcW w:w="118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60" w:right="160" w:hanging="328"/>
        <w:spacing w:after="0" w:line="262" w:lineRule="auto"/>
        <w:tabs>
          <w:tab w:leader="none" w:pos="621"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Healthcare Services segment’s 2Q20 GAAP segment earnings increased $93 million, or 42 percent, to $317 million compared to GAAP segment earnings of $224 million in 2Q19. The increase primarily resulted from operational improvements and reduced utilization resulting from COVID-19 in the company's provider services business.</w:t>
      </w:r>
    </w:p>
    <w:p>
      <w:pPr>
        <w:spacing w:after="0" w:line="189" w:lineRule="exact"/>
        <w:rPr>
          <w:sz w:val="20"/>
          <w:szCs w:val="20"/>
          <w:color w:val="auto"/>
        </w:rPr>
      </w:pPr>
    </w:p>
    <w:p>
      <w:pPr>
        <w:ind w:left="660" w:right="180"/>
        <w:spacing w:after="0" w:line="241" w:lineRule="auto"/>
        <w:rPr>
          <w:sz w:val="20"/>
          <w:szCs w:val="20"/>
          <w:color w:val="auto"/>
        </w:rPr>
      </w:pPr>
      <w:r>
        <w:rPr>
          <w:rFonts w:ascii="Arial" w:cs="Arial" w:eastAsia="Arial" w:hAnsi="Arial"/>
          <w:sz w:val="20"/>
          <w:szCs w:val="20"/>
          <w:color w:val="auto"/>
        </w:rPr>
        <w:t>Adjusted EBITDA in 2Q20 for the Healthcare Services segment of $390 million was up $96 million, or 33 percent, compared to Adjusted EBITDA of $294 million in 2Q19. The favorable comparison of Adjusted EBITDA year over year primarily resulted from the same factors that impacted the quarterly GAAP segment results comparison while excluding the impact of the factors detailed in the table above.</w:t>
      </w:r>
    </w:p>
    <w:p>
      <w:pPr>
        <w:spacing w:after="0" w:line="210" w:lineRule="exact"/>
        <w:rPr>
          <w:sz w:val="20"/>
          <w:szCs w:val="20"/>
          <w:color w:val="auto"/>
        </w:rPr>
      </w:pPr>
    </w:p>
    <w:p>
      <w:pPr>
        <w:ind w:left="660" w:right="40" w:hanging="328"/>
        <w:spacing w:after="0" w:line="243" w:lineRule="auto"/>
        <w:tabs>
          <w:tab w:leader="none" w:pos="621"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Healthcare Services segment’s GAAP segment earnings in YTD 2020 increased $168 million, or 42 percent, to $567 million compared to GAAP segment earnings of $399 million in YTD 2019 primarily reflecting the same factor that impacted the year-over-year second quarter GAAP comparison, along with higher earnings from pharmacy operations.</w:t>
      </w:r>
    </w:p>
    <w:p>
      <w:pPr>
        <w:spacing w:after="0" w:line="206" w:lineRule="exact"/>
        <w:rPr>
          <w:sz w:val="20"/>
          <w:szCs w:val="20"/>
          <w:color w:val="auto"/>
        </w:rPr>
      </w:pPr>
    </w:p>
    <w:p>
      <w:pPr>
        <w:ind w:left="660" w:right="200"/>
        <w:spacing w:after="0" w:line="241" w:lineRule="auto"/>
        <w:rPr>
          <w:sz w:val="20"/>
          <w:szCs w:val="20"/>
          <w:color w:val="auto"/>
        </w:rPr>
      </w:pPr>
      <w:r>
        <w:rPr>
          <w:rFonts w:ascii="Arial" w:cs="Arial" w:eastAsia="Arial" w:hAnsi="Arial"/>
          <w:sz w:val="20"/>
          <w:szCs w:val="20"/>
          <w:color w:val="auto"/>
        </w:rPr>
        <w:t>Adjusted EBITDA for YTD 2020 of $ 709 million increased $177 million, or 33 percent, versus the YTD 2019 Adjusted EBITDA for the Healthcare Services segment of $532 million. The favorable comparison of Adjusted EBITDA year over year primarily resulted from the same factors that impacted the GAAP segment results comparison while excluding the impact of the factors detailed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w:t>
      </w:r>
    </w:p>
    <w:p>
      <w:pPr>
        <w:spacing w:after="0" w:line="252" w:lineRule="exact"/>
        <w:rPr>
          <w:sz w:val="20"/>
          <w:szCs w:val="20"/>
          <w:color w:val="auto"/>
        </w:rPr>
      </w:pPr>
    </w:p>
    <w:p>
      <w:pPr>
        <w:ind w:right="760"/>
        <w:spacing w:after="0" w:line="246" w:lineRule="auto"/>
        <w:rPr>
          <w:sz w:val="20"/>
          <w:szCs w:val="20"/>
          <w:color w:val="auto"/>
        </w:rPr>
      </w:pPr>
      <w:r>
        <w:rPr>
          <w:rFonts w:ascii="Arial" w:cs="Arial" w:eastAsia="Arial" w:hAnsi="Arial"/>
          <w:sz w:val="20"/>
          <w:szCs w:val="20"/>
          <w:color w:val="auto"/>
        </w:rPr>
        <w:t>Humana will host a conference call at 9:00 a.m. Eastern time today to discuss its financial results for the quarter and the company’s expectations for future earnings.</w:t>
      </w:r>
    </w:p>
    <w:p>
      <w:pPr>
        <w:spacing w:after="0" w:line="204"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All parties interested in the company’s 2Q20 earnings conference call are invited to dial 888-625-7430. No password is required. The audio-only webcast of the 2Q20 earnings call may be accessed via Humana’s Investor Relations page at humana.com. The company suggests participants for both the conference call and those listening via the web dial in or sign on at least 15 minutes in advance of the call.</w:t>
      </w:r>
    </w:p>
    <w:p>
      <w:pPr>
        <w:spacing w:after="0" w:line="21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For those unable to participate in the live event, the archive will be available in the Historical Webcasts and Presentations section of the Investor Relations page at humana.com, approximately two hours following the live webcast. Telephone replays will also be available from approximately 12:15 p.m. Eastern time on August 5, 2020 until 10:59 p.m. Eastern time on October 4, 2020 and can be accessed by dialing 855-859-2056 and providing the conference ID #7379965.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097" w:right="339" w:bottom="1440" w:gutter="0" w:footer="0" w:header="0"/>
        </w:sectPr>
      </w:pPr>
    </w:p>
    <w:bookmarkStart w:id="28" w:name="page29"/>
    <w:bookmarkEnd w:id="28"/>
    <w:p>
      <w:pPr>
        <w:spacing w:after="0"/>
        <w:rPr>
          <w:sz w:val="20"/>
          <w:szCs w:val="20"/>
          <w:color w:val="auto"/>
        </w:rPr>
      </w:pPr>
      <w:r>
        <w:rPr>
          <w:rFonts w:ascii="Arial" w:cs="Arial" w:eastAsia="Arial" w:hAnsi="Arial"/>
          <w:sz w:val="25"/>
          <w:szCs w:val="25"/>
          <w:b w:val="1"/>
          <w:bCs w:val="1"/>
          <w:u w:val="single" w:color="auto"/>
          <w:color w:val="auto"/>
        </w:rPr>
        <w:t>ootnotes</w:t>
      </w:r>
    </w:p>
    <w:p>
      <w:pPr>
        <w:spacing w:after="0" w:line="252" w:lineRule="exact"/>
        <w:rPr>
          <w:sz w:val="20"/>
          <w:szCs w:val="20"/>
          <w:color w:val="auto"/>
        </w:rPr>
      </w:pPr>
    </w:p>
    <w:p>
      <w:pPr>
        <w:ind w:left="640" w:hanging="289"/>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2Q20 Adjusted results exclude the following:</w:t>
      </w:r>
    </w:p>
    <w:p>
      <w:pPr>
        <w:ind w:left="1120" w:right="300" w:hanging="324"/>
        <w:spacing w:after="0" w:line="239" w:lineRule="auto"/>
        <w:tabs>
          <w:tab w:leader="none" w:pos="1081" w:val="left"/>
        </w:tabs>
        <w:numPr>
          <w:ilvl w:val="1"/>
          <w:numId w:val="44"/>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$22 million pretax, or $0.13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120" w:right="360" w:hanging="324"/>
        <w:spacing w:after="0" w:line="243" w:lineRule="auto"/>
        <w:tabs>
          <w:tab w:leader="none" w:pos="1081" w:val="left"/>
        </w:tabs>
        <w:numPr>
          <w:ilvl w:val="1"/>
          <w:numId w:val="44"/>
        </w:numPr>
        <w:rPr>
          <w:rFonts w:ascii="Arial" w:cs="Arial" w:eastAsia="Arial" w:hAnsi="Arial"/>
          <w:sz w:val="20"/>
          <w:szCs w:val="20"/>
          <w:color w:val="auto"/>
        </w:rPr>
      </w:pPr>
      <w:r>
        <w:rPr>
          <w:rFonts w:ascii="Arial" w:cs="Arial" w:eastAsia="Arial" w:hAnsi="Arial"/>
          <w:sz w:val="20"/>
          <w:szCs w:val="20"/>
          <w:color w:val="auto"/>
        </w:rPr>
        <w:t>Put/call valuation adjustments of approximately $227 million, or $1.32 per diluted common share, associated with Humana’s non-consolidating minority interest investments. GAAP measures affected in this release include consolidated pretax and EPS.</w:t>
      </w:r>
    </w:p>
    <w:p>
      <w:pPr>
        <w:spacing w:after="0" w:line="232" w:lineRule="exact"/>
        <w:rPr>
          <w:rFonts w:ascii="Arial" w:cs="Arial" w:eastAsia="Arial" w:hAnsi="Arial"/>
          <w:sz w:val="20"/>
          <w:szCs w:val="20"/>
          <w:color w:val="auto"/>
        </w:rPr>
      </w:pPr>
    </w:p>
    <w:p>
      <w:pPr>
        <w:ind w:left="640" w:hanging="289"/>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2Q19 Adjusted results exclude the following:</w:t>
      </w:r>
    </w:p>
    <w:p>
      <w:pPr>
        <w:ind w:left="1160" w:right="260" w:hanging="323"/>
        <w:spacing w:after="0" w:line="239" w:lineRule="auto"/>
        <w:tabs>
          <w:tab w:leader="none" w:pos="1121" w:val="left"/>
        </w:tabs>
        <w:numPr>
          <w:ilvl w:val="2"/>
          <w:numId w:val="44"/>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$18 million pretax, or $0.10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160" w:right="320" w:hanging="323"/>
        <w:spacing w:after="0" w:line="243" w:lineRule="auto"/>
        <w:tabs>
          <w:tab w:leader="none" w:pos="1121" w:val="left"/>
        </w:tabs>
        <w:numPr>
          <w:ilvl w:val="2"/>
          <w:numId w:val="44"/>
        </w:numPr>
        <w:rPr>
          <w:rFonts w:ascii="Arial" w:cs="Arial" w:eastAsia="Arial" w:hAnsi="Arial"/>
          <w:sz w:val="20"/>
          <w:szCs w:val="20"/>
          <w:color w:val="auto"/>
        </w:rPr>
      </w:pPr>
      <w:r>
        <w:rPr>
          <w:rFonts w:ascii="Arial" w:cs="Arial" w:eastAsia="Arial" w:hAnsi="Arial"/>
          <w:sz w:val="20"/>
          <w:szCs w:val="20"/>
          <w:color w:val="auto"/>
        </w:rPr>
        <w:t>Put/call valuation adjustments of approximately $174 million, or $0.99 per diluted common share, associated with Humana’s non-consolidating minority interest investments. GAAP measures affected in this release include consolidated pretax and EPS.</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 xml:space="preserve">(c ) </w:t>
      </w:r>
      <w:r>
        <w:rPr>
          <w:rFonts w:ascii="Arial" w:cs="Arial" w:eastAsia="Arial" w:hAnsi="Arial"/>
          <w:sz w:val="20"/>
          <w:szCs w:val="20"/>
          <w:u w:val="single" w:color="auto"/>
          <w:color w:val="auto"/>
        </w:rPr>
        <w:t>YTD 2020 Adjusted results exclude the following:</w:t>
      </w:r>
    </w:p>
    <w:p>
      <w:pPr>
        <w:ind w:left="1160" w:right="260" w:hanging="323"/>
        <w:spacing w:after="0" w:line="239" w:lineRule="auto"/>
        <w:tabs>
          <w:tab w:leader="none" w:pos="1121" w:val="left"/>
        </w:tabs>
        <w:numPr>
          <w:ilvl w:val="1"/>
          <w:numId w:val="45"/>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$43 million pretax, or $0.26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160" w:right="480" w:hanging="323"/>
        <w:spacing w:after="0" w:line="243" w:lineRule="auto"/>
        <w:tabs>
          <w:tab w:leader="none" w:pos="1121" w:val="left"/>
        </w:tabs>
        <w:numPr>
          <w:ilvl w:val="1"/>
          <w:numId w:val="45"/>
        </w:numPr>
        <w:rPr>
          <w:rFonts w:ascii="Arial" w:cs="Arial" w:eastAsia="Arial" w:hAnsi="Arial"/>
          <w:sz w:val="20"/>
          <w:szCs w:val="20"/>
          <w:color w:val="auto"/>
        </w:rPr>
      </w:pPr>
      <w:r>
        <w:rPr>
          <w:rFonts w:ascii="Arial" w:cs="Arial" w:eastAsia="Arial" w:hAnsi="Arial"/>
          <w:sz w:val="20"/>
          <w:szCs w:val="20"/>
          <w:color w:val="auto"/>
        </w:rPr>
        <w:t>Put/call valuation adjustments of approximately $70 million or $0.40 per diluted common share, associated with Humana's non-consolidating minority interest investments. GAAP measures affected in this release include consolidated pretax and EPS.</w:t>
      </w:r>
    </w:p>
    <w:p>
      <w:pPr>
        <w:spacing w:after="0" w:line="232" w:lineRule="exact"/>
        <w:rPr>
          <w:rFonts w:ascii="Arial" w:cs="Arial" w:eastAsia="Arial" w:hAnsi="Arial"/>
          <w:sz w:val="20"/>
          <w:szCs w:val="20"/>
          <w:color w:val="auto"/>
        </w:rPr>
      </w:pPr>
    </w:p>
    <w:p>
      <w:pPr>
        <w:ind w:left="640" w:hanging="289"/>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YTD 2019 Adjusted results exclude the following:</w:t>
      </w:r>
    </w:p>
    <w:p>
      <w:pPr>
        <w:ind w:left="1160" w:right="260" w:hanging="323"/>
        <w:spacing w:after="0" w:line="239" w:lineRule="auto"/>
        <w:tabs>
          <w:tab w:leader="none" w:pos="1121" w:val="left"/>
        </w:tabs>
        <w:numPr>
          <w:ilvl w:val="1"/>
          <w:numId w:val="45"/>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$36 million pretax, or $0.20 per diluted common share; GAAP measures affected in this release include consolidated pretax, EPS and segment earnings (for respective amortization expense for the Retail and Group and Specialty segments.</w:t>
      </w:r>
    </w:p>
    <w:p>
      <w:pPr>
        <w:spacing w:after="0" w:line="1" w:lineRule="exact"/>
        <w:rPr>
          <w:rFonts w:ascii="Arial" w:cs="Arial" w:eastAsia="Arial" w:hAnsi="Arial"/>
          <w:sz w:val="20"/>
          <w:szCs w:val="20"/>
          <w:color w:val="auto"/>
        </w:rPr>
      </w:pPr>
    </w:p>
    <w:p>
      <w:pPr>
        <w:ind w:left="1160" w:right="320" w:hanging="323"/>
        <w:spacing w:after="0" w:line="243" w:lineRule="auto"/>
        <w:tabs>
          <w:tab w:leader="none" w:pos="1121" w:val="left"/>
        </w:tabs>
        <w:numPr>
          <w:ilvl w:val="1"/>
          <w:numId w:val="45"/>
        </w:numPr>
        <w:rPr>
          <w:rFonts w:ascii="Arial" w:cs="Arial" w:eastAsia="Arial" w:hAnsi="Arial"/>
          <w:sz w:val="20"/>
          <w:szCs w:val="20"/>
          <w:color w:val="auto"/>
        </w:rPr>
      </w:pPr>
      <w:r>
        <w:rPr>
          <w:rFonts w:ascii="Arial" w:cs="Arial" w:eastAsia="Arial" w:hAnsi="Arial"/>
          <w:sz w:val="20"/>
          <w:szCs w:val="20"/>
          <w:color w:val="auto"/>
        </w:rPr>
        <w:t>Put/call valuation adjustments of approximately $135 million, or $0.77 per diluted common share, associated with Humana's non-consolidating minority interest investments. GAAP measures affected in this release include consolidated pretax and EPS.</w:t>
      </w:r>
    </w:p>
    <w:p>
      <w:pPr>
        <w:spacing w:after="0" w:line="232" w:lineRule="exact"/>
        <w:rPr>
          <w:rFonts w:ascii="Arial" w:cs="Arial" w:eastAsia="Arial" w:hAnsi="Arial"/>
          <w:sz w:val="20"/>
          <w:szCs w:val="20"/>
          <w:color w:val="auto"/>
        </w:rPr>
      </w:pPr>
    </w:p>
    <w:p>
      <w:pPr>
        <w:ind w:left="680" w:right="40" w:hanging="329"/>
        <w:spacing w:after="0" w:line="241" w:lineRule="auto"/>
        <w:tabs>
          <w:tab w:leader="none" w:pos="653"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Healthcare Services segment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minority interest in Kindred at Home and the strategic partnership with Welsh, Carson, Anderson &amp; Stowe (WCAS) to develop and operate senior-focused, payor-agnostic, primary care centers.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 FY 2020 Adjusted EPS projections exclude the following:</w:t>
      </w:r>
    </w:p>
    <w:p>
      <w:pPr>
        <w:ind w:left="720" w:hanging="288"/>
        <w:spacing w:after="0"/>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Amortization expense for identifiable intangibles of approximately $0.49 per diluted common share.</w:t>
      </w:r>
    </w:p>
    <w:p>
      <w:pPr>
        <w:ind w:left="760" w:hanging="328"/>
        <w:spacing w:after="0" w:line="241" w:lineRule="auto"/>
        <w:tabs>
          <w:tab w:leader="none" w:pos="721" w:val="left"/>
        </w:tabs>
        <w:numPr>
          <w:ilvl w:val="0"/>
          <w:numId w:val="46"/>
        </w:numPr>
        <w:rPr>
          <w:rFonts w:ascii="Arial" w:cs="Arial" w:eastAsia="Arial" w:hAnsi="Arial"/>
          <w:sz w:val="20"/>
          <w:szCs w:val="20"/>
          <w:color w:val="auto"/>
        </w:rPr>
      </w:pPr>
      <w:r>
        <w:rPr>
          <w:rFonts w:ascii="Arial" w:cs="Arial" w:eastAsia="Arial" w:hAnsi="Arial"/>
          <w:sz w:val="20"/>
          <w:szCs w:val="20"/>
          <w:color w:val="auto"/>
        </w:rPr>
        <w:t>Put/call valuation adjustments of $0.40 per diluted common share related to Humana's non-consolidating minority interest investments. FY20 GAAP EPS guidance excludes the impact of future value changes of put/call options related to Humana’s non-consolidating minority interest investments. The future value change of these put/call options cannot be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320"/>
          </w:cols>
          <w:pgMar w:left="220" w:top="1095" w:right="359" w:bottom="1440" w:gutter="0" w:footer="0" w:header="0"/>
        </w:sectPr>
      </w:pPr>
    </w:p>
    <w:bookmarkStart w:id="29" w:name="page30"/>
    <w:bookmarkEnd w:id="29"/>
    <w:p>
      <w:pPr>
        <w:ind w:left="289" w:hanging="289"/>
        <w:spacing w:after="0"/>
        <w:tabs>
          <w:tab w:leader="none" w:pos="28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FY 2019 Adjusted results exclude the following:</w:t>
      </w:r>
    </w:p>
    <w:p>
      <w:pPr>
        <w:ind w:left="369" w:hanging="288"/>
        <w:spacing w:after="0"/>
        <w:tabs>
          <w:tab w:leader="none" w:pos="369" w:val="left"/>
        </w:tabs>
        <w:numPr>
          <w:ilvl w:val="0"/>
          <w:numId w:val="48"/>
        </w:numPr>
        <w:rPr>
          <w:rFonts w:ascii="Arial" w:cs="Arial" w:eastAsia="Arial" w:hAnsi="Arial"/>
          <w:sz w:val="19"/>
          <w:szCs w:val="19"/>
          <w:color w:val="auto"/>
        </w:rPr>
      </w:pPr>
      <w:r>
        <w:rPr>
          <w:rFonts w:ascii="Arial" w:cs="Arial" w:eastAsia="Arial" w:hAnsi="Arial"/>
          <w:sz w:val="19"/>
          <w:szCs w:val="19"/>
          <w:color w:val="auto"/>
        </w:rPr>
        <w:t>Amortization expense for identifiable intangibles of approximately $70 million pretax, or $0.40 per diluted common share.</w:t>
      </w:r>
    </w:p>
    <w:p>
      <w:pPr>
        <w:spacing w:after="0" w:line="11" w:lineRule="exact"/>
        <w:rPr>
          <w:rFonts w:ascii="Arial" w:cs="Arial" w:eastAsia="Arial" w:hAnsi="Arial"/>
          <w:sz w:val="19"/>
          <w:szCs w:val="19"/>
          <w:color w:val="auto"/>
        </w:rPr>
      </w:pPr>
    </w:p>
    <w:p>
      <w:pPr>
        <w:ind w:left="409" w:right="680" w:hanging="328"/>
        <w:spacing w:after="0" w:line="239" w:lineRule="auto"/>
        <w:tabs>
          <w:tab w:leader="none" w:pos="37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Put/call valuation adjustments of approximately $506 million, or $2.89 per diluted common share, associated with Humana’s non-consolidating minority interest investments.</w:t>
      </w:r>
    </w:p>
    <w:p>
      <w:pPr>
        <w:ind w:left="409" w:right="660" w:hanging="328"/>
        <w:spacing w:after="0" w:line="246" w:lineRule="auto"/>
        <w:tabs>
          <w:tab w:leader="none" w:pos="370"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Expense associated with involuntary workforce reduction of approximately $47 million pretax, or $0.26 per diluted common share.</w:t>
      </w:r>
    </w:p>
    <w:p>
      <w:pPr>
        <w:spacing w:after="0" w:line="231" w:lineRule="exact"/>
        <w:rPr>
          <w:sz w:val="20"/>
          <w:szCs w:val="20"/>
          <w:color w:val="auto"/>
        </w:rPr>
      </w:pPr>
    </w:p>
    <w:p>
      <w:pPr>
        <w:ind w:left="9" w:right="80" w:hanging="9"/>
        <w:spacing w:after="0" w:line="243" w:lineRule="auto"/>
        <w:tabs>
          <w:tab w:leader="none" w:pos="306"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company provides a full range of insured specialty products including dental, vision, and life insurance benefits marketed to individuals and groups. Members included in these products may not be unique to each product since members have the ability to enroll in multiple products.</w:t>
      </w:r>
    </w:p>
    <w:p>
      <w:pPr>
        <w:spacing w:after="0" w:line="232" w:lineRule="exact"/>
        <w:rPr>
          <w:rFonts w:ascii="Arial" w:cs="Arial" w:eastAsia="Arial" w:hAnsi="Arial"/>
          <w:sz w:val="20"/>
          <w:szCs w:val="20"/>
          <w:color w:val="auto"/>
        </w:rPr>
      </w:pPr>
    </w:p>
    <w:p>
      <w:pPr>
        <w:ind w:left="9" w:hanging="9"/>
        <w:spacing w:after="0"/>
        <w:tabs>
          <w:tab w:leader="none" w:pos="2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1"/>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929"/>
          </w:cols>
          <w:pgMar w:left="571" w:top="905" w:right="39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u w:val="single" w:color="auto"/>
          <w:color w:val="auto"/>
        </w:rPr>
        <w:t>Cautionary Statement</w:t>
      </w:r>
    </w:p>
    <w:p>
      <w:pPr>
        <w:spacing w:after="0" w:line="267" w:lineRule="exact"/>
        <w:rPr>
          <w:sz w:val="20"/>
          <w:szCs w:val="20"/>
          <w:color w:val="auto"/>
        </w:rPr>
      </w:pPr>
    </w:p>
    <w:p>
      <w:pPr>
        <w:ind w:left="340" w:right="180"/>
        <w:spacing w:after="0" w:line="239" w:lineRule="auto"/>
        <w:rPr>
          <w:sz w:val="20"/>
          <w:szCs w:val="20"/>
          <w:color w:val="auto"/>
        </w:rPr>
      </w:pPr>
      <w:r>
        <w:rPr>
          <w:rFonts w:ascii="Arial" w:cs="Arial" w:eastAsia="Arial" w:hAnsi="Arial"/>
          <w:sz w:val="20"/>
          <w:szCs w:val="20"/>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2" w:lineRule="exact"/>
        <w:rPr>
          <w:sz w:val="20"/>
          <w:szCs w:val="20"/>
          <w:color w:val="auto"/>
        </w:rPr>
      </w:pPr>
    </w:p>
    <w:p>
      <w:pPr>
        <w:ind w:left="340" w:right="100"/>
        <w:spacing w:after="0" w:line="243" w:lineRule="auto"/>
        <w:rPr>
          <w:sz w:val="20"/>
          <w:szCs w:val="20"/>
          <w:color w:val="auto"/>
        </w:rPr>
      </w:pPr>
      <w:r>
        <w:rPr>
          <w:rFonts w:ascii="Arial" w:cs="Arial" w:eastAsia="Arial" w:hAnsi="Arial"/>
          <w:sz w:val="20"/>
          <w:szCs w:val="20"/>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30" w:lineRule="exact"/>
        <w:rPr>
          <w:sz w:val="20"/>
          <w:szCs w:val="20"/>
          <w:color w:val="auto"/>
        </w:rPr>
      </w:pPr>
    </w:p>
    <w:p>
      <w:pPr>
        <w:ind w:left="1300" w:right="20" w:hanging="320"/>
        <w:spacing w:after="0" w:line="239" w:lineRule="auto"/>
        <w:tabs>
          <w:tab w:leader="none" w:pos="1261" w:val="left"/>
        </w:tabs>
        <w:numPr>
          <w:ilvl w:val="0"/>
          <w:numId w:val="50"/>
        </w:numPr>
        <w:rPr>
          <w:rFonts w:ascii="Arial" w:cs="Arial" w:eastAsia="Arial" w:hAnsi="Arial"/>
          <w:sz w:val="20"/>
          <w:szCs w:val="20"/>
          <w:color w:val="auto"/>
        </w:rPr>
      </w:pPr>
      <w:r>
        <w:rPr>
          <w:rFonts w:ascii="Arial" w:cs="Arial" w:eastAsia="Arial" w:hAnsi="Arial"/>
          <w:sz w:val="20"/>
          <w:szCs w:val="20"/>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6" w:lineRule="exact"/>
        <w:rPr>
          <w:rFonts w:ascii="Arial" w:cs="Arial" w:eastAsia="Arial" w:hAnsi="Arial"/>
          <w:sz w:val="20"/>
          <w:szCs w:val="20"/>
          <w:color w:val="auto"/>
        </w:rPr>
      </w:pPr>
    </w:p>
    <w:p>
      <w:pPr>
        <w:ind w:left="1300" w:right="40" w:hanging="320"/>
        <w:spacing w:after="0" w:line="252" w:lineRule="auto"/>
        <w:tabs>
          <w:tab w:leader="none" w:pos="1261"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ind w:left="1300" w:hanging="320"/>
        <w:spacing w:after="0" w:line="239" w:lineRule="auto"/>
        <w:tabs>
          <w:tab w:leader="none" w:pos="1261" w:val="left"/>
        </w:tabs>
        <w:numPr>
          <w:ilvl w:val="0"/>
          <w:numId w:val="50"/>
        </w:numPr>
        <w:rPr>
          <w:rFonts w:ascii="Arial" w:cs="Arial" w:eastAsia="Arial" w:hAnsi="Arial"/>
          <w:sz w:val="20"/>
          <w:szCs w:val="20"/>
          <w:color w:val="auto"/>
        </w:rPr>
      </w:pPr>
      <w:r>
        <w:rPr>
          <w:rFonts w:ascii="Arial" w:cs="Arial" w:eastAsia="Arial" w:hAnsi="Arial"/>
          <w:sz w:val="20"/>
          <w:szCs w:val="20"/>
          <w:color w:val="auto"/>
        </w:rPr>
        <w:t>If Humana fails to properly maintain the integrity of its data, to strategically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2" w:lineRule="exact"/>
        <w:rPr>
          <w:rFonts w:ascii="Arial" w:cs="Arial" w:eastAsia="Arial" w:hAnsi="Arial"/>
          <w:sz w:val="20"/>
          <w:szCs w:val="20"/>
          <w:color w:val="auto"/>
        </w:rPr>
      </w:pPr>
    </w:p>
    <w:p>
      <w:pPr>
        <w:ind w:left="1300" w:right="260" w:hanging="320"/>
        <w:spacing w:after="0" w:line="252" w:lineRule="auto"/>
        <w:tabs>
          <w:tab w:leader="none" w:pos="1261" w:val="left"/>
        </w:tabs>
        <w:numPr>
          <w:ilvl w:val="0"/>
          <w:numId w:val="50"/>
        </w:numPr>
        <w:rPr>
          <w:rFonts w:ascii="Arial" w:cs="Arial" w:eastAsia="Arial" w:hAnsi="Arial"/>
          <w:sz w:val="19"/>
          <w:szCs w:val="19"/>
          <w:color w:val="auto"/>
        </w:rPr>
      </w:pPr>
      <w:r>
        <w:rPr>
          <w:rFonts w:ascii="Arial" w:cs="Arial" w:eastAsia="Arial" w:hAnsi="Arial"/>
          <w:sz w:val="19"/>
          <w:szCs w:val="19"/>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ind w:left="1300" w:right="100" w:hanging="320"/>
        <w:spacing w:after="0"/>
        <w:tabs>
          <w:tab w:leader="none" w:pos="1261" w:val="left"/>
        </w:tabs>
        <w:numPr>
          <w:ilvl w:val="0"/>
          <w:numId w:val="50"/>
        </w:numPr>
        <w:rPr>
          <w:rFonts w:ascii="Arial" w:cs="Arial" w:eastAsia="Arial" w:hAnsi="Arial"/>
          <w:sz w:val="20"/>
          <w:szCs w:val="20"/>
          <w:color w:val="auto"/>
        </w:rPr>
      </w:pPr>
      <w:r>
        <w:rPr>
          <w:rFonts w:ascii="Arial" w:cs="Arial" w:eastAsia="Arial" w:hAnsi="Arial"/>
          <w:sz w:val="20"/>
          <w:szCs w:val="20"/>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20"/>
          </w:cols>
          <w:pgMar w:left="320" w:top="1205" w:right="359" w:bottom="1440" w:gutter="0" w:footer="0" w:header="0"/>
        </w:sectPr>
      </w:pPr>
    </w:p>
    <w:bookmarkStart w:id="31" w:name="page32"/>
    <w:bookmarkEnd w:id="31"/>
    <w:p>
      <w:pPr>
        <w:ind w:left="320" w:right="60"/>
        <w:spacing w:after="0" w:line="239" w:lineRule="auto"/>
        <w:rPr>
          <w:sz w:val="20"/>
          <w:szCs w:val="20"/>
          <w:color w:val="auto"/>
        </w:rPr>
      </w:pPr>
      <w:r>
        <w:rPr>
          <w:rFonts w:ascii="Arial" w:cs="Arial" w:eastAsia="Arial" w:hAnsi="Arial"/>
          <w:sz w:val="20"/>
          <w:szCs w:val="20"/>
          <w:color w:val="auto"/>
        </w:rPr>
        <w:t>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1" w:lineRule="exact"/>
        <w:rPr>
          <w:sz w:val="20"/>
          <w:szCs w:val="20"/>
          <w:color w:val="auto"/>
        </w:rPr>
      </w:pPr>
    </w:p>
    <w:p>
      <w:pPr>
        <w:ind w:left="320" w:right="100" w:hanging="320"/>
        <w:spacing w:after="0" w:line="239" w:lineRule="auto"/>
        <w:tabs>
          <w:tab w:leader="none" w:pos="2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4" w:lineRule="exact"/>
        <w:rPr>
          <w:rFonts w:ascii="Arial" w:cs="Arial" w:eastAsia="Arial" w:hAnsi="Arial"/>
          <w:sz w:val="20"/>
          <w:szCs w:val="20"/>
          <w:color w:val="auto"/>
        </w:rPr>
      </w:pPr>
    </w:p>
    <w:p>
      <w:pPr>
        <w:ind w:left="320" w:right="140" w:hanging="320"/>
        <w:spacing w:after="0" w:line="239" w:lineRule="auto"/>
        <w:tabs>
          <w:tab w:leader="none" w:pos="2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Humana’s failure to manage acquisitions, divestitures and other significant transactions successfully may have a material adverse effect on the company’s results of operations, financial position, and cash flows.</w:t>
      </w:r>
    </w:p>
    <w:p>
      <w:pPr>
        <w:ind w:left="320" w:right="260" w:hanging="320"/>
        <w:spacing w:after="0" w:line="239" w:lineRule="auto"/>
        <w:tabs>
          <w:tab w:leader="none" w:pos="2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Humana fails to develop and maintain satisfactory relationships with the providers of care to its members, the company’s business may be adversely affected.</w:t>
      </w:r>
    </w:p>
    <w:p>
      <w:pPr>
        <w:ind w:left="320" w:right="20" w:hanging="320"/>
        <w:spacing w:after="0" w:line="239" w:lineRule="auto"/>
        <w:tabs>
          <w:tab w:leader="none" w:pos="2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Humana’s pharmacy business is highly competitive and subjects it to regulations in addition to those the company faces with its core health benefits businesses.</w:t>
      </w:r>
    </w:p>
    <w:p>
      <w:pPr>
        <w:ind w:left="320" w:right="980" w:hanging="320"/>
        <w:spacing w:after="0" w:line="239" w:lineRule="auto"/>
        <w:tabs>
          <w:tab w:leader="none" w:pos="2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Changes in the prescription drug industry pricing benchmarks may adversely affect Humana’s financial performance.</w:t>
      </w:r>
    </w:p>
    <w:p>
      <w:pPr>
        <w:ind w:left="320" w:right="420" w:hanging="320"/>
        <w:spacing w:after="0" w:line="239" w:lineRule="auto"/>
        <w:tabs>
          <w:tab w:leader="none" w:pos="2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Humana does not continue to earn and retain purchase discounts and volume rebates from pharmaceutical manufacturers at current levels, Humana’s gross margins may decline.</w:t>
      </w:r>
    </w:p>
    <w:p>
      <w:pPr>
        <w:ind w:left="320" w:right="980" w:hanging="320"/>
        <w:spacing w:after="0" w:line="239" w:lineRule="auto"/>
        <w:tabs>
          <w:tab w:leader="none" w:pos="2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Humana’s ability to obtain funds from certain of its licensed subsidiaries is restricted by state insurance regulations.</w:t>
      </w:r>
    </w:p>
    <w:p>
      <w:pPr>
        <w:ind w:left="320" w:hanging="320"/>
        <w:spacing w:after="0" w:line="239" w:lineRule="auto"/>
        <w:tabs>
          <w:tab w:leader="none" w:pos="2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Downgrades in Humana’s debt ratings, should they occur, may adversely affect its business, results of operations, and financial condition.</w:t>
      </w:r>
    </w:p>
    <w:p>
      <w:pPr>
        <w:ind w:left="320" w:right="100" w:hanging="320"/>
        <w:spacing w:after="0" w:line="239" w:lineRule="auto"/>
        <w:tabs>
          <w:tab w:leader="none" w:pos="281"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securities and credit markets may experience volatility and disruption, which may adversely affect Humana’s business.</w:t>
      </w:r>
    </w:p>
    <w:p>
      <w:pPr>
        <w:ind w:left="320" w:right="40" w:hanging="320"/>
        <w:spacing w:after="0" w:line="243" w:lineRule="auto"/>
        <w:tabs>
          <w:tab w:leader="none" w:pos="336"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spread of, and response to, the novel coronavirus, or COVID-19, underscores certain risks Humana faces, including those discussed above, and the rapid development and fluidity of this situation precludes any prediction as to the ultimate adverse impact to Humana of COVID-19.</w:t>
      </w:r>
    </w:p>
    <w:p>
      <w:pPr>
        <w:spacing w:after="0" w:line="232" w:lineRule="exact"/>
        <w:rPr>
          <w:rFonts w:ascii="Arial" w:cs="Arial" w:eastAsia="Arial" w:hAnsi="Arial"/>
          <w:sz w:val="20"/>
          <w:szCs w:val="20"/>
          <w:color w:val="auto"/>
        </w:rPr>
      </w:pPr>
    </w:p>
    <w:p>
      <w:pPr>
        <w:ind w:left="320" w:right="60"/>
        <w:spacing w:after="0" w:line="241" w:lineRule="auto"/>
        <w:rPr>
          <w:rFonts w:ascii="Arial" w:cs="Arial" w:eastAsia="Arial" w:hAnsi="Arial"/>
          <w:sz w:val="20"/>
          <w:szCs w:val="20"/>
          <w:color w:val="auto"/>
        </w:rPr>
      </w:pPr>
      <w:r>
        <w:rPr>
          <w:rFonts w:ascii="Arial" w:cs="Arial" w:eastAsia="Arial" w:hAnsi="Arial"/>
          <w:sz w:val="20"/>
          <w:szCs w:val="20"/>
          <w:color w:val="auto"/>
        </w:rPr>
        <w:t>In December 2019, a novel strain of coronavirus (COVID-19) was reported to have surfaced in Wuhan, China. COVID-19 has since spread to over 200 countries, including every state in the United States. On March 11, 2020 the World Health Organization declared COVID-19 a pandemic, and on March 13, 2020 the United States declared a national emergency with respect to COVID-19.</w:t>
      </w:r>
    </w:p>
    <w:p>
      <w:pPr>
        <w:spacing w:after="0" w:line="142" w:lineRule="exact"/>
        <w:rPr>
          <w:rFonts w:ascii="Arial" w:cs="Arial" w:eastAsia="Arial" w:hAnsi="Arial"/>
          <w:sz w:val="20"/>
          <w:szCs w:val="20"/>
          <w:color w:val="auto"/>
        </w:rPr>
      </w:pPr>
    </w:p>
    <w:p>
      <w:pPr>
        <w:ind w:left="320" w:right="60"/>
        <w:spacing w:after="0"/>
        <w:rPr>
          <w:rFonts w:ascii="Arial" w:cs="Arial" w:eastAsia="Arial" w:hAnsi="Arial"/>
          <w:sz w:val="20"/>
          <w:szCs w:val="20"/>
          <w:color w:val="auto"/>
        </w:rPr>
      </w:pPr>
      <w:r>
        <w:rPr>
          <w:rFonts w:ascii="Arial" w:cs="Arial" w:eastAsia="Arial" w:hAnsi="Arial"/>
          <w:sz w:val="20"/>
          <w:szCs w:val="20"/>
          <w:color w:val="auto"/>
        </w:rPr>
        <w:t>Governmental and non-governmental organizations may not effectively combat the spread and severity of COVID-19, increasing the potential for harm for Humana’s members. If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Over time, Humana may also experience increased costs or decreased revenues if, as a result of the company’s members being unable to see their providers due to actions taken to mitigate the spread of COVID-19, Humana is unable to implement clinical initiatives to manage health care costs and chronic conditions of its members, and appropriately document their risk profiles. In addition, Humana is offering its members expanded benefit coverage, such as providing full coverage for COVID-19 diagnostic testing and treatment, certain additional coverages have been mandated by governmental action, and Humana is taking actions designed to help provide financial and administrative relief for the health care provider community. Such measures and any further steps taken by Humana, or governmental action, to continue to respond to and address the ongoing impact of COVID-19, including further expansion or modification of the services delivered to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240"/>
          </w:cols>
          <w:pgMar w:left="1300" w:top="905" w:right="359" w:bottom="1440" w:gutter="0" w:footer="0" w:header="0"/>
        </w:sectPr>
      </w:pPr>
    </w:p>
    <w:bookmarkStart w:id="32" w:name="page33"/>
    <w:bookmarkEnd w:id="32"/>
    <w:p>
      <w:pPr>
        <w:ind w:left="1300"/>
        <w:spacing w:after="0" w:line="241" w:lineRule="auto"/>
        <w:rPr>
          <w:sz w:val="20"/>
          <w:szCs w:val="20"/>
          <w:color w:val="auto"/>
        </w:rPr>
      </w:pPr>
      <w:r>
        <w:rPr>
          <w:rFonts w:ascii="Arial" w:cs="Arial" w:eastAsia="Arial" w:hAnsi="Arial"/>
          <w:sz w:val="20"/>
          <w:szCs w:val="20"/>
          <w:color w:val="auto"/>
        </w:rPr>
        <w:t>its members, the adoption or modification or regulatory requirements associated with those services and the costs and challenges associated with ensuring timely compliance with such requirements, further relief for the health care provider community, or in connection with the relaxation of stay-at-home and physical distancing orders and other restrictions on movement and economic activity, including the potential for widespread testing as a component of lifting these measures, could adversely impact the company’s profitability.</w:t>
      </w:r>
    </w:p>
    <w:p>
      <w:pPr>
        <w:spacing w:after="0" w:line="141" w:lineRule="exact"/>
        <w:rPr>
          <w:sz w:val="20"/>
          <w:szCs w:val="20"/>
          <w:color w:val="auto"/>
        </w:rPr>
      </w:pPr>
    </w:p>
    <w:p>
      <w:pPr>
        <w:ind w:left="1300" w:right="60"/>
        <w:spacing w:after="0"/>
        <w:rPr>
          <w:sz w:val="20"/>
          <w:szCs w:val="20"/>
          <w:color w:val="auto"/>
        </w:rPr>
      </w:pPr>
      <w:r>
        <w:rPr>
          <w:rFonts w:ascii="Arial" w:cs="Arial" w:eastAsia="Arial" w:hAnsi="Arial"/>
          <w:sz w:val="20"/>
          <w:szCs w:val="20"/>
          <w:color w:val="auto"/>
        </w:rPr>
        <w:t>The spread and impact of COVID-19, or actions taken to mitigate this spread, could have material and adverse effects on Humana’s ability to operate effectively, including as a result of the complete or partial closure of facilities or labor shortages. Disruptions in public and private infrastructure, including communications, availability of in-person sales and marketing channels, financial services and supply 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 Humana’s operations, these developments may adversely affect the timing of commercial customer premium collections and corresponding claim payments, the value of the company’s investment portfolio, or future liquidity needs.</w:t>
      </w:r>
    </w:p>
    <w:p>
      <w:pPr>
        <w:spacing w:after="0" w:line="128" w:lineRule="exact"/>
        <w:rPr>
          <w:sz w:val="20"/>
          <w:szCs w:val="20"/>
          <w:color w:val="auto"/>
        </w:rPr>
      </w:pPr>
    </w:p>
    <w:p>
      <w:pPr>
        <w:ind w:left="1300" w:right="60"/>
        <w:spacing w:after="0"/>
        <w:rPr>
          <w:sz w:val="20"/>
          <w:szCs w:val="20"/>
          <w:color w:val="auto"/>
        </w:rPr>
      </w:pPr>
      <w:r>
        <w:rPr>
          <w:rFonts w:ascii="Arial" w:cs="Arial" w:eastAsia="Arial" w:hAnsi="Arial"/>
          <w:sz w:val="20"/>
          <w:szCs w:val="20"/>
          <w:color w:val="auto"/>
        </w:rPr>
        <w:t>The rapid development and fluidity of this situation precludes any prediction as to the ultimate adverse impact to Humana of COVID-19. Humana is continuing to monitor the spread of COVID-19, changes to the company’s benefit coverages, the ongoing costs and business impacts of dealing with COVID-19, including the potential costs and impacts associated with lifting, or reimposing restrictions on movement and economic activity and ultimately a vaccine, and related risks. The magnitude and duration of the pandemic and its impact on Humana’s business, results of operations, financial position, and cash flows is uncertain as this continues to evolve globally, but such impacts could be material to the company’s business, results of operations, financial position and cash flows.</w:t>
      </w:r>
    </w:p>
    <w:p>
      <w:pPr>
        <w:spacing w:after="0" w:line="145" w:lineRule="exact"/>
        <w:rPr>
          <w:sz w:val="20"/>
          <w:szCs w:val="20"/>
          <w:color w:val="auto"/>
        </w:rPr>
      </w:pPr>
    </w:p>
    <w:p>
      <w:pPr>
        <w:ind w:left="340" w:right="80"/>
        <w:spacing w:after="0" w:line="241" w:lineRule="auto"/>
        <w:rPr>
          <w:sz w:val="20"/>
          <w:szCs w:val="20"/>
          <w:color w:val="auto"/>
        </w:rPr>
      </w:pPr>
      <w:r>
        <w:rPr>
          <w:rFonts w:ascii="Arial" w:cs="Arial" w:eastAsia="Arial" w:hAnsi="Arial"/>
          <w:sz w:val="20"/>
          <w:szCs w:val="20"/>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20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Humana advises investors to read the following documents as filed by the company with the SEC for further discussion both of the risks it faces and its historical performance:</w:t>
      </w:r>
    </w:p>
    <w:p>
      <w:pPr>
        <w:spacing w:after="0" w:line="204" w:lineRule="exact"/>
        <w:rPr>
          <w:sz w:val="20"/>
          <w:szCs w:val="20"/>
          <w:color w:val="auto"/>
        </w:rPr>
      </w:pPr>
    </w:p>
    <w:p>
      <w:pPr>
        <w:ind w:left="620" w:hanging="288"/>
        <w:spacing w:after="0"/>
        <w:tabs>
          <w:tab w:leader="none" w:pos="6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Form 10-K for the year ended December 31, 2019;</w:t>
      </w:r>
    </w:p>
    <w:p>
      <w:pPr>
        <w:spacing w:after="0" w:line="215" w:lineRule="exact"/>
        <w:rPr>
          <w:rFonts w:ascii="Arial" w:cs="Arial" w:eastAsia="Arial" w:hAnsi="Arial"/>
          <w:sz w:val="20"/>
          <w:szCs w:val="20"/>
          <w:color w:val="auto"/>
        </w:rPr>
      </w:pPr>
    </w:p>
    <w:p>
      <w:pPr>
        <w:ind w:left="620" w:hanging="288"/>
        <w:spacing w:after="0"/>
        <w:tabs>
          <w:tab w:leader="none" w:pos="6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Form 10-Q for the quarter ended March 31, 2020; and</w:t>
      </w:r>
    </w:p>
    <w:p>
      <w:pPr>
        <w:spacing w:after="0" w:line="215" w:lineRule="exact"/>
        <w:rPr>
          <w:rFonts w:ascii="Arial" w:cs="Arial" w:eastAsia="Arial" w:hAnsi="Arial"/>
          <w:sz w:val="20"/>
          <w:szCs w:val="20"/>
          <w:color w:val="auto"/>
        </w:rPr>
      </w:pPr>
    </w:p>
    <w:p>
      <w:pPr>
        <w:ind w:left="620" w:hanging="288"/>
        <w:spacing w:after="0"/>
        <w:tabs>
          <w:tab w:leader="none" w:pos="6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Form 8-Ks filed during 2020.</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905" w:right="339" w:bottom="1440" w:gutter="0" w:footer="0" w:header="0"/>
        </w:sectPr>
      </w:pPr>
    </w:p>
    <w:bookmarkStart w:id="33" w:name="page34"/>
    <w:bookmarkEnd w:id="33"/>
    <w:p>
      <w:pPr>
        <w:spacing w:after="0"/>
        <w:rPr>
          <w:sz w:val="20"/>
          <w:szCs w:val="20"/>
          <w:color w:val="auto"/>
        </w:rPr>
      </w:pPr>
      <w:r>
        <w:rPr>
          <w:rFonts w:ascii="Arial" w:cs="Arial" w:eastAsia="Arial" w:hAnsi="Arial"/>
          <w:sz w:val="25"/>
          <w:szCs w:val="25"/>
          <w:b w:val="1"/>
          <w:bCs w:val="1"/>
          <w:u w:val="single" w:color="auto"/>
          <w:color w:val="auto"/>
        </w:rPr>
        <w:t>About Humana</w:t>
      </w:r>
    </w:p>
    <w:p>
      <w:pPr>
        <w:spacing w:after="0" w:line="25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210"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210" w:lineRule="exact"/>
        <w:rPr>
          <w:sz w:val="20"/>
          <w:szCs w:val="20"/>
          <w:color w:val="auto"/>
        </w:rPr>
      </w:pPr>
    </w:p>
    <w:p>
      <w:pPr>
        <w:ind w:right="680"/>
        <w:spacing w:after="0" w:line="246" w:lineRule="auto"/>
        <w:rPr>
          <w:sz w:val="20"/>
          <w:szCs w:val="20"/>
          <w:color w:val="auto"/>
        </w:rPr>
      </w:pPr>
      <w:r>
        <w:rPr>
          <w:rFonts w:ascii="Arial" w:cs="Arial" w:eastAsia="Arial" w:hAnsi="Arial"/>
          <w:sz w:val="20"/>
          <w:szCs w:val="20"/>
          <w:color w:val="auto"/>
        </w:rPr>
        <w:t>More information regarding Humana is available to investors via the Investor Relations page of the company’s website at humana.com, including copies of:</w:t>
      </w:r>
    </w:p>
    <w:p>
      <w:pPr>
        <w:spacing w:after="0" w:line="203" w:lineRule="exact"/>
        <w:rPr>
          <w:sz w:val="20"/>
          <w:szCs w:val="20"/>
          <w:color w:val="auto"/>
        </w:rPr>
      </w:pPr>
    </w:p>
    <w:p>
      <w:pPr>
        <w:ind w:left="620" w:hanging="288"/>
        <w:spacing w:after="0"/>
        <w:tabs>
          <w:tab w:leader="none" w:pos="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Annual reports to stockholders</w:t>
      </w:r>
    </w:p>
    <w:p>
      <w:pPr>
        <w:ind w:left="620" w:hanging="288"/>
        <w:spacing w:after="0"/>
        <w:tabs>
          <w:tab w:leader="none" w:pos="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Securities and Exchange Commission filings</w:t>
      </w:r>
    </w:p>
    <w:p>
      <w:pPr>
        <w:ind w:left="620" w:hanging="288"/>
        <w:spacing w:after="0"/>
        <w:tabs>
          <w:tab w:leader="none" w:pos="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Most recent investor conference presentations</w:t>
      </w:r>
    </w:p>
    <w:p>
      <w:pPr>
        <w:ind w:left="620" w:hanging="288"/>
        <w:spacing w:after="0"/>
        <w:tabs>
          <w:tab w:leader="none" w:pos="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Quarterly earnings news releases and conference calls</w:t>
      </w:r>
    </w:p>
    <w:p>
      <w:pPr>
        <w:ind w:left="620" w:hanging="288"/>
        <w:spacing w:after="0"/>
        <w:tabs>
          <w:tab w:leader="none" w:pos="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Calendar of events</w:t>
      </w:r>
    </w:p>
    <w:p>
      <w:pPr>
        <w:ind w:left="620" w:hanging="288"/>
        <w:spacing w:after="0"/>
        <w:tabs>
          <w:tab w:leader="none" w:pos="6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297" w:right="339" w:bottom="1440" w:gutter="0" w:footer="0" w:header="0"/>
        </w:sectPr>
      </w:pPr>
    </w:p>
    <w:bookmarkStart w:id="34" w:name="page35"/>
    <w:bookmarkEnd w:id="34"/>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72"/>
          <w:szCs w:val="72"/>
          <w:color w:val="auto"/>
        </w:rPr>
        <w:t>Humana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72"/>
          <w:szCs w:val="72"/>
          <w:color w:val="auto"/>
        </w:rPr>
        <w:t>Statistical Schedules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72"/>
          <w:szCs w:val="72"/>
          <w:color w:val="auto"/>
        </w:rPr>
        <w:t>And</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71"/>
          <w:szCs w:val="71"/>
          <w:color w:val="auto"/>
        </w:rPr>
        <w:t>Supplementary Information</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72"/>
          <w:szCs w:val="72"/>
          <w:color w:val="auto"/>
        </w:rPr>
        <w:t>2Q20 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S-1</w:t>
      </w:r>
    </w:p>
    <w:p>
      <w:pPr>
        <w:sectPr>
          <w:pgSz w:w="11900" w:h="16838" w:orient="portrait"/>
          <w:cols w:equalWidth="0" w:num="1">
            <w:col w:w="9019"/>
          </w:cols>
          <w:pgMar w:left="1440" w:top="1440" w:right="1440" w:bottom="1440" w:gutter="0" w:footer="0" w:header="0"/>
        </w:sectPr>
      </w:pPr>
    </w:p>
    <w:bookmarkStart w:id="35" w:name="page36"/>
    <w:bookmarkEnd w:id="35"/>
    <w:p>
      <w:pPr>
        <w:ind w:left="1720"/>
        <w:spacing w:after="0"/>
        <w:rPr>
          <w:sz w:val="20"/>
          <w:szCs w:val="20"/>
          <w:color w:val="auto"/>
        </w:rPr>
      </w:pPr>
      <w:r>
        <w:rPr>
          <w:rFonts w:ascii="Arial" w:cs="Arial" w:eastAsia="Arial" w:hAnsi="Arial"/>
          <w:sz w:val="27"/>
          <w:szCs w:val="27"/>
          <w:color w:val="auto"/>
        </w:rPr>
        <w:t>Humana Inc.</w:t>
      </w:r>
    </w:p>
    <w:p>
      <w:pPr>
        <w:ind w:left="1720"/>
        <w:spacing w:after="0"/>
        <w:rPr>
          <w:sz w:val="20"/>
          <w:szCs w:val="20"/>
          <w:color w:val="auto"/>
        </w:rPr>
      </w:pPr>
      <w:r>
        <w:rPr>
          <w:rFonts w:ascii="Arial" w:cs="Arial" w:eastAsia="Arial" w:hAnsi="Arial"/>
          <w:sz w:val="27"/>
          <w:szCs w:val="27"/>
          <w:color w:val="auto"/>
        </w:rPr>
        <w:t>Statistical Schedules and Supplementary</w:t>
      </w:r>
    </w:p>
    <w:p>
      <w:pPr>
        <w:ind w:left="1720"/>
        <w:spacing w:after="0"/>
        <w:rPr>
          <w:sz w:val="20"/>
          <w:szCs w:val="20"/>
          <w:color w:val="auto"/>
        </w:rPr>
      </w:pPr>
      <w:r>
        <w:rPr>
          <w:rFonts w:ascii="Arial" w:cs="Arial" w:eastAsia="Arial" w:hAnsi="Arial"/>
          <w:sz w:val="27"/>
          <w:szCs w:val="27"/>
          <w:color w:val="auto"/>
        </w:rPr>
        <w:t>Information 2Q20 Earnings Release</w:t>
      </w:r>
    </w:p>
    <w:p>
      <w:pPr>
        <w:spacing w:after="0" w:line="54" w:lineRule="exact"/>
        <w:rPr>
          <w:sz w:val="20"/>
          <w:szCs w:val="20"/>
          <w:color w:val="auto"/>
        </w:rPr>
      </w:pPr>
    </w:p>
    <w:p>
      <w:pPr>
        <w:ind w:left="1720"/>
        <w:spacing w:after="0"/>
        <w:rPr>
          <w:sz w:val="20"/>
          <w:szCs w:val="20"/>
          <w:color w:val="auto"/>
        </w:rPr>
      </w:pPr>
      <w:r>
        <w:rPr>
          <w:rFonts w:ascii="Arial" w:cs="Arial" w:eastAsia="Arial" w:hAnsi="Arial"/>
          <w:sz w:val="27"/>
          <w:szCs w:val="27"/>
          <w:color w:val="auto"/>
        </w:rPr>
        <w:t>Contents</w:t>
      </w:r>
    </w:p>
    <w:p>
      <w:pPr>
        <w:spacing w:after="0" w:line="319"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Consolidated Financial Statements</w:t>
      </w:r>
    </w:p>
    <w:p>
      <w:pPr>
        <w:spacing w:after="0" w:line="44" w:lineRule="exact"/>
        <w:rPr>
          <w:sz w:val="20"/>
          <w:szCs w:val="20"/>
          <w:color w:val="auto"/>
        </w:rPr>
      </w:pPr>
    </w:p>
    <w:p>
      <w:pPr>
        <w:ind w:left="2500" w:hanging="525"/>
        <w:spacing w:after="0"/>
        <w:tabs>
          <w:tab w:leader="none" w:pos="2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Consolidated Statements of Income (S-3 - S-4)</w:t>
      </w:r>
    </w:p>
    <w:p>
      <w:pPr>
        <w:spacing w:after="0" w:line="44" w:lineRule="exact"/>
        <w:rPr>
          <w:rFonts w:ascii="Arial" w:cs="Arial" w:eastAsia="Arial" w:hAnsi="Arial"/>
          <w:sz w:val="22"/>
          <w:szCs w:val="22"/>
          <w:color w:val="auto"/>
        </w:rPr>
      </w:pPr>
    </w:p>
    <w:p>
      <w:pPr>
        <w:ind w:left="2500" w:hanging="525"/>
        <w:spacing w:after="0"/>
        <w:tabs>
          <w:tab w:leader="none" w:pos="2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Consolidated Balance Sheets (S-5)</w:t>
      </w:r>
    </w:p>
    <w:p>
      <w:pPr>
        <w:spacing w:after="0" w:line="44" w:lineRule="exact"/>
        <w:rPr>
          <w:rFonts w:ascii="Arial" w:cs="Arial" w:eastAsia="Arial" w:hAnsi="Arial"/>
          <w:sz w:val="22"/>
          <w:szCs w:val="22"/>
          <w:color w:val="auto"/>
        </w:rPr>
      </w:pPr>
    </w:p>
    <w:p>
      <w:pPr>
        <w:ind w:left="2500" w:right="1799" w:hanging="525"/>
        <w:spacing w:after="0" w:line="238" w:lineRule="auto"/>
        <w:tabs>
          <w:tab w:leader="none" w:pos="2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Consolidated Statements of Cash Flows (S-6 - S-7)</w:t>
      </w:r>
    </w:p>
    <w:p>
      <w:pPr>
        <w:spacing w:after="0" w:line="335" w:lineRule="exact"/>
        <w:rPr>
          <w:sz w:val="20"/>
          <w:szCs w:val="20"/>
          <w:color w:val="auto"/>
        </w:rPr>
      </w:pPr>
    </w:p>
    <w:p>
      <w:pPr>
        <w:ind w:left="2500" w:right="1779" w:hanging="525"/>
        <w:spacing w:after="0" w:line="238" w:lineRule="auto"/>
        <w:tabs>
          <w:tab w:leader="none" w:pos="25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Consolidating Statements of Income - Quarter (S-8 - S-9)</w:t>
      </w:r>
    </w:p>
    <w:p>
      <w:pPr>
        <w:spacing w:after="0" w:line="38" w:lineRule="exact"/>
        <w:rPr>
          <w:rFonts w:ascii="Arial" w:cs="Arial" w:eastAsia="Arial" w:hAnsi="Arial"/>
          <w:sz w:val="22"/>
          <w:szCs w:val="22"/>
          <w:color w:val="auto"/>
        </w:rPr>
      </w:pPr>
    </w:p>
    <w:p>
      <w:pPr>
        <w:ind w:left="2500" w:right="1839" w:hanging="525"/>
        <w:spacing w:after="0" w:line="238" w:lineRule="auto"/>
        <w:tabs>
          <w:tab w:leader="none" w:pos="25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Consolidating Statements of Income - YTD (S-10 - S-11)</w:t>
      </w:r>
    </w:p>
    <w:p>
      <w:pPr>
        <w:spacing w:after="0" w:line="38" w:lineRule="exact"/>
        <w:rPr>
          <w:rFonts w:ascii="Arial" w:cs="Arial" w:eastAsia="Arial" w:hAnsi="Arial"/>
          <w:sz w:val="22"/>
          <w:szCs w:val="22"/>
          <w:color w:val="auto"/>
        </w:rPr>
      </w:pPr>
    </w:p>
    <w:p>
      <w:pPr>
        <w:ind w:left="2500" w:hanging="525"/>
        <w:spacing w:after="0"/>
        <w:tabs>
          <w:tab w:leader="none" w:pos="25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Ending Membership Detail (S-12)</w:t>
      </w:r>
    </w:p>
    <w:p>
      <w:pPr>
        <w:spacing w:after="0" w:line="44" w:lineRule="exact"/>
        <w:rPr>
          <w:rFonts w:ascii="Arial" w:cs="Arial" w:eastAsia="Arial" w:hAnsi="Arial"/>
          <w:sz w:val="22"/>
          <w:szCs w:val="22"/>
          <w:color w:val="auto"/>
        </w:rPr>
      </w:pPr>
    </w:p>
    <w:p>
      <w:pPr>
        <w:ind w:left="2500" w:right="1979" w:hanging="525"/>
        <w:spacing w:after="0" w:line="238" w:lineRule="auto"/>
        <w:tabs>
          <w:tab w:leader="none" w:pos="25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Premiums and Services Revenue Detail (S-13 - S-14)</w:t>
      </w:r>
    </w:p>
    <w:p>
      <w:pPr>
        <w:spacing w:after="0" w:line="38" w:lineRule="exact"/>
        <w:rPr>
          <w:rFonts w:ascii="Arial" w:cs="Arial" w:eastAsia="Arial" w:hAnsi="Arial"/>
          <w:sz w:val="22"/>
          <w:szCs w:val="22"/>
          <w:color w:val="auto"/>
        </w:rPr>
      </w:pPr>
    </w:p>
    <w:p>
      <w:pPr>
        <w:ind w:left="2500" w:right="1919" w:hanging="525"/>
        <w:spacing w:after="0" w:line="238" w:lineRule="auto"/>
        <w:tabs>
          <w:tab w:leader="none" w:pos="25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Healthcare Services Segment Metrics (S-15 - S-17)</w:t>
      </w:r>
    </w:p>
    <w:p>
      <w:pPr>
        <w:spacing w:after="0" w:line="335" w:lineRule="exact"/>
        <w:rPr>
          <w:sz w:val="20"/>
          <w:szCs w:val="20"/>
          <w:color w:val="auto"/>
        </w:rPr>
      </w:pPr>
    </w:p>
    <w:p>
      <w:pPr>
        <w:ind w:left="2500" w:right="1879" w:hanging="525"/>
        <w:spacing w:after="0" w:line="238" w:lineRule="auto"/>
        <w:tabs>
          <w:tab w:leader="none" w:pos="2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Benefits Payable Detail and Statistics (S-18 - S-19)</w:t>
      </w:r>
    </w:p>
    <w:p>
      <w:pPr>
        <w:spacing w:after="0" w:line="38" w:lineRule="exact"/>
        <w:rPr>
          <w:sz w:val="20"/>
          <w:szCs w:val="20"/>
          <w:color w:val="auto"/>
        </w:rPr>
      </w:pPr>
    </w:p>
    <w:p>
      <w:pPr>
        <w:ind w:left="1720"/>
        <w:spacing w:after="0"/>
        <w:rPr>
          <w:sz w:val="20"/>
          <w:szCs w:val="20"/>
          <w:color w:val="auto"/>
        </w:rPr>
      </w:pPr>
      <w:r>
        <w:rPr>
          <w:rFonts w:ascii="Arial" w:cs="Arial" w:eastAsia="Arial" w:hAnsi="Arial"/>
          <w:sz w:val="22"/>
          <w:szCs w:val="22"/>
          <w:color w:val="auto"/>
        </w:rPr>
        <w:t>Footnotes (S-20)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S-2</w:t>
      </w:r>
    </w:p>
    <w:p>
      <w:pPr>
        <w:sectPr>
          <w:pgSz w:w="11900" w:h="16838" w:orient="portrait"/>
          <w:cols w:equalWidth="0" w:num="1">
            <w:col w:w="9019"/>
          </w:cols>
          <w:pgMar w:left="1440" w:top="1164" w:right="1440" w:bottom="1440" w:gutter="0" w:footer="0" w:header="0"/>
        </w:sectPr>
      </w:pPr>
    </w:p>
    <w:bookmarkStart w:id="36" w:name="page37"/>
    <w:bookmarkEnd w:id="36"/>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Consolidated Statements of Income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Dollars in millions, except per common share results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420" w:type="dxa"/>
            <w:vAlign w:val="bottom"/>
            <w:tcBorders>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300" w:type="dxa"/>
            <w:vAlign w:val="bottom"/>
            <w:tcBorders>
              <w:top w:val="single" w:sz="8" w:color="auto"/>
              <w:right w:val="single" w:sz="8" w:color="auto"/>
            </w:tcBorders>
            <w:gridSpan w:val="4"/>
          </w:tcPr>
          <w:p>
            <w:pPr>
              <w:jc w:val="right"/>
              <w:ind w:right="61"/>
              <w:spacing w:after="0" w:line="229" w:lineRule="exact"/>
              <w:rPr>
                <w:sz w:val="20"/>
                <w:szCs w:val="20"/>
                <w:color w:val="auto"/>
              </w:rPr>
            </w:pPr>
            <w:r>
              <w:rPr>
                <w:rFonts w:ascii="Arial" w:cs="Arial" w:eastAsia="Arial" w:hAnsi="Arial"/>
                <w:sz w:val="20"/>
                <w:szCs w:val="20"/>
                <w:b w:val="1"/>
                <w:bCs w:val="1"/>
                <w:color w:val="auto"/>
                <w:w w:val="98"/>
              </w:rPr>
              <w:t>For the three months ended June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420" w:type="dxa"/>
            <w:vAlign w:val="bottom"/>
            <w:tcBorders>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b w:val="1"/>
                <w:bCs w:val="1"/>
                <w:color w:val="auto"/>
                <w:w w:val="93"/>
              </w:rPr>
              <w:t>30,</w:t>
            </w:r>
          </w:p>
        </w:tc>
        <w:tc>
          <w:tcPr>
            <w:tcW w:w="134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01"/>
              <w:spacing w:after="0"/>
              <w:rPr>
                <w:sz w:val="20"/>
                <w:szCs w:val="20"/>
                <w:color w:val="auto"/>
              </w:rPr>
            </w:pPr>
            <w:r>
              <w:rPr>
                <w:rFonts w:ascii="Arial" w:cs="Arial" w:eastAsia="Arial" w:hAnsi="Arial"/>
                <w:sz w:val="20"/>
                <w:szCs w:val="20"/>
                <w:color w:val="auto"/>
              </w:rPr>
              <w:t>Dollar</w:t>
            </w:r>
          </w:p>
        </w:tc>
        <w:tc>
          <w:tcPr>
            <w:tcW w:w="1200" w:type="dxa"/>
            <w:vAlign w:val="bottom"/>
            <w:gridSpan w:val="2"/>
          </w:tcPr>
          <w:p>
            <w:pPr>
              <w:jc w:val="right"/>
              <w:ind w:right="1"/>
              <w:spacing w:after="0"/>
              <w:rPr>
                <w:sz w:val="20"/>
                <w:szCs w:val="20"/>
                <w:color w:val="auto"/>
              </w:rPr>
            </w:pPr>
            <w:r>
              <w:rPr>
                <w:rFonts w:ascii="Arial" w:cs="Arial" w:eastAsia="Arial" w:hAnsi="Arial"/>
                <w:sz w:val="20"/>
                <w:szCs w:val="20"/>
                <w:color w:val="auto"/>
              </w:rPr>
              <w:t>Percentage</w:t>
            </w:r>
          </w:p>
        </w:tc>
        <w:tc>
          <w:tcPr>
            <w:tcW w:w="0" w:type="dxa"/>
            <w:vAlign w:val="bottom"/>
          </w:tcPr>
          <w:p>
            <w:pPr>
              <w:spacing w:after="0"/>
              <w:rPr>
                <w:sz w:val="1"/>
                <w:szCs w:val="1"/>
                <w:color w:val="auto"/>
              </w:rPr>
            </w:pPr>
          </w:p>
        </w:tc>
      </w:tr>
      <w:tr>
        <w:trPr>
          <w:trHeight w:val="262"/>
        </w:trPr>
        <w:tc>
          <w:tcPr>
            <w:tcW w:w="5420" w:type="dxa"/>
            <w:vAlign w:val="bottom"/>
            <w:tcBorders>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b w:val="1"/>
                <w:bCs w:val="1"/>
                <w:color w:val="00497F"/>
              </w:rPr>
              <w:t>2020</w:t>
            </w:r>
          </w:p>
        </w:tc>
        <w:tc>
          <w:tcPr>
            <w:tcW w:w="1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Change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Change</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Revenues:</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Premiums</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00497F"/>
                <w:w w:val="71"/>
              </w:rPr>
              <w:t>$</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18,556</w:t>
            </w:r>
          </w:p>
        </w:tc>
        <w:tc>
          <w:tcPr>
            <w:tcW w:w="160" w:type="dxa"/>
            <w:vAlign w:val="bottom"/>
            <w:tcBorders>
              <w:right w:val="single" w:sz="8" w:color="auto"/>
            </w:tcBorders>
          </w:tcPr>
          <w:p>
            <w:pPr>
              <w:spacing w:after="0"/>
              <w:rPr>
                <w:sz w:val="23"/>
                <w:szCs w:val="23"/>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15,776</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2,780</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17.6 %</w:t>
            </w: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Services</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450</w:t>
            </w:r>
          </w:p>
        </w:tc>
        <w:tc>
          <w:tcPr>
            <w:tcW w:w="16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355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95</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26.8 %</w:t>
            </w:r>
          </w:p>
        </w:tc>
        <w:tc>
          <w:tcPr>
            <w:tcW w:w="0" w:type="dxa"/>
            <w:vAlign w:val="bottom"/>
          </w:tcPr>
          <w:p>
            <w:pPr>
              <w:spacing w:after="0"/>
              <w:rPr>
                <w:sz w:val="1"/>
                <w:szCs w:val="1"/>
                <w:color w:val="auto"/>
              </w:rPr>
            </w:pPr>
          </w:p>
        </w:tc>
      </w:tr>
      <w:tr>
        <w:trPr>
          <w:trHeight w:val="273"/>
        </w:trPr>
        <w:tc>
          <w:tcPr>
            <w:tcW w:w="54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Investment income</w:t>
            </w: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497F"/>
              </w:rPr>
              <w:t>77</w:t>
            </w:r>
          </w:p>
        </w:tc>
        <w:tc>
          <w:tcPr>
            <w:tcW w:w="16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114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(37)</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-32.5 %</w:t>
            </w:r>
          </w:p>
        </w:tc>
        <w:tc>
          <w:tcPr>
            <w:tcW w:w="0" w:type="dxa"/>
            <w:vAlign w:val="bottom"/>
          </w:tcPr>
          <w:p>
            <w:pPr>
              <w:spacing w:after="0"/>
              <w:rPr>
                <w:sz w:val="1"/>
                <w:szCs w:val="1"/>
                <w:color w:val="auto"/>
              </w:rPr>
            </w:pPr>
          </w:p>
        </w:tc>
      </w:tr>
      <w:tr>
        <w:trPr>
          <w:trHeight w:val="264"/>
        </w:trPr>
        <w:tc>
          <w:tcPr>
            <w:tcW w:w="5420" w:type="dxa"/>
            <w:vAlign w:val="bottom"/>
            <w:tcBorders>
              <w:right w:val="single" w:sz="8" w:color="auto"/>
            </w:tcBorders>
          </w:tcPr>
          <w:p>
            <w:pPr>
              <w:ind w:left="640"/>
              <w:spacing w:after="0"/>
              <w:rPr>
                <w:sz w:val="20"/>
                <w:szCs w:val="20"/>
                <w:color w:val="auto"/>
              </w:rPr>
            </w:pPr>
            <w:r>
              <w:rPr>
                <w:rFonts w:ascii="Arial" w:cs="Arial" w:eastAsia="Arial" w:hAnsi="Arial"/>
                <w:sz w:val="20"/>
                <w:szCs w:val="20"/>
                <w:b w:val="1"/>
                <w:bCs w:val="1"/>
                <w:color w:val="auto"/>
              </w:rPr>
              <w:t>Total revenues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497F"/>
              </w:rPr>
              <w:t>19,083</w:t>
            </w:r>
          </w:p>
        </w:tc>
        <w:tc>
          <w:tcPr>
            <w:tcW w:w="1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16,245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2,838</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17.5 %</w:t>
            </w:r>
          </w:p>
        </w:tc>
        <w:tc>
          <w:tcPr>
            <w:tcW w:w="0" w:type="dxa"/>
            <w:vAlign w:val="bottom"/>
          </w:tcPr>
          <w:p>
            <w:pPr>
              <w:spacing w:after="0"/>
              <w:rPr>
                <w:sz w:val="1"/>
                <w:szCs w:val="1"/>
                <w:color w:val="auto"/>
              </w:rPr>
            </w:pPr>
          </w:p>
        </w:tc>
      </w:tr>
      <w:tr>
        <w:trPr>
          <w:trHeight w:val="247"/>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Operating expenses:</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Benefits</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14,175</w:t>
            </w:r>
          </w:p>
        </w:tc>
        <w:tc>
          <w:tcPr>
            <w:tcW w:w="16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13,318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857</w:t>
            </w:r>
          </w:p>
        </w:tc>
        <w:tc>
          <w:tcPr>
            <w:tcW w:w="980" w:type="dxa"/>
            <w:vAlign w:val="bottom"/>
          </w:tcPr>
          <w:p>
            <w:pPr>
              <w:jc w:val="right"/>
              <w:spacing w:after="0"/>
              <w:rPr>
                <w:sz w:val="20"/>
                <w:szCs w:val="20"/>
                <w:color w:val="auto"/>
              </w:rPr>
            </w:pPr>
            <w:r>
              <w:rPr>
                <w:rFonts w:ascii="Arial" w:cs="Arial" w:eastAsia="Arial" w:hAnsi="Arial"/>
                <w:sz w:val="20"/>
                <w:szCs w:val="20"/>
                <w:color w:val="auto"/>
              </w:rPr>
              <w:t>6.4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Operating costs</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2,354</w:t>
            </w:r>
          </w:p>
        </w:tc>
        <w:tc>
          <w:tcPr>
            <w:tcW w:w="16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1,703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651</w:t>
            </w:r>
          </w:p>
        </w:tc>
        <w:tc>
          <w:tcPr>
            <w:tcW w:w="980" w:type="dxa"/>
            <w:vAlign w:val="bottom"/>
          </w:tcPr>
          <w:p>
            <w:pPr>
              <w:jc w:val="right"/>
              <w:spacing w:after="0"/>
              <w:rPr>
                <w:sz w:val="20"/>
                <w:szCs w:val="20"/>
                <w:color w:val="auto"/>
              </w:rPr>
            </w:pPr>
            <w:r>
              <w:rPr>
                <w:rFonts w:ascii="Arial" w:cs="Arial" w:eastAsia="Arial" w:hAnsi="Arial"/>
                <w:sz w:val="20"/>
                <w:szCs w:val="20"/>
                <w:color w:val="auto"/>
              </w:rPr>
              <w:t>38.2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542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Depreciation and amortization</w:t>
            </w: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497F"/>
              </w:rPr>
              <w:t>119</w:t>
            </w:r>
          </w:p>
        </w:tc>
        <w:tc>
          <w:tcPr>
            <w:tcW w:w="16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109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10</w:t>
            </w:r>
          </w:p>
        </w:tc>
        <w:tc>
          <w:tcPr>
            <w:tcW w:w="980" w:type="dxa"/>
            <w:vAlign w:val="bottom"/>
          </w:tcPr>
          <w:p>
            <w:pPr>
              <w:jc w:val="right"/>
              <w:spacing w:after="0"/>
              <w:rPr>
                <w:sz w:val="20"/>
                <w:szCs w:val="20"/>
                <w:color w:val="auto"/>
              </w:rPr>
            </w:pPr>
            <w:r>
              <w:rPr>
                <w:rFonts w:ascii="Arial" w:cs="Arial" w:eastAsia="Arial" w:hAnsi="Arial"/>
                <w:sz w:val="20"/>
                <w:szCs w:val="20"/>
                <w:color w:val="auto"/>
              </w:rPr>
              <w:t>9.2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5420" w:type="dxa"/>
            <w:vAlign w:val="bottom"/>
            <w:tcBorders>
              <w:right w:val="single" w:sz="8" w:color="auto"/>
            </w:tcBorders>
          </w:tcPr>
          <w:p>
            <w:pPr>
              <w:ind w:left="640"/>
              <w:spacing w:after="0"/>
              <w:rPr>
                <w:sz w:val="20"/>
                <w:szCs w:val="20"/>
                <w:color w:val="auto"/>
              </w:rPr>
            </w:pPr>
            <w:r>
              <w:rPr>
                <w:rFonts w:ascii="Arial" w:cs="Arial" w:eastAsia="Arial" w:hAnsi="Arial"/>
                <w:sz w:val="20"/>
                <w:szCs w:val="20"/>
                <w:b w:val="1"/>
                <w:bCs w:val="1"/>
                <w:color w:val="auto"/>
              </w:rPr>
              <w:t>Total operating expenses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497F"/>
              </w:rPr>
              <w:t>16,648</w:t>
            </w:r>
          </w:p>
        </w:tc>
        <w:tc>
          <w:tcPr>
            <w:tcW w:w="16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15,130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1,518</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0" w:type="dxa"/>
            <w:vAlign w:val="bottom"/>
          </w:tcPr>
          <w:p>
            <w:pPr>
              <w:spacing w:after="0"/>
              <w:rPr>
                <w:sz w:val="1"/>
                <w:szCs w:val="1"/>
                <w:color w:val="auto"/>
              </w:rPr>
            </w:pPr>
          </w:p>
        </w:tc>
      </w:tr>
      <w:tr>
        <w:trPr>
          <w:trHeight w:val="261"/>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Income from operations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2,435</w:t>
            </w:r>
          </w:p>
        </w:tc>
        <w:tc>
          <w:tcPr>
            <w:tcW w:w="16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1,115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1,320</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118.4 %</w:t>
            </w:r>
          </w:p>
        </w:tc>
        <w:tc>
          <w:tcPr>
            <w:tcW w:w="0" w:type="dxa"/>
            <w:vAlign w:val="bottom"/>
          </w:tcPr>
          <w:p>
            <w:pPr>
              <w:spacing w:after="0"/>
              <w:rPr>
                <w:sz w:val="1"/>
                <w:szCs w:val="1"/>
                <w:color w:val="auto"/>
              </w:rPr>
            </w:pPr>
          </w:p>
        </w:tc>
      </w:tr>
      <w:tr>
        <w:trPr>
          <w:trHeight w:val="269"/>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Interest expense</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76</w:t>
            </w:r>
          </w:p>
        </w:tc>
        <w:tc>
          <w:tcPr>
            <w:tcW w:w="16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60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16</w:t>
            </w:r>
          </w:p>
        </w:tc>
        <w:tc>
          <w:tcPr>
            <w:tcW w:w="980" w:type="dxa"/>
            <w:vAlign w:val="bottom"/>
          </w:tcPr>
          <w:p>
            <w:pPr>
              <w:jc w:val="right"/>
              <w:spacing w:after="0"/>
              <w:rPr>
                <w:sz w:val="20"/>
                <w:szCs w:val="20"/>
                <w:color w:val="auto"/>
              </w:rPr>
            </w:pPr>
            <w:r>
              <w:rPr>
                <w:rFonts w:ascii="Arial" w:cs="Arial" w:eastAsia="Arial" w:hAnsi="Arial"/>
                <w:sz w:val="20"/>
                <w:szCs w:val="20"/>
                <w:color w:val="auto"/>
              </w:rPr>
              <w:t>26.7</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Other income, net (A)</w:t>
            </w: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gridSpan w:val="2"/>
          </w:tcPr>
          <w:p>
            <w:pPr>
              <w:jc w:val="right"/>
              <w:ind w:right="21"/>
              <w:spacing w:after="0"/>
              <w:rPr>
                <w:sz w:val="20"/>
                <w:szCs w:val="20"/>
                <w:color w:val="auto"/>
              </w:rPr>
            </w:pPr>
            <w:r>
              <w:rPr>
                <w:rFonts w:ascii="Arial" w:cs="Arial" w:eastAsia="Arial" w:hAnsi="Arial"/>
                <w:sz w:val="20"/>
                <w:szCs w:val="20"/>
                <w:b w:val="1"/>
                <w:bCs w:val="1"/>
                <w:color w:val="00497F"/>
              </w:rPr>
              <w:t>(227)</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(174)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(53)</w:t>
            </w:r>
          </w:p>
        </w:tc>
        <w:tc>
          <w:tcPr>
            <w:tcW w:w="980" w:type="dxa"/>
            <w:vAlign w:val="bottom"/>
          </w:tcPr>
          <w:p>
            <w:pPr>
              <w:jc w:val="right"/>
              <w:spacing w:after="0"/>
              <w:rPr>
                <w:sz w:val="20"/>
                <w:szCs w:val="20"/>
                <w:color w:val="auto"/>
              </w:rPr>
            </w:pPr>
            <w:r>
              <w:rPr>
                <w:rFonts w:ascii="Arial" w:cs="Arial" w:eastAsia="Arial" w:hAnsi="Arial"/>
                <w:sz w:val="20"/>
                <w:szCs w:val="20"/>
                <w:color w:val="auto"/>
              </w:rPr>
              <w:t>30.5</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Income before income taxes and equity in net earnings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2,586</w:t>
            </w:r>
          </w:p>
        </w:tc>
        <w:tc>
          <w:tcPr>
            <w:tcW w:w="160" w:type="dxa"/>
            <w:vAlign w:val="bottom"/>
            <w:tcBorders>
              <w:right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1,229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1,357</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110.4 %</w:t>
            </w:r>
          </w:p>
        </w:tc>
        <w:tc>
          <w:tcPr>
            <w:tcW w:w="0" w:type="dxa"/>
            <w:vAlign w:val="bottom"/>
          </w:tcPr>
          <w:p>
            <w:pPr>
              <w:spacing w:after="0"/>
              <w:rPr>
                <w:sz w:val="1"/>
                <w:szCs w:val="1"/>
                <w:color w:val="auto"/>
              </w:rPr>
            </w:pPr>
          </w:p>
        </w:tc>
      </w:tr>
      <w:tr>
        <w:trPr>
          <w:trHeight w:val="269"/>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Provision for income taxes</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783</w:t>
            </w:r>
          </w:p>
        </w:tc>
        <w:tc>
          <w:tcPr>
            <w:tcW w:w="16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301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482</w:t>
            </w:r>
          </w:p>
        </w:tc>
        <w:tc>
          <w:tcPr>
            <w:tcW w:w="980" w:type="dxa"/>
            <w:vAlign w:val="bottom"/>
          </w:tcPr>
          <w:p>
            <w:pPr>
              <w:jc w:val="right"/>
              <w:spacing w:after="0"/>
              <w:rPr>
                <w:sz w:val="20"/>
                <w:szCs w:val="20"/>
                <w:color w:val="auto"/>
              </w:rPr>
            </w:pPr>
            <w:r>
              <w:rPr>
                <w:rFonts w:ascii="Arial" w:cs="Arial" w:eastAsia="Arial" w:hAnsi="Arial"/>
                <w:sz w:val="20"/>
                <w:szCs w:val="20"/>
                <w:color w:val="auto"/>
              </w:rPr>
              <w:t>160.1</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Equity in net earnings (B)</w:t>
            </w: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497F"/>
              </w:rPr>
              <w:t>25</w:t>
            </w:r>
          </w:p>
        </w:tc>
        <w:tc>
          <w:tcPr>
            <w:tcW w:w="16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13</w:t>
            </w:r>
          </w:p>
        </w:tc>
        <w:tc>
          <w:tcPr>
            <w:tcW w:w="980" w:type="dxa"/>
            <w:vAlign w:val="bottom"/>
          </w:tcPr>
          <w:p>
            <w:pPr>
              <w:jc w:val="right"/>
              <w:spacing w:after="0"/>
              <w:rPr>
                <w:sz w:val="20"/>
                <w:szCs w:val="20"/>
                <w:color w:val="auto"/>
              </w:rPr>
            </w:pPr>
            <w:r>
              <w:rPr>
                <w:rFonts w:ascii="Arial" w:cs="Arial" w:eastAsia="Arial" w:hAnsi="Arial"/>
                <w:sz w:val="20"/>
                <w:szCs w:val="20"/>
                <w:color w:val="auto"/>
              </w:rPr>
              <w:t>108.3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497F"/>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00497F"/>
              </w:rPr>
              <w:t>1,828</w:t>
            </w:r>
          </w:p>
        </w:tc>
        <w:tc>
          <w:tcPr>
            <w:tcW w:w="16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940</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888</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94.5 %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Basic earnings per common share</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00497F"/>
                <w:w w:val="71"/>
              </w:rPr>
              <w:t>$</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13.83</w:t>
            </w:r>
          </w:p>
        </w:tc>
        <w:tc>
          <w:tcPr>
            <w:tcW w:w="160" w:type="dxa"/>
            <w:vAlign w:val="bottom"/>
            <w:tcBorders>
              <w:right w:val="single" w:sz="8" w:color="auto"/>
            </w:tcBorders>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6.96</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6.87</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98.7 %</w:t>
            </w:r>
          </w:p>
        </w:tc>
        <w:tc>
          <w:tcPr>
            <w:tcW w:w="0" w:type="dxa"/>
            <w:vAlign w:val="bottom"/>
          </w:tcPr>
          <w:p>
            <w:pPr>
              <w:spacing w:after="0"/>
              <w:rPr>
                <w:sz w:val="1"/>
                <w:szCs w:val="1"/>
                <w:color w:val="auto"/>
              </w:rPr>
            </w:pPr>
          </w:p>
        </w:tc>
      </w:tr>
      <w:tr>
        <w:trPr>
          <w:trHeight w:val="269"/>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00497F"/>
                <w:w w:val="71"/>
              </w:rPr>
              <w:t>$</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00497F"/>
              </w:rPr>
              <w:t>13.75</w:t>
            </w:r>
          </w:p>
        </w:tc>
        <w:tc>
          <w:tcPr>
            <w:tcW w:w="160" w:type="dxa"/>
            <w:vAlign w:val="bottom"/>
            <w:tcBorders>
              <w:right w:val="single" w:sz="8" w:color="auto"/>
            </w:tcBorders>
          </w:tcPr>
          <w:p>
            <w:pPr>
              <w:spacing w:after="0"/>
              <w:rPr>
                <w:sz w:val="23"/>
                <w:szCs w:val="23"/>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6.94</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6.81</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98.1 %</w:t>
            </w:r>
          </w:p>
        </w:tc>
        <w:tc>
          <w:tcPr>
            <w:tcW w:w="0" w:type="dxa"/>
            <w:vAlign w:val="bottom"/>
          </w:tcPr>
          <w:p>
            <w:pPr>
              <w:spacing w:after="0"/>
              <w:rPr>
                <w:sz w:val="1"/>
                <w:szCs w:val="1"/>
                <w:color w:val="auto"/>
              </w:rPr>
            </w:pPr>
          </w:p>
        </w:tc>
      </w:tr>
      <w:tr>
        <w:trPr>
          <w:trHeight w:val="249"/>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9"/>
              </w:rPr>
              <w:t>Shares used in computing basic earnings per common share</w:t>
            </w:r>
          </w:p>
        </w:tc>
        <w:tc>
          <w:tcPr>
            <w:tcW w:w="120" w:type="dxa"/>
            <w:vAlign w:val="bottom"/>
          </w:tcPr>
          <w:p>
            <w:pPr>
              <w:spacing w:after="0"/>
              <w:rPr>
                <w:sz w:val="21"/>
                <w:szCs w:val="21"/>
                <w:color w:val="auto"/>
              </w:rPr>
            </w:pPr>
          </w:p>
        </w:tc>
        <w:tc>
          <w:tcPr>
            <w:tcW w:w="1420" w:type="dxa"/>
            <w:vAlign w:val="bottom"/>
            <w:vMerge w:val="restart"/>
          </w:tcPr>
          <w:p>
            <w:pPr>
              <w:jc w:val="right"/>
              <w:spacing w:after="0"/>
              <w:rPr>
                <w:sz w:val="20"/>
                <w:szCs w:val="20"/>
                <w:color w:val="auto"/>
              </w:rPr>
            </w:pPr>
            <w:r>
              <w:rPr>
                <w:rFonts w:ascii="Arial" w:cs="Arial" w:eastAsia="Arial" w:hAnsi="Arial"/>
                <w:sz w:val="20"/>
                <w:szCs w:val="20"/>
                <w:b w:val="1"/>
                <w:bCs w:val="1"/>
                <w:color w:val="00497F"/>
              </w:rPr>
              <w:t>132,248</w:t>
            </w:r>
          </w:p>
        </w:tc>
        <w:tc>
          <w:tcPr>
            <w:tcW w:w="16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(000’s)</w:t>
            </w:r>
          </w:p>
        </w:tc>
        <w:tc>
          <w:tcPr>
            <w:tcW w:w="1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135,063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Shares used in computing diluted earnings per common</w:t>
            </w:r>
          </w:p>
        </w:tc>
        <w:tc>
          <w:tcPr>
            <w:tcW w:w="120" w:type="dxa"/>
            <w:vAlign w:val="bottom"/>
          </w:tcPr>
          <w:p>
            <w:pPr>
              <w:spacing w:after="0"/>
              <w:rPr>
                <w:sz w:val="21"/>
                <w:szCs w:val="21"/>
                <w:color w:val="auto"/>
              </w:rPr>
            </w:pPr>
          </w:p>
        </w:tc>
        <w:tc>
          <w:tcPr>
            <w:tcW w:w="1420" w:type="dxa"/>
            <w:vAlign w:val="bottom"/>
            <w:vMerge w:val="restart"/>
          </w:tcPr>
          <w:p>
            <w:pPr>
              <w:jc w:val="right"/>
              <w:spacing w:after="0"/>
              <w:rPr>
                <w:sz w:val="20"/>
                <w:szCs w:val="20"/>
                <w:color w:val="auto"/>
              </w:rPr>
            </w:pPr>
            <w:r>
              <w:rPr>
                <w:rFonts w:ascii="Arial" w:cs="Arial" w:eastAsia="Arial" w:hAnsi="Arial"/>
                <w:sz w:val="20"/>
                <w:szCs w:val="20"/>
                <w:b w:val="1"/>
                <w:bCs w:val="1"/>
                <w:color w:val="00497F"/>
              </w:rPr>
              <w:t>133,023</w:t>
            </w:r>
          </w:p>
        </w:tc>
        <w:tc>
          <w:tcPr>
            <w:tcW w:w="16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 (000’s)</w:t>
            </w: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135,579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S-3</w:t>
      </w:r>
    </w:p>
    <w:p>
      <w:pPr>
        <w:sectPr>
          <w:pgSz w:w="11900" w:h="16838" w:orient="portrait"/>
          <w:cols w:equalWidth="0" w:num="1">
            <w:col w:w="11240"/>
          </w:cols>
          <w:pgMar w:left="320" w:top="1113" w:right="339" w:bottom="1440" w:gutter="0" w:footer="0" w:header="0"/>
        </w:sectPr>
      </w:pPr>
    </w:p>
    <w:bookmarkStart w:id="37" w:name="page38"/>
    <w:bookmarkEnd w:id="37"/>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Consolidated Statements of Income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Dollars in millions, except per common share results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5460" w:type="dxa"/>
            <w:vAlign w:val="bottom"/>
            <w:tcBorders>
              <w:right w:val="single" w:sz="8" w:color="auto"/>
            </w:tcBorders>
          </w:tcPr>
          <w:p>
            <w:pPr>
              <w:spacing w:after="0"/>
              <w:rPr>
                <w:sz w:val="24"/>
                <w:szCs w:val="24"/>
                <w:color w:val="auto"/>
              </w:rPr>
            </w:pPr>
          </w:p>
        </w:tc>
        <w:tc>
          <w:tcPr>
            <w:tcW w:w="3360" w:type="dxa"/>
            <w:vAlign w:val="bottom"/>
            <w:tcBorders>
              <w:top w:val="single" w:sz="8" w:color="auto"/>
              <w:bottom w:val="single" w:sz="8" w:color="auto"/>
              <w:right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w w:val="99"/>
              </w:rPr>
              <w:t>For the six months ended June 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21"/>
              <w:spacing w:after="0"/>
              <w:rPr>
                <w:sz w:val="20"/>
                <w:szCs w:val="20"/>
                <w:color w:val="auto"/>
              </w:rPr>
            </w:pPr>
            <w:r>
              <w:rPr>
                <w:rFonts w:ascii="Arial" w:cs="Arial" w:eastAsia="Arial" w:hAnsi="Arial"/>
                <w:sz w:val="20"/>
                <w:szCs w:val="20"/>
                <w:color w:val="auto"/>
              </w:rPr>
              <w:t>Dollar</w:t>
            </w:r>
          </w:p>
        </w:tc>
        <w:tc>
          <w:tcPr>
            <w:tcW w:w="1200" w:type="dxa"/>
            <w:vAlign w:val="bottom"/>
            <w:gridSpan w:val="2"/>
          </w:tcPr>
          <w:p>
            <w:pPr>
              <w:jc w:val="right"/>
              <w:ind w:right="1"/>
              <w:spacing w:after="0"/>
              <w:rPr>
                <w:sz w:val="20"/>
                <w:szCs w:val="20"/>
                <w:color w:val="auto"/>
              </w:rPr>
            </w:pPr>
            <w:r>
              <w:rPr>
                <w:rFonts w:ascii="Arial" w:cs="Arial" w:eastAsia="Arial" w:hAnsi="Arial"/>
                <w:sz w:val="20"/>
                <w:szCs w:val="20"/>
                <w:color w:val="auto"/>
              </w:rPr>
              <w:t>Percentage</w:t>
            </w:r>
          </w:p>
        </w:tc>
        <w:tc>
          <w:tcPr>
            <w:tcW w:w="0" w:type="dxa"/>
            <w:vAlign w:val="bottom"/>
          </w:tcPr>
          <w:p>
            <w:pPr>
              <w:spacing w:after="0"/>
              <w:rPr>
                <w:sz w:val="1"/>
                <w:szCs w:val="1"/>
                <w:color w:val="auto"/>
              </w:rPr>
            </w:pPr>
          </w:p>
        </w:tc>
      </w:tr>
      <w:tr>
        <w:trPr>
          <w:trHeight w:val="262"/>
        </w:trPr>
        <w:tc>
          <w:tcPr>
            <w:tcW w:w="5460" w:type="dxa"/>
            <w:vAlign w:val="bottom"/>
            <w:tcBorders>
              <w:right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b w:val="1"/>
                <w:bCs w:val="1"/>
                <w:color w:val="00497F"/>
              </w:rPr>
              <w:t>2020</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2019</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Change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Change</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Revenues:</w:t>
            </w:r>
          </w:p>
        </w:tc>
        <w:tc>
          <w:tcPr>
            <w:tcW w:w="44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6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Premiums</w:t>
            </w:r>
          </w:p>
        </w:tc>
        <w:tc>
          <w:tcPr>
            <w:tcW w:w="440" w:type="dxa"/>
            <w:vAlign w:val="bottom"/>
          </w:tcPr>
          <w:p>
            <w:pPr>
              <w:spacing w:after="0"/>
              <w:rPr>
                <w:sz w:val="20"/>
                <w:szCs w:val="20"/>
                <w:color w:val="auto"/>
              </w:rPr>
            </w:pPr>
            <w:r>
              <w:rPr>
                <w:rFonts w:ascii="Arial" w:cs="Arial" w:eastAsia="Arial" w:hAnsi="Arial"/>
                <w:sz w:val="20"/>
                <w:szCs w:val="20"/>
                <w:b w:val="1"/>
                <w:bCs w:val="1"/>
                <w:color w:val="00497F"/>
              </w:rPr>
              <w:t>$</w:t>
            </w: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36,918</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31,427</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5,491</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17.5 %</w:t>
            </w:r>
          </w:p>
        </w:tc>
        <w:tc>
          <w:tcPr>
            <w:tcW w:w="0" w:type="dxa"/>
            <w:vAlign w:val="bottom"/>
          </w:tcPr>
          <w:p>
            <w:pPr>
              <w:spacing w:after="0"/>
              <w:rPr>
                <w:sz w:val="1"/>
                <w:szCs w:val="1"/>
                <w:color w:val="auto"/>
              </w:rPr>
            </w:pPr>
          </w:p>
        </w:tc>
      </w:tr>
      <w:tr>
        <w:trPr>
          <w:trHeight w:val="270"/>
        </w:trPr>
        <w:tc>
          <w:tcPr>
            <w:tcW w:w="546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Services</w:t>
            </w:r>
          </w:p>
        </w:tc>
        <w:tc>
          <w:tcPr>
            <w:tcW w:w="440" w:type="dxa"/>
            <w:vAlign w:val="bottom"/>
          </w:tcPr>
          <w:p>
            <w:pPr>
              <w:spacing w:after="0"/>
              <w:rPr>
                <w:sz w:val="23"/>
                <w:szCs w:val="23"/>
                <w:color w:val="auto"/>
              </w:rPr>
            </w:pP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874</w:t>
            </w:r>
          </w:p>
        </w:tc>
        <w:tc>
          <w:tcPr>
            <w:tcW w:w="360" w:type="dxa"/>
            <w:vAlign w:val="bottom"/>
          </w:tcPr>
          <w:p>
            <w:pPr>
              <w:spacing w:after="0"/>
              <w:rPr>
                <w:sz w:val="23"/>
                <w:szCs w:val="23"/>
                <w:color w:val="auto"/>
              </w:rPr>
            </w:pP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710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164</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23.1 %</w:t>
            </w:r>
          </w:p>
        </w:tc>
        <w:tc>
          <w:tcPr>
            <w:tcW w:w="0" w:type="dxa"/>
            <w:vAlign w:val="bottom"/>
          </w:tcPr>
          <w:p>
            <w:pPr>
              <w:spacing w:after="0"/>
              <w:rPr>
                <w:sz w:val="1"/>
                <w:szCs w:val="1"/>
                <w:color w:val="auto"/>
              </w:rPr>
            </w:pPr>
          </w:p>
        </w:tc>
      </w:tr>
      <w:tr>
        <w:trPr>
          <w:trHeight w:val="273"/>
        </w:trPr>
        <w:tc>
          <w:tcPr>
            <w:tcW w:w="546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Investment income</w:t>
            </w: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226</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215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11</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5.1 %</w:t>
            </w:r>
          </w:p>
        </w:tc>
        <w:tc>
          <w:tcPr>
            <w:tcW w:w="0" w:type="dxa"/>
            <w:vAlign w:val="bottom"/>
          </w:tcPr>
          <w:p>
            <w:pPr>
              <w:spacing w:after="0"/>
              <w:rPr>
                <w:sz w:val="1"/>
                <w:szCs w:val="1"/>
                <w:color w:val="auto"/>
              </w:rPr>
            </w:pPr>
          </w:p>
        </w:tc>
      </w:tr>
      <w:tr>
        <w:trPr>
          <w:trHeight w:val="264"/>
        </w:trPr>
        <w:tc>
          <w:tcPr>
            <w:tcW w:w="5460" w:type="dxa"/>
            <w:vAlign w:val="bottom"/>
            <w:tcBorders>
              <w:right w:val="single" w:sz="8" w:color="auto"/>
            </w:tcBorders>
          </w:tcPr>
          <w:p>
            <w:pPr>
              <w:ind w:left="640"/>
              <w:spacing w:after="0"/>
              <w:rPr>
                <w:sz w:val="20"/>
                <w:szCs w:val="20"/>
                <w:color w:val="auto"/>
              </w:rPr>
            </w:pPr>
            <w:r>
              <w:rPr>
                <w:rFonts w:ascii="Arial" w:cs="Arial" w:eastAsia="Arial" w:hAnsi="Arial"/>
                <w:sz w:val="20"/>
                <w:szCs w:val="20"/>
                <w:b w:val="1"/>
                <w:bCs w:val="1"/>
                <w:color w:val="auto"/>
              </w:rPr>
              <w:t>Total revenues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38,018</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32,352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5,666</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17.5 %</w:t>
            </w:r>
          </w:p>
        </w:tc>
        <w:tc>
          <w:tcPr>
            <w:tcW w:w="0" w:type="dxa"/>
            <w:vAlign w:val="bottom"/>
          </w:tcPr>
          <w:p>
            <w:pPr>
              <w:spacing w:after="0"/>
              <w:rPr>
                <w:sz w:val="1"/>
                <w:szCs w:val="1"/>
                <w:color w:val="auto"/>
              </w:rPr>
            </w:pPr>
          </w:p>
        </w:tc>
      </w:tr>
      <w:tr>
        <w:trPr>
          <w:trHeight w:val="247"/>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Operating expenses:</w:t>
            </w:r>
          </w:p>
        </w:tc>
        <w:tc>
          <w:tcPr>
            <w:tcW w:w="44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6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Benefits</w:t>
            </w:r>
          </w:p>
        </w:tc>
        <w:tc>
          <w:tcPr>
            <w:tcW w:w="440" w:type="dxa"/>
            <w:vAlign w:val="bottom"/>
          </w:tcPr>
          <w:p>
            <w:pPr>
              <w:spacing w:after="0"/>
              <w:rPr>
                <w:sz w:val="23"/>
                <w:szCs w:val="23"/>
                <w:color w:val="auto"/>
              </w:rPr>
            </w:pP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29,804</w:t>
            </w:r>
          </w:p>
        </w:tc>
        <w:tc>
          <w:tcPr>
            <w:tcW w:w="360" w:type="dxa"/>
            <w:vAlign w:val="bottom"/>
          </w:tcPr>
          <w:p>
            <w:pPr>
              <w:spacing w:after="0"/>
              <w:rPr>
                <w:sz w:val="23"/>
                <w:szCs w:val="23"/>
                <w:color w:val="auto"/>
              </w:rPr>
            </w:pP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26,811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2,993</w:t>
            </w:r>
          </w:p>
        </w:tc>
        <w:tc>
          <w:tcPr>
            <w:tcW w:w="980" w:type="dxa"/>
            <w:vAlign w:val="bottom"/>
          </w:tcPr>
          <w:p>
            <w:pPr>
              <w:jc w:val="right"/>
              <w:spacing w:after="0"/>
              <w:rPr>
                <w:sz w:val="20"/>
                <w:szCs w:val="20"/>
                <w:color w:val="auto"/>
              </w:rPr>
            </w:pPr>
            <w:r>
              <w:rPr>
                <w:rFonts w:ascii="Arial" w:cs="Arial" w:eastAsia="Arial" w:hAnsi="Arial"/>
                <w:sz w:val="20"/>
                <w:szCs w:val="20"/>
                <w:color w:val="auto"/>
              </w:rPr>
              <w:t>11.2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546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Operating costs</w:t>
            </w:r>
          </w:p>
        </w:tc>
        <w:tc>
          <w:tcPr>
            <w:tcW w:w="440" w:type="dxa"/>
            <w:vAlign w:val="bottom"/>
          </w:tcPr>
          <w:p>
            <w:pPr>
              <w:spacing w:after="0"/>
              <w:rPr>
                <w:sz w:val="23"/>
                <w:szCs w:val="23"/>
                <w:color w:val="auto"/>
              </w:rPr>
            </w:pP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4,471</w:t>
            </w:r>
          </w:p>
        </w:tc>
        <w:tc>
          <w:tcPr>
            <w:tcW w:w="360" w:type="dxa"/>
            <w:vAlign w:val="bottom"/>
          </w:tcPr>
          <w:p>
            <w:pPr>
              <w:spacing w:after="0"/>
              <w:rPr>
                <w:sz w:val="23"/>
                <w:szCs w:val="23"/>
                <w:color w:val="auto"/>
              </w:rPr>
            </w:pP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3,363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1,108</w:t>
            </w:r>
          </w:p>
        </w:tc>
        <w:tc>
          <w:tcPr>
            <w:tcW w:w="980" w:type="dxa"/>
            <w:vAlign w:val="bottom"/>
          </w:tcPr>
          <w:p>
            <w:pPr>
              <w:jc w:val="right"/>
              <w:spacing w:after="0"/>
              <w:rPr>
                <w:sz w:val="20"/>
                <w:szCs w:val="20"/>
                <w:color w:val="auto"/>
              </w:rPr>
            </w:pPr>
            <w:r>
              <w:rPr>
                <w:rFonts w:ascii="Arial" w:cs="Arial" w:eastAsia="Arial" w:hAnsi="Arial"/>
                <w:sz w:val="20"/>
                <w:szCs w:val="20"/>
                <w:color w:val="auto"/>
              </w:rPr>
              <w:t>32.9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546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Depreciation and amortization</w:t>
            </w: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234</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216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18</w:t>
            </w:r>
          </w:p>
        </w:tc>
        <w:tc>
          <w:tcPr>
            <w:tcW w:w="980" w:type="dxa"/>
            <w:vAlign w:val="bottom"/>
          </w:tcPr>
          <w:p>
            <w:pPr>
              <w:jc w:val="right"/>
              <w:spacing w:after="0"/>
              <w:rPr>
                <w:sz w:val="20"/>
                <w:szCs w:val="20"/>
                <w:color w:val="auto"/>
              </w:rPr>
            </w:pPr>
            <w:r>
              <w:rPr>
                <w:rFonts w:ascii="Arial" w:cs="Arial" w:eastAsia="Arial" w:hAnsi="Arial"/>
                <w:sz w:val="20"/>
                <w:szCs w:val="20"/>
                <w:color w:val="auto"/>
              </w:rPr>
              <w:t>8.3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3"/>
        </w:trPr>
        <w:tc>
          <w:tcPr>
            <w:tcW w:w="5460" w:type="dxa"/>
            <w:vAlign w:val="bottom"/>
            <w:tcBorders>
              <w:right w:val="single" w:sz="8" w:color="auto"/>
            </w:tcBorders>
          </w:tcPr>
          <w:p>
            <w:pPr>
              <w:ind w:left="640"/>
              <w:spacing w:after="0"/>
              <w:rPr>
                <w:sz w:val="20"/>
                <w:szCs w:val="20"/>
                <w:color w:val="auto"/>
              </w:rPr>
            </w:pPr>
            <w:r>
              <w:rPr>
                <w:rFonts w:ascii="Arial" w:cs="Arial" w:eastAsia="Arial" w:hAnsi="Arial"/>
                <w:sz w:val="20"/>
                <w:szCs w:val="20"/>
                <w:b w:val="1"/>
                <w:bCs w:val="1"/>
                <w:color w:val="auto"/>
              </w:rPr>
              <w:t>Total operating expenses</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34,509</w:t>
            </w: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30,390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4,119</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13.6 %</w:t>
            </w:r>
          </w:p>
        </w:tc>
        <w:tc>
          <w:tcPr>
            <w:tcW w:w="0" w:type="dxa"/>
            <w:vAlign w:val="bottom"/>
          </w:tcPr>
          <w:p>
            <w:pPr>
              <w:spacing w:after="0"/>
              <w:rPr>
                <w:sz w:val="1"/>
                <w:szCs w:val="1"/>
                <w:color w:val="auto"/>
              </w:rPr>
            </w:pPr>
          </w:p>
        </w:tc>
      </w:tr>
      <w:tr>
        <w:trPr>
          <w:trHeight w:val="261"/>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Income from operations</w:t>
            </w:r>
          </w:p>
        </w:tc>
        <w:tc>
          <w:tcPr>
            <w:tcW w:w="440" w:type="dxa"/>
            <w:vAlign w:val="bottom"/>
          </w:tcPr>
          <w:p>
            <w:pPr>
              <w:spacing w:after="0"/>
              <w:rPr>
                <w:sz w:val="22"/>
                <w:szCs w:val="22"/>
                <w:color w:val="auto"/>
              </w:rPr>
            </w:pP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3,509</w:t>
            </w:r>
          </w:p>
        </w:tc>
        <w:tc>
          <w:tcPr>
            <w:tcW w:w="360" w:type="dxa"/>
            <w:vAlign w:val="bottom"/>
          </w:tcPr>
          <w:p>
            <w:pPr>
              <w:spacing w:after="0"/>
              <w:rPr>
                <w:sz w:val="22"/>
                <w:szCs w:val="22"/>
                <w:color w:val="auto"/>
              </w:rPr>
            </w:pP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1,962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1,547</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78.8 %</w:t>
            </w:r>
          </w:p>
        </w:tc>
        <w:tc>
          <w:tcPr>
            <w:tcW w:w="0" w:type="dxa"/>
            <w:vAlign w:val="bottom"/>
          </w:tcPr>
          <w:p>
            <w:pPr>
              <w:spacing w:after="0"/>
              <w:rPr>
                <w:sz w:val="1"/>
                <w:szCs w:val="1"/>
                <w:color w:val="auto"/>
              </w:rPr>
            </w:pPr>
          </w:p>
        </w:tc>
      </w:tr>
      <w:tr>
        <w:trPr>
          <w:trHeight w:val="269"/>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Interest expense</w:t>
            </w:r>
          </w:p>
        </w:tc>
        <w:tc>
          <w:tcPr>
            <w:tcW w:w="440" w:type="dxa"/>
            <w:vAlign w:val="bottom"/>
          </w:tcPr>
          <w:p>
            <w:pPr>
              <w:spacing w:after="0"/>
              <w:rPr>
                <w:sz w:val="23"/>
                <w:szCs w:val="23"/>
                <w:color w:val="auto"/>
              </w:rPr>
            </w:pP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136</w:t>
            </w:r>
          </w:p>
        </w:tc>
        <w:tc>
          <w:tcPr>
            <w:tcW w:w="360" w:type="dxa"/>
            <w:vAlign w:val="bottom"/>
          </w:tcPr>
          <w:p>
            <w:pPr>
              <w:spacing w:after="0"/>
              <w:rPr>
                <w:sz w:val="23"/>
                <w:szCs w:val="23"/>
                <w:color w:val="auto"/>
              </w:rPr>
            </w:pP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122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14</w:t>
            </w:r>
          </w:p>
        </w:tc>
        <w:tc>
          <w:tcPr>
            <w:tcW w:w="980" w:type="dxa"/>
            <w:vAlign w:val="bottom"/>
          </w:tcPr>
          <w:p>
            <w:pPr>
              <w:jc w:val="right"/>
              <w:spacing w:after="0"/>
              <w:rPr>
                <w:sz w:val="20"/>
                <w:szCs w:val="20"/>
                <w:color w:val="auto"/>
              </w:rPr>
            </w:pPr>
            <w:r>
              <w:rPr>
                <w:rFonts w:ascii="Arial" w:cs="Arial" w:eastAsia="Arial" w:hAnsi="Arial"/>
                <w:sz w:val="20"/>
                <w:szCs w:val="20"/>
                <w:color w:val="auto"/>
              </w:rPr>
              <w:t>11.5</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Other expense (income), net (A)</w:t>
            </w: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70</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(205)</w:t>
            </w:r>
          </w:p>
        </w:tc>
        <w:tc>
          <w:tcPr>
            <w:tcW w:w="980" w:type="dxa"/>
            <w:vAlign w:val="bottom"/>
          </w:tcPr>
          <w:p>
            <w:pPr>
              <w:jc w:val="right"/>
              <w:spacing w:after="0"/>
              <w:rPr>
                <w:sz w:val="20"/>
                <w:szCs w:val="20"/>
                <w:color w:val="auto"/>
              </w:rPr>
            </w:pPr>
            <w:r>
              <w:rPr>
                <w:rFonts w:ascii="Arial" w:cs="Arial" w:eastAsia="Arial" w:hAnsi="Arial"/>
                <w:sz w:val="20"/>
                <w:szCs w:val="20"/>
                <w:color w:val="auto"/>
              </w:rPr>
              <w:t>151.9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Income before income taxes and equity in net earnings</w:t>
            </w:r>
          </w:p>
        </w:tc>
        <w:tc>
          <w:tcPr>
            <w:tcW w:w="440" w:type="dxa"/>
            <w:vAlign w:val="bottom"/>
          </w:tcPr>
          <w:p>
            <w:pPr>
              <w:spacing w:after="0"/>
              <w:rPr>
                <w:sz w:val="22"/>
                <w:szCs w:val="22"/>
                <w:color w:val="auto"/>
              </w:rPr>
            </w:pP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3,303</w:t>
            </w:r>
          </w:p>
        </w:tc>
        <w:tc>
          <w:tcPr>
            <w:tcW w:w="360" w:type="dxa"/>
            <w:vAlign w:val="bottom"/>
          </w:tcPr>
          <w:p>
            <w:pPr>
              <w:spacing w:after="0"/>
              <w:rPr>
                <w:sz w:val="22"/>
                <w:szCs w:val="22"/>
                <w:color w:val="auto"/>
              </w:rPr>
            </w:pP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1,975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1,328</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67.2 %</w:t>
            </w:r>
          </w:p>
        </w:tc>
        <w:tc>
          <w:tcPr>
            <w:tcW w:w="0" w:type="dxa"/>
            <w:vAlign w:val="bottom"/>
          </w:tcPr>
          <w:p>
            <w:pPr>
              <w:spacing w:after="0"/>
              <w:rPr>
                <w:sz w:val="1"/>
                <w:szCs w:val="1"/>
                <w:color w:val="auto"/>
              </w:rPr>
            </w:pPr>
          </w:p>
        </w:tc>
      </w:tr>
      <w:tr>
        <w:trPr>
          <w:trHeight w:val="269"/>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Provision for income taxes</w:t>
            </w:r>
          </w:p>
        </w:tc>
        <w:tc>
          <w:tcPr>
            <w:tcW w:w="440" w:type="dxa"/>
            <w:vAlign w:val="bottom"/>
          </w:tcPr>
          <w:p>
            <w:pPr>
              <w:spacing w:after="0"/>
              <w:rPr>
                <w:sz w:val="23"/>
                <w:szCs w:val="23"/>
                <w:color w:val="auto"/>
              </w:rPr>
            </w:pP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1,035</w:t>
            </w:r>
          </w:p>
        </w:tc>
        <w:tc>
          <w:tcPr>
            <w:tcW w:w="360" w:type="dxa"/>
            <w:vAlign w:val="bottom"/>
          </w:tcPr>
          <w:p>
            <w:pPr>
              <w:spacing w:after="0"/>
              <w:rPr>
                <w:sz w:val="23"/>
                <w:szCs w:val="23"/>
                <w:color w:val="auto"/>
              </w:rPr>
            </w:pP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484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551</w:t>
            </w:r>
          </w:p>
        </w:tc>
        <w:tc>
          <w:tcPr>
            <w:tcW w:w="980" w:type="dxa"/>
            <w:vAlign w:val="bottom"/>
          </w:tcPr>
          <w:p>
            <w:pPr>
              <w:jc w:val="right"/>
              <w:spacing w:after="0"/>
              <w:rPr>
                <w:sz w:val="20"/>
                <w:szCs w:val="20"/>
                <w:color w:val="auto"/>
              </w:rPr>
            </w:pPr>
            <w:r>
              <w:rPr>
                <w:rFonts w:ascii="Arial" w:cs="Arial" w:eastAsia="Arial" w:hAnsi="Arial"/>
                <w:sz w:val="20"/>
                <w:szCs w:val="20"/>
                <w:color w:val="auto"/>
              </w:rPr>
              <w:t>113.8</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Equity in net earnings (B)</w:t>
            </w: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33</w:t>
            </w: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18</w:t>
            </w:r>
          </w:p>
        </w:tc>
        <w:tc>
          <w:tcPr>
            <w:tcW w:w="980" w:type="dxa"/>
            <w:vAlign w:val="bottom"/>
          </w:tcPr>
          <w:p>
            <w:pPr>
              <w:jc w:val="right"/>
              <w:spacing w:after="0"/>
              <w:rPr>
                <w:sz w:val="20"/>
                <w:szCs w:val="20"/>
                <w:color w:val="auto"/>
              </w:rPr>
            </w:pPr>
            <w:r>
              <w:rPr>
                <w:rFonts w:ascii="Arial" w:cs="Arial" w:eastAsia="Arial" w:hAnsi="Arial"/>
                <w:sz w:val="20"/>
                <w:szCs w:val="20"/>
                <w:color w:val="auto"/>
              </w:rPr>
              <w:t>120.0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8"/>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Net income</w:t>
            </w:r>
          </w:p>
        </w:tc>
        <w:tc>
          <w:tcPr>
            <w:tcW w:w="4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00497F"/>
              </w:rPr>
              <w:t>$</w:t>
            </w:r>
          </w:p>
        </w:tc>
        <w:tc>
          <w:tcPr>
            <w:tcW w:w="1240" w:type="dxa"/>
            <w:vAlign w:val="bottom"/>
            <w:tcBorders>
              <w:bottom w:val="single" w:sz="8" w:color="auto"/>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2,301</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1,506</w:t>
            </w:r>
          </w:p>
        </w:tc>
        <w:tc>
          <w:tcPr>
            <w:tcW w:w="6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795</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52.8 %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Basic earnings per common share</w:t>
            </w:r>
          </w:p>
        </w:tc>
        <w:tc>
          <w:tcPr>
            <w:tcW w:w="440" w:type="dxa"/>
            <w:vAlign w:val="bottom"/>
          </w:tcPr>
          <w:p>
            <w:pPr>
              <w:spacing w:after="0"/>
              <w:rPr>
                <w:sz w:val="20"/>
                <w:szCs w:val="20"/>
                <w:color w:val="auto"/>
              </w:rPr>
            </w:pPr>
            <w:r>
              <w:rPr>
                <w:rFonts w:ascii="Arial" w:cs="Arial" w:eastAsia="Arial" w:hAnsi="Arial"/>
                <w:sz w:val="20"/>
                <w:szCs w:val="20"/>
                <w:b w:val="1"/>
                <w:bCs w:val="1"/>
                <w:color w:val="00497F"/>
              </w:rPr>
              <w:t>$</w:t>
            </w: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17.41</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11.14</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6.27</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56.3 %</w:t>
            </w:r>
          </w:p>
        </w:tc>
        <w:tc>
          <w:tcPr>
            <w:tcW w:w="0" w:type="dxa"/>
            <w:vAlign w:val="bottom"/>
          </w:tcPr>
          <w:p>
            <w:pPr>
              <w:spacing w:after="0"/>
              <w:rPr>
                <w:sz w:val="1"/>
                <w:szCs w:val="1"/>
                <w:color w:val="auto"/>
              </w:rPr>
            </w:pPr>
          </w:p>
        </w:tc>
      </w:tr>
      <w:tr>
        <w:trPr>
          <w:trHeight w:val="270"/>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Diluted earnings per common share</w:t>
            </w:r>
          </w:p>
        </w:tc>
        <w:tc>
          <w:tcPr>
            <w:tcW w:w="440" w:type="dxa"/>
            <w:vAlign w:val="bottom"/>
          </w:tcPr>
          <w:p>
            <w:pPr>
              <w:spacing w:after="0"/>
              <w:rPr>
                <w:sz w:val="20"/>
                <w:szCs w:val="20"/>
                <w:color w:val="auto"/>
              </w:rPr>
            </w:pPr>
            <w:r>
              <w:rPr>
                <w:rFonts w:ascii="Arial" w:cs="Arial" w:eastAsia="Arial" w:hAnsi="Arial"/>
                <w:sz w:val="20"/>
                <w:szCs w:val="20"/>
                <w:b w:val="1"/>
                <w:bCs w:val="1"/>
                <w:color w:val="00497F"/>
              </w:rPr>
              <w:t>$</w:t>
            </w:r>
          </w:p>
        </w:tc>
        <w:tc>
          <w:tcPr>
            <w:tcW w:w="124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b w:val="1"/>
                <w:bCs w:val="1"/>
                <w:color w:val="00497F"/>
              </w:rPr>
              <w:t>17.31</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11.10</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6.21</w:t>
            </w: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55.9 %</w:t>
            </w:r>
          </w:p>
        </w:tc>
        <w:tc>
          <w:tcPr>
            <w:tcW w:w="0" w:type="dxa"/>
            <w:vAlign w:val="bottom"/>
          </w:tcPr>
          <w:p>
            <w:pPr>
              <w:spacing w:after="0"/>
              <w:rPr>
                <w:sz w:val="1"/>
                <w:szCs w:val="1"/>
                <w:color w:val="auto"/>
              </w:rPr>
            </w:pPr>
          </w:p>
        </w:tc>
      </w:tr>
      <w:tr>
        <w:trPr>
          <w:trHeight w:val="249"/>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Shares used in computing basic earnings per common share</w:t>
            </w:r>
          </w:p>
        </w:tc>
        <w:tc>
          <w:tcPr>
            <w:tcW w:w="440" w:type="dxa"/>
            <w:vAlign w:val="bottom"/>
          </w:tcPr>
          <w:p>
            <w:pPr>
              <w:spacing w:after="0"/>
              <w:rPr>
                <w:sz w:val="21"/>
                <w:szCs w:val="21"/>
                <w:color w:val="auto"/>
              </w:rPr>
            </w:pPr>
          </w:p>
        </w:tc>
        <w:tc>
          <w:tcPr>
            <w:tcW w:w="1240" w:type="dxa"/>
            <w:vAlign w:val="bottom"/>
            <w:tcBorders>
              <w:right w:val="single" w:sz="8" w:color="auto"/>
            </w:tcBorders>
            <w:vMerge w:val="restart"/>
          </w:tcPr>
          <w:p>
            <w:pPr>
              <w:jc w:val="right"/>
              <w:ind w:right="81"/>
              <w:spacing w:after="0"/>
              <w:rPr>
                <w:sz w:val="20"/>
                <w:szCs w:val="20"/>
                <w:color w:val="auto"/>
              </w:rPr>
            </w:pPr>
            <w:r>
              <w:rPr>
                <w:rFonts w:ascii="Arial" w:cs="Arial" w:eastAsia="Arial" w:hAnsi="Arial"/>
                <w:sz w:val="20"/>
                <w:szCs w:val="20"/>
                <w:b w:val="1"/>
                <w:bCs w:val="1"/>
                <w:color w:val="00497F"/>
              </w:rPr>
              <w:t>132,192</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(000’s)</w:t>
            </w:r>
          </w:p>
        </w:tc>
        <w:tc>
          <w:tcPr>
            <w:tcW w:w="440" w:type="dxa"/>
            <w:vAlign w:val="bottom"/>
          </w:tcPr>
          <w:p>
            <w:pPr>
              <w:spacing w:after="0"/>
              <w:rPr>
                <w:sz w:val="20"/>
                <w:szCs w:val="20"/>
                <w:color w:val="auto"/>
              </w:rPr>
            </w:pPr>
          </w:p>
        </w:tc>
        <w:tc>
          <w:tcPr>
            <w:tcW w:w="1240" w:type="dxa"/>
            <w:vAlign w:val="bottom"/>
            <w:tcBorders>
              <w:right w:val="single" w:sz="8" w:color="auto"/>
            </w:tcBorders>
            <w:vMerge w:val="continue"/>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135,223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Shares used in computing diluted earnings per common</w:t>
            </w:r>
          </w:p>
        </w:tc>
        <w:tc>
          <w:tcPr>
            <w:tcW w:w="440" w:type="dxa"/>
            <w:vAlign w:val="bottom"/>
          </w:tcPr>
          <w:p>
            <w:pPr>
              <w:spacing w:after="0"/>
              <w:rPr>
                <w:sz w:val="21"/>
                <w:szCs w:val="21"/>
                <w:color w:val="auto"/>
              </w:rPr>
            </w:pPr>
          </w:p>
        </w:tc>
        <w:tc>
          <w:tcPr>
            <w:tcW w:w="1240" w:type="dxa"/>
            <w:vAlign w:val="bottom"/>
            <w:tcBorders>
              <w:right w:val="single" w:sz="8" w:color="auto"/>
            </w:tcBorders>
            <w:vMerge w:val="restart"/>
          </w:tcPr>
          <w:p>
            <w:pPr>
              <w:jc w:val="right"/>
              <w:ind w:right="81"/>
              <w:spacing w:after="0"/>
              <w:rPr>
                <w:sz w:val="20"/>
                <w:szCs w:val="20"/>
                <w:color w:val="auto"/>
              </w:rPr>
            </w:pPr>
            <w:r>
              <w:rPr>
                <w:rFonts w:ascii="Arial" w:cs="Arial" w:eastAsia="Arial" w:hAnsi="Arial"/>
                <w:sz w:val="20"/>
                <w:szCs w:val="20"/>
                <w:b w:val="1"/>
                <w:bCs w:val="1"/>
                <w:color w:val="00497F"/>
              </w:rPr>
              <w:t>132,917</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share (000’s)</w:t>
            </w: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vMerge w:val="continue"/>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81"/>
              <w:spacing w:after="0"/>
              <w:rPr>
                <w:sz w:val="20"/>
                <w:szCs w:val="20"/>
                <w:color w:val="auto"/>
              </w:rPr>
            </w:pPr>
            <w:r>
              <w:rPr>
                <w:rFonts w:ascii="Arial" w:cs="Arial" w:eastAsia="Arial" w:hAnsi="Arial"/>
                <w:sz w:val="20"/>
                <w:szCs w:val="20"/>
                <w:color w:val="auto"/>
              </w:rPr>
              <w:t>135,770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8"/>
        </w:trPr>
        <w:tc>
          <w:tcPr>
            <w:tcW w:w="54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0"/>
                <w:szCs w:val="20"/>
                <w:color w:val="auto"/>
              </w:rPr>
              <w:t>S-4</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3"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Humana Inc.</w:t>
      </w:r>
    </w:p>
    <w:p>
      <w:pPr>
        <w:spacing w:after="0"/>
        <w:rPr>
          <w:sz w:val="20"/>
          <w:szCs w:val="20"/>
          <w:color w:val="auto"/>
        </w:rPr>
      </w:pPr>
      <w:r>
        <w:rPr>
          <w:rFonts w:ascii="Arial" w:cs="Arial" w:eastAsia="Arial" w:hAnsi="Arial"/>
          <w:sz w:val="20"/>
          <w:szCs w:val="20"/>
          <w:color w:val="auto"/>
        </w:rPr>
        <w:t>Consolidated Balance Sheets</w:t>
      </w:r>
    </w:p>
    <w:p>
      <w:pPr>
        <w:spacing w:after="0"/>
        <w:rPr>
          <w:sz w:val="20"/>
          <w:szCs w:val="20"/>
          <w:color w:val="auto"/>
        </w:rPr>
      </w:pPr>
      <w:r>
        <w:rPr>
          <w:rFonts w:ascii="Arial" w:cs="Arial" w:eastAsia="Arial" w:hAnsi="Arial"/>
          <w:sz w:val="20"/>
          <w:szCs w:val="20"/>
          <w:i w:val="1"/>
          <w:iCs w:val="1"/>
          <w:color w:val="auto"/>
        </w:rPr>
        <w:t>Dollars in millions, except share amounts</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assets: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and cash equivalents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Investment securities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Receivables, net</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assets</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Total current assets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and equipment, net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Long-term investment securities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method investments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long-term assets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assets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 and Stockholders’ Equity</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liabilities: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Benefits payable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Trade accounts payable and accrued expenses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Book overdraft</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Unearned revenues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Short-term debt</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Total current liabilities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Long-term debt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Future policy benefits payable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long-term liabilities</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Total liabilities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Stockholders’ equity:</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Preferred stock, $1 par; 10,000,000 shares authorized, none issued</w:t>
      </w:r>
    </w:p>
    <w:p>
      <w:pPr>
        <w:spacing w:after="0" w:line="42" w:lineRule="exact"/>
        <w:rPr>
          <w:sz w:val="20"/>
          <w:szCs w:val="20"/>
          <w:color w:val="auto"/>
        </w:rPr>
      </w:pPr>
    </w:p>
    <w:p>
      <w:pPr>
        <w:ind w:left="360"/>
        <w:spacing w:after="0" w:line="229" w:lineRule="auto"/>
        <w:rPr>
          <w:sz w:val="20"/>
          <w:szCs w:val="20"/>
          <w:color w:val="auto"/>
        </w:rPr>
      </w:pPr>
      <w:r>
        <w:rPr>
          <w:rFonts w:ascii="Arial" w:cs="Arial" w:eastAsia="Arial" w:hAnsi="Arial"/>
          <w:sz w:val="14"/>
          <w:szCs w:val="14"/>
          <w:color w:val="auto"/>
        </w:rPr>
        <w:t>Common stock, $0.16 2/3 par; 300,000,000 shares authorized; 198,629,992 issued at June 30, 2020</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Capital in excess of par value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Retained earnings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Accumulated other comprehensive income</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Treasury stock, at cost, 66,340,953 shares at June 30, 2020</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Total stockholders’ equity</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liabilities and stockholders’ equity</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Debt-to-total capitalization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3"/>
        </w:trPr>
        <w:tc>
          <w:tcPr>
            <w:tcW w:w="200" w:type="dxa"/>
            <w:vAlign w:val="bottom"/>
            <w:tcBorders>
              <w:top w:val="single" w:sz="8" w:color="auto"/>
              <w:lef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00497F"/>
              </w:rPr>
              <w:t>June 30,</w:t>
            </w:r>
          </w:p>
        </w:tc>
        <w:tc>
          <w:tcPr>
            <w:tcW w:w="1080" w:type="dxa"/>
            <w:vAlign w:val="bottom"/>
            <w:gridSpan w:val="2"/>
          </w:tcPr>
          <w:p>
            <w:pPr>
              <w:jc w:val="right"/>
              <w:ind w:right="28"/>
              <w:spacing w:after="0"/>
              <w:rPr>
                <w:sz w:val="20"/>
                <w:szCs w:val="20"/>
                <w:color w:val="auto"/>
              </w:rPr>
            </w:pPr>
            <w:r>
              <w:rPr>
                <w:rFonts w:ascii="Arial" w:cs="Arial" w:eastAsia="Arial" w:hAnsi="Arial"/>
                <w:sz w:val="14"/>
                <w:szCs w:val="14"/>
                <w:color w:val="auto"/>
              </w:rPr>
              <w:t>December 31,</w:t>
            </w:r>
          </w:p>
        </w:tc>
        <w:tc>
          <w:tcPr>
            <w:tcW w:w="100" w:type="dxa"/>
            <w:vAlign w:val="bottom"/>
            <w:tcBorders>
              <w:right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right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Year-to-Date Change</w:t>
            </w:r>
          </w:p>
        </w:tc>
      </w:tr>
      <w:tr>
        <w:trPr>
          <w:trHeight w:val="210"/>
        </w:trPr>
        <w:tc>
          <w:tcPr>
            <w:tcW w:w="20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b w:val="1"/>
                <w:bCs w:val="1"/>
                <w:color w:val="00497F"/>
              </w:rPr>
              <w:t>2020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Dollar</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Percent</w:t>
            </w:r>
          </w:p>
        </w:tc>
      </w:tr>
      <w:tr>
        <w:trPr>
          <w:trHeight w:val="622"/>
        </w:trPr>
        <w:tc>
          <w:tcPr>
            <w:tcW w:w="200" w:type="dxa"/>
            <w:vAlign w:val="bottom"/>
            <w:tcBorders>
              <w:left w:val="single" w:sz="8" w:color="auto"/>
            </w:tcBorders>
          </w:tcPr>
          <w:p>
            <w:pPr>
              <w:jc w:val="right"/>
              <w:ind w:right="8"/>
              <w:spacing w:after="0"/>
              <w:rPr>
                <w:sz w:val="20"/>
                <w:szCs w:val="20"/>
                <w:color w:val="auto"/>
              </w:rPr>
            </w:pPr>
            <w:r>
              <w:rPr>
                <w:rFonts w:ascii="Arial" w:cs="Arial" w:eastAsia="Arial" w:hAnsi="Arial"/>
                <w:sz w:val="14"/>
                <w:szCs w:val="14"/>
                <w:b w:val="1"/>
                <w:bCs w:val="1"/>
                <w:color w:val="00497F"/>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7,163</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4,054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12,836</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10,972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2,238</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20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5,631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4"/>
        </w:trPr>
        <w:tc>
          <w:tcPr>
            <w:tcW w:w="200" w:type="dxa"/>
            <w:vAlign w:val="bottom"/>
            <w:tcBorders>
              <w:left w:val="single" w:sz="8" w:color="auto"/>
            </w:tcBorders>
          </w:tcPr>
          <w:p>
            <w:pPr>
              <w:spacing w:after="0"/>
              <w:rPr>
                <w:sz w:val="17"/>
                <w:szCs w:val="17"/>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27,868</w:t>
            </w:r>
          </w:p>
        </w:tc>
        <w:tc>
          <w:tcPr>
            <w:tcW w:w="24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19,888</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7,980</w:t>
            </w:r>
          </w:p>
        </w:tc>
        <w:tc>
          <w:tcPr>
            <w:tcW w:w="1000" w:type="dxa"/>
            <w:vAlign w:val="bottom"/>
          </w:tcPr>
          <w:p>
            <w:pPr>
              <w:jc w:val="right"/>
              <w:spacing w:after="0"/>
              <w:rPr>
                <w:sz w:val="20"/>
                <w:szCs w:val="20"/>
                <w:color w:val="auto"/>
              </w:rPr>
            </w:pPr>
            <w:r>
              <w:rPr>
                <w:rFonts w:ascii="Arial" w:cs="Arial" w:eastAsia="Arial" w:hAnsi="Arial"/>
                <w:sz w:val="14"/>
                <w:szCs w:val="14"/>
                <w:color w:val="auto"/>
              </w:rPr>
              <w:t>40.1 %</w:t>
            </w: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2,118</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1,955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389</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4,443</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3,928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1,122</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1,063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20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2,515</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200" w:type="dxa"/>
            <w:vAlign w:val="bottom"/>
            <w:tcBorders>
              <w:left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00497F"/>
              </w:rPr>
              <w:t>$</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38,455</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29,074</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9,381</w:t>
            </w:r>
          </w:p>
        </w:tc>
        <w:tc>
          <w:tcPr>
            <w:tcW w:w="1000" w:type="dxa"/>
            <w:vAlign w:val="bottom"/>
          </w:tcPr>
          <w:p>
            <w:pPr>
              <w:jc w:val="right"/>
              <w:spacing w:after="0"/>
              <w:rPr>
                <w:sz w:val="20"/>
                <w:szCs w:val="20"/>
                <w:color w:val="auto"/>
              </w:rPr>
            </w:pPr>
            <w:r>
              <w:rPr>
                <w:rFonts w:ascii="Arial" w:cs="Arial" w:eastAsia="Arial" w:hAnsi="Arial"/>
                <w:sz w:val="14"/>
                <w:szCs w:val="14"/>
                <w:color w:val="auto"/>
              </w:rPr>
              <w:t>32.3 %</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03"/>
        </w:trPr>
        <w:tc>
          <w:tcPr>
            <w:tcW w:w="200" w:type="dxa"/>
            <w:vAlign w:val="bottom"/>
            <w:tcBorders>
              <w:left w:val="single" w:sz="8" w:color="auto"/>
            </w:tcBorders>
          </w:tcPr>
          <w:p>
            <w:pPr>
              <w:jc w:val="right"/>
              <w:ind w:right="8"/>
              <w:spacing w:after="0"/>
              <w:rPr>
                <w:sz w:val="20"/>
                <w:szCs w:val="20"/>
                <w:color w:val="auto"/>
              </w:rPr>
            </w:pPr>
            <w:r>
              <w:rPr>
                <w:rFonts w:ascii="Arial" w:cs="Arial" w:eastAsia="Arial" w:hAnsi="Arial"/>
                <w:sz w:val="14"/>
                <w:szCs w:val="14"/>
                <w:b w:val="1"/>
                <w:bCs w:val="1"/>
                <w:color w:val="00497F"/>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7,980</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6,004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6,175</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3,754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310</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266</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20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1,724</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4"/>
        </w:trPr>
        <w:tc>
          <w:tcPr>
            <w:tcW w:w="200" w:type="dxa"/>
            <w:vAlign w:val="bottom"/>
            <w:tcBorders>
              <w:left w:val="single" w:sz="8" w:color="auto"/>
            </w:tcBorders>
          </w:tcPr>
          <w:p>
            <w:pPr>
              <w:spacing w:after="0"/>
              <w:rPr>
                <w:sz w:val="17"/>
                <w:szCs w:val="17"/>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16,455</w:t>
            </w:r>
          </w:p>
        </w:tc>
        <w:tc>
          <w:tcPr>
            <w:tcW w:w="24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10,929</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5,526</w:t>
            </w:r>
          </w:p>
        </w:tc>
        <w:tc>
          <w:tcPr>
            <w:tcW w:w="1000" w:type="dxa"/>
            <w:vAlign w:val="bottom"/>
          </w:tcPr>
          <w:p>
            <w:pPr>
              <w:jc w:val="right"/>
              <w:spacing w:after="0"/>
              <w:rPr>
                <w:sz w:val="20"/>
                <w:szCs w:val="20"/>
                <w:color w:val="auto"/>
              </w:rPr>
            </w:pPr>
            <w:r>
              <w:rPr>
                <w:rFonts w:ascii="Arial" w:cs="Arial" w:eastAsia="Arial" w:hAnsi="Arial"/>
                <w:sz w:val="14"/>
                <w:szCs w:val="14"/>
                <w:color w:val="auto"/>
              </w:rPr>
              <w:t>50.6 %</w:t>
            </w: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6,058</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4,967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203</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20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1,323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9"/>
        </w:trPr>
        <w:tc>
          <w:tcPr>
            <w:tcW w:w="20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24,039</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17,037</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7,002</w:t>
            </w:r>
          </w:p>
        </w:tc>
        <w:tc>
          <w:tcPr>
            <w:tcW w:w="1000" w:type="dxa"/>
            <w:vAlign w:val="bottom"/>
          </w:tcPr>
          <w:p>
            <w:pPr>
              <w:jc w:val="right"/>
              <w:spacing w:after="0"/>
              <w:rPr>
                <w:sz w:val="20"/>
                <w:szCs w:val="20"/>
                <w:color w:val="auto"/>
              </w:rPr>
            </w:pPr>
            <w:r>
              <w:rPr>
                <w:rFonts w:ascii="Arial" w:cs="Arial" w:eastAsia="Arial" w:hAnsi="Arial"/>
                <w:sz w:val="14"/>
                <w:szCs w:val="14"/>
                <w:color w:val="auto"/>
              </w:rPr>
              <w:t>41.1 %</w:t>
            </w:r>
          </w:p>
        </w:tc>
      </w:tr>
      <w:tr>
        <w:trPr>
          <w:trHeight w:val="622"/>
        </w:trPr>
        <w:tc>
          <w:tcPr>
            <w:tcW w:w="2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w:t>
            </w:r>
          </w:p>
        </w:tc>
        <w:tc>
          <w:tcPr>
            <w:tcW w:w="240" w:type="dxa"/>
            <w:vAlign w:val="bottom"/>
          </w:tcPr>
          <w:p>
            <w:pPr>
              <w:spacing w:after="0"/>
              <w:rPr>
                <w:sz w:val="24"/>
                <w:szCs w:val="2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2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33</w:t>
            </w:r>
          </w:p>
        </w:tc>
        <w:tc>
          <w:tcPr>
            <w:tcW w:w="240" w:type="dxa"/>
            <w:vAlign w:val="bottom"/>
          </w:tcPr>
          <w:p>
            <w:pPr>
              <w:spacing w:after="0"/>
              <w:rPr>
                <w:sz w:val="24"/>
                <w:szCs w:val="2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2,898</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19,616</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17,483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317</w:t>
            </w:r>
          </w:p>
        </w:tc>
        <w:tc>
          <w:tcPr>
            <w:tcW w:w="240" w:type="dxa"/>
            <w:vAlign w:val="bottom"/>
          </w:tcPr>
          <w:p>
            <w:pPr>
              <w:spacing w:after="0"/>
              <w:rPr>
                <w:sz w:val="18"/>
                <w:szCs w:val="18"/>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20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rPr>
              <w:t>(8,448)</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0"/>
        </w:trPr>
        <w:tc>
          <w:tcPr>
            <w:tcW w:w="20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14,416</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12,037</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2,379</w:t>
            </w:r>
          </w:p>
        </w:tc>
        <w:tc>
          <w:tcPr>
            <w:tcW w:w="1000" w:type="dxa"/>
            <w:vAlign w:val="bottom"/>
          </w:tcPr>
          <w:p>
            <w:pPr>
              <w:jc w:val="right"/>
              <w:spacing w:after="0"/>
              <w:rPr>
                <w:sz w:val="20"/>
                <w:szCs w:val="20"/>
                <w:color w:val="auto"/>
              </w:rPr>
            </w:pPr>
            <w:r>
              <w:rPr>
                <w:rFonts w:ascii="Arial" w:cs="Arial" w:eastAsia="Arial" w:hAnsi="Arial"/>
                <w:sz w:val="14"/>
                <w:szCs w:val="14"/>
                <w:color w:val="auto"/>
              </w:rPr>
              <w:t>19.8 %</w:t>
            </w:r>
          </w:p>
        </w:tc>
      </w:tr>
      <w:tr>
        <w:trPr>
          <w:trHeight w:val="215"/>
        </w:trPr>
        <w:tc>
          <w:tcPr>
            <w:tcW w:w="200" w:type="dxa"/>
            <w:vAlign w:val="bottom"/>
            <w:tcBorders>
              <w:left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00497F"/>
              </w:rPr>
              <w:t>$</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00497F"/>
              </w:rPr>
              <w:t>38,455</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29,074</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9,381</w:t>
            </w:r>
          </w:p>
        </w:tc>
        <w:tc>
          <w:tcPr>
            <w:tcW w:w="1000" w:type="dxa"/>
            <w:vAlign w:val="bottom"/>
          </w:tcPr>
          <w:p>
            <w:pPr>
              <w:jc w:val="right"/>
              <w:spacing w:after="0"/>
              <w:rPr>
                <w:sz w:val="20"/>
                <w:szCs w:val="20"/>
                <w:color w:val="auto"/>
              </w:rPr>
            </w:pPr>
            <w:r>
              <w:rPr>
                <w:rFonts w:ascii="Arial" w:cs="Arial" w:eastAsia="Arial" w:hAnsi="Arial"/>
                <w:sz w:val="14"/>
                <w:szCs w:val="14"/>
                <w:color w:val="auto"/>
              </w:rPr>
              <w:t>32.3 %</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8"/>
        </w:trPr>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35.1 %</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5180" w:space="320"/>
            <w:col w:w="4639"/>
          </w:cols>
          <w:pgMar w:left="320" w:top="1107"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S-5</w:t>
      </w:r>
    </w:p>
    <w:p>
      <w:pPr>
        <w:sectPr>
          <w:pgSz w:w="11900" w:h="16838" w:orient="portrait"/>
          <w:cols w:equalWidth="0" w:num="1">
            <w:col w:w="10139"/>
          </w:cols>
          <w:pgMar w:left="320" w:top="1107"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color w:val="auto"/>
        </w:rPr>
        <w:t>Humana Inc.</w:t>
      </w:r>
    </w:p>
    <w:p>
      <w:pPr>
        <w:spacing w:after="0"/>
        <w:rPr>
          <w:sz w:val="20"/>
          <w:szCs w:val="20"/>
          <w:color w:val="auto"/>
        </w:rPr>
      </w:pPr>
      <w:r>
        <w:rPr>
          <w:rFonts w:ascii="Arial" w:cs="Arial" w:eastAsia="Arial" w:hAnsi="Arial"/>
          <w:sz w:val="20"/>
          <w:szCs w:val="20"/>
          <w:color w:val="auto"/>
        </w:rPr>
        <w:t>Consolidated Statements of Cash Flows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5380" w:type="dxa"/>
            <w:vAlign w:val="bottom"/>
            <w:tcBorders>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20" w:type="dxa"/>
            <w:vAlign w:val="bottom"/>
            <w:tcBorders>
              <w:top w:val="single" w:sz="8" w:color="auto"/>
              <w:right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For the three months ended June</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6"/>
        </w:trPr>
        <w:tc>
          <w:tcPr>
            <w:tcW w:w="538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w w:val="92"/>
              </w:rPr>
              <w:t>30,</w:t>
            </w:r>
          </w:p>
        </w:tc>
        <w:tc>
          <w:tcPr>
            <w:tcW w:w="1000" w:type="dxa"/>
            <w:vAlign w:val="bottom"/>
            <w:tcBorders>
              <w:bottom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Dollar</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Percentage</w:t>
            </w:r>
          </w:p>
        </w:tc>
      </w:tr>
      <w:tr>
        <w:trPr>
          <w:trHeight w:val="209"/>
        </w:trPr>
        <w:tc>
          <w:tcPr>
            <w:tcW w:w="538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00497F"/>
              </w:rPr>
              <w:t>2020</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Change</w:t>
            </w: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Change</w:t>
            </w:r>
          </w:p>
        </w:tc>
      </w:tr>
      <w:tr>
        <w:trPr>
          <w:trHeight w:val="190"/>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00497F"/>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1,828</w:t>
            </w:r>
          </w:p>
        </w:tc>
        <w:tc>
          <w:tcPr>
            <w:tcW w:w="120" w:type="dxa"/>
            <w:vAlign w:val="bottom"/>
            <w:tcBorders>
              <w:right w:val="single" w:sz="8" w:color="auto"/>
            </w:tcBorders>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940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65"/>
        </w:trPr>
        <w:tc>
          <w:tcPr>
            <w:tcW w:w="538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activities: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538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128</w:t>
            </w: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538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22</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Net realized capital gains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(2)</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Equity in net earnings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(25)</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46</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6"/>
        </w:trPr>
        <w:tc>
          <w:tcPr>
            <w:tcW w:w="538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Changes in operating assets and liabilities, net of effect of businesses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2"/>
        </w:trPr>
        <w:tc>
          <w:tcPr>
            <w:tcW w:w="538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acquired and dispositions: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538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Receivables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(232)</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1,063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(654)</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Benefits payable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890</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1,064</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Unearned revenues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(8)</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538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Other, net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10</w:t>
            </w:r>
          </w:p>
        </w:tc>
        <w:tc>
          <w:tcPr>
            <w:tcW w:w="1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9"/>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3,067</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1,434</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$1,633</w:t>
            </w:r>
          </w:p>
        </w:tc>
        <w:tc>
          <w:tcPr>
            <w:tcW w:w="960" w:type="dxa"/>
            <w:vAlign w:val="bottom"/>
          </w:tcPr>
          <w:p>
            <w:pPr>
              <w:jc w:val="right"/>
              <w:spacing w:after="0"/>
              <w:rPr>
                <w:sz w:val="20"/>
                <w:szCs w:val="20"/>
                <w:color w:val="auto"/>
              </w:rPr>
            </w:pPr>
            <w:r>
              <w:rPr>
                <w:rFonts w:ascii="Arial" w:cs="Arial" w:eastAsia="Arial" w:hAnsi="Arial"/>
                <w:sz w:val="14"/>
                <w:szCs w:val="14"/>
                <w:color w:val="auto"/>
              </w:rPr>
              <w:t>113.9 %</w:t>
            </w:r>
          </w:p>
        </w:tc>
      </w:tr>
      <w:tr>
        <w:trPr>
          <w:trHeight w:val="190"/>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Purchases of property and equipment,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(226)</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Purchases of investment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(3,005)</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(960)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Maturities of investment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910</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497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Proceeds from sales of investment securities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669</w:t>
            </w:r>
          </w:p>
        </w:tc>
        <w:tc>
          <w:tcPr>
            <w:tcW w:w="1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564</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9"/>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(1,652)</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($1,596)</w:t>
            </w:r>
          </w:p>
        </w:tc>
        <w:tc>
          <w:tcPr>
            <w:tcW w:w="960" w:type="dxa"/>
            <w:vAlign w:val="bottom"/>
          </w:tcPr>
          <w:p>
            <w:pPr>
              <w:jc w:val="right"/>
              <w:spacing w:after="0"/>
              <w:rPr>
                <w:sz w:val="20"/>
                <w:szCs w:val="20"/>
                <w:color w:val="auto"/>
              </w:rPr>
            </w:pPr>
            <w:r>
              <w:rPr>
                <w:rFonts w:ascii="Arial" w:cs="Arial" w:eastAsia="Arial" w:hAnsi="Arial"/>
                <w:sz w:val="14"/>
                <w:szCs w:val="14"/>
                <w:color w:val="auto"/>
              </w:rPr>
              <w:t>-2,850.0 %</w:t>
            </w:r>
          </w:p>
        </w:tc>
      </w:tr>
      <w:tr>
        <w:trPr>
          <w:trHeight w:val="190"/>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Withdrawals from contract deposits,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(185)</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Repayment of commercial paper,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(177)</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Change in book overdraft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140</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Common stock repurchases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(8)</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Dividends paid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(83)</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Proceeds from stock option exercises and 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7</w:t>
            </w:r>
          </w:p>
        </w:tc>
        <w:tc>
          <w:tcPr>
            <w:tcW w:w="1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9"/>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(306)</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$171</w:t>
            </w:r>
          </w:p>
        </w:tc>
        <w:tc>
          <w:tcPr>
            <w:tcW w:w="960" w:type="dxa"/>
            <w:vAlign w:val="bottom"/>
          </w:tcPr>
          <w:p>
            <w:pPr>
              <w:jc w:val="right"/>
              <w:spacing w:after="0"/>
              <w:rPr>
                <w:sz w:val="20"/>
                <w:szCs w:val="20"/>
                <w:color w:val="auto"/>
              </w:rPr>
            </w:pPr>
            <w:r>
              <w:rPr>
                <w:rFonts w:ascii="Arial" w:cs="Arial" w:eastAsia="Arial" w:hAnsi="Arial"/>
                <w:sz w:val="14"/>
                <w:szCs w:val="14"/>
                <w:color w:val="auto"/>
              </w:rPr>
              <w:t>35.8 %</w:t>
            </w:r>
          </w:p>
        </w:tc>
      </w:tr>
      <w:tr>
        <w:trPr>
          <w:trHeight w:val="204"/>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Increase in cash and cash equivalents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00497F"/>
              </w:rPr>
              <w:t>1,109</w:t>
            </w: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901</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2"/>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6,054</w:t>
            </w:r>
          </w:p>
        </w:tc>
        <w:tc>
          <w:tcPr>
            <w:tcW w:w="1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3,877</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5"/>
        </w:trPr>
        <w:tc>
          <w:tcPr>
            <w:tcW w:w="538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7,163</w:t>
            </w:r>
          </w:p>
        </w:tc>
        <w:tc>
          <w:tcPr>
            <w:tcW w:w="12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4,778</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S-6</w:t>
      </w:r>
    </w:p>
    <w:p>
      <w:pPr>
        <w:sectPr>
          <w:pgSz w:w="11900" w:h="16838" w:orient="portrait"/>
          <w:cols w:equalWidth="0" w:num="1">
            <w:col w:w="10139"/>
          </w:cols>
          <w:pgMar w:left="320" w:top="621" w:right="1440"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Humana Inc.</w:t>
      </w:r>
    </w:p>
    <w:p>
      <w:pPr>
        <w:spacing w:after="0"/>
        <w:rPr>
          <w:sz w:val="20"/>
          <w:szCs w:val="20"/>
          <w:color w:val="auto"/>
        </w:rPr>
      </w:pPr>
      <w:r>
        <w:rPr>
          <w:rFonts w:ascii="Arial" w:cs="Arial" w:eastAsia="Arial" w:hAnsi="Arial"/>
          <w:sz w:val="20"/>
          <w:szCs w:val="20"/>
          <w:color w:val="auto"/>
        </w:rPr>
        <w:t>Consolidated Statements of Cash Flows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00" w:type="dxa"/>
            <w:vAlign w:val="bottom"/>
            <w:tcBorders>
              <w:right w:val="single" w:sz="8" w:color="auto"/>
            </w:tcBorders>
          </w:tcPr>
          <w:p>
            <w:pPr>
              <w:spacing w:after="0"/>
              <w:rPr>
                <w:sz w:val="18"/>
                <w:szCs w:val="18"/>
                <w:color w:val="auto"/>
              </w:rPr>
            </w:pPr>
          </w:p>
        </w:tc>
        <w:tc>
          <w:tcPr>
            <w:tcW w:w="2500" w:type="dxa"/>
            <w:vAlign w:val="bottom"/>
            <w:tcBorders>
              <w:top w:val="single" w:sz="8" w:color="auto"/>
              <w:bottom w:val="single" w:sz="8" w:color="auto"/>
              <w:right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For the six months ended June 30,</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7"/>
        </w:trPr>
        <w:tc>
          <w:tcPr>
            <w:tcW w:w="5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Dollar</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Percent</w:t>
            </w:r>
          </w:p>
        </w:tc>
      </w:tr>
      <w:tr>
        <w:trPr>
          <w:trHeight w:val="209"/>
        </w:trPr>
        <w:tc>
          <w:tcPr>
            <w:tcW w:w="5400" w:type="dxa"/>
            <w:vAlign w:val="bottom"/>
            <w:tcBorders>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4"/>
                <w:szCs w:val="14"/>
                <w:b w:val="1"/>
                <w:bCs w:val="1"/>
                <w:color w:val="00497F"/>
              </w:rPr>
              <w:t>2020</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Change</w:t>
            </w:r>
          </w:p>
        </w:tc>
      </w:tr>
      <w:tr>
        <w:trPr>
          <w:trHeight w:val="190"/>
        </w:trPr>
        <w:tc>
          <w:tcPr>
            <w:tcW w:w="5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00497F"/>
                <w:w w:val="76"/>
              </w:rPr>
              <w:t>$</w:t>
            </w: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2,301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1,506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Adjustments to reconcile net income to net cash provided by operating</w:t>
            </w:r>
          </w:p>
        </w:tc>
        <w:tc>
          <w:tcPr>
            <w:tcW w:w="2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2"/>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activities:</w:t>
            </w:r>
          </w:p>
        </w:tc>
        <w:tc>
          <w:tcPr>
            <w:tcW w:w="26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54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252</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240</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43</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Net realized capital gains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(51)</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Equity in net earnings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(33)</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82</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Benefit for deferred income taxes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(3)</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6"/>
        </w:trPr>
        <w:tc>
          <w:tcPr>
            <w:tcW w:w="54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Changes in operating assets and liabilities, net of effect of businesses</w:t>
            </w:r>
          </w:p>
        </w:tc>
        <w:tc>
          <w:tcPr>
            <w:tcW w:w="2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2"/>
        </w:trPr>
        <w:tc>
          <w:tcPr>
            <w:tcW w:w="54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acquired and dispositions:</w:t>
            </w:r>
          </w:p>
        </w:tc>
        <w:tc>
          <w:tcPr>
            <w:tcW w:w="26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540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Receivables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(1,185)</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123</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(2,124)</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(548)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Benefits payable</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1,976</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980</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2,267</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1080"/>
              <w:spacing w:after="0"/>
              <w:rPr>
                <w:sz w:val="20"/>
                <w:szCs w:val="20"/>
                <w:color w:val="auto"/>
              </w:rPr>
            </w:pPr>
            <w:r>
              <w:rPr>
                <w:rFonts w:ascii="Arial" w:cs="Arial" w:eastAsia="Arial" w:hAnsi="Arial"/>
                <w:sz w:val="14"/>
                <w:szCs w:val="14"/>
                <w:color w:val="auto"/>
              </w:rPr>
              <w:t>Unearned revenues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19</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540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9"/>
        </w:trPr>
        <w:tc>
          <w:tcPr>
            <w:tcW w:w="5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3,541</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2,330</w:t>
            </w:r>
          </w:p>
        </w:tc>
        <w:tc>
          <w:tcPr>
            <w:tcW w:w="1160" w:type="dxa"/>
            <w:vAlign w:val="bottom"/>
            <w:gridSpan w:val="2"/>
          </w:tcPr>
          <w:p>
            <w:pPr>
              <w:jc w:val="center"/>
              <w:ind w:left="288"/>
              <w:spacing w:after="0"/>
              <w:rPr>
                <w:sz w:val="20"/>
                <w:szCs w:val="20"/>
                <w:color w:val="auto"/>
              </w:rPr>
            </w:pPr>
            <w:r>
              <w:rPr>
                <w:rFonts w:ascii="Arial" w:cs="Arial" w:eastAsia="Arial" w:hAnsi="Arial"/>
                <w:sz w:val="14"/>
                <w:szCs w:val="14"/>
                <w:color w:val="auto"/>
              </w:rPr>
              <w:t>$1,211</w:t>
            </w:r>
          </w:p>
        </w:tc>
        <w:tc>
          <w:tcPr>
            <w:tcW w:w="920" w:type="dxa"/>
            <w:vAlign w:val="bottom"/>
          </w:tcPr>
          <w:p>
            <w:pPr>
              <w:jc w:val="right"/>
              <w:spacing w:after="0"/>
              <w:rPr>
                <w:sz w:val="20"/>
                <w:szCs w:val="20"/>
                <w:color w:val="auto"/>
              </w:rPr>
            </w:pPr>
            <w:r>
              <w:rPr>
                <w:rFonts w:ascii="Arial" w:cs="Arial" w:eastAsia="Arial" w:hAnsi="Arial"/>
                <w:sz w:val="14"/>
                <w:szCs w:val="14"/>
                <w:color w:val="auto"/>
              </w:rPr>
              <w:t>52.0 %</w:t>
            </w:r>
          </w:p>
        </w:tc>
      </w:tr>
      <w:tr>
        <w:trPr>
          <w:trHeight w:val="190"/>
        </w:trPr>
        <w:tc>
          <w:tcPr>
            <w:tcW w:w="5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(709)</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Purchases of property and equipment, net</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(418)</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Purchases of investment securities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(5,464)</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(3,135)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Maturities of investment securities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1,645</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894</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Proceeds from sales of investment securities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2,084</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2,626</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9"/>
        </w:trPr>
        <w:tc>
          <w:tcPr>
            <w:tcW w:w="5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(2,862)</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w:t>
            </w:r>
          </w:p>
        </w:tc>
        <w:tc>
          <w:tcPr>
            <w:tcW w:w="1160" w:type="dxa"/>
            <w:vAlign w:val="bottom"/>
            <w:gridSpan w:val="2"/>
          </w:tcPr>
          <w:p>
            <w:pPr>
              <w:jc w:val="center"/>
              <w:ind w:left="268"/>
              <w:spacing w:after="0"/>
              <w:rPr>
                <w:sz w:val="20"/>
                <w:szCs w:val="20"/>
                <w:color w:val="auto"/>
              </w:rPr>
            </w:pPr>
            <w:r>
              <w:rPr>
                <w:rFonts w:ascii="Arial" w:cs="Arial" w:eastAsia="Arial" w:hAnsi="Arial"/>
                <w:sz w:val="14"/>
                <w:szCs w:val="14"/>
                <w:color w:val="auto"/>
              </w:rPr>
              <w:t>($2,951)</w:t>
            </w:r>
          </w:p>
        </w:tc>
        <w:tc>
          <w:tcPr>
            <w:tcW w:w="920" w:type="dxa"/>
            <w:vAlign w:val="bottom"/>
          </w:tcPr>
          <w:p>
            <w:pPr>
              <w:jc w:val="right"/>
              <w:spacing w:after="0"/>
              <w:rPr>
                <w:sz w:val="20"/>
                <w:szCs w:val="20"/>
                <w:color w:val="auto"/>
              </w:rPr>
            </w:pPr>
            <w:r>
              <w:rPr>
                <w:rFonts w:ascii="Arial" w:cs="Arial" w:eastAsia="Arial" w:hAnsi="Arial"/>
                <w:sz w:val="14"/>
                <w:szCs w:val="14"/>
                <w:color w:val="auto"/>
              </w:rPr>
              <w:t>-3,315.7 %</w:t>
            </w:r>
          </w:p>
        </w:tc>
      </w:tr>
      <w:tr>
        <w:trPr>
          <w:trHeight w:val="191"/>
        </w:trPr>
        <w:tc>
          <w:tcPr>
            <w:tcW w:w="5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Receipts from contract deposits, net</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389</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473</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Proceeds (repayment) from the issuance of commercial paper, net</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21</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Proceeds from issuance of senior notes, net</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1,088</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Proceeds from issuance of term loan</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1,000</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Change in book overdraft</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85</w:t>
            </w:r>
          </w:p>
        </w:tc>
        <w:tc>
          <w:tcPr>
            <w:tcW w:w="26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Common stock repurchases</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(25)</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8"/>
                <w:szCs w:val="18"/>
                <w:color w:val="auto"/>
              </w:rPr>
            </w:pP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b w:val="1"/>
                <w:bCs w:val="1"/>
                <w:color w:val="00497F"/>
              </w:rPr>
              <w:t>(156)</w:t>
            </w:r>
          </w:p>
        </w:tc>
        <w:tc>
          <w:tcPr>
            <w:tcW w:w="2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5400" w:type="dxa"/>
            <w:vAlign w:val="bottom"/>
            <w:tcBorders>
              <w:right w:val="single" w:sz="8" w:color="auto"/>
            </w:tcBorders>
          </w:tcPr>
          <w:p>
            <w:pPr>
              <w:ind w:left="320"/>
              <w:spacing w:after="0"/>
              <w:rPr>
                <w:sz w:val="20"/>
                <w:szCs w:val="20"/>
                <w:color w:val="auto"/>
              </w:rPr>
            </w:pPr>
            <w:r>
              <w:rPr>
                <w:rFonts w:ascii="Arial" w:cs="Arial" w:eastAsia="Arial" w:hAnsi="Arial"/>
                <w:sz w:val="14"/>
                <w:szCs w:val="14"/>
                <w:color w:val="auto"/>
              </w:rPr>
              <w:t>Proceeds from stock option exercises and other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28</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9"/>
        </w:trPr>
        <w:tc>
          <w:tcPr>
            <w:tcW w:w="5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2,430</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w:t>
            </w:r>
          </w:p>
        </w:tc>
        <w:tc>
          <w:tcPr>
            <w:tcW w:w="1160" w:type="dxa"/>
            <w:vAlign w:val="bottom"/>
            <w:gridSpan w:val="2"/>
          </w:tcPr>
          <w:p>
            <w:pPr>
              <w:jc w:val="center"/>
              <w:ind w:left="288"/>
              <w:spacing w:after="0"/>
              <w:rPr>
                <w:sz w:val="20"/>
                <w:szCs w:val="20"/>
                <w:color w:val="auto"/>
              </w:rPr>
            </w:pPr>
            <w:r>
              <w:rPr>
                <w:rFonts w:ascii="Arial" w:cs="Arial" w:eastAsia="Arial" w:hAnsi="Arial"/>
                <w:sz w:val="14"/>
                <w:szCs w:val="14"/>
                <w:color w:val="auto"/>
              </w:rPr>
              <w:t>$2,414</w:t>
            </w:r>
          </w:p>
        </w:tc>
        <w:tc>
          <w:tcPr>
            <w:tcW w:w="920" w:type="dxa"/>
            <w:vAlign w:val="bottom"/>
          </w:tcPr>
          <w:p>
            <w:pPr>
              <w:jc w:val="right"/>
              <w:spacing w:after="0"/>
              <w:rPr>
                <w:sz w:val="20"/>
                <w:szCs w:val="20"/>
                <w:color w:val="auto"/>
              </w:rPr>
            </w:pPr>
            <w:r>
              <w:rPr>
                <w:rFonts w:ascii="Arial" w:cs="Arial" w:eastAsia="Arial" w:hAnsi="Arial"/>
                <w:sz w:val="14"/>
                <w:szCs w:val="14"/>
                <w:color w:val="auto"/>
              </w:rPr>
              <w:t>15,087.5 %</w:t>
            </w:r>
          </w:p>
        </w:tc>
      </w:tr>
      <w:tr>
        <w:trPr>
          <w:trHeight w:val="204"/>
        </w:trPr>
        <w:tc>
          <w:tcPr>
            <w:tcW w:w="54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Increase in cash and cash equivalents</w:t>
            </w:r>
          </w:p>
        </w:tc>
        <w:tc>
          <w:tcPr>
            <w:tcW w:w="260" w:type="dxa"/>
            <w:vAlign w:val="bottom"/>
          </w:tcPr>
          <w:p>
            <w:pPr>
              <w:spacing w:after="0"/>
              <w:rPr>
                <w:sz w:val="17"/>
                <w:szCs w:val="17"/>
                <w:color w:val="auto"/>
              </w:rPr>
            </w:pPr>
          </w:p>
        </w:tc>
        <w:tc>
          <w:tcPr>
            <w:tcW w:w="9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3,109</w:t>
            </w:r>
          </w:p>
        </w:tc>
        <w:tc>
          <w:tcPr>
            <w:tcW w:w="26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2,435</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54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4,054</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2,343</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5"/>
        </w:trPr>
        <w:tc>
          <w:tcPr>
            <w:tcW w:w="54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00497F"/>
                <w:w w:val="76"/>
              </w:rPr>
              <w:t>$</w:t>
            </w:r>
          </w:p>
        </w:tc>
        <w:tc>
          <w:tcPr>
            <w:tcW w:w="9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7,163</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4,778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S-7</w:t>
      </w:r>
    </w:p>
    <w:p>
      <w:pPr>
        <w:sectPr>
          <w:pgSz w:w="11900" w:h="16838" w:orient="portrait"/>
          <w:cols w:equalWidth="0" w:num="1">
            <w:col w:w="10139"/>
          </w:cols>
          <w:pgMar w:left="320" w:top="621" w:right="1440" w:bottom="1440" w:gutter="0" w:footer="0" w:header="0"/>
        </w:sectPr>
      </w:pPr>
    </w:p>
    <w:bookmarkStart w:id="41" w:name="page42"/>
    <w:bookmarkEnd w:id="41"/>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Consolidating Statements of Income—For the three months ended June 30,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Group and</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Healthcare</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Retail</w:t>
            </w:r>
          </w:p>
        </w:tc>
        <w:tc>
          <w:tcPr>
            <w:tcW w:w="12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Specialty</w:t>
            </w:r>
          </w:p>
        </w:tc>
        <w:tc>
          <w:tcPr>
            <w:tcW w:w="12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Services</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9"/>
                <w:szCs w:val="19"/>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4"/>
                <w:szCs w:val="14"/>
                <w:color w:val="auto"/>
              </w:rPr>
              <w:t>Individual Medicare Advantage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13,005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13,005</w:t>
            </w:r>
          </w:p>
        </w:tc>
        <w:tc>
          <w:tcPr>
            <w:tcW w:w="0" w:type="dxa"/>
            <w:vAlign w:val="bottom"/>
          </w:tcPr>
          <w:p>
            <w:pPr>
              <w:spacing w:after="0"/>
              <w:rPr>
                <w:sz w:val="1"/>
                <w:szCs w:val="1"/>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4"/>
                <w:szCs w:val="14"/>
                <w:color w:val="auto"/>
              </w:rPr>
              <w:t>Group Medicare Advantage</w:t>
            </w:r>
          </w:p>
        </w:tc>
        <w:tc>
          <w:tcPr>
            <w:tcW w:w="20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1,976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1,976</w:t>
            </w:r>
          </w:p>
        </w:tc>
        <w:tc>
          <w:tcPr>
            <w:tcW w:w="0" w:type="dxa"/>
            <w:vAlign w:val="bottom"/>
          </w:tcPr>
          <w:p>
            <w:pPr>
              <w:spacing w:after="0"/>
              <w:rPr>
                <w:sz w:val="1"/>
                <w:szCs w:val="1"/>
                <w:color w:val="auto"/>
              </w:rPr>
            </w:pPr>
          </w:p>
        </w:tc>
      </w:tr>
      <w:tr>
        <w:trPr>
          <w:trHeight w:val="222"/>
        </w:trPr>
        <w:tc>
          <w:tcPr>
            <w:tcW w:w="3200" w:type="dxa"/>
            <w:vAlign w:val="bottom"/>
          </w:tcPr>
          <w:p>
            <w:pPr>
              <w:ind w:left="200"/>
              <w:spacing w:after="0"/>
              <w:rPr>
                <w:sz w:val="20"/>
                <w:szCs w:val="20"/>
                <w:color w:val="auto"/>
              </w:rPr>
            </w:pPr>
            <w:r>
              <w:rPr>
                <w:rFonts w:ascii="Arial" w:cs="Arial" w:eastAsia="Arial" w:hAnsi="Arial"/>
                <w:sz w:val="14"/>
                <w:szCs w:val="14"/>
                <w:color w:val="auto"/>
              </w:rPr>
              <w:t>Medicare stand-alone PDP</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210"/>
        </w:trPr>
        <w:tc>
          <w:tcPr>
            <w:tcW w:w="3200" w:type="dxa"/>
            <w:vAlign w:val="bottom"/>
          </w:tcPr>
          <w:p>
            <w:pPr>
              <w:ind w:left="320"/>
              <w:spacing w:after="0"/>
              <w:rPr>
                <w:sz w:val="20"/>
                <w:szCs w:val="20"/>
                <w:color w:val="auto"/>
              </w:rPr>
            </w:pPr>
            <w:r>
              <w:rPr>
                <w:rFonts w:ascii="Arial" w:cs="Arial" w:eastAsia="Arial" w:hAnsi="Arial"/>
                <w:sz w:val="14"/>
                <w:szCs w:val="14"/>
                <w:b w:val="1"/>
                <w:bCs w:val="1"/>
                <w:color w:val="auto"/>
              </w:rPr>
              <w:t>Total Medicare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15,712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15,712</w:t>
            </w:r>
          </w:p>
        </w:tc>
        <w:tc>
          <w:tcPr>
            <w:tcW w:w="0" w:type="dxa"/>
            <w:vAlign w:val="bottom"/>
          </w:tcPr>
          <w:p>
            <w:pPr>
              <w:spacing w:after="0"/>
              <w:rPr>
                <w:sz w:val="1"/>
                <w:szCs w:val="1"/>
                <w:color w:val="auto"/>
              </w:rPr>
            </w:pPr>
          </w:p>
        </w:tc>
      </w:tr>
      <w:tr>
        <w:trPr>
          <w:trHeight w:val="204"/>
        </w:trPr>
        <w:tc>
          <w:tcPr>
            <w:tcW w:w="3200" w:type="dxa"/>
            <w:vAlign w:val="bottom"/>
          </w:tcPr>
          <w:p>
            <w:pPr>
              <w:ind w:left="200"/>
              <w:spacing w:after="0"/>
              <w:rPr>
                <w:sz w:val="20"/>
                <w:szCs w:val="20"/>
                <w:color w:val="auto"/>
              </w:rPr>
            </w:pPr>
            <w:r>
              <w:rPr>
                <w:rFonts w:ascii="Arial" w:cs="Arial" w:eastAsia="Arial" w:hAnsi="Arial"/>
                <w:sz w:val="14"/>
                <w:szCs w:val="14"/>
                <w:color w:val="auto"/>
              </w:rPr>
              <w:t>Fully-insured</w:t>
            </w:r>
          </w:p>
        </w:tc>
        <w:tc>
          <w:tcPr>
            <w:tcW w:w="20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1,208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4"/>
                <w:szCs w:val="14"/>
                <w:color w:val="auto"/>
              </w:rPr>
              <w:t>Specialty</w:t>
            </w: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22"/>
        </w:trPr>
        <w:tc>
          <w:tcPr>
            <w:tcW w:w="3200" w:type="dxa"/>
            <w:vAlign w:val="bottom"/>
          </w:tcPr>
          <w:p>
            <w:pPr>
              <w:ind w:left="200"/>
              <w:spacing w:after="0"/>
              <w:rPr>
                <w:sz w:val="20"/>
                <w:szCs w:val="20"/>
                <w:color w:val="auto"/>
              </w:rPr>
            </w:pPr>
            <w:r>
              <w:rPr>
                <w:rFonts w:ascii="Arial" w:cs="Arial" w:eastAsia="Arial" w:hAnsi="Arial"/>
                <w:sz w:val="14"/>
                <w:szCs w:val="14"/>
                <w:color w:val="auto"/>
              </w:rPr>
              <w:t>Medicaid and other (C)</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1,042</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10"/>
        </w:trPr>
        <w:tc>
          <w:tcPr>
            <w:tcW w:w="3200" w:type="dxa"/>
            <w:vAlign w:val="bottom"/>
          </w:tcPr>
          <w:p>
            <w:pPr>
              <w:ind w:left="320"/>
              <w:spacing w:after="0"/>
              <w:rPr>
                <w:sz w:val="20"/>
                <w:szCs w:val="20"/>
                <w:color w:val="auto"/>
              </w:rPr>
            </w:pPr>
            <w:r>
              <w:rPr>
                <w:rFonts w:ascii="Arial" w:cs="Arial" w:eastAsia="Arial" w:hAnsi="Arial"/>
                <w:sz w:val="14"/>
                <w:szCs w:val="14"/>
                <w:b w:val="1"/>
                <w:bCs w:val="1"/>
                <w:color w:val="auto"/>
              </w:rPr>
              <w:t>Total premiums</w:t>
            </w:r>
          </w:p>
        </w:tc>
        <w:tc>
          <w:tcPr>
            <w:tcW w:w="20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16,923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1,633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18,556</w:t>
            </w:r>
          </w:p>
        </w:tc>
        <w:tc>
          <w:tcPr>
            <w:tcW w:w="0" w:type="dxa"/>
            <w:vAlign w:val="bottom"/>
          </w:tcPr>
          <w:p>
            <w:pPr>
              <w:spacing w:after="0"/>
              <w:rPr>
                <w:sz w:val="1"/>
                <w:szCs w:val="1"/>
                <w:color w:val="auto"/>
              </w:rPr>
            </w:pPr>
          </w:p>
        </w:tc>
      </w:tr>
      <w:tr>
        <w:trPr>
          <w:trHeight w:val="190"/>
        </w:trPr>
        <w:tc>
          <w:tcPr>
            <w:tcW w:w="3200" w:type="dxa"/>
            <w:vAlign w:val="bottom"/>
          </w:tcPr>
          <w:p>
            <w:pPr>
              <w:ind w:left="100"/>
              <w:spacing w:after="0"/>
              <w:rPr>
                <w:sz w:val="20"/>
                <w:szCs w:val="20"/>
                <w:color w:val="auto"/>
              </w:rPr>
            </w:pPr>
            <w:r>
              <w:rPr>
                <w:rFonts w:ascii="Arial" w:cs="Arial" w:eastAsia="Arial" w:hAnsi="Arial"/>
                <w:sz w:val="14"/>
                <w:szCs w:val="14"/>
                <w:b w:val="1"/>
                <w:bCs w:val="1"/>
                <w:color w:val="auto"/>
              </w:rPr>
              <w:t>Services revenue:</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4"/>
                <w:szCs w:val="14"/>
                <w:color w:val="auto"/>
              </w:rPr>
              <w:t>Provider</w:t>
            </w: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tcPr>
          <w:p>
            <w:pPr>
              <w:jc w:val="right"/>
              <w:ind w:right="127"/>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4"/>
                <w:szCs w:val="14"/>
                <w:color w:val="auto"/>
              </w:rPr>
              <w:t>ASO and other (D)</w:t>
            </w:r>
          </w:p>
        </w:tc>
        <w:tc>
          <w:tcPr>
            <w:tcW w:w="20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22"/>
        </w:trPr>
        <w:tc>
          <w:tcPr>
            <w:tcW w:w="3200" w:type="dxa"/>
            <w:vAlign w:val="bottom"/>
          </w:tcPr>
          <w:p>
            <w:pPr>
              <w:ind w:left="200"/>
              <w:spacing w:after="0"/>
              <w:rPr>
                <w:sz w:val="20"/>
                <w:szCs w:val="20"/>
                <w:color w:val="auto"/>
              </w:rPr>
            </w:pPr>
            <w:r>
              <w:rPr>
                <w:rFonts w:ascii="Arial" w:cs="Arial" w:eastAsia="Arial" w:hAnsi="Arial"/>
                <w:sz w:val="14"/>
                <w:szCs w:val="14"/>
                <w:color w:val="auto"/>
              </w:rPr>
              <w:t>Pharmacy</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9"/>
        </w:trPr>
        <w:tc>
          <w:tcPr>
            <w:tcW w:w="3200" w:type="dxa"/>
            <w:vAlign w:val="bottom"/>
          </w:tcPr>
          <w:p>
            <w:pPr>
              <w:ind w:left="320"/>
              <w:spacing w:after="0"/>
              <w:rPr>
                <w:sz w:val="20"/>
                <w:szCs w:val="20"/>
                <w:color w:val="auto"/>
              </w:rPr>
            </w:pPr>
            <w:r>
              <w:rPr>
                <w:rFonts w:ascii="Arial" w:cs="Arial" w:eastAsia="Arial" w:hAnsi="Arial"/>
                <w:sz w:val="14"/>
                <w:szCs w:val="14"/>
                <w:b w:val="1"/>
                <w:bCs w:val="1"/>
                <w:color w:val="auto"/>
              </w:rPr>
              <w:t>Total services revenue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0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16,929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1,825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27"/>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19,006</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4"/>
                <w:szCs w:val="14"/>
                <w:color w:val="auto"/>
              </w:rPr>
              <w:t>Services</w:t>
            </w: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27"/>
              <w:spacing w:after="0"/>
              <w:rPr>
                <w:sz w:val="20"/>
                <w:szCs w:val="20"/>
                <w:color w:val="auto"/>
              </w:rPr>
            </w:pPr>
            <w:r>
              <w:rPr>
                <w:rFonts w:ascii="Arial" w:cs="Arial" w:eastAsia="Arial" w:hAnsi="Arial"/>
                <w:sz w:val="14"/>
                <w:szCs w:val="14"/>
                <w:color w:val="auto"/>
              </w:rPr>
              <w:t>4,712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(4,718)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200" w:type="dxa"/>
            <w:vAlign w:val="bottom"/>
          </w:tcPr>
          <w:p>
            <w:pPr>
              <w:ind w:left="200"/>
              <w:spacing w:after="0"/>
              <w:rPr>
                <w:sz w:val="20"/>
                <w:szCs w:val="20"/>
                <w:color w:val="auto"/>
              </w:rPr>
            </w:pPr>
            <w:r>
              <w:rPr>
                <w:rFonts w:ascii="Arial" w:cs="Arial" w:eastAsia="Arial" w:hAnsi="Arial"/>
                <w:sz w:val="14"/>
                <w:szCs w:val="14"/>
                <w:color w:val="auto"/>
              </w:rPr>
              <w:t>Products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1,977</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(1,977)</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6,689</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(6,695)</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4"/>
                <w:szCs w:val="14"/>
                <w:color w:val="auto"/>
              </w:rPr>
              <w:t>Investment income</w:t>
            </w:r>
          </w:p>
        </w:tc>
        <w:tc>
          <w:tcPr>
            <w:tcW w:w="20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0"/>
        </w:trPr>
        <w:tc>
          <w:tcPr>
            <w:tcW w:w="3200" w:type="dxa"/>
            <w:vAlign w:val="bottom"/>
          </w:tcPr>
          <w:p>
            <w:pPr>
              <w:ind w:left="32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16,961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1,835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6,941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(6,654)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19,083</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4"/>
                <w:szCs w:val="14"/>
                <w:color w:val="auto"/>
              </w:rPr>
              <w:t>Benefits</w:t>
            </w:r>
          </w:p>
        </w:tc>
        <w:tc>
          <w:tcPr>
            <w:tcW w:w="20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13,251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1,094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14,175</w:t>
            </w:r>
          </w:p>
        </w:tc>
        <w:tc>
          <w:tcPr>
            <w:tcW w:w="0" w:type="dxa"/>
            <w:vAlign w:val="bottom"/>
          </w:tcPr>
          <w:p>
            <w:pPr>
              <w:spacing w:after="0"/>
              <w:rPr>
                <w:sz w:val="1"/>
                <w:szCs w:val="1"/>
                <w:color w:val="auto"/>
              </w:rPr>
            </w:pPr>
          </w:p>
        </w:tc>
      </w:tr>
      <w:tr>
        <w:trPr>
          <w:trHeight w:val="216"/>
        </w:trPr>
        <w:tc>
          <w:tcPr>
            <w:tcW w:w="3200" w:type="dxa"/>
            <w:vAlign w:val="bottom"/>
          </w:tcPr>
          <w:p>
            <w:pPr>
              <w:ind w:left="100"/>
              <w:spacing w:after="0"/>
              <w:rPr>
                <w:sz w:val="20"/>
                <w:szCs w:val="20"/>
                <w:color w:val="auto"/>
              </w:rPr>
            </w:pPr>
            <w:r>
              <w:rPr>
                <w:rFonts w:ascii="Arial" w:cs="Arial" w:eastAsia="Arial" w:hAnsi="Arial"/>
                <w:sz w:val="14"/>
                <w:szCs w:val="14"/>
                <w:color w:val="auto"/>
              </w:rPr>
              <w:t>Operating costs</w:t>
            </w:r>
          </w:p>
        </w:tc>
        <w:tc>
          <w:tcPr>
            <w:tcW w:w="20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1,638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27"/>
              <w:spacing w:after="0"/>
              <w:rPr>
                <w:sz w:val="20"/>
                <w:szCs w:val="20"/>
                <w:color w:val="auto"/>
              </w:rPr>
            </w:pPr>
            <w:r>
              <w:rPr>
                <w:rFonts w:ascii="Arial" w:cs="Arial" w:eastAsia="Arial" w:hAnsi="Arial"/>
                <w:sz w:val="14"/>
                <w:szCs w:val="14"/>
                <w:color w:val="auto"/>
              </w:rPr>
              <w:t>6,603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(6,322)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221"/>
        </w:trPr>
        <w:tc>
          <w:tcPr>
            <w:tcW w:w="320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10"/>
        </w:trPr>
        <w:tc>
          <w:tcPr>
            <w:tcW w:w="3200" w:type="dxa"/>
            <w:vAlign w:val="bottom"/>
          </w:tcPr>
          <w:p>
            <w:pPr>
              <w:ind w:left="200"/>
              <w:spacing w:after="0"/>
              <w:rPr>
                <w:sz w:val="20"/>
                <w:szCs w:val="20"/>
                <w:color w:val="auto"/>
              </w:rPr>
            </w:pPr>
            <w:r>
              <w:rPr>
                <w:rFonts w:ascii="Arial" w:cs="Arial" w:eastAsia="Arial" w:hAnsi="Arial"/>
                <w:sz w:val="14"/>
                <w:szCs w:val="14"/>
                <w:b w:val="1"/>
                <w:bCs w:val="1"/>
                <w:color w:val="auto"/>
              </w:rPr>
              <w:t>Total operating expenses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14,972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1,548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6,649</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(6,521)</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16,648</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4"/>
                <w:szCs w:val="14"/>
                <w:b w:val="1"/>
                <w:bCs w:val="1"/>
                <w:color w:val="auto"/>
              </w:rPr>
              <w:t>Income (loss) from operations</w:t>
            </w:r>
          </w:p>
        </w:tc>
        <w:tc>
          <w:tcPr>
            <w:tcW w:w="200" w:type="dxa"/>
            <w:vAlign w:val="bottom"/>
          </w:tcPr>
          <w:p>
            <w:pPr>
              <w:spacing w:after="0"/>
              <w:rPr>
                <w:sz w:val="17"/>
                <w:szCs w:val="17"/>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27"/>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2,435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22"/>
        </w:trPr>
        <w:tc>
          <w:tcPr>
            <w:tcW w:w="3200" w:type="dxa"/>
            <w:vAlign w:val="bottom"/>
          </w:tcPr>
          <w:p>
            <w:pPr>
              <w:spacing w:after="0"/>
              <w:rPr>
                <w:sz w:val="20"/>
                <w:szCs w:val="20"/>
                <w:color w:val="auto"/>
              </w:rPr>
            </w:pPr>
            <w:r>
              <w:rPr>
                <w:rFonts w:ascii="Arial" w:cs="Arial" w:eastAsia="Arial" w:hAnsi="Arial"/>
                <w:sz w:val="14"/>
                <w:szCs w:val="14"/>
                <w:color w:val="auto"/>
              </w:rPr>
              <w:t>Other income, net (A)</w:t>
            </w:r>
          </w:p>
        </w:tc>
        <w:tc>
          <w:tcPr>
            <w:tcW w:w="2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b w:val="1"/>
                <w:bCs w:val="1"/>
                <w:color w:val="auto"/>
              </w:rPr>
              <w:t>Income before income taxes and equity in net</w:t>
            </w: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209"/>
        </w:trPr>
        <w:tc>
          <w:tcPr>
            <w:tcW w:w="3200" w:type="dxa"/>
            <w:vAlign w:val="bottom"/>
          </w:tcPr>
          <w:p>
            <w:pPr>
              <w:ind w:left="320"/>
              <w:spacing w:after="0"/>
              <w:rPr>
                <w:sz w:val="20"/>
                <w:szCs w:val="20"/>
                <w:color w:val="auto"/>
              </w:rPr>
            </w:pPr>
            <w:r>
              <w:rPr>
                <w:rFonts w:ascii="Arial" w:cs="Arial" w:eastAsia="Arial" w:hAnsi="Arial"/>
                <w:sz w:val="14"/>
                <w:szCs w:val="14"/>
                <w:color w:val="auto"/>
              </w:rPr>
              <w:t>Equity in net earnings (B)</w:t>
            </w: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tcPr>
          <w:p>
            <w:pPr>
              <w:jc w:val="right"/>
              <w:ind w:right="127"/>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4"/>
                <w:szCs w:val="14"/>
                <w:b w:val="1"/>
                <w:bCs w:val="1"/>
                <w:color w:val="auto"/>
              </w:rPr>
              <w:t>Segment earnings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317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27"/>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76.4 %</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S-8</w:t>
      </w:r>
    </w:p>
    <w:p>
      <w:pPr>
        <w:sectPr>
          <w:pgSz w:w="11900" w:h="16838" w:orient="portrait"/>
          <w:cols w:equalWidth="0" w:num="1">
            <w:col w:w="10139"/>
          </w:cols>
          <w:pgMar w:left="320" w:top="1113" w:right="1440" w:bottom="1440" w:gutter="0" w:footer="0" w:header="0"/>
        </w:sectPr>
      </w:pPr>
    </w:p>
    <w:bookmarkStart w:id="42" w:name="page43"/>
    <w:bookmarkEnd w:id="42"/>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Consolidating Statements of Income—For the three months ended June 30, 2019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Group and</w:t>
            </w:r>
          </w:p>
        </w:tc>
        <w:tc>
          <w:tcPr>
            <w:tcW w:w="12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Healthcare</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Specialty</w:t>
            </w:r>
          </w:p>
        </w:tc>
        <w:tc>
          <w:tcPr>
            <w:tcW w:w="12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Services</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9"/>
                <w:szCs w:val="19"/>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20"/>
              <w:spacing w:after="0"/>
              <w:rPr>
                <w:sz w:val="20"/>
                <w:szCs w:val="20"/>
                <w:color w:val="auto"/>
              </w:rPr>
            </w:pPr>
            <w:r>
              <w:rPr>
                <w:rFonts w:ascii="Arial" w:cs="Arial" w:eastAsia="Arial" w:hAnsi="Arial"/>
                <w:sz w:val="14"/>
                <w:szCs w:val="14"/>
                <w:color w:val="auto"/>
              </w:rPr>
              <w:t>Individual Medicare Advantage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10,793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10,793</w:t>
            </w:r>
          </w:p>
        </w:tc>
        <w:tc>
          <w:tcPr>
            <w:tcW w:w="0" w:type="dxa"/>
            <w:vAlign w:val="bottom"/>
          </w:tcPr>
          <w:p>
            <w:pPr>
              <w:spacing w:after="0"/>
              <w:rPr>
                <w:sz w:val="1"/>
                <w:szCs w:val="1"/>
                <w:color w:val="auto"/>
              </w:rPr>
            </w:pPr>
          </w:p>
        </w:tc>
      </w:tr>
      <w:tr>
        <w:trPr>
          <w:trHeight w:val="216"/>
        </w:trPr>
        <w:tc>
          <w:tcPr>
            <w:tcW w:w="3180" w:type="dxa"/>
            <w:vAlign w:val="bottom"/>
          </w:tcPr>
          <w:p>
            <w:pPr>
              <w:ind w:left="320"/>
              <w:spacing w:after="0"/>
              <w:rPr>
                <w:sz w:val="20"/>
                <w:szCs w:val="20"/>
                <w:color w:val="auto"/>
              </w:rPr>
            </w:pPr>
            <w:r>
              <w:rPr>
                <w:rFonts w:ascii="Arial" w:cs="Arial" w:eastAsia="Arial" w:hAnsi="Arial"/>
                <w:sz w:val="14"/>
                <w:szCs w:val="14"/>
                <w:color w:val="auto"/>
              </w:rPr>
              <w:t>Group Medicare Advantage</w:t>
            </w:r>
          </w:p>
        </w:tc>
        <w:tc>
          <w:tcPr>
            <w:tcW w:w="2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222"/>
        </w:trPr>
        <w:tc>
          <w:tcPr>
            <w:tcW w:w="3180" w:type="dxa"/>
            <w:vAlign w:val="bottom"/>
          </w:tcPr>
          <w:p>
            <w:pPr>
              <w:ind w:left="320"/>
              <w:spacing w:after="0"/>
              <w:rPr>
                <w:sz w:val="20"/>
                <w:szCs w:val="20"/>
                <w:color w:val="auto"/>
              </w:rPr>
            </w:pPr>
            <w:r>
              <w:rPr>
                <w:rFonts w:ascii="Arial" w:cs="Arial" w:eastAsia="Arial" w:hAnsi="Arial"/>
                <w:sz w:val="14"/>
                <w:szCs w:val="14"/>
                <w:color w:val="auto"/>
              </w:rPr>
              <w:t>Medicare stand-alone PDP</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818</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210"/>
        </w:trPr>
        <w:tc>
          <w:tcPr>
            <w:tcW w:w="3180" w:type="dxa"/>
            <w:vAlign w:val="bottom"/>
          </w:tcPr>
          <w:p>
            <w:pPr>
              <w:ind w:left="440"/>
              <w:spacing w:after="0"/>
              <w:rPr>
                <w:sz w:val="20"/>
                <w:szCs w:val="20"/>
                <w:color w:val="auto"/>
              </w:rPr>
            </w:pPr>
            <w:r>
              <w:rPr>
                <w:rFonts w:ascii="Arial" w:cs="Arial" w:eastAsia="Arial" w:hAnsi="Arial"/>
                <w:sz w:val="14"/>
                <w:szCs w:val="14"/>
                <w:b w:val="1"/>
                <w:bCs w:val="1"/>
                <w:color w:val="auto"/>
              </w:rPr>
              <w:t>Total Medicare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13,237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13,237</w:t>
            </w:r>
          </w:p>
        </w:tc>
        <w:tc>
          <w:tcPr>
            <w:tcW w:w="0" w:type="dxa"/>
            <w:vAlign w:val="bottom"/>
          </w:tcPr>
          <w:p>
            <w:pPr>
              <w:spacing w:after="0"/>
              <w:rPr>
                <w:sz w:val="1"/>
                <w:szCs w:val="1"/>
                <w:color w:val="auto"/>
              </w:rPr>
            </w:pPr>
          </w:p>
        </w:tc>
      </w:tr>
      <w:tr>
        <w:trPr>
          <w:trHeight w:val="204"/>
        </w:trPr>
        <w:tc>
          <w:tcPr>
            <w:tcW w:w="3180" w:type="dxa"/>
            <w:vAlign w:val="bottom"/>
          </w:tcPr>
          <w:p>
            <w:pPr>
              <w:ind w:left="320"/>
              <w:spacing w:after="0"/>
              <w:rPr>
                <w:sz w:val="20"/>
                <w:szCs w:val="20"/>
                <w:color w:val="auto"/>
              </w:rPr>
            </w:pPr>
            <w:r>
              <w:rPr>
                <w:rFonts w:ascii="Arial" w:cs="Arial" w:eastAsia="Arial" w:hAnsi="Arial"/>
                <w:sz w:val="14"/>
                <w:szCs w:val="14"/>
                <w:color w:val="auto"/>
              </w:rPr>
              <w:t>Fully-insured</w:t>
            </w:r>
          </w:p>
        </w:tc>
        <w:tc>
          <w:tcPr>
            <w:tcW w:w="22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1,284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216"/>
        </w:trPr>
        <w:tc>
          <w:tcPr>
            <w:tcW w:w="3180" w:type="dxa"/>
            <w:vAlign w:val="bottom"/>
          </w:tcPr>
          <w:p>
            <w:pPr>
              <w:ind w:left="320"/>
              <w:spacing w:after="0"/>
              <w:rPr>
                <w:sz w:val="20"/>
                <w:szCs w:val="20"/>
                <w:color w:val="auto"/>
              </w:rPr>
            </w:pPr>
            <w:r>
              <w:rPr>
                <w:rFonts w:ascii="Arial" w:cs="Arial" w:eastAsia="Arial" w:hAnsi="Arial"/>
                <w:sz w:val="14"/>
                <w:szCs w:val="14"/>
                <w:color w:val="auto"/>
              </w:rPr>
              <w:t>Specialty</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22"/>
        </w:trPr>
        <w:tc>
          <w:tcPr>
            <w:tcW w:w="3180" w:type="dxa"/>
            <w:vAlign w:val="bottom"/>
          </w:tcPr>
          <w:p>
            <w:pPr>
              <w:ind w:left="320"/>
              <w:spacing w:after="0"/>
              <w:rPr>
                <w:sz w:val="20"/>
                <w:szCs w:val="20"/>
                <w:color w:val="auto"/>
              </w:rPr>
            </w:pPr>
            <w:r>
              <w:rPr>
                <w:rFonts w:ascii="Arial" w:cs="Arial" w:eastAsia="Arial" w:hAnsi="Arial"/>
                <w:sz w:val="14"/>
                <w:szCs w:val="14"/>
                <w:color w:val="auto"/>
              </w:rPr>
              <w:t>Medicaid and other (C)</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724</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10"/>
        </w:trPr>
        <w:tc>
          <w:tcPr>
            <w:tcW w:w="3180" w:type="dxa"/>
            <w:vAlign w:val="bottom"/>
          </w:tcPr>
          <w:p>
            <w:pPr>
              <w:ind w:left="440"/>
              <w:spacing w:after="0"/>
              <w:rPr>
                <w:sz w:val="20"/>
                <w:szCs w:val="20"/>
                <w:color w:val="auto"/>
              </w:rPr>
            </w:pPr>
            <w:r>
              <w:rPr>
                <w:rFonts w:ascii="Arial" w:cs="Arial" w:eastAsia="Arial" w:hAnsi="Arial"/>
                <w:sz w:val="14"/>
                <w:szCs w:val="14"/>
                <w:b w:val="1"/>
                <w:bCs w:val="1"/>
                <w:color w:val="auto"/>
              </w:rPr>
              <w:t>Total premiums</w:t>
            </w:r>
          </w:p>
        </w:tc>
        <w:tc>
          <w:tcPr>
            <w:tcW w:w="2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14,105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1,671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15,776</w:t>
            </w:r>
          </w:p>
        </w:tc>
        <w:tc>
          <w:tcPr>
            <w:tcW w:w="0" w:type="dxa"/>
            <w:vAlign w:val="bottom"/>
          </w:tcPr>
          <w:p>
            <w:pPr>
              <w:spacing w:after="0"/>
              <w:rPr>
                <w:sz w:val="1"/>
                <w:szCs w:val="1"/>
                <w:color w:val="auto"/>
              </w:rPr>
            </w:pPr>
          </w:p>
        </w:tc>
      </w:tr>
      <w:tr>
        <w:trPr>
          <w:trHeight w:val="190"/>
        </w:trPr>
        <w:tc>
          <w:tcPr>
            <w:tcW w:w="3180" w:type="dxa"/>
            <w:vAlign w:val="bottom"/>
          </w:tcPr>
          <w:p>
            <w:pPr>
              <w:ind w:left="100"/>
              <w:spacing w:after="0"/>
              <w:rPr>
                <w:sz w:val="20"/>
                <w:szCs w:val="20"/>
                <w:color w:val="auto"/>
              </w:rPr>
            </w:pPr>
            <w:r>
              <w:rPr>
                <w:rFonts w:ascii="Arial" w:cs="Arial" w:eastAsia="Arial" w:hAnsi="Arial"/>
                <w:sz w:val="14"/>
                <w:szCs w:val="14"/>
                <w:b w:val="1"/>
                <w:bCs w:val="1"/>
                <w:color w:val="auto"/>
              </w:rPr>
              <w:t>Services revenue:</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20"/>
              <w:spacing w:after="0"/>
              <w:rPr>
                <w:sz w:val="20"/>
                <w:szCs w:val="20"/>
                <w:color w:val="auto"/>
              </w:rPr>
            </w:pPr>
            <w:r>
              <w:rPr>
                <w:rFonts w:ascii="Arial" w:cs="Arial" w:eastAsia="Arial" w:hAnsi="Arial"/>
                <w:sz w:val="14"/>
                <w:szCs w:val="14"/>
                <w:color w:val="auto"/>
              </w:rPr>
              <w:t>Provider</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16"/>
        </w:trPr>
        <w:tc>
          <w:tcPr>
            <w:tcW w:w="3180" w:type="dxa"/>
            <w:vAlign w:val="bottom"/>
          </w:tcPr>
          <w:p>
            <w:pPr>
              <w:ind w:left="320"/>
              <w:spacing w:after="0"/>
              <w:rPr>
                <w:sz w:val="20"/>
                <w:szCs w:val="20"/>
                <w:color w:val="auto"/>
              </w:rPr>
            </w:pPr>
            <w:r>
              <w:rPr>
                <w:rFonts w:ascii="Arial" w:cs="Arial" w:eastAsia="Arial" w:hAnsi="Arial"/>
                <w:sz w:val="14"/>
                <w:szCs w:val="14"/>
                <w:color w:val="auto"/>
              </w:rPr>
              <w:t>ASO and other (D)</w:t>
            </w:r>
          </w:p>
        </w:tc>
        <w:tc>
          <w:tcPr>
            <w:tcW w:w="2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22"/>
        </w:trPr>
        <w:tc>
          <w:tcPr>
            <w:tcW w:w="3180" w:type="dxa"/>
            <w:vAlign w:val="bottom"/>
          </w:tcPr>
          <w:p>
            <w:pPr>
              <w:ind w:left="320"/>
              <w:spacing w:after="0"/>
              <w:rPr>
                <w:sz w:val="20"/>
                <w:szCs w:val="20"/>
                <w:color w:val="auto"/>
              </w:rPr>
            </w:pPr>
            <w:r>
              <w:rPr>
                <w:rFonts w:ascii="Arial" w:cs="Arial" w:eastAsia="Arial" w:hAnsi="Arial"/>
                <w:sz w:val="14"/>
                <w:szCs w:val="14"/>
                <w:color w:val="auto"/>
              </w:rPr>
              <w:t>Pharmacy</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9"/>
        </w:trPr>
        <w:tc>
          <w:tcPr>
            <w:tcW w:w="3180" w:type="dxa"/>
            <w:vAlign w:val="bottom"/>
          </w:tcPr>
          <w:p>
            <w:pPr>
              <w:ind w:left="440"/>
              <w:spacing w:after="0"/>
              <w:rPr>
                <w:sz w:val="20"/>
                <w:szCs w:val="20"/>
                <w:color w:val="auto"/>
              </w:rPr>
            </w:pPr>
            <w:r>
              <w:rPr>
                <w:rFonts w:ascii="Arial" w:cs="Arial" w:eastAsia="Arial" w:hAnsi="Arial"/>
                <w:sz w:val="14"/>
                <w:szCs w:val="14"/>
                <w:b w:val="1"/>
                <w:bCs w:val="1"/>
                <w:color w:val="auto"/>
              </w:rPr>
              <w:t>Total services revenue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157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2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14,110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1,864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16,131</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4"/>
                <w:szCs w:val="14"/>
                <w:color w:val="auto"/>
              </w:rPr>
              <w:t>Services</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4,496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180" w:type="dxa"/>
            <w:vAlign w:val="bottom"/>
          </w:tcPr>
          <w:p>
            <w:pPr>
              <w:ind w:left="100"/>
              <w:spacing w:after="0"/>
              <w:rPr>
                <w:sz w:val="20"/>
                <w:szCs w:val="20"/>
                <w:color w:val="auto"/>
              </w:rPr>
            </w:pPr>
            <w:r>
              <w:rPr>
                <w:rFonts w:ascii="Arial" w:cs="Arial" w:eastAsia="Arial" w:hAnsi="Arial"/>
                <w:sz w:val="14"/>
                <w:szCs w:val="14"/>
                <w:color w:val="auto"/>
              </w:rPr>
              <w:t>Products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1,733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6,229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(6,234)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4"/>
                <w:szCs w:val="14"/>
                <w:color w:val="auto"/>
              </w:rPr>
              <w:t>Investment income</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10"/>
        </w:trPr>
        <w:tc>
          <w:tcPr>
            <w:tcW w:w="3180" w:type="dxa"/>
            <w:vAlign w:val="bottom"/>
          </w:tcPr>
          <w:p>
            <w:pPr>
              <w:ind w:left="3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14,158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1,874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6,387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(6,174)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16,245</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4"/>
                <w:szCs w:val="14"/>
                <w:color w:val="auto"/>
              </w:rPr>
              <w:t>Benefits</w:t>
            </w:r>
          </w:p>
        </w:tc>
        <w:tc>
          <w:tcPr>
            <w:tcW w:w="2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1,442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13,318</w:t>
            </w: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4"/>
                <w:szCs w:val="14"/>
                <w:color w:val="auto"/>
              </w:rPr>
              <w:t>Operating costs</w:t>
            </w:r>
          </w:p>
        </w:tc>
        <w:tc>
          <w:tcPr>
            <w:tcW w:w="2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6,135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1,703</w:t>
            </w:r>
          </w:p>
        </w:tc>
        <w:tc>
          <w:tcPr>
            <w:tcW w:w="0" w:type="dxa"/>
            <w:vAlign w:val="bottom"/>
          </w:tcPr>
          <w:p>
            <w:pPr>
              <w:spacing w:after="0"/>
              <w:rPr>
                <w:sz w:val="1"/>
                <w:szCs w:val="1"/>
                <w:color w:val="auto"/>
              </w:rPr>
            </w:pPr>
          </w:p>
        </w:tc>
      </w:tr>
      <w:tr>
        <w:trPr>
          <w:trHeight w:val="221"/>
        </w:trPr>
        <w:tc>
          <w:tcPr>
            <w:tcW w:w="318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10"/>
        </w:trPr>
        <w:tc>
          <w:tcPr>
            <w:tcW w:w="3180" w:type="dxa"/>
            <w:vAlign w:val="bottom"/>
          </w:tcPr>
          <w:p>
            <w:pPr>
              <w:ind w:left="20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13,302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1,869</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6,175</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(6,216)</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15,130</w:t>
            </w:r>
          </w:p>
        </w:tc>
        <w:tc>
          <w:tcPr>
            <w:tcW w:w="0" w:type="dxa"/>
            <w:vAlign w:val="bottom"/>
          </w:tcPr>
          <w:p>
            <w:pPr>
              <w:spacing w:after="0"/>
              <w:rPr>
                <w:sz w:val="1"/>
                <w:szCs w:val="1"/>
                <w:color w:val="auto"/>
              </w:rPr>
            </w:pPr>
          </w:p>
        </w:tc>
      </w:tr>
      <w:tr>
        <w:trPr>
          <w:trHeight w:val="204"/>
        </w:trPr>
        <w:tc>
          <w:tcPr>
            <w:tcW w:w="318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2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856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212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1,115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4"/>
                <w:szCs w:val="14"/>
                <w:color w:val="auto"/>
              </w:rPr>
              <w:t>Other income, net (A)</w:t>
            </w:r>
          </w:p>
        </w:tc>
        <w:tc>
          <w:tcPr>
            <w:tcW w:w="2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b w:val="1"/>
                <w:bCs w:val="1"/>
                <w:color w:val="auto"/>
              </w:rPr>
              <w:t>Income before income taxes and equity in net</w:t>
            </w: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856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212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221"/>
        </w:trPr>
        <w:tc>
          <w:tcPr>
            <w:tcW w:w="3180" w:type="dxa"/>
            <w:vAlign w:val="bottom"/>
          </w:tcPr>
          <w:p>
            <w:pPr>
              <w:ind w:left="320"/>
              <w:spacing w:after="0"/>
              <w:rPr>
                <w:sz w:val="20"/>
                <w:szCs w:val="20"/>
                <w:color w:val="auto"/>
              </w:rPr>
            </w:pPr>
            <w:r>
              <w:rPr>
                <w:rFonts w:ascii="Arial" w:cs="Arial" w:eastAsia="Arial" w:hAnsi="Arial"/>
                <w:sz w:val="14"/>
                <w:szCs w:val="14"/>
                <w:color w:val="auto"/>
              </w:rPr>
              <w:t>Equity in net earnings (B)</w:t>
            </w:r>
          </w:p>
        </w:tc>
        <w:tc>
          <w:tcPr>
            <w:tcW w:w="2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4"/>
                <w:szCs w:val="14"/>
                <w:b w:val="1"/>
                <w:bCs w:val="1"/>
                <w:color w:val="auto"/>
              </w:rPr>
              <w:t>Segment earnings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856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224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84.4 %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96.1 %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S-9</w:t>
      </w:r>
    </w:p>
    <w:p>
      <w:pPr>
        <w:sectPr>
          <w:pgSz w:w="11900" w:h="16838" w:orient="portrait"/>
          <w:cols w:equalWidth="0" w:num="1">
            <w:col w:w="10139"/>
          </w:cols>
          <w:pgMar w:left="320" w:top="1113" w:right="1440" w:bottom="1440" w:gutter="0" w:footer="0" w:header="0"/>
        </w:sectPr>
      </w:pPr>
    </w:p>
    <w:bookmarkStart w:id="43" w:name="page44"/>
    <w:bookmarkEnd w:id="43"/>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Consolidating Statements of Income—For the six months ended June 30, 2020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Group and</w:t>
            </w: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Healthcare</w:t>
            </w:r>
          </w:p>
        </w:tc>
        <w:tc>
          <w:tcPr>
            <w:tcW w:w="11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Eliminations/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Retail</w:t>
            </w: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Specialty</w:t>
            </w: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Services</w:t>
            </w: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Corporate</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4"/>
                <w:szCs w:val="14"/>
                <w:color w:val="auto"/>
              </w:rPr>
              <w:t>Individual Medicare Advantage</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25,799</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25,799</w:t>
            </w: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4"/>
                <w:szCs w:val="14"/>
                <w:color w:val="auto"/>
              </w:rPr>
              <w:t>Group Medicare Advantage</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3,987</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222"/>
        </w:trPr>
        <w:tc>
          <w:tcPr>
            <w:tcW w:w="3340" w:type="dxa"/>
            <w:vAlign w:val="bottom"/>
          </w:tcPr>
          <w:p>
            <w:pPr>
              <w:ind w:left="320"/>
              <w:spacing w:after="0"/>
              <w:rPr>
                <w:sz w:val="20"/>
                <w:szCs w:val="20"/>
                <w:color w:val="auto"/>
              </w:rPr>
            </w:pPr>
            <w:r>
              <w:rPr>
                <w:rFonts w:ascii="Arial" w:cs="Arial" w:eastAsia="Arial" w:hAnsi="Arial"/>
                <w:sz w:val="14"/>
                <w:szCs w:val="14"/>
                <w:color w:val="auto"/>
              </w:rPr>
              <w:t>Medicare stand-alone PDP</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1,486</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209"/>
        </w:trPr>
        <w:tc>
          <w:tcPr>
            <w:tcW w:w="3340" w:type="dxa"/>
            <w:vAlign w:val="bottom"/>
          </w:tcPr>
          <w:p>
            <w:pPr>
              <w:ind w:left="440"/>
              <w:spacing w:after="0"/>
              <w:rPr>
                <w:sz w:val="20"/>
                <w:szCs w:val="20"/>
                <w:color w:val="auto"/>
              </w:rPr>
            </w:pPr>
            <w:r>
              <w:rPr>
                <w:rFonts w:ascii="Arial" w:cs="Arial" w:eastAsia="Arial" w:hAnsi="Arial"/>
                <w:sz w:val="14"/>
                <w:szCs w:val="14"/>
                <w:b w:val="1"/>
                <w:bCs w:val="1"/>
                <w:color w:val="auto"/>
              </w:rPr>
              <w:t>Total Medicare</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31,272</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31,272</w:t>
            </w:r>
          </w:p>
        </w:tc>
        <w:tc>
          <w:tcPr>
            <w:tcW w:w="0" w:type="dxa"/>
            <w:vAlign w:val="bottom"/>
          </w:tcPr>
          <w:p>
            <w:pPr>
              <w:spacing w:after="0"/>
              <w:rPr>
                <w:sz w:val="1"/>
                <w:szCs w:val="1"/>
                <w:color w:val="auto"/>
              </w:rPr>
            </w:pPr>
          </w:p>
        </w:tc>
      </w:tr>
      <w:tr>
        <w:trPr>
          <w:trHeight w:val="204"/>
        </w:trPr>
        <w:tc>
          <w:tcPr>
            <w:tcW w:w="3340" w:type="dxa"/>
            <w:vAlign w:val="bottom"/>
          </w:tcPr>
          <w:p>
            <w:pPr>
              <w:ind w:left="320"/>
              <w:spacing w:after="0"/>
              <w:rPr>
                <w:sz w:val="20"/>
                <w:szCs w:val="20"/>
                <w:color w:val="auto"/>
              </w:rPr>
            </w:pPr>
            <w:r>
              <w:rPr>
                <w:rFonts w:ascii="Arial" w:cs="Arial" w:eastAsia="Arial" w:hAnsi="Arial"/>
                <w:sz w:val="14"/>
                <w:szCs w:val="14"/>
                <w:color w:val="auto"/>
              </w:rPr>
              <w:t>Fully-insured</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7"/>
                <w:szCs w:val="17"/>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2,437</w:t>
            </w:r>
          </w:p>
        </w:tc>
        <w:tc>
          <w:tcPr>
            <w:tcW w:w="10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2,769</w:t>
            </w: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4"/>
                <w:szCs w:val="14"/>
                <w:color w:val="auto"/>
              </w:rPr>
              <w:t>Specialty</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222"/>
        </w:trPr>
        <w:tc>
          <w:tcPr>
            <w:tcW w:w="3340" w:type="dxa"/>
            <w:vAlign w:val="bottom"/>
          </w:tcPr>
          <w:p>
            <w:pPr>
              <w:ind w:left="320"/>
              <w:spacing w:after="0"/>
              <w:rPr>
                <w:sz w:val="20"/>
                <w:szCs w:val="20"/>
                <w:color w:val="auto"/>
              </w:rPr>
            </w:pPr>
            <w:r>
              <w:rPr>
                <w:rFonts w:ascii="Arial" w:cs="Arial" w:eastAsia="Arial" w:hAnsi="Arial"/>
                <w:sz w:val="14"/>
                <w:szCs w:val="14"/>
                <w:color w:val="auto"/>
              </w:rPr>
              <w:t>Medicaid and other (C)</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0"/>
        </w:trPr>
        <w:tc>
          <w:tcPr>
            <w:tcW w:w="3340" w:type="dxa"/>
            <w:vAlign w:val="bottom"/>
          </w:tcPr>
          <w:p>
            <w:pPr>
              <w:ind w:left="440"/>
              <w:spacing w:after="0"/>
              <w:rPr>
                <w:sz w:val="20"/>
                <w:szCs w:val="20"/>
                <w:color w:val="auto"/>
              </w:rPr>
            </w:pPr>
            <w:r>
              <w:rPr>
                <w:rFonts w:ascii="Arial" w:cs="Arial" w:eastAsia="Arial" w:hAnsi="Arial"/>
                <w:sz w:val="14"/>
                <w:szCs w:val="14"/>
                <w:b w:val="1"/>
                <w:bCs w:val="1"/>
                <w:color w:val="auto"/>
              </w:rPr>
              <w:t>Total premiums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33,627</w:t>
            </w:r>
          </w:p>
        </w:tc>
        <w:tc>
          <w:tcPr>
            <w:tcW w:w="80" w:type="dxa"/>
            <w:vAlign w:val="bottom"/>
          </w:tcPr>
          <w:p>
            <w:pPr>
              <w:spacing w:after="0"/>
              <w:rPr>
                <w:sz w:val="18"/>
                <w:szCs w:val="18"/>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3,291</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36,918</w:t>
            </w:r>
          </w:p>
        </w:tc>
        <w:tc>
          <w:tcPr>
            <w:tcW w:w="0" w:type="dxa"/>
            <w:vAlign w:val="bottom"/>
          </w:tcPr>
          <w:p>
            <w:pPr>
              <w:spacing w:after="0"/>
              <w:rPr>
                <w:sz w:val="1"/>
                <w:szCs w:val="1"/>
                <w:color w:val="auto"/>
              </w:rPr>
            </w:pPr>
          </w:p>
        </w:tc>
      </w:tr>
      <w:tr>
        <w:trPr>
          <w:trHeight w:val="190"/>
        </w:trPr>
        <w:tc>
          <w:tcPr>
            <w:tcW w:w="3340" w:type="dxa"/>
            <w:vAlign w:val="bottom"/>
          </w:tcPr>
          <w:p>
            <w:pPr>
              <w:ind w:left="100"/>
              <w:spacing w:after="0"/>
              <w:rPr>
                <w:sz w:val="20"/>
                <w:szCs w:val="20"/>
                <w:color w:val="auto"/>
              </w:rPr>
            </w:pPr>
            <w:r>
              <w:rPr>
                <w:rFonts w:ascii="Arial" w:cs="Arial" w:eastAsia="Arial" w:hAnsi="Arial"/>
                <w:sz w:val="14"/>
                <w:szCs w:val="14"/>
                <w:b w:val="1"/>
                <w:bCs w:val="1"/>
                <w:color w:val="auto"/>
              </w:rPr>
              <w:t>Services revenue:</w:t>
            </w: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4"/>
                <w:szCs w:val="14"/>
                <w:color w:val="auto"/>
              </w:rPr>
              <w:t>Provider</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7"/>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4"/>
                <w:szCs w:val="14"/>
                <w:color w:val="auto"/>
              </w:rPr>
              <w:t>ASO and other (D)</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22"/>
        </w:trPr>
        <w:tc>
          <w:tcPr>
            <w:tcW w:w="3340" w:type="dxa"/>
            <w:vAlign w:val="bottom"/>
          </w:tcPr>
          <w:p>
            <w:pPr>
              <w:ind w:left="320"/>
              <w:spacing w:after="0"/>
              <w:rPr>
                <w:sz w:val="20"/>
                <w:szCs w:val="20"/>
                <w:color w:val="auto"/>
              </w:rPr>
            </w:pPr>
            <w:r>
              <w:rPr>
                <w:rFonts w:ascii="Arial" w:cs="Arial" w:eastAsia="Arial" w:hAnsi="Arial"/>
                <w:sz w:val="14"/>
                <w:szCs w:val="14"/>
                <w:color w:val="auto"/>
              </w:rPr>
              <w:t>Pharmacy</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268</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10"/>
        </w:trPr>
        <w:tc>
          <w:tcPr>
            <w:tcW w:w="3340" w:type="dxa"/>
            <w:vAlign w:val="bottom"/>
          </w:tcPr>
          <w:p>
            <w:pPr>
              <w:ind w:left="440"/>
              <w:spacing w:after="0"/>
              <w:rPr>
                <w:sz w:val="20"/>
                <w:szCs w:val="20"/>
                <w:color w:val="auto"/>
              </w:rPr>
            </w:pPr>
            <w:r>
              <w:rPr>
                <w:rFonts w:ascii="Arial" w:cs="Arial" w:eastAsia="Arial" w:hAnsi="Arial"/>
                <w:sz w:val="14"/>
                <w:szCs w:val="14"/>
                <w:b w:val="1"/>
                <w:bCs w:val="1"/>
                <w:color w:val="auto"/>
              </w:rPr>
              <w:t>Total services revenue</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477</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33,637</w:t>
            </w:r>
          </w:p>
        </w:tc>
        <w:tc>
          <w:tcPr>
            <w:tcW w:w="80" w:type="dxa"/>
            <w:vAlign w:val="bottom"/>
          </w:tcPr>
          <w:p>
            <w:pPr>
              <w:spacing w:after="0"/>
              <w:rPr>
                <w:sz w:val="18"/>
                <w:szCs w:val="18"/>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3,678</w:t>
            </w:r>
          </w:p>
        </w:tc>
        <w:tc>
          <w:tcPr>
            <w:tcW w:w="100" w:type="dxa"/>
            <w:vAlign w:val="bottom"/>
          </w:tcPr>
          <w:p>
            <w:pPr>
              <w:spacing w:after="0"/>
              <w:rPr>
                <w:sz w:val="18"/>
                <w:szCs w:val="18"/>
                <w:color w:val="auto"/>
              </w:rPr>
            </w:pPr>
          </w:p>
        </w:tc>
        <w:tc>
          <w:tcPr>
            <w:tcW w:w="1080" w:type="dxa"/>
            <w:vAlign w:val="bottom"/>
          </w:tcPr>
          <w:p>
            <w:pPr>
              <w:jc w:val="right"/>
              <w:ind w:right="147"/>
              <w:spacing w:after="0"/>
              <w:rPr>
                <w:sz w:val="20"/>
                <w:szCs w:val="20"/>
                <w:color w:val="auto"/>
              </w:rPr>
            </w:pPr>
            <w:r>
              <w:rPr>
                <w:rFonts w:ascii="Arial" w:cs="Arial" w:eastAsia="Arial" w:hAnsi="Arial"/>
                <w:sz w:val="14"/>
                <w:szCs w:val="14"/>
                <w:color w:val="auto"/>
              </w:rPr>
              <w:t>477</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37,792</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4"/>
                <w:szCs w:val="14"/>
                <w:color w:val="auto"/>
              </w:rPr>
              <w:t>Services</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080" w:type="dxa"/>
            <w:vAlign w:val="bottom"/>
          </w:tcPr>
          <w:p>
            <w:pPr>
              <w:jc w:val="right"/>
              <w:ind w:right="147"/>
              <w:spacing w:after="0"/>
              <w:rPr>
                <w:sz w:val="20"/>
                <w:szCs w:val="20"/>
                <w:color w:val="auto"/>
              </w:rPr>
            </w:pPr>
            <w:r>
              <w:rPr>
                <w:rFonts w:ascii="Arial" w:cs="Arial" w:eastAsia="Arial" w:hAnsi="Arial"/>
                <w:sz w:val="14"/>
                <w:szCs w:val="14"/>
                <w:color w:val="auto"/>
              </w:rPr>
              <w:t>9,662</w:t>
            </w:r>
          </w:p>
        </w:tc>
        <w:tc>
          <w:tcPr>
            <w:tcW w:w="160" w:type="dxa"/>
            <w:vAlign w:val="bottom"/>
          </w:tcPr>
          <w:p>
            <w:pPr>
              <w:spacing w:after="0"/>
              <w:rPr>
                <w:sz w:val="18"/>
                <w:szCs w:val="18"/>
                <w:color w:val="auto"/>
              </w:rPr>
            </w:pPr>
          </w:p>
        </w:tc>
        <w:tc>
          <w:tcPr>
            <w:tcW w:w="1020" w:type="dxa"/>
            <w:vAlign w:val="bottom"/>
          </w:tcPr>
          <w:p>
            <w:pPr>
              <w:jc w:val="right"/>
              <w:ind w:right="7"/>
              <w:spacing w:after="0"/>
              <w:rPr>
                <w:sz w:val="20"/>
                <w:szCs w:val="20"/>
                <w:color w:val="auto"/>
              </w:rPr>
            </w:pPr>
            <w:r>
              <w:rPr>
                <w:rFonts w:ascii="Arial" w:cs="Arial" w:eastAsia="Arial" w:hAnsi="Arial"/>
                <w:sz w:val="14"/>
                <w:szCs w:val="14"/>
                <w:color w:val="auto"/>
              </w:rPr>
              <w:t>(9,675)</w:t>
            </w:r>
          </w:p>
        </w:tc>
        <w:tc>
          <w:tcPr>
            <w:tcW w:w="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3340" w:type="dxa"/>
            <w:vAlign w:val="bottom"/>
          </w:tcPr>
          <w:p>
            <w:pPr>
              <w:ind w:left="100"/>
              <w:spacing w:after="0"/>
              <w:rPr>
                <w:sz w:val="20"/>
                <w:szCs w:val="20"/>
                <w:color w:val="auto"/>
              </w:rPr>
            </w:pPr>
            <w:r>
              <w:rPr>
                <w:rFonts w:ascii="Arial" w:cs="Arial" w:eastAsia="Arial" w:hAnsi="Arial"/>
                <w:sz w:val="14"/>
                <w:szCs w:val="14"/>
                <w:color w:val="auto"/>
              </w:rPr>
              <w:t>Products</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3,887</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(3,887)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13,549</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(13,562)</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4"/>
                <w:szCs w:val="14"/>
                <w:color w:val="auto"/>
              </w:rPr>
              <w:t>Investment income</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8"/>
                <w:szCs w:val="18"/>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7"/>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10"/>
        </w:trPr>
        <w:tc>
          <w:tcPr>
            <w:tcW w:w="3340" w:type="dxa"/>
            <w:vAlign w:val="bottom"/>
          </w:tcPr>
          <w:p>
            <w:pPr>
              <w:ind w:left="320"/>
              <w:spacing w:after="0"/>
              <w:rPr>
                <w:sz w:val="20"/>
                <w:szCs w:val="20"/>
                <w:color w:val="auto"/>
              </w:rPr>
            </w:pPr>
            <w:r>
              <w:rPr>
                <w:rFonts w:ascii="Arial" w:cs="Arial" w:eastAsia="Arial" w:hAnsi="Arial"/>
                <w:sz w:val="14"/>
                <w:szCs w:val="14"/>
                <w:b w:val="1"/>
                <w:bCs w:val="1"/>
                <w:color w:val="auto"/>
              </w:rPr>
              <w:t>Total revenues</w:t>
            </w:r>
          </w:p>
        </w:tc>
        <w:tc>
          <w:tcPr>
            <w:tcW w:w="10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33,723</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3,700</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4"/>
                <w:szCs w:val="14"/>
                <w:color w:val="auto"/>
              </w:rPr>
              <w:t>14,026</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(13,431)</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38,018</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4"/>
                <w:szCs w:val="14"/>
                <w:color w:val="auto"/>
              </w:rPr>
              <w:t>Benefits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27,715</w:t>
            </w:r>
          </w:p>
        </w:tc>
        <w:tc>
          <w:tcPr>
            <w:tcW w:w="80" w:type="dxa"/>
            <w:vAlign w:val="bottom"/>
          </w:tcPr>
          <w:p>
            <w:pPr>
              <w:spacing w:after="0"/>
              <w:rPr>
                <w:sz w:val="18"/>
                <w:szCs w:val="18"/>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2,405</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29,804</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4"/>
                <w:szCs w:val="14"/>
                <w:color w:val="auto"/>
              </w:rPr>
              <w:t>Operating costs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3,170</w:t>
            </w:r>
          </w:p>
        </w:tc>
        <w:tc>
          <w:tcPr>
            <w:tcW w:w="80" w:type="dxa"/>
            <w:vAlign w:val="bottom"/>
          </w:tcPr>
          <w:p>
            <w:pPr>
              <w:spacing w:after="0"/>
              <w:rPr>
                <w:sz w:val="18"/>
                <w:szCs w:val="18"/>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8"/>
                <w:szCs w:val="18"/>
                <w:color w:val="auto"/>
              </w:rPr>
            </w:pPr>
          </w:p>
        </w:tc>
        <w:tc>
          <w:tcPr>
            <w:tcW w:w="1080" w:type="dxa"/>
            <w:vAlign w:val="bottom"/>
          </w:tcPr>
          <w:p>
            <w:pPr>
              <w:jc w:val="right"/>
              <w:ind w:right="147"/>
              <w:spacing w:after="0"/>
              <w:rPr>
                <w:sz w:val="20"/>
                <w:szCs w:val="20"/>
                <w:color w:val="auto"/>
              </w:rPr>
            </w:pPr>
            <w:r>
              <w:rPr>
                <w:rFonts w:ascii="Arial" w:cs="Arial" w:eastAsia="Arial" w:hAnsi="Arial"/>
                <w:sz w:val="14"/>
                <w:szCs w:val="14"/>
                <w:color w:val="auto"/>
              </w:rPr>
              <w:t>13,403</w:t>
            </w:r>
          </w:p>
        </w:tc>
        <w:tc>
          <w:tcPr>
            <w:tcW w:w="160" w:type="dxa"/>
            <w:vAlign w:val="bottom"/>
          </w:tcPr>
          <w:p>
            <w:pPr>
              <w:spacing w:after="0"/>
              <w:rPr>
                <w:sz w:val="18"/>
                <w:szCs w:val="18"/>
                <w:color w:val="auto"/>
              </w:rPr>
            </w:pPr>
          </w:p>
        </w:tc>
        <w:tc>
          <w:tcPr>
            <w:tcW w:w="1020" w:type="dxa"/>
            <w:vAlign w:val="bottom"/>
          </w:tcPr>
          <w:p>
            <w:pPr>
              <w:jc w:val="right"/>
              <w:ind w:right="7"/>
              <w:spacing w:after="0"/>
              <w:rPr>
                <w:sz w:val="20"/>
                <w:szCs w:val="20"/>
                <w:color w:val="auto"/>
              </w:rPr>
            </w:pPr>
            <w:r>
              <w:rPr>
                <w:rFonts w:ascii="Arial" w:cs="Arial" w:eastAsia="Arial" w:hAnsi="Arial"/>
                <w:sz w:val="14"/>
                <w:szCs w:val="14"/>
                <w:color w:val="auto"/>
              </w:rPr>
              <w:t>(12,966)</w:t>
            </w:r>
          </w:p>
        </w:tc>
        <w:tc>
          <w:tcPr>
            <w:tcW w:w="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4,471</w:t>
            </w:r>
          </w:p>
        </w:tc>
        <w:tc>
          <w:tcPr>
            <w:tcW w:w="0" w:type="dxa"/>
            <w:vAlign w:val="bottom"/>
          </w:tcPr>
          <w:p>
            <w:pPr>
              <w:spacing w:after="0"/>
              <w:rPr>
                <w:sz w:val="1"/>
                <w:szCs w:val="1"/>
                <w:color w:val="auto"/>
              </w:rPr>
            </w:pPr>
          </w:p>
        </w:tc>
      </w:tr>
      <w:tr>
        <w:trPr>
          <w:trHeight w:val="221"/>
        </w:trPr>
        <w:tc>
          <w:tcPr>
            <w:tcW w:w="334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10"/>
        </w:trPr>
        <w:tc>
          <w:tcPr>
            <w:tcW w:w="3340" w:type="dxa"/>
            <w:vAlign w:val="bottom"/>
          </w:tcPr>
          <w:p>
            <w:pPr>
              <w:ind w:left="200"/>
              <w:spacing w:after="0"/>
              <w:rPr>
                <w:sz w:val="20"/>
                <w:szCs w:val="20"/>
                <w:color w:val="auto"/>
              </w:rPr>
            </w:pPr>
            <w:r>
              <w:rPr>
                <w:rFonts w:ascii="Arial" w:cs="Arial" w:eastAsia="Arial" w:hAnsi="Arial"/>
                <w:sz w:val="14"/>
                <w:szCs w:val="14"/>
                <w:b w:val="1"/>
                <w:bCs w:val="1"/>
                <w:color w:val="auto"/>
              </w:rPr>
              <w:t>Total operating expenses</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31,049</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3,308</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13,492</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(13,340)</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34,509</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20"/>
                <w:szCs w:val="20"/>
                <w:color w:val="auto"/>
              </w:rPr>
            </w:pPr>
            <w:r>
              <w:rPr>
                <w:rFonts w:ascii="Arial" w:cs="Arial" w:eastAsia="Arial" w:hAnsi="Arial"/>
                <w:sz w:val="14"/>
                <w:szCs w:val="14"/>
                <w:b w:val="1"/>
                <w:bCs w:val="1"/>
                <w:color w:val="auto"/>
              </w:rPr>
              <w:t>Income (loss) from operations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2,674</w:t>
            </w:r>
          </w:p>
        </w:tc>
        <w:tc>
          <w:tcPr>
            <w:tcW w:w="80" w:type="dxa"/>
            <w:vAlign w:val="bottom"/>
          </w:tcPr>
          <w:p>
            <w:pPr>
              <w:spacing w:after="0"/>
              <w:rPr>
                <w:sz w:val="17"/>
                <w:szCs w:val="17"/>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7"/>
                <w:szCs w:val="17"/>
                <w:color w:val="auto"/>
              </w:rPr>
            </w:pPr>
          </w:p>
        </w:tc>
        <w:tc>
          <w:tcPr>
            <w:tcW w:w="1080" w:type="dxa"/>
            <w:vAlign w:val="bottom"/>
          </w:tcPr>
          <w:p>
            <w:pPr>
              <w:jc w:val="right"/>
              <w:ind w:right="147"/>
              <w:spacing w:after="0"/>
              <w:rPr>
                <w:sz w:val="20"/>
                <w:szCs w:val="20"/>
                <w:color w:val="auto"/>
              </w:rPr>
            </w:pPr>
            <w:r>
              <w:rPr>
                <w:rFonts w:ascii="Arial" w:cs="Arial" w:eastAsia="Arial" w:hAnsi="Arial"/>
                <w:sz w:val="14"/>
                <w:szCs w:val="14"/>
                <w:color w:val="auto"/>
              </w:rPr>
              <w:t>534</w:t>
            </w:r>
          </w:p>
        </w:tc>
        <w:tc>
          <w:tcPr>
            <w:tcW w:w="160" w:type="dxa"/>
            <w:vAlign w:val="bottom"/>
          </w:tcPr>
          <w:p>
            <w:pPr>
              <w:spacing w:after="0"/>
              <w:rPr>
                <w:sz w:val="17"/>
                <w:szCs w:val="17"/>
                <w:color w:val="auto"/>
              </w:rPr>
            </w:pPr>
          </w:p>
        </w:tc>
        <w:tc>
          <w:tcPr>
            <w:tcW w:w="1020" w:type="dxa"/>
            <w:vAlign w:val="bottom"/>
          </w:tcPr>
          <w:p>
            <w:pPr>
              <w:jc w:val="right"/>
              <w:ind w:right="7"/>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3,509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color w:val="auto"/>
              </w:rPr>
              <w:t>Interest expense</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7"/>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8"/>
                <w:szCs w:val="18"/>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21"/>
        </w:trPr>
        <w:tc>
          <w:tcPr>
            <w:tcW w:w="3340" w:type="dxa"/>
            <w:vAlign w:val="bottom"/>
          </w:tcPr>
          <w:p>
            <w:pPr>
              <w:spacing w:after="0"/>
              <w:rPr>
                <w:sz w:val="20"/>
                <w:szCs w:val="20"/>
                <w:color w:val="auto"/>
              </w:rPr>
            </w:pPr>
            <w:r>
              <w:rPr>
                <w:rFonts w:ascii="Arial" w:cs="Arial" w:eastAsia="Arial" w:hAnsi="Arial"/>
                <w:sz w:val="14"/>
                <w:szCs w:val="14"/>
                <w:color w:val="auto"/>
              </w:rPr>
              <w:t>Other expense, net (A)</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7"/>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9"/>
                <w:szCs w:val="19"/>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20"/>
                <w:szCs w:val="20"/>
                <w:color w:val="auto"/>
              </w:rPr>
            </w:pPr>
            <w:r>
              <w:rPr>
                <w:rFonts w:ascii="Arial" w:cs="Arial" w:eastAsia="Arial" w:hAnsi="Arial"/>
                <w:sz w:val="14"/>
                <w:szCs w:val="14"/>
                <w:b w:val="1"/>
                <w:bCs w:val="1"/>
                <w:color w:val="auto"/>
              </w:rPr>
              <w:t>net earnings</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2,674</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534</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3,303</w:t>
            </w:r>
          </w:p>
        </w:tc>
        <w:tc>
          <w:tcPr>
            <w:tcW w:w="0" w:type="dxa"/>
            <w:vAlign w:val="bottom"/>
          </w:tcPr>
          <w:p>
            <w:pPr>
              <w:spacing w:after="0"/>
              <w:rPr>
                <w:sz w:val="1"/>
                <w:szCs w:val="1"/>
                <w:color w:val="auto"/>
              </w:rPr>
            </w:pPr>
          </w:p>
        </w:tc>
      </w:tr>
      <w:tr>
        <w:trPr>
          <w:trHeight w:val="210"/>
        </w:trPr>
        <w:tc>
          <w:tcPr>
            <w:tcW w:w="3340" w:type="dxa"/>
            <w:vAlign w:val="bottom"/>
          </w:tcPr>
          <w:p>
            <w:pPr>
              <w:ind w:left="320"/>
              <w:spacing w:after="0"/>
              <w:rPr>
                <w:sz w:val="20"/>
                <w:szCs w:val="20"/>
                <w:color w:val="auto"/>
              </w:rPr>
            </w:pPr>
            <w:r>
              <w:rPr>
                <w:rFonts w:ascii="Arial" w:cs="Arial" w:eastAsia="Arial" w:hAnsi="Arial"/>
                <w:sz w:val="14"/>
                <w:szCs w:val="14"/>
                <w:color w:val="auto"/>
              </w:rPr>
              <w:t>Equity in net earnings (B)</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7"/>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4"/>
                <w:szCs w:val="14"/>
                <w:b w:val="1"/>
                <w:bCs w:val="1"/>
                <w:color w:val="auto"/>
              </w:rPr>
              <w:t>Segment earnings (loss)</w:t>
            </w:r>
          </w:p>
        </w:tc>
        <w:tc>
          <w:tcPr>
            <w:tcW w:w="10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2,674</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4"/>
                <w:szCs w:val="14"/>
                <w:color w:val="auto"/>
              </w:rPr>
              <w:t>567</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3,336</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82.4 %</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73.1 %</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80.7 %</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1040" w:type="dxa"/>
            <w:vAlign w:val="bottom"/>
          </w:tcPr>
          <w:p>
            <w:pPr>
              <w:jc w:val="right"/>
              <w:spacing w:after="0"/>
              <w:rPr>
                <w:sz w:val="20"/>
                <w:szCs w:val="20"/>
                <w:color w:val="auto"/>
              </w:rPr>
            </w:pPr>
            <w:r>
              <w:rPr>
                <w:rFonts w:ascii="Arial" w:cs="Arial" w:eastAsia="Arial" w:hAnsi="Arial"/>
                <w:sz w:val="14"/>
                <w:szCs w:val="14"/>
                <w:color w:val="auto"/>
              </w:rPr>
              <w:t>9.4 %</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23.4 %</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95.6 %</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S-10</w:t>
      </w:r>
    </w:p>
    <w:p>
      <w:pPr>
        <w:sectPr>
          <w:pgSz w:w="11900" w:h="16838" w:orient="portrait"/>
          <w:cols w:equalWidth="0" w:num="1">
            <w:col w:w="10139"/>
          </w:cols>
          <w:pgMar w:left="320" w:top="1440" w:right="1440" w:bottom="1440" w:gutter="0" w:footer="0" w:header="0"/>
        </w:sectPr>
      </w:pPr>
    </w:p>
    <w:bookmarkStart w:id="44" w:name="page45"/>
    <w:bookmarkEnd w:id="44"/>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Consolidating Statements of Income—For the six months June 30, 2019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Group and</w:t>
            </w:r>
          </w:p>
        </w:tc>
        <w:tc>
          <w:tcPr>
            <w:tcW w:w="12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Healthcare</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6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Retail</w:t>
            </w: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Specialty</w:t>
            </w:r>
          </w:p>
        </w:tc>
        <w:tc>
          <w:tcPr>
            <w:tcW w:w="12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Services</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9"/>
                <w:szCs w:val="19"/>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Arial" w:cs="Arial" w:eastAsia="Arial" w:hAnsi="Arial"/>
                <w:sz w:val="14"/>
                <w:szCs w:val="14"/>
                <w:b w:val="1"/>
                <w:bCs w:val="1"/>
                <w:color w:val="auto"/>
              </w:rPr>
              <w:t>Revenues—external customers Premiums:</w:t>
            </w: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20"/>
              <w:spacing w:after="0"/>
              <w:rPr>
                <w:sz w:val="20"/>
                <w:szCs w:val="20"/>
                <w:color w:val="auto"/>
              </w:rPr>
            </w:pPr>
            <w:r>
              <w:rPr>
                <w:rFonts w:ascii="Arial" w:cs="Arial" w:eastAsia="Arial" w:hAnsi="Arial"/>
                <w:sz w:val="14"/>
                <w:szCs w:val="14"/>
                <w:color w:val="auto"/>
              </w:rPr>
              <w:t>Individual Medicare Advantage</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21,502</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21,502</w:t>
            </w:r>
          </w:p>
        </w:tc>
        <w:tc>
          <w:tcPr>
            <w:tcW w:w="0" w:type="dxa"/>
            <w:vAlign w:val="bottom"/>
          </w:tcPr>
          <w:p>
            <w:pPr>
              <w:spacing w:after="0"/>
              <w:rPr>
                <w:sz w:val="1"/>
                <w:szCs w:val="1"/>
                <w:color w:val="auto"/>
              </w:rPr>
            </w:pPr>
          </w:p>
        </w:tc>
      </w:tr>
      <w:tr>
        <w:trPr>
          <w:trHeight w:val="216"/>
        </w:trPr>
        <w:tc>
          <w:tcPr>
            <w:tcW w:w="3260" w:type="dxa"/>
            <w:vAlign w:val="bottom"/>
          </w:tcPr>
          <w:p>
            <w:pPr>
              <w:ind w:left="320"/>
              <w:spacing w:after="0"/>
              <w:rPr>
                <w:sz w:val="20"/>
                <w:szCs w:val="20"/>
                <w:color w:val="auto"/>
              </w:rPr>
            </w:pPr>
            <w:r>
              <w:rPr>
                <w:rFonts w:ascii="Arial" w:cs="Arial" w:eastAsia="Arial" w:hAnsi="Arial"/>
                <w:sz w:val="14"/>
                <w:szCs w:val="14"/>
                <w:color w:val="auto"/>
              </w:rPr>
              <w:t>Group Medicare Advantage</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3,258</w:t>
            </w:r>
          </w:p>
        </w:tc>
        <w:tc>
          <w:tcPr>
            <w:tcW w:w="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3,258</w:t>
            </w:r>
          </w:p>
        </w:tc>
        <w:tc>
          <w:tcPr>
            <w:tcW w:w="0" w:type="dxa"/>
            <w:vAlign w:val="bottom"/>
          </w:tcPr>
          <w:p>
            <w:pPr>
              <w:spacing w:after="0"/>
              <w:rPr>
                <w:sz w:val="1"/>
                <w:szCs w:val="1"/>
                <w:color w:val="auto"/>
              </w:rPr>
            </w:pPr>
          </w:p>
        </w:tc>
      </w:tr>
      <w:tr>
        <w:trPr>
          <w:trHeight w:val="222"/>
        </w:trPr>
        <w:tc>
          <w:tcPr>
            <w:tcW w:w="3260" w:type="dxa"/>
            <w:vAlign w:val="bottom"/>
          </w:tcPr>
          <w:p>
            <w:pPr>
              <w:ind w:left="320"/>
              <w:spacing w:after="0"/>
              <w:rPr>
                <w:sz w:val="20"/>
                <w:szCs w:val="20"/>
                <w:color w:val="auto"/>
              </w:rPr>
            </w:pPr>
            <w:r>
              <w:rPr>
                <w:rFonts w:ascii="Arial" w:cs="Arial" w:eastAsia="Arial" w:hAnsi="Arial"/>
                <w:sz w:val="14"/>
                <w:szCs w:val="14"/>
                <w:color w:val="auto"/>
              </w:rPr>
              <w:t>Medicare stand-alone PDP</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1,627</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210"/>
        </w:trPr>
        <w:tc>
          <w:tcPr>
            <w:tcW w:w="3260" w:type="dxa"/>
            <w:vAlign w:val="bottom"/>
          </w:tcPr>
          <w:p>
            <w:pPr>
              <w:ind w:left="440"/>
              <w:spacing w:after="0"/>
              <w:rPr>
                <w:sz w:val="20"/>
                <w:szCs w:val="20"/>
                <w:color w:val="auto"/>
              </w:rPr>
            </w:pPr>
            <w:r>
              <w:rPr>
                <w:rFonts w:ascii="Arial" w:cs="Arial" w:eastAsia="Arial" w:hAnsi="Arial"/>
                <w:sz w:val="14"/>
                <w:szCs w:val="14"/>
                <w:b w:val="1"/>
                <w:bCs w:val="1"/>
                <w:color w:val="auto"/>
              </w:rPr>
              <w:t>Total Medicare</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26,387</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26,387</w:t>
            </w:r>
          </w:p>
        </w:tc>
        <w:tc>
          <w:tcPr>
            <w:tcW w:w="0" w:type="dxa"/>
            <w:vAlign w:val="bottom"/>
          </w:tcPr>
          <w:p>
            <w:pPr>
              <w:spacing w:after="0"/>
              <w:rPr>
                <w:sz w:val="1"/>
                <w:szCs w:val="1"/>
                <w:color w:val="auto"/>
              </w:rPr>
            </w:pPr>
          </w:p>
        </w:tc>
      </w:tr>
      <w:tr>
        <w:trPr>
          <w:trHeight w:val="204"/>
        </w:trPr>
        <w:tc>
          <w:tcPr>
            <w:tcW w:w="3260" w:type="dxa"/>
            <w:vAlign w:val="bottom"/>
          </w:tcPr>
          <w:p>
            <w:pPr>
              <w:ind w:left="320"/>
              <w:spacing w:after="0"/>
              <w:rPr>
                <w:sz w:val="20"/>
                <w:szCs w:val="20"/>
                <w:color w:val="auto"/>
              </w:rPr>
            </w:pPr>
            <w:r>
              <w:rPr>
                <w:rFonts w:ascii="Arial" w:cs="Arial" w:eastAsia="Arial" w:hAnsi="Arial"/>
                <w:sz w:val="14"/>
                <w:szCs w:val="14"/>
                <w:color w:val="auto"/>
              </w:rPr>
              <w:t>Fully-insured</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7"/>
                <w:szCs w:val="17"/>
                <w:color w:val="auto"/>
              </w:rPr>
            </w:pP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2,595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2,879</w:t>
            </w:r>
          </w:p>
        </w:tc>
        <w:tc>
          <w:tcPr>
            <w:tcW w:w="0" w:type="dxa"/>
            <w:vAlign w:val="bottom"/>
          </w:tcPr>
          <w:p>
            <w:pPr>
              <w:spacing w:after="0"/>
              <w:rPr>
                <w:sz w:val="1"/>
                <w:szCs w:val="1"/>
                <w:color w:val="auto"/>
              </w:rPr>
            </w:pPr>
          </w:p>
        </w:tc>
      </w:tr>
      <w:tr>
        <w:trPr>
          <w:trHeight w:val="216"/>
        </w:trPr>
        <w:tc>
          <w:tcPr>
            <w:tcW w:w="3260" w:type="dxa"/>
            <w:vAlign w:val="bottom"/>
          </w:tcPr>
          <w:p>
            <w:pPr>
              <w:ind w:left="320"/>
              <w:spacing w:after="0"/>
              <w:rPr>
                <w:sz w:val="20"/>
                <w:szCs w:val="20"/>
                <w:color w:val="auto"/>
              </w:rPr>
            </w:pPr>
            <w:r>
              <w:rPr>
                <w:rFonts w:ascii="Arial" w:cs="Arial" w:eastAsia="Arial" w:hAnsi="Arial"/>
                <w:sz w:val="14"/>
                <w:szCs w:val="14"/>
                <w:color w:val="auto"/>
              </w:rPr>
              <w:t>Specialty</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760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222"/>
        </w:trPr>
        <w:tc>
          <w:tcPr>
            <w:tcW w:w="3260" w:type="dxa"/>
            <w:vAlign w:val="bottom"/>
          </w:tcPr>
          <w:p>
            <w:pPr>
              <w:ind w:left="320"/>
              <w:spacing w:after="0"/>
              <w:rPr>
                <w:sz w:val="20"/>
                <w:szCs w:val="20"/>
                <w:color w:val="auto"/>
              </w:rPr>
            </w:pPr>
            <w:r>
              <w:rPr>
                <w:rFonts w:ascii="Arial" w:cs="Arial" w:eastAsia="Arial" w:hAnsi="Arial"/>
                <w:sz w:val="14"/>
                <w:szCs w:val="14"/>
                <w:color w:val="auto"/>
              </w:rPr>
              <w:t>Medicaid and other (C)</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1,401</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209"/>
        </w:trPr>
        <w:tc>
          <w:tcPr>
            <w:tcW w:w="3260" w:type="dxa"/>
            <w:vAlign w:val="bottom"/>
          </w:tcPr>
          <w:p>
            <w:pPr>
              <w:ind w:left="440"/>
              <w:spacing w:after="0"/>
              <w:rPr>
                <w:sz w:val="20"/>
                <w:szCs w:val="20"/>
                <w:color w:val="auto"/>
              </w:rPr>
            </w:pPr>
            <w:r>
              <w:rPr>
                <w:rFonts w:ascii="Arial" w:cs="Arial" w:eastAsia="Arial" w:hAnsi="Arial"/>
                <w:sz w:val="14"/>
                <w:szCs w:val="14"/>
                <w:b w:val="1"/>
                <w:bCs w:val="1"/>
                <w:color w:val="auto"/>
              </w:rPr>
              <w:t>Total premiums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28,072</w:t>
            </w:r>
          </w:p>
        </w:tc>
        <w:tc>
          <w:tcPr>
            <w:tcW w:w="80" w:type="dxa"/>
            <w:vAlign w:val="bottom"/>
          </w:tcPr>
          <w:p>
            <w:pPr>
              <w:spacing w:after="0"/>
              <w:rPr>
                <w:sz w:val="18"/>
                <w:szCs w:val="18"/>
                <w:color w:val="auto"/>
              </w:rPr>
            </w:pP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3,355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31,427</w:t>
            </w:r>
          </w:p>
        </w:tc>
        <w:tc>
          <w:tcPr>
            <w:tcW w:w="0" w:type="dxa"/>
            <w:vAlign w:val="bottom"/>
          </w:tcPr>
          <w:p>
            <w:pPr>
              <w:spacing w:after="0"/>
              <w:rPr>
                <w:sz w:val="1"/>
                <w:szCs w:val="1"/>
                <w:color w:val="auto"/>
              </w:rPr>
            </w:pPr>
          </w:p>
        </w:tc>
      </w:tr>
      <w:tr>
        <w:trPr>
          <w:trHeight w:val="190"/>
        </w:trPr>
        <w:tc>
          <w:tcPr>
            <w:tcW w:w="3260" w:type="dxa"/>
            <w:vAlign w:val="bottom"/>
          </w:tcPr>
          <w:p>
            <w:pPr>
              <w:ind w:left="100"/>
              <w:spacing w:after="0"/>
              <w:rPr>
                <w:sz w:val="20"/>
                <w:szCs w:val="20"/>
                <w:color w:val="auto"/>
              </w:rPr>
            </w:pPr>
            <w:r>
              <w:rPr>
                <w:rFonts w:ascii="Arial" w:cs="Arial" w:eastAsia="Arial" w:hAnsi="Arial"/>
                <w:sz w:val="14"/>
                <w:szCs w:val="14"/>
                <w:b w:val="1"/>
                <w:bCs w:val="1"/>
                <w:color w:val="auto"/>
              </w:rPr>
              <w:t>Services revenue:</w:t>
            </w: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20"/>
              <w:spacing w:after="0"/>
              <w:rPr>
                <w:sz w:val="20"/>
                <w:szCs w:val="20"/>
                <w:color w:val="auto"/>
              </w:rPr>
            </w:pPr>
            <w:r>
              <w:rPr>
                <w:rFonts w:ascii="Arial" w:cs="Arial" w:eastAsia="Arial" w:hAnsi="Arial"/>
                <w:sz w:val="14"/>
                <w:szCs w:val="14"/>
                <w:color w:val="auto"/>
              </w:rPr>
              <w:t>Provider</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231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16"/>
        </w:trPr>
        <w:tc>
          <w:tcPr>
            <w:tcW w:w="3260" w:type="dxa"/>
            <w:vAlign w:val="bottom"/>
          </w:tcPr>
          <w:p>
            <w:pPr>
              <w:ind w:left="320"/>
              <w:spacing w:after="0"/>
              <w:rPr>
                <w:sz w:val="20"/>
                <w:szCs w:val="20"/>
                <w:color w:val="auto"/>
              </w:rPr>
            </w:pPr>
            <w:r>
              <w:rPr>
                <w:rFonts w:ascii="Arial" w:cs="Arial" w:eastAsia="Arial" w:hAnsi="Arial"/>
                <w:sz w:val="14"/>
                <w:szCs w:val="14"/>
                <w:color w:val="auto"/>
              </w:rPr>
              <w:t>ASO and other (D)</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22"/>
        </w:trPr>
        <w:tc>
          <w:tcPr>
            <w:tcW w:w="3260" w:type="dxa"/>
            <w:vAlign w:val="bottom"/>
          </w:tcPr>
          <w:p>
            <w:pPr>
              <w:ind w:left="320"/>
              <w:spacing w:after="0"/>
              <w:rPr>
                <w:sz w:val="20"/>
                <w:szCs w:val="20"/>
                <w:color w:val="auto"/>
              </w:rPr>
            </w:pPr>
            <w:r>
              <w:rPr>
                <w:rFonts w:ascii="Arial" w:cs="Arial" w:eastAsia="Arial" w:hAnsi="Arial"/>
                <w:sz w:val="14"/>
                <w:szCs w:val="14"/>
                <w:color w:val="auto"/>
              </w:rPr>
              <w:t>Pharmacy</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82</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9"/>
        </w:trPr>
        <w:tc>
          <w:tcPr>
            <w:tcW w:w="3260" w:type="dxa"/>
            <w:vAlign w:val="bottom"/>
          </w:tcPr>
          <w:p>
            <w:pPr>
              <w:ind w:left="440"/>
              <w:spacing w:after="0"/>
              <w:rPr>
                <w:sz w:val="20"/>
                <w:szCs w:val="20"/>
                <w:color w:val="auto"/>
              </w:rPr>
            </w:pPr>
            <w:r>
              <w:rPr>
                <w:rFonts w:ascii="Arial" w:cs="Arial" w:eastAsia="Arial" w:hAnsi="Arial"/>
                <w:sz w:val="14"/>
                <w:szCs w:val="14"/>
                <w:b w:val="1"/>
                <w:bCs w:val="1"/>
                <w:color w:val="auto"/>
              </w:rPr>
              <w:t>Total services revenue</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313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4"/>
                <w:szCs w:val="14"/>
                <w:b w:val="1"/>
                <w:bCs w:val="1"/>
                <w:color w:val="auto"/>
              </w:rPr>
              <w:t>Total revenues—external customers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28,082</w:t>
            </w:r>
          </w:p>
        </w:tc>
        <w:tc>
          <w:tcPr>
            <w:tcW w:w="80" w:type="dxa"/>
            <w:vAlign w:val="bottom"/>
          </w:tcPr>
          <w:p>
            <w:pPr>
              <w:spacing w:after="0"/>
              <w:rPr>
                <w:sz w:val="18"/>
                <w:szCs w:val="18"/>
                <w:color w:val="auto"/>
              </w:rPr>
            </w:pP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3,742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313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32,137</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4"/>
                <w:szCs w:val="14"/>
                <w:b w:val="1"/>
                <w:bCs w:val="1"/>
                <w:color w:val="auto"/>
              </w:rPr>
              <w:t>Intersegment revenues</w:t>
            </w: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Arial" w:cs="Arial" w:eastAsia="Arial" w:hAnsi="Arial"/>
                <w:sz w:val="14"/>
                <w:szCs w:val="14"/>
                <w:color w:val="auto"/>
              </w:rPr>
              <w:t>Services</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8,802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260" w:type="dxa"/>
            <w:vAlign w:val="bottom"/>
          </w:tcPr>
          <w:p>
            <w:pPr>
              <w:ind w:left="100"/>
              <w:spacing w:after="0"/>
              <w:rPr>
                <w:sz w:val="20"/>
                <w:szCs w:val="20"/>
                <w:color w:val="auto"/>
              </w:rPr>
            </w:pPr>
            <w:r>
              <w:rPr>
                <w:rFonts w:ascii="Arial" w:cs="Arial" w:eastAsia="Arial" w:hAnsi="Arial"/>
                <w:sz w:val="14"/>
                <w:szCs w:val="14"/>
                <w:color w:val="auto"/>
              </w:rPr>
              <w:t>Products</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3,369</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(3,369)</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4"/>
                <w:szCs w:val="14"/>
                <w:b w:val="1"/>
                <w:bCs w:val="1"/>
                <w:color w:val="auto"/>
              </w:rPr>
              <w:t>Total intersegment revenues</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12,171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4"/>
                <w:szCs w:val="14"/>
                <w:color w:val="auto"/>
              </w:rPr>
              <w:t>Investment income</w:t>
            </w:r>
          </w:p>
        </w:tc>
        <w:tc>
          <w:tcPr>
            <w:tcW w:w="10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10"/>
        </w:trPr>
        <w:tc>
          <w:tcPr>
            <w:tcW w:w="3260" w:type="dxa"/>
            <w:vAlign w:val="bottom"/>
          </w:tcPr>
          <w:p>
            <w:pPr>
              <w:ind w:left="320"/>
              <w:spacing w:after="0"/>
              <w:rPr>
                <w:sz w:val="20"/>
                <w:szCs w:val="20"/>
                <w:color w:val="auto"/>
              </w:rPr>
            </w:pPr>
            <w:r>
              <w:rPr>
                <w:rFonts w:ascii="Arial" w:cs="Arial" w:eastAsia="Arial" w:hAnsi="Arial"/>
                <w:sz w:val="14"/>
                <w:szCs w:val="14"/>
                <w:b w:val="1"/>
                <w:bCs w:val="1"/>
                <w:color w:val="auto"/>
              </w:rPr>
              <w:t>Total revenues</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28,171</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3,761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12,485</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(12,065)</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32,352</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Arial" w:cs="Arial" w:eastAsia="Arial" w:hAnsi="Arial"/>
                <w:sz w:val="14"/>
                <w:szCs w:val="14"/>
                <w:color w:val="auto"/>
              </w:rPr>
              <w:t>Benefits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24,346</w:t>
            </w:r>
          </w:p>
        </w:tc>
        <w:tc>
          <w:tcPr>
            <w:tcW w:w="80" w:type="dxa"/>
            <w:vAlign w:val="bottom"/>
          </w:tcPr>
          <w:p>
            <w:pPr>
              <w:spacing w:after="0"/>
              <w:rPr>
                <w:sz w:val="18"/>
                <w:szCs w:val="18"/>
                <w:color w:val="auto"/>
              </w:rPr>
            </w:pP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2,729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26,811</w:t>
            </w: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Arial" w:cs="Arial" w:eastAsia="Arial" w:hAnsi="Arial"/>
                <w:sz w:val="14"/>
                <w:szCs w:val="14"/>
                <w:color w:val="auto"/>
              </w:rPr>
              <w:t>Operating costs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2,354</w:t>
            </w:r>
          </w:p>
        </w:tc>
        <w:tc>
          <w:tcPr>
            <w:tcW w:w="80" w:type="dxa"/>
            <w:vAlign w:val="bottom"/>
          </w:tcPr>
          <w:p>
            <w:pPr>
              <w:spacing w:after="0"/>
              <w:rPr>
                <w:sz w:val="18"/>
                <w:szCs w:val="18"/>
                <w:color w:val="auto"/>
              </w:rPr>
            </w:pP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222"/>
        </w:trPr>
        <w:tc>
          <w:tcPr>
            <w:tcW w:w="326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78</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9"/>
        </w:trPr>
        <w:tc>
          <w:tcPr>
            <w:tcW w:w="3260" w:type="dxa"/>
            <w:vAlign w:val="bottom"/>
          </w:tcPr>
          <w:p>
            <w:pPr>
              <w:ind w:left="200"/>
              <w:spacing w:after="0"/>
              <w:rPr>
                <w:sz w:val="20"/>
                <w:szCs w:val="20"/>
                <w:color w:val="auto"/>
              </w:rPr>
            </w:pPr>
            <w:r>
              <w:rPr>
                <w:rFonts w:ascii="Arial" w:cs="Arial" w:eastAsia="Arial" w:hAnsi="Arial"/>
                <w:sz w:val="14"/>
                <w:szCs w:val="14"/>
                <w:b w:val="1"/>
                <w:bCs w:val="1"/>
                <w:color w:val="auto"/>
              </w:rPr>
              <w:t>Total operating expenses</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26,850</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3,591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12,101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(12,152)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30,390</w:t>
            </w:r>
          </w:p>
        </w:tc>
        <w:tc>
          <w:tcPr>
            <w:tcW w:w="0" w:type="dxa"/>
            <w:vAlign w:val="bottom"/>
          </w:tcPr>
          <w:p>
            <w:pPr>
              <w:spacing w:after="0"/>
              <w:rPr>
                <w:sz w:val="1"/>
                <w:szCs w:val="1"/>
                <w:color w:val="auto"/>
              </w:rPr>
            </w:pPr>
          </w:p>
        </w:tc>
      </w:tr>
      <w:tr>
        <w:trPr>
          <w:trHeight w:val="204"/>
        </w:trPr>
        <w:tc>
          <w:tcPr>
            <w:tcW w:w="32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1,321</w:t>
            </w:r>
          </w:p>
        </w:tc>
        <w:tc>
          <w:tcPr>
            <w:tcW w:w="80" w:type="dxa"/>
            <w:vAlign w:val="bottom"/>
          </w:tcPr>
          <w:p>
            <w:pPr>
              <w:spacing w:after="0"/>
              <w:rPr>
                <w:sz w:val="17"/>
                <w:szCs w:val="17"/>
                <w:color w:val="auto"/>
              </w:rPr>
            </w:pPr>
          </w:p>
        </w:tc>
        <w:tc>
          <w:tcPr>
            <w:tcW w:w="1060" w:type="dxa"/>
            <w:vAlign w:val="bottom"/>
          </w:tcPr>
          <w:p>
            <w:pPr>
              <w:jc w:val="right"/>
              <w:ind w:right="127"/>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384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1,962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4"/>
                <w:szCs w:val="14"/>
                <w:color w:val="auto"/>
              </w:rPr>
              <w:t>Interest expense</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4"/>
                <w:szCs w:val="14"/>
                <w:color w:val="auto"/>
              </w:rPr>
              <w:t>Other income, net (A)</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b w:val="1"/>
                <w:bCs w:val="1"/>
                <w:color w:val="auto"/>
              </w:rPr>
              <w:t>Income before income taxes and equity in net</w:t>
            </w: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20"/>
                <w:szCs w:val="20"/>
                <w:color w:val="auto"/>
              </w:rPr>
            </w:pPr>
            <w:r>
              <w:rPr>
                <w:rFonts w:ascii="Arial" w:cs="Arial" w:eastAsia="Arial" w:hAnsi="Arial"/>
                <w:sz w:val="14"/>
                <w:szCs w:val="14"/>
                <w:b w:val="1"/>
                <w:bCs w:val="1"/>
                <w:color w:val="auto"/>
              </w:rPr>
              <w:t>earnings</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1,321</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384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210"/>
        </w:trPr>
        <w:tc>
          <w:tcPr>
            <w:tcW w:w="3260" w:type="dxa"/>
            <w:vAlign w:val="bottom"/>
          </w:tcPr>
          <w:p>
            <w:pPr>
              <w:ind w:left="320"/>
              <w:spacing w:after="0"/>
              <w:rPr>
                <w:sz w:val="20"/>
                <w:szCs w:val="20"/>
                <w:color w:val="auto"/>
              </w:rPr>
            </w:pPr>
            <w:r>
              <w:rPr>
                <w:rFonts w:ascii="Arial" w:cs="Arial" w:eastAsia="Arial" w:hAnsi="Arial"/>
                <w:sz w:val="14"/>
                <w:szCs w:val="14"/>
                <w:color w:val="auto"/>
              </w:rPr>
              <w:t>Equity in net earnings (B)</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127"/>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Arial" w:cs="Arial" w:eastAsia="Arial" w:hAnsi="Arial"/>
                <w:sz w:val="14"/>
                <w:szCs w:val="14"/>
                <w:b w:val="1"/>
                <w:bCs w:val="1"/>
                <w:color w:val="auto"/>
              </w:rPr>
              <w:t>Segment earnings</w:t>
            </w:r>
          </w:p>
        </w:tc>
        <w:tc>
          <w:tcPr>
            <w:tcW w:w="10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1,321</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4"/>
                <w:szCs w:val="14"/>
                <w:color w:val="auto"/>
              </w:rPr>
              <w:t>399</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27"/>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Benefit ratio</w:t>
            </w: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260" w:type="dxa"/>
            <w:vAlign w:val="bottom"/>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86.7 %</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85.3 %</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4"/>
                <w:szCs w:val="14"/>
                <w:b w:val="1"/>
                <w:bCs w:val="1"/>
                <w:color w:val="auto"/>
              </w:rPr>
              <w:t>Operating cost ratio</w:t>
            </w:r>
          </w:p>
        </w:tc>
        <w:tc>
          <w:tcPr>
            <w:tcW w:w="1040" w:type="dxa"/>
            <w:vAlign w:val="bottom"/>
          </w:tcPr>
          <w:p>
            <w:pPr>
              <w:jc w:val="right"/>
              <w:spacing w:after="0"/>
              <w:rPr>
                <w:sz w:val="20"/>
                <w:szCs w:val="20"/>
                <w:color w:val="auto"/>
              </w:rPr>
            </w:pPr>
            <w:r>
              <w:rPr>
                <w:rFonts w:ascii="Arial" w:cs="Arial" w:eastAsia="Arial" w:hAnsi="Arial"/>
                <w:sz w:val="14"/>
                <w:szCs w:val="14"/>
                <w:color w:val="auto"/>
              </w:rPr>
              <w:t>8.4 %</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96.3 %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S-11</w:t>
      </w:r>
    </w:p>
    <w:p>
      <w:pPr>
        <w:sectPr>
          <w:pgSz w:w="11900" w:h="16838" w:orient="portrait"/>
          <w:cols w:equalWidth="0" w:num="1">
            <w:col w:w="10139"/>
          </w:cols>
          <w:pgMar w:left="320" w:top="1113" w:right="1440"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Humana Inc.</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Ending Membership Detail</w:t>
      </w:r>
    </w:p>
    <w:p>
      <w:pPr>
        <w:spacing w:after="0"/>
        <w:rPr>
          <w:sz w:val="20"/>
          <w:szCs w:val="20"/>
          <w:color w:val="auto"/>
        </w:rPr>
      </w:pPr>
      <w:r>
        <w:rPr>
          <w:rFonts w:ascii="Arial" w:cs="Arial" w:eastAsia="Arial" w:hAnsi="Arial"/>
          <w:sz w:val="16"/>
          <w:szCs w:val="16"/>
          <w:i w:val="1"/>
          <w:iCs w:val="1"/>
          <w:color w:val="auto"/>
        </w:rPr>
        <w:t>In thousands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384"/>
        </w:trPr>
        <w:tc>
          <w:tcPr>
            <w:tcW w:w="26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80" w:type="dxa"/>
            <w:vAlign w:val="bottom"/>
            <w:tcBorders>
              <w:top w:val="single" w:sz="8" w:color="auto"/>
              <w:bottom w:val="single" w:sz="8" w:color="auto"/>
              <w:right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11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00497F"/>
              </w:rPr>
              <w:t>June 30, 2020</w:t>
            </w: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00497F"/>
              </w:rPr>
              <w:t>Average 2Q20</w:t>
            </w: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June 30, 2019</w:t>
            </w:r>
          </w:p>
        </w:tc>
        <w:tc>
          <w:tcPr>
            <w:tcW w:w="940" w:type="dxa"/>
            <w:vAlign w:val="bottom"/>
          </w:tcPr>
          <w:p>
            <w:pPr>
              <w:jc w:val="center"/>
              <w:ind w:left="4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Percent</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191"/>
        </w:trPr>
        <w:tc>
          <w:tcPr>
            <w:tcW w:w="2680" w:type="dxa"/>
            <w:vAlign w:val="bottom"/>
          </w:tcPr>
          <w:p>
            <w:pPr>
              <w:spacing w:after="0"/>
              <w:rPr>
                <w:sz w:val="20"/>
                <w:szCs w:val="20"/>
                <w:color w:val="auto"/>
              </w:rPr>
            </w:pPr>
            <w:r>
              <w:rPr>
                <w:rFonts w:ascii="Arial" w:cs="Arial" w:eastAsia="Arial" w:hAnsi="Arial"/>
                <w:sz w:val="14"/>
                <w:szCs w:val="14"/>
                <w:b w:val="1"/>
                <w:bCs w:val="1"/>
                <w:color w:val="auto"/>
              </w:rPr>
              <w:t>Medical Membership:</w:t>
            </w: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4"/>
                <w:szCs w:val="14"/>
                <w:b w:val="1"/>
                <w:bCs w:val="1"/>
                <w:color w:val="auto"/>
              </w:rPr>
              <w:t>Retail</w:t>
            </w:r>
          </w:p>
        </w:tc>
        <w:tc>
          <w:tcPr>
            <w:tcW w:w="10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4"/>
                <w:szCs w:val="14"/>
                <w:color w:val="auto"/>
              </w:rPr>
              <w:t>Individual Medicare Advantage</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3,877.2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3,862.1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3,484.5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392.7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11.3 %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3,587.2</w:t>
            </w:r>
          </w:p>
        </w:tc>
        <w:tc>
          <w:tcPr>
            <w:tcW w:w="0" w:type="dxa"/>
            <w:vAlign w:val="bottom"/>
          </w:tcPr>
          <w:p>
            <w:pPr>
              <w:spacing w:after="0"/>
              <w:rPr>
                <w:sz w:val="1"/>
                <w:szCs w:val="1"/>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4"/>
                <w:szCs w:val="14"/>
                <w:color w:val="auto"/>
              </w:rPr>
              <w:t>Group Medicare Advantage</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608.3</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607.5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519.1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17.2 %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525.3</w:t>
            </w:r>
          </w:p>
        </w:tc>
        <w:tc>
          <w:tcPr>
            <w:tcW w:w="0" w:type="dxa"/>
            <w:vAlign w:val="bottom"/>
          </w:tcPr>
          <w:p>
            <w:pPr>
              <w:spacing w:after="0"/>
              <w:rPr>
                <w:sz w:val="1"/>
                <w:szCs w:val="1"/>
                <w:color w:val="auto"/>
              </w:rPr>
            </w:pPr>
          </w:p>
        </w:tc>
      </w:tr>
      <w:tr>
        <w:trPr>
          <w:trHeight w:val="222"/>
        </w:trPr>
        <w:tc>
          <w:tcPr>
            <w:tcW w:w="2680" w:type="dxa"/>
            <w:vAlign w:val="bottom"/>
          </w:tcPr>
          <w:p>
            <w:pPr>
              <w:ind w:left="200"/>
              <w:spacing w:after="0"/>
              <w:rPr>
                <w:sz w:val="20"/>
                <w:szCs w:val="20"/>
                <w:color w:val="auto"/>
              </w:rPr>
            </w:pPr>
            <w:r>
              <w:rPr>
                <w:rFonts w:ascii="Arial" w:cs="Arial" w:eastAsia="Arial" w:hAnsi="Arial"/>
                <w:sz w:val="14"/>
                <w:szCs w:val="14"/>
                <w:color w:val="auto"/>
              </w:rPr>
              <w:t>Medicare stand-alone PDP</w:t>
            </w:r>
          </w:p>
        </w:tc>
        <w:tc>
          <w:tcPr>
            <w:tcW w:w="11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3,888.4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3,889.3</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4,400.5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(512.1)</w:t>
            </w:r>
          </w:p>
        </w:tc>
        <w:tc>
          <w:tcPr>
            <w:tcW w:w="140" w:type="dxa"/>
            <w:vAlign w:val="bottom"/>
            <w:tcBorders>
              <w:bottom w:val="single" w:sz="8" w:color="auto"/>
            </w:tcBorders>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-11.6 %</w:t>
            </w:r>
          </w:p>
        </w:tc>
        <w:tc>
          <w:tcPr>
            <w:tcW w:w="60" w:type="dxa"/>
            <w:vAlign w:val="bottom"/>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4,365.2</w:t>
            </w:r>
          </w:p>
        </w:tc>
        <w:tc>
          <w:tcPr>
            <w:tcW w:w="0" w:type="dxa"/>
            <w:vAlign w:val="bottom"/>
          </w:tcPr>
          <w:p>
            <w:pPr>
              <w:spacing w:after="0"/>
              <w:rPr>
                <w:sz w:val="1"/>
                <w:szCs w:val="1"/>
                <w:color w:val="auto"/>
              </w:rPr>
            </w:pPr>
          </w:p>
        </w:tc>
      </w:tr>
      <w:tr>
        <w:trPr>
          <w:trHeight w:val="210"/>
        </w:trPr>
        <w:tc>
          <w:tcPr>
            <w:tcW w:w="2680" w:type="dxa"/>
            <w:vAlign w:val="bottom"/>
          </w:tcPr>
          <w:p>
            <w:pPr>
              <w:ind w:left="640"/>
              <w:spacing w:after="0"/>
              <w:rPr>
                <w:sz w:val="20"/>
                <w:szCs w:val="20"/>
                <w:color w:val="auto"/>
              </w:rPr>
            </w:pPr>
            <w:r>
              <w:rPr>
                <w:rFonts w:ascii="Arial" w:cs="Arial" w:eastAsia="Arial" w:hAnsi="Arial"/>
                <w:sz w:val="14"/>
                <w:szCs w:val="14"/>
                <w:color w:val="auto"/>
              </w:rPr>
              <w:t>Total Medicare</w:t>
            </w:r>
          </w:p>
        </w:tc>
        <w:tc>
          <w:tcPr>
            <w:tcW w:w="11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8,373.9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8,358.9</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8,404.1</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40" w:type="dxa"/>
            <w:vAlign w:val="bottom"/>
            <w:tcBorders>
              <w:bottom w:val="single" w:sz="8" w:color="auto"/>
            </w:tcBorders>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-0.4 %</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8,477.7</w:t>
            </w:r>
          </w:p>
        </w:tc>
        <w:tc>
          <w:tcPr>
            <w:tcW w:w="0" w:type="dxa"/>
            <w:vAlign w:val="bottom"/>
          </w:tcPr>
          <w:p>
            <w:pPr>
              <w:spacing w:after="0"/>
              <w:rPr>
                <w:sz w:val="1"/>
                <w:szCs w:val="1"/>
                <w:color w:val="auto"/>
              </w:rPr>
            </w:pPr>
          </w:p>
        </w:tc>
      </w:tr>
      <w:tr>
        <w:trPr>
          <w:trHeight w:val="203"/>
        </w:trPr>
        <w:tc>
          <w:tcPr>
            <w:tcW w:w="2680" w:type="dxa"/>
            <w:vAlign w:val="bottom"/>
          </w:tcPr>
          <w:p>
            <w:pPr>
              <w:ind w:left="200"/>
              <w:spacing w:after="0"/>
              <w:rPr>
                <w:sz w:val="20"/>
                <w:szCs w:val="20"/>
                <w:color w:val="auto"/>
              </w:rPr>
            </w:pPr>
            <w:r>
              <w:rPr>
                <w:rFonts w:ascii="Arial" w:cs="Arial" w:eastAsia="Arial" w:hAnsi="Arial"/>
                <w:sz w:val="14"/>
                <w:szCs w:val="14"/>
                <w:color w:val="auto"/>
              </w:rPr>
              <w:t>State-based contracts (E)</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689.2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670.7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465.2</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224.0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48.2 %</w:t>
            </w:r>
          </w:p>
        </w:tc>
        <w:tc>
          <w:tcPr>
            <w:tcW w:w="6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222"/>
        </w:trPr>
        <w:tc>
          <w:tcPr>
            <w:tcW w:w="2680" w:type="dxa"/>
            <w:vAlign w:val="bottom"/>
          </w:tcPr>
          <w:p>
            <w:pPr>
              <w:ind w:left="200"/>
              <w:spacing w:after="0"/>
              <w:rPr>
                <w:sz w:val="20"/>
                <w:szCs w:val="20"/>
                <w:color w:val="auto"/>
              </w:rPr>
            </w:pPr>
            <w:r>
              <w:rPr>
                <w:rFonts w:ascii="Arial" w:cs="Arial" w:eastAsia="Arial" w:hAnsi="Arial"/>
                <w:sz w:val="14"/>
                <w:szCs w:val="14"/>
                <w:color w:val="auto"/>
              </w:rPr>
              <w:t>Medicare Supplement</w:t>
            </w:r>
          </w:p>
        </w:tc>
        <w:tc>
          <w:tcPr>
            <w:tcW w:w="11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324.6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321.2</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276.0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40" w:type="dxa"/>
            <w:vAlign w:val="bottom"/>
            <w:tcBorders>
              <w:bottom w:val="single" w:sz="8" w:color="auto"/>
            </w:tcBorders>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17.6 %</w:t>
            </w:r>
          </w:p>
        </w:tc>
        <w:tc>
          <w:tcPr>
            <w:tcW w:w="60" w:type="dxa"/>
            <w:vAlign w:val="bottom"/>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210"/>
        </w:trPr>
        <w:tc>
          <w:tcPr>
            <w:tcW w:w="2680" w:type="dxa"/>
            <w:vAlign w:val="bottom"/>
          </w:tcPr>
          <w:p>
            <w:pPr>
              <w:ind w:left="520"/>
              <w:spacing w:after="0"/>
              <w:rPr>
                <w:sz w:val="20"/>
                <w:szCs w:val="20"/>
                <w:color w:val="auto"/>
              </w:rPr>
            </w:pPr>
            <w:r>
              <w:rPr>
                <w:rFonts w:ascii="Arial" w:cs="Arial" w:eastAsia="Arial" w:hAnsi="Arial"/>
                <w:sz w:val="14"/>
                <w:szCs w:val="14"/>
                <w:b w:val="1"/>
                <w:bCs w:val="1"/>
                <w:color w:val="auto"/>
              </w:rPr>
              <w:t>Total Retail</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9,387.7</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9,350.8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9,145.3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242.4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2.7 %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9,245.1</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20"/>
                <w:szCs w:val="20"/>
                <w:color w:val="auto"/>
              </w:rPr>
            </w:pPr>
            <w:r>
              <w:rPr>
                <w:rFonts w:ascii="Arial" w:cs="Arial" w:eastAsia="Arial" w:hAnsi="Arial"/>
                <w:sz w:val="14"/>
                <w:szCs w:val="14"/>
                <w:b w:val="1"/>
                <w:bCs w:val="1"/>
                <w:color w:val="auto"/>
              </w:rPr>
              <w:t>Group and Specialty</w:t>
            </w: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4"/>
                <w:szCs w:val="14"/>
                <w:color w:val="auto"/>
              </w:rPr>
              <w:t>Fully-insured commercial medical</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820.8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825.0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942.5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-12.9 %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908.6</w:t>
            </w:r>
          </w:p>
        </w:tc>
        <w:tc>
          <w:tcPr>
            <w:tcW w:w="0" w:type="dxa"/>
            <w:vAlign w:val="bottom"/>
          </w:tcPr>
          <w:p>
            <w:pPr>
              <w:spacing w:after="0"/>
              <w:rPr>
                <w:sz w:val="1"/>
                <w:szCs w:val="1"/>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4"/>
                <w:szCs w:val="14"/>
                <w:color w:val="auto"/>
              </w:rPr>
              <w:t>ASO commercial</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506.2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506.2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496.0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529.2</w:t>
            </w:r>
          </w:p>
        </w:tc>
        <w:tc>
          <w:tcPr>
            <w:tcW w:w="0" w:type="dxa"/>
            <w:vAlign w:val="bottom"/>
          </w:tcPr>
          <w:p>
            <w:pPr>
              <w:spacing w:after="0"/>
              <w:rPr>
                <w:sz w:val="1"/>
                <w:szCs w:val="1"/>
                <w:color w:val="auto"/>
              </w:rPr>
            </w:pPr>
          </w:p>
        </w:tc>
      </w:tr>
      <w:tr>
        <w:trPr>
          <w:trHeight w:val="222"/>
        </w:trPr>
        <w:tc>
          <w:tcPr>
            <w:tcW w:w="2680" w:type="dxa"/>
            <w:vAlign w:val="bottom"/>
          </w:tcPr>
          <w:p>
            <w:pPr>
              <w:ind w:left="200"/>
              <w:spacing w:after="0"/>
              <w:rPr>
                <w:sz w:val="20"/>
                <w:szCs w:val="20"/>
                <w:color w:val="auto"/>
              </w:rPr>
            </w:pPr>
            <w:r>
              <w:rPr>
                <w:rFonts w:ascii="Arial" w:cs="Arial" w:eastAsia="Arial" w:hAnsi="Arial"/>
                <w:sz w:val="14"/>
                <w:szCs w:val="14"/>
                <w:color w:val="auto"/>
              </w:rPr>
              <w:t>Military services</w:t>
            </w:r>
          </w:p>
        </w:tc>
        <w:tc>
          <w:tcPr>
            <w:tcW w:w="11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6,033.3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6,017.3</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5,971.4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w:t>
            </w:r>
          </w:p>
        </w:tc>
        <w:tc>
          <w:tcPr>
            <w:tcW w:w="140" w:type="dxa"/>
            <w:vAlign w:val="bottom"/>
            <w:tcBorders>
              <w:bottom w:val="single" w:sz="8" w:color="auto"/>
            </w:tcBorders>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1.0 %</w:t>
            </w:r>
          </w:p>
        </w:tc>
        <w:tc>
          <w:tcPr>
            <w:tcW w:w="60" w:type="dxa"/>
            <w:vAlign w:val="bottom"/>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5,984.3</w:t>
            </w:r>
          </w:p>
        </w:tc>
        <w:tc>
          <w:tcPr>
            <w:tcW w:w="0" w:type="dxa"/>
            <w:vAlign w:val="bottom"/>
          </w:tcPr>
          <w:p>
            <w:pPr>
              <w:spacing w:after="0"/>
              <w:rPr>
                <w:sz w:val="1"/>
                <w:szCs w:val="1"/>
                <w:color w:val="auto"/>
              </w:rPr>
            </w:pPr>
          </w:p>
        </w:tc>
      </w:tr>
      <w:tr>
        <w:trPr>
          <w:trHeight w:val="210"/>
        </w:trPr>
        <w:tc>
          <w:tcPr>
            <w:tcW w:w="2680" w:type="dxa"/>
            <w:vAlign w:val="bottom"/>
          </w:tcPr>
          <w:p>
            <w:pPr>
              <w:ind w:left="520"/>
              <w:spacing w:after="0"/>
              <w:rPr>
                <w:sz w:val="20"/>
                <w:szCs w:val="20"/>
                <w:color w:val="auto"/>
              </w:rPr>
            </w:pPr>
            <w:r>
              <w:rPr>
                <w:rFonts w:ascii="Arial" w:cs="Arial" w:eastAsia="Arial" w:hAnsi="Arial"/>
                <w:sz w:val="14"/>
                <w:szCs w:val="14"/>
                <w:b w:val="1"/>
                <w:bCs w:val="1"/>
                <w:color w:val="auto"/>
              </w:rPr>
              <w:t>Total Group and Specialty</w:t>
            </w:r>
          </w:p>
        </w:tc>
        <w:tc>
          <w:tcPr>
            <w:tcW w:w="11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7,360.3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7,348.5</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7,409.9</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140" w:type="dxa"/>
            <w:vAlign w:val="bottom"/>
            <w:tcBorders>
              <w:bottom w:val="single" w:sz="8" w:color="auto"/>
            </w:tcBorders>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-0.7 %</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7,422.1</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4"/>
                <w:szCs w:val="14"/>
                <w:b w:val="1"/>
                <w:bCs w:val="1"/>
                <w:color w:val="auto"/>
              </w:rPr>
              <w:t>Total Medical Membership</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16,748.0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16,699.3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16,555.2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16,667.2</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Specialty Membership (included in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8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20"/>
                <w:szCs w:val="20"/>
                <w:color w:val="auto"/>
              </w:rPr>
            </w:pPr>
            <w:r>
              <w:rPr>
                <w:rFonts w:ascii="Arial" w:cs="Arial" w:eastAsia="Arial" w:hAnsi="Arial"/>
                <w:sz w:val="14"/>
                <w:szCs w:val="14"/>
                <w:b w:val="1"/>
                <w:bCs w:val="1"/>
                <w:color w:val="auto"/>
              </w:rPr>
              <w:t>Group and Specialty segment):</w:t>
            </w:r>
          </w:p>
        </w:tc>
        <w:tc>
          <w:tcPr>
            <w:tcW w:w="10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4"/>
                <w:szCs w:val="14"/>
                <w:color w:val="auto"/>
              </w:rPr>
              <w:t>Dental—fully-insured (F)</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2,627.8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2,643.8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2,747.5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-4.4 %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2,646.4</w:t>
            </w:r>
          </w:p>
        </w:tc>
        <w:tc>
          <w:tcPr>
            <w:tcW w:w="0" w:type="dxa"/>
            <w:vAlign w:val="bottom"/>
          </w:tcPr>
          <w:p>
            <w:pPr>
              <w:spacing w:after="0"/>
              <w:rPr>
                <w:sz w:val="1"/>
                <w:szCs w:val="1"/>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4"/>
                <w:szCs w:val="14"/>
                <w:color w:val="auto"/>
              </w:rPr>
              <w:t>Dental—ASO</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284.2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286.4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611.3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-53.5 %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4"/>
                <w:szCs w:val="14"/>
                <w:color w:val="auto"/>
              </w:rPr>
              <w:t>Vision</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2,030.7</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2,036.3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2,084.3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2,082.5</w:t>
            </w:r>
          </w:p>
        </w:tc>
        <w:tc>
          <w:tcPr>
            <w:tcW w:w="0" w:type="dxa"/>
            <w:vAlign w:val="bottom"/>
          </w:tcPr>
          <w:p>
            <w:pPr>
              <w:spacing w:after="0"/>
              <w:rPr>
                <w:sz w:val="1"/>
                <w:szCs w:val="1"/>
                <w:color w:val="auto"/>
              </w:rPr>
            </w:pPr>
          </w:p>
        </w:tc>
      </w:tr>
      <w:tr>
        <w:trPr>
          <w:trHeight w:val="222"/>
        </w:trPr>
        <w:tc>
          <w:tcPr>
            <w:tcW w:w="2680" w:type="dxa"/>
            <w:vAlign w:val="bottom"/>
          </w:tcPr>
          <w:p>
            <w:pPr>
              <w:ind w:left="200"/>
              <w:spacing w:after="0"/>
              <w:rPr>
                <w:sz w:val="20"/>
                <w:szCs w:val="20"/>
                <w:color w:val="auto"/>
              </w:rPr>
            </w:pPr>
            <w:r>
              <w:rPr>
                <w:rFonts w:ascii="Arial" w:cs="Arial" w:eastAsia="Arial" w:hAnsi="Arial"/>
                <w:sz w:val="14"/>
                <w:szCs w:val="14"/>
                <w:color w:val="auto"/>
              </w:rPr>
              <w:t>Other supplemental benefits (G)</w:t>
            </w:r>
          </w:p>
        </w:tc>
        <w:tc>
          <w:tcPr>
            <w:tcW w:w="114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402.2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403.0</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416.9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40" w:type="dxa"/>
            <w:vAlign w:val="bottom"/>
            <w:tcBorders>
              <w:bottom w:val="single" w:sz="8" w:color="auto"/>
            </w:tcBorders>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-3.5 %</w:t>
            </w:r>
          </w:p>
        </w:tc>
        <w:tc>
          <w:tcPr>
            <w:tcW w:w="60" w:type="dxa"/>
            <w:vAlign w:val="bottom"/>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418.1</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4"/>
                <w:szCs w:val="14"/>
                <w:b w:val="1"/>
                <w:bCs w:val="1"/>
                <w:color w:val="auto"/>
              </w:rPr>
              <w:t>Total Specialty Membership</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00497F"/>
              </w:rPr>
              <w:t>5,344.9</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0497F"/>
              </w:rPr>
              <w:t>5,369.5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5,860.0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(515.1)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-8.8 %</w:t>
            </w:r>
          </w:p>
        </w:tc>
        <w:tc>
          <w:tcPr>
            <w:tcW w:w="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5,425.9</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2680" w:type="dxa"/>
            <w:vAlign w:val="bottom"/>
            <w:tcBorders>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Member Mix</w:t>
            </w: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40" w:type="dxa"/>
            <w:vAlign w:val="bottom"/>
            <w:gridSpan w:val="4"/>
            <w:vMerge w:val="restart"/>
          </w:tcPr>
          <w:p>
            <w:pPr>
              <w:jc w:val="center"/>
              <w:ind w:right="980"/>
              <w:spacing w:after="0"/>
              <w:rPr>
                <w:sz w:val="20"/>
                <w:szCs w:val="20"/>
                <w:color w:val="auto"/>
              </w:rPr>
            </w:pPr>
            <w:r>
              <w:rPr>
                <w:rFonts w:ascii="Arial" w:cs="Arial" w:eastAsia="Arial" w:hAnsi="Arial"/>
                <w:sz w:val="14"/>
                <w:szCs w:val="14"/>
                <w:color w:val="auto"/>
              </w:rPr>
              <w:t>Member Mix</w:t>
            </w: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4"/>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10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00497F"/>
              </w:rPr>
              <w:t>June 30, 2020</w:t>
            </w:r>
          </w:p>
        </w:tc>
        <w:tc>
          <w:tcPr>
            <w:tcW w:w="120" w:type="dxa"/>
            <w:vAlign w:val="bottom"/>
          </w:tcPr>
          <w:p>
            <w:pPr>
              <w:spacing w:after="0"/>
              <w:rPr>
                <w:sz w:val="17"/>
                <w:szCs w:val="17"/>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June 30, 2020</w:t>
            </w: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June 30, 2019</w:t>
            </w:r>
          </w:p>
        </w:tc>
        <w:tc>
          <w:tcPr>
            <w:tcW w:w="2040" w:type="dxa"/>
            <w:vAlign w:val="bottom"/>
            <w:gridSpan w:val="4"/>
          </w:tcPr>
          <w:p>
            <w:pPr>
              <w:jc w:val="center"/>
              <w:ind w:right="980"/>
              <w:spacing w:after="0"/>
              <w:rPr>
                <w:sz w:val="20"/>
                <w:szCs w:val="20"/>
                <w:color w:val="auto"/>
              </w:rPr>
            </w:pPr>
            <w:r>
              <w:rPr>
                <w:rFonts w:ascii="Arial" w:cs="Arial" w:eastAsia="Arial" w:hAnsi="Arial"/>
                <w:sz w:val="14"/>
                <w:szCs w:val="14"/>
                <w:color w:val="auto"/>
              </w:rPr>
              <w:t>June 30, 2019</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80" w:type="dxa"/>
            <w:vAlign w:val="bottom"/>
          </w:tcPr>
          <w:p>
            <w:pPr>
              <w:spacing w:after="0"/>
              <w:rPr>
                <w:sz w:val="20"/>
                <w:szCs w:val="20"/>
                <w:color w:val="auto"/>
              </w:rPr>
            </w:pPr>
            <w:r>
              <w:rPr>
                <w:rFonts w:ascii="Arial" w:cs="Arial" w:eastAsia="Arial" w:hAnsi="Arial"/>
                <w:sz w:val="14"/>
                <w:szCs w:val="14"/>
                <w:color w:val="auto"/>
              </w:rPr>
              <w:t>Individual Medicare Advantage</w:t>
            </w:r>
          </w:p>
        </w:tc>
        <w:tc>
          <w:tcPr>
            <w:tcW w:w="1020" w:type="dxa"/>
            <w:vAlign w:val="bottom"/>
            <w:tcBorders>
              <w:top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Arial" w:cs="Arial" w:eastAsia="Arial" w:hAnsi="Arial"/>
                <w:sz w:val="14"/>
                <w:szCs w:val="14"/>
                <w:color w:val="auto"/>
              </w:rPr>
              <w:t>Membership</w:t>
            </w:r>
          </w:p>
        </w:tc>
        <w:tc>
          <w:tcPr>
            <w:tcW w:w="10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4"/>
                <w:szCs w:val="14"/>
                <w:color w:val="auto"/>
              </w:rPr>
              <w:t>HMO</w:t>
            </w:r>
          </w:p>
        </w:tc>
        <w:tc>
          <w:tcPr>
            <w:tcW w:w="10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2,295.6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59 %</w:t>
            </w: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2,055.2</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59 %</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tcPr>
          <w:p>
            <w:pPr>
              <w:ind w:left="200"/>
              <w:spacing w:after="0"/>
              <w:rPr>
                <w:sz w:val="20"/>
                <w:szCs w:val="20"/>
                <w:color w:val="auto"/>
              </w:rPr>
            </w:pPr>
            <w:r>
              <w:rPr>
                <w:rFonts w:ascii="Arial" w:cs="Arial" w:eastAsia="Arial" w:hAnsi="Arial"/>
                <w:sz w:val="14"/>
                <w:szCs w:val="14"/>
                <w:color w:val="auto"/>
              </w:rPr>
              <w:t>PPO</w:t>
            </w:r>
          </w:p>
        </w:tc>
        <w:tc>
          <w:tcPr>
            <w:tcW w:w="10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1,581.6</w:t>
            </w:r>
          </w:p>
        </w:tc>
        <w:tc>
          <w:tcPr>
            <w:tcW w:w="1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1,429.3</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41 %</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80" w:type="dxa"/>
            <w:vAlign w:val="bottom"/>
          </w:tcPr>
          <w:p>
            <w:pPr>
              <w:spacing w:after="0"/>
              <w:rPr>
                <w:sz w:val="20"/>
                <w:szCs w:val="20"/>
                <w:color w:val="auto"/>
              </w:rPr>
            </w:pPr>
            <w:r>
              <w:rPr>
                <w:rFonts w:ascii="Arial" w:cs="Arial" w:eastAsia="Arial" w:hAnsi="Arial"/>
                <w:sz w:val="14"/>
                <w:szCs w:val="14"/>
                <w:b w:val="1"/>
                <w:bCs w:val="1"/>
                <w:color w:val="auto"/>
              </w:rPr>
              <w:t>Total Individual Medicare Advantage</w:t>
            </w:r>
          </w:p>
        </w:tc>
        <w:tc>
          <w:tcPr>
            <w:tcW w:w="10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3,877.2</w:t>
            </w:r>
          </w:p>
        </w:tc>
        <w:tc>
          <w:tcPr>
            <w:tcW w:w="12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3,484.5</w:t>
            </w:r>
          </w:p>
        </w:tc>
        <w:tc>
          <w:tcPr>
            <w:tcW w:w="100" w:type="dxa"/>
            <w:vAlign w:val="bottom"/>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80" w:type="dxa"/>
            <w:vAlign w:val="bottom"/>
          </w:tcPr>
          <w:p>
            <w:pPr>
              <w:spacing w:after="0"/>
              <w:rPr>
                <w:sz w:val="20"/>
                <w:szCs w:val="20"/>
                <w:color w:val="auto"/>
              </w:rPr>
            </w:pPr>
            <w:r>
              <w:rPr>
                <w:rFonts w:ascii="Arial" w:cs="Arial" w:eastAsia="Arial" w:hAnsi="Arial"/>
                <w:sz w:val="14"/>
                <w:szCs w:val="14"/>
                <w:color w:val="auto"/>
              </w:rPr>
              <w:t>Individual Medicare Advantage</w:t>
            </w:r>
          </w:p>
        </w:tc>
        <w:tc>
          <w:tcPr>
            <w:tcW w:w="10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Arial" w:cs="Arial" w:eastAsia="Arial" w:hAnsi="Arial"/>
                <w:sz w:val="14"/>
                <w:szCs w:val="14"/>
                <w:color w:val="auto"/>
              </w:rPr>
              <w:t>Membership</w:t>
            </w:r>
          </w:p>
        </w:tc>
        <w:tc>
          <w:tcPr>
            <w:tcW w:w="10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0"/>
              <w:spacing w:after="0"/>
              <w:rPr>
                <w:sz w:val="20"/>
                <w:szCs w:val="20"/>
                <w:color w:val="auto"/>
              </w:rPr>
            </w:pPr>
            <w:r>
              <w:rPr>
                <w:rFonts w:ascii="Arial" w:cs="Arial" w:eastAsia="Arial" w:hAnsi="Arial"/>
                <w:sz w:val="14"/>
                <w:szCs w:val="14"/>
                <w:color w:val="auto"/>
              </w:rPr>
              <w:t>Shared Risk (H)</w:t>
            </w:r>
          </w:p>
        </w:tc>
        <w:tc>
          <w:tcPr>
            <w:tcW w:w="10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1,200.4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31 %</w:t>
            </w:r>
          </w:p>
        </w:tc>
        <w:tc>
          <w:tcPr>
            <w:tcW w:w="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1,056.9</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30 %</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tcPr>
          <w:p>
            <w:pPr>
              <w:ind w:left="200"/>
              <w:spacing w:after="0"/>
              <w:rPr>
                <w:sz w:val="20"/>
                <w:szCs w:val="20"/>
                <w:color w:val="auto"/>
              </w:rPr>
            </w:pPr>
            <w:r>
              <w:rPr>
                <w:rFonts w:ascii="Arial" w:cs="Arial" w:eastAsia="Arial" w:hAnsi="Arial"/>
                <w:sz w:val="14"/>
                <w:szCs w:val="14"/>
                <w:color w:val="auto"/>
              </w:rPr>
              <w:t>Path to Risk (I)</w:t>
            </w:r>
          </w:p>
        </w:tc>
        <w:tc>
          <w:tcPr>
            <w:tcW w:w="10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1,351.9</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1,215.4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520"/>
              <w:spacing w:after="0"/>
              <w:rPr>
                <w:sz w:val="20"/>
                <w:szCs w:val="20"/>
                <w:color w:val="auto"/>
              </w:rPr>
            </w:pPr>
            <w:r>
              <w:rPr>
                <w:rFonts w:ascii="Arial" w:cs="Arial" w:eastAsia="Arial" w:hAnsi="Arial"/>
                <w:sz w:val="14"/>
                <w:szCs w:val="14"/>
                <w:color w:val="auto"/>
              </w:rPr>
              <w:t>Total Value-based</w:t>
            </w:r>
          </w:p>
        </w:tc>
        <w:tc>
          <w:tcPr>
            <w:tcW w:w="10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2,552.3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2,272.3</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80" w:type="dxa"/>
            <w:vAlign w:val="bottom"/>
          </w:tcPr>
          <w:p>
            <w:pPr>
              <w:ind w:left="20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1,324.9</w:t>
            </w:r>
          </w:p>
        </w:tc>
        <w:tc>
          <w:tcPr>
            <w:tcW w:w="1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34 %</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1,212.2</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35 %</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80" w:type="dxa"/>
            <w:vAlign w:val="bottom"/>
          </w:tcPr>
          <w:p>
            <w:pPr>
              <w:spacing w:after="0"/>
              <w:rPr>
                <w:sz w:val="20"/>
                <w:szCs w:val="20"/>
                <w:color w:val="auto"/>
              </w:rPr>
            </w:pPr>
            <w:r>
              <w:rPr>
                <w:rFonts w:ascii="Arial" w:cs="Arial" w:eastAsia="Arial" w:hAnsi="Arial"/>
                <w:sz w:val="14"/>
                <w:szCs w:val="14"/>
                <w:b w:val="1"/>
                <w:bCs w:val="1"/>
                <w:color w:val="auto"/>
              </w:rPr>
              <w:t>Total Individual Medicare Advantage</w:t>
            </w:r>
          </w:p>
        </w:tc>
        <w:tc>
          <w:tcPr>
            <w:tcW w:w="10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00497F"/>
              </w:rPr>
              <w:t>3,877.2</w:t>
            </w:r>
          </w:p>
        </w:tc>
        <w:tc>
          <w:tcPr>
            <w:tcW w:w="12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3,484.5</w:t>
            </w:r>
          </w:p>
        </w:tc>
        <w:tc>
          <w:tcPr>
            <w:tcW w:w="100" w:type="dxa"/>
            <w:vAlign w:val="bottom"/>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Year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-118745</wp:posOffset>
            </wp:positionV>
            <wp:extent cx="91757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7575" cy="25717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b w:val="1"/>
          <w:bCs w:val="1"/>
          <w:color w:val="auto"/>
        </w:rPr>
        <w:t>Change</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Amount</w:t>
        <w:tab/>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26035</wp:posOffset>
            </wp:positionV>
            <wp:extent cx="9086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4"/>
          <w:szCs w:val="14"/>
          <w:color w:val="auto"/>
        </w:rPr>
        <w:t>290.0</w:t>
      </w:r>
      <w:r>
        <w:rPr>
          <w:sz w:val="20"/>
          <w:szCs w:val="20"/>
          <w:color w:val="auto"/>
        </w:rPr>
        <w:tab/>
      </w:r>
      <w:r>
        <w:rPr>
          <w:rFonts w:ascii="Arial" w:cs="Arial" w:eastAsia="Arial" w:hAnsi="Arial"/>
          <w:sz w:val="14"/>
          <w:szCs w:val="14"/>
          <w:color w:val="auto"/>
        </w:rPr>
        <w:t>8.1 %</w:t>
      </w:r>
    </w:p>
    <w:p>
      <w:pPr>
        <w:spacing w:after="0" w:line="55" w:lineRule="exact"/>
        <w:rPr>
          <w:sz w:val="20"/>
          <w:szCs w:val="20"/>
          <w:color w:val="auto"/>
        </w:rPr>
      </w:pPr>
    </w:p>
    <w:p>
      <w:pPr>
        <w:jc w:val="right"/>
        <w:spacing w:after="0"/>
        <w:tabs>
          <w:tab w:leader="none" w:pos="440" w:val="left"/>
        </w:tabs>
        <w:rPr>
          <w:sz w:val="20"/>
          <w:szCs w:val="20"/>
          <w:color w:val="auto"/>
        </w:rPr>
      </w:pPr>
      <w:r>
        <w:rPr>
          <w:rFonts w:ascii="Arial" w:cs="Arial" w:eastAsia="Arial" w:hAnsi="Arial"/>
          <w:sz w:val="14"/>
          <w:szCs w:val="14"/>
          <w:color w:val="auto"/>
        </w:rPr>
        <w:t>83.0</w:t>
      </w:r>
      <w:r>
        <w:rPr>
          <w:sz w:val="20"/>
          <w:szCs w:val="20"/>
          <w:color w:val="auto"/>
        </w:rPr>
        <w:tab/>
      </w:r>
      <w:r>
        <w:rPr>
          <w:rFonts w:ascii="Arial" w:cs="Arial" w:eastAsia="Arial" w:hAnsi="Arial"/>
          <w:sz w:val="14"/>
          <w:szCs w:val="14"/>
          <w:color w:val="auto"/>
        </w:rPr>
        <w:t>15.8 %</w:t>
      </w:r>
    </w:p>
    <w:p>
      <w:pPr>
        <w:spacing w:after="0" w:line="55"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4"/>
          <w:szCs w:val="14"/>
          <w:color w:val="auto"/>
        </w:rPr>
        <w:t>(476.8)</w:t>
      </w:r>
      <w:r>
        <w:rPr>
          <w:sz w:val="20"/>
          <w:szCs w:val="20"/>
          <w:color w:val="auto"/>
        </w:rPr>
        <w:tab/>
      </w:r>
      <w:r>
        <w:rPr>
          <w:rFonts w:ascii="Arial" w:cs="Arial" w:eastAsia="Arial" w:hAnsi="Arial"/>
          <w:sz w:val="14"/>
          <w:szCs w:val="14"/>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428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49"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4"/>
          <w:szCs w:val="14"/>
          <w:color w:val="auto"/>
        </w:rPr>
        <w:t>(103.8)</w:t>
      </w:r>
      <w:r>
        <w:rPr>
          <w:sz w:val="20"/>
          <w:szCs w:val="20"/>
          <w:color w:val="auto"/>
        </w:rPr>
        <w:tab/>
      </w:r>
      <w:r>
        <w:rPr>
          <w:rFonts w:ascii="Arial" w:cs="Arial" w:eastAsia="Arial" w:hAnsi="Arial"/>
          <w:sz w:val="14"/>
          <w:szCs w:val="14"/>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428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4"/>
          <w:szCs w:val="14"/>
          <w:color w:val="auto"/>
        </w:rPr>
        <w:t>220.2</w:t>
      </w:r>
      <w:r>
        <w:rPr>
          <w:sz w:val="20"/>
          <w:szCs w:val="20"/>
          <w:color w:val="auto"/>
        </w:rPr>
        <w:tab/>
      </w:r>
      <w:r>
        <w:rPr>
          <w:rFonts w:ascii="Arial" w:cs="Arial" w:eastAsia="Arial" w:hAnsi="Arial"/>
          <w:sz w:val="14"/>
          <w:szCs w:val="14"/>
          <w:color w:val="auto"/>
        </w:rPr>
        <w:t>47.0 %</w:t>
      </w:r>
    </w:p>
    <w:p>
      <w:pPr>
        <w:spacing w:after="0" w:line="5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color w:val="auto"/>
        </w:rPr>
        <w:t>26.2</w:t>
      </w:r>
      <w:r>
        <w:rPr>
          <w:sz w:val="20"/>
          <w:szCs w:val="20"/>
          <w:color w:val="auto"/>
        </w:rPr>
        <w:tab/>
      </w:r>
      <w:r>
        <w:rPr>
          <w:rFonts w:ascii="Arial" w:cs="Arial" w:eastAsia="Arial" w:hAnsi="Arial"/>
          <w:sz w:val="14"/>
          <w:szCs w:val="14"/>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428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4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4"/>
          <w:szCs w:val="14"/>
          <w:color w:val="auto"/>
        </w:rPr>
        <w:t>142.6</w:t>
      </w:r>
      <w:r>
        <w:rPr>
          <w:sz w:val="20"/>
          <w:szCs w:val="20"/>
          <w:color w:val="auto"/>
        </w:rPr>
        <w:tab/>
      </w:r>
      <w:r>
        <w:rPr>
          <w:rFonts w:ascii="Arial" w:cs="Arial" w:eastAsia="Arial" w:hAnsi="Arial"/>
          <w:sz w:val="14"/>
          <w:szCs w:val="14"/>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428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4"/>
          <w:szCs w:val="14"/>
          <w:color w:val="auto"/>
        </w:rPr>
        <w:t>(87.8)</w:t>
      </w:r>
      <w:r>
        <w:rPr>
          <w:sz w:val="20"/>
          <w:szCs w:val="20"/>
          <w:color w:val="auto"/>
        </w:rPr>
        <w:tab/>
      </w:r>
      <w:r>
        <w:rPr>
          <w:rFonts w:ascii="Arial" w:cs="Arial" w:eastAsia="Arial" w:hAnsi="Arial"/>
          <w:sz w:val="14"/>
          <w:szCs w:val="14"/>
          <w:color w:val="auto"/>
        </w:rPr>
        <w:t>-9.7 %</w:t>
      </w:r>
    </w:p>
    <w:p>
      <w:pPr>
        <w:spacing w:after="0" w:line="55"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4"/>
          <w:szCs w:val="14"/>
          <w:color w:val="auto"/>
        </w:rPr>
        <w:t>(23.0)</w:t>
      </w:r>
      <w:r>
        <w:rPr>
          <w:sz w:val="20"/>
          <w:szCs w:val="20"/>
          <w:color w:val="auto"/>
        </w:rPr>
        <w:tab/>
      </w:r>
      <w:r>
        <w:rPr>
          <w:rFonts w:ascii="Arial" w:cs="Arial" w:eastAsia="Arial" w:hAnsi="Arial"/>
          <w:sz w:val="14"/>
          <w:szCs w:val="14"/>
          <w:color w:val="auto"/>
        </w:rPr>
        <w:t>-4.3 %</w:t>
      </w:r>
    </w:p>
    <w:p>
      <w:pPr>
        <w:spacing w:after="0" w:line="5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color w:val="auto"/>
        </w:rPr>
        <w:t>49.0</w:t>
      </w:r>
      <w:r>
        <w:rPr>
          <w:sz w:val="20"/>
          <w:szCs w:val="20"/>
          <w:color w:val="auto"/>
        </w:rPr>
        <w:tab/>
      </w:r>
      <w:r>
        <w:rPr>
          <w:rFonts w:ascii="Arial" w:cs="Arial" w:eastAsia="Arial" w:hAnsi="Arial"/>
          <w:sz w:val="14"/>
          <w:szCs w:val="14"/>
          <w:color w:val="auto"/>
        </w:rPr>
        <w:t>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4286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49"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4"/>
          <w:szCs w:val="14"/>
          <w:color w:val="auto"/>
        </w:rPr>
        <w:t>(61.8)</w:t>
      </w:r>
      <w:r>
        <w:rPr>
          <w:sz w:val="20"/>
          <w:szCs w:val="20"/>
          <w:color w:val="auto"/>
        </w:rPr>
        <w:tab/>
      </w:r>
      <w:r>
        <w:rPr>
          <w:rFonts w:ascii="Arial" w:cs="Arial" w:eastAsia="Arial" w:hAnsi="Arial"/>
          <w:sz w:val="14"/>
          <w:szCs w:val="14"/>
          <w:color w:val="auto"/>
        </w:rPr>
        <w:t>-0.8 %</w:t>
      </w:r>
    </w:p>
    <w:p>
      <w:pPr>
        <w:spacing w:after="0" w:line="1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color w:val="auto"/>
        </w:rPr>
        <w:t>80.8</w:t>
      </w:r>
      <w:r>
        <w:rPr>
          <w:sz w:val="20"/>
          <w:szCs w:val="20"/>
          <w:color w:val="auto"/>
        </w:rPr>
        <w:tab/>
      </w:r>
      <w:r>
        <w:rPr>
          <w:rFonts w:ascii="Arial" w:cs="Arial" w:eastAsia="Arial" w:hAnsi="Arial"/>
          <w:sz w:val="22"/>
          <w:szCs w:val="22"/>
          <w:color w:val="auto"/>
          <w:vertAlign w:val="subscript"/>
        </w:rPr>
        <w:t>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-152400</wp:posOffset>
            </wp:positionV>
            <wp:extent cx="428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-6350</wp:posOffset>
            </wp:positionV>
            <wp:extent cx="4286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18415</wp:posOffset>
            </wp:positionV>
            <wp:extent cx="428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4"/>
          <w:szCs w:val="14"/>
          <w:color w:val="auto"/>
        </w:rPr>
        <w:t>(18.6)</w:t>
      </w:r>
      <w:r>
        <w:rPr>
          <w:sz w:val="20"/>
          <w:szCs w:val="20"/>
          <w:color w:val="auto"/>
        </w:rPr>
        <w:tab/>
      </w:r>
      <w:r>
        <w:rPr>
          <w:rFonts w:ascii="Arial" w:cs="Arial" w:eastAsia="Arial" w:hAnsi="Arial"/>
          <w:sz w:val="14"/>
          <w:szCs w:val="14"/>
          <w:color w:val="auto"/>
        </w:rPr>
        <w:t>-0.7 %</w:t>
      </w:r>
    </w:p>
    <w:p>
      <w:pPr>
        <w:spacing w:after="0" w:line="5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1.9 %</w:t>
      </w:r>
    </w:p>
    <w:p>
      <w:pPr>
        <w:spacing w:after="0" w:line="55"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4"/>
          <w:szCs w:val="14"/>
          <w:color w:val="auto"/>
        </w:rPr>
        <w:t>(51.8)</w:t>
      </w:r>
      <w:r>
        <w:rPr>
          <w:sz w:val="20"/>
          <w:szCs w:val="20"/>
          <w:color w:val="auto"/>
        </w:rPr>
        <w:tab/>
      </w:r>
      <w:r>
        <w:rPr>
          <w:rFonts w:ascii="Arial" w:cs="Arial" w:eastAsia="Arial" w:hAnsi="Arial"/>
          <w:sz w:val="14"/>
          <w:szCs w:val="14"/>
          <w:color w:val="auto"/>
        </w:rPr>
        <w:t>-2.5 %</w:t>
      </w:r>
    </w:p>
    <w:p>
      <w:pPr>
        <w:spacing w:after="0" w:line="55"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4"/>
          <w:szCs w:val="14"/>
          <w:color w:val="auto"/>
        </w:rPr>
        <w:t>(15.9)</w:t>
      </w:r>
      <w:r>
        <w:rPr>
          <w:sz w:val="20"/>
          <w:szCs w:val="20"/>
          <w:color w:val="auto"/>
        </w:rPr>
        <w:tab/>
      </w:r>
      <w:r>
        <w:rPr>
          <w:rFonts w:ascii="Arial" w:cs="Arial" w:eastAsia="Arial" w:hAnsi="Arial"/>
          <w:sz w:val="14"/>
          <w:szCs w:val="14"/>
          <w:color w:val="auto"/>
        </w:rPr>
        <w:t>-3.8 %</w:t>
      </w:r>
    </w:p>
    <w:p>
      <w:pPr>
        <w:spacing w:after="0" w:line="11"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4"/>
          <w:szCs w:val="14"/>
          <w:color w:val="auto"/>
        </w:rPr>
        <w:t>(81.0)</w:t>
      </w:r>
      <w:r>
        <w:rPr>
          <w:sz w:val="20"/>
          <w:szCs w:val="20"/>
          <w:color w:val="auto"/>
        </w:rPr>
        <w:tab/>
      </w:r>
      <w:r>
        <w:rPr>
          <w:rFonts w:ascii="Arial" w:cs="Arial" w:eastAsia="Arial" w:hAnsi="Arial"/>
          <w:sz w:val="22"/>
          <w:szCs w:val="22"/>
          <w:color w:val="auto"/>
          <w:vertAlign w:val="subscript"/>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wp:posOffset>
            </wp:positionV>
            <wp:extent cx="428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18415</wp:posOffset>
            </wp:positionV>
            <wp:extent cx="428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-152400</wp:posOffset>
            </wp:positionV>
            <wp:extent cx="428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ectPr>
          <w:pgSz w:w="11900" w:h="16838" w:orient="portrait"/>
          <w:cols w:equalWidth="0" w:num="2">
            <w:col w:w="9140" w:space="160"/>
            <w:col w:w="1340"/>
          </w:cols>
          <w:pgMar w:left="320" w:top="390" w:right="939" w:bottom="1440" w:gutter="0" w:footer="0" w:header="0"/>
        </w:sectPr>
      </w:pPr>
    </w:p>
    <w:bookmarkStart w:id="46" w:name="page47"/>
    <w:bookmarkEnd w:id="46"/>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Premiums and Services Revenue Detail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member per month</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629"/>
        </w:trPr>
        <w:tc>
          <w:tcPr>
            <w:tcW w:w="3140" w:type="dxa"/>
            <w:vAlign w:val="bottom"/>
            <w:tcBorders>
              <w:right w:val="single" w:sz="8" w:color="auto"/>
            </w:tcBorders>
          </w:tcPr>
          <w:p>
            <w:pPr>
              <w:spacing w:after="0"/>
              <w:rPr>
                <w:sz w:val="24"/>
                <w:szCs w:val="24"/>
                <w:color w:val="auto"/>
              </w:rPr>
            </w:pPr>
          </w:p>
        </w:tc>
        <w:tc>
          <w:tcPr>
            <w:tcW w:w="2640" w:type="dxa"/>
            <w:vAlign w:val="bottom"/>
            <w:tcBorders>
              <w:top w:val="single" w:sz="8" w:color="auto"/>
              <w:bottom w:val="single" w:sz="8" w:color="auto"/>
              <w:right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202"/>
        </w:trPr>
        <w:tc>
          <w:tcPr>
            <w:tcW w:w="3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Borders>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440"/>
              <w:spacing w:after="0"/>
              <w:rPr>
                <w:sz w:val="20"/>
                <w:szCs w:val="20"/>
                <w:color w:val="auto"/>
              </w:rPr>
            </w:pPr>
            <w:r>
              <w:rPr>
                <w:rFonts w:ascii="Arial" w:cs="Arial" w:eastAsia="Arial" w:hAnsi="Arial"/>
                <w:sz w:val="14"/>
                <w:szCs w:val="14"/>
                <w:b w:val="1"/>
                <w:bCs w:val="1"/>
                <w:color w:val="366092"/>
              </w:rPr>
              <w:t>2020</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0"/>
        </w:trPr>
        <w:tc>
          <w:tcPr>
            <w:tcW w:w="314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Premiums and Services Revenue</w:t>
            </w:r>
          </w:p>
        </w:tc>
        <w:tc>
          <w:tcPr>
            <w:tcW w:w="28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Retail</w:t>
            </w:r>
          </w:p>
        </w:tc>
        <w:tc>
          <w:tcPr>
            <w:tcW w:w="28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Individual Medicare Advantage</w:t>
            </w:r>
          </w:p>
        </w:tc>
        <w:tc>
          <w:tcPr>
            <w:tcW w:w="280" w:type="dxa"/>
            <w:vAlign w:val="bottom"/>
          </w:tcPr>
          <w:p>
            <w:pPr>
              <w:jc w:val="right"/>
              <w:ind w:right="126"/>
              <w:spacing w:after="0"/>
              <w:rPr>
                <w:sz w:val="20"/>
                <w:szCs w:val="20"/>
                <w:color w:val="auto"/>
              </w:rPr>
            </w:pPr>
            <w:r>
              <w:rPr>
                <w:rFonts w:ascii="Arial" w:cs="Arial" w:eastAsia="Arial" w:hAnsi="Arial"/>
                <w:sz w:val="15"/>
                <w:szCs w:val="15"/>
                <w:b w:val="1"/>
                <w:bCs w:val="1"/>
                <w:color w:val="366092"/>
                <w:w w:val="71"/>
              </w:rPr>
              <w:t>$</w:t>
            </w:r>
          </w:p>
        </w:tc>
        <w:tc>
          <w:tcPr>
            <w:tcW w:w="102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13,005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10,793</w:t>
            </w: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Group Medicare Advantage</w:t>
            </w:r>
          </w:p>
        </w:tc>
        <w:tc>
          <w:tcPr>
            <w:tcW w:w="280" w:type="dxa"/>
            <w:vAlign w:val="bottom"/>
          </w:tcPr>
          <w:p>
            <w:pPr>
              <w:spacing w:after="0"/>
              <w:rPr>
                <w:sz w:val="21"/>
                <w:szCs w:val="21"/>
                <w:color w:val="auto"/>
              </w:rPr>
            </w:pPr>
          </w:p>
        </w:tc>
        <w:tc>
          <w:tcPr>
            <w:tcW w:w="102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1,976</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Medicare stand-alone PDP</w:t>
            </w:r>
          </w:p>
        </w:tc>
        <w:tc>
          <w:tcPr>
            <w:tcW w:w="280" w:type="dxa"/>
            <w:vAlign w:val="bottom"/>
          </w:tcPr>
          <w:p>
            <w:pPr>
              <w:spacing w:after="0"/>
              <w:rPr>
                <w:sz w:val="21"/>
                <w:szCs w:val="21"/>
                <w:color w:val="auto"/>
              </w:rPr>
            </w:pPr>
          </w:p>
        </w:tc>
        <w:tc>
          <w:tcPr>
            <w:tcW w:w="102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731</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State-based contracts (E)</w:t>
            </w:r>
          </w:p>
        </w:tc>
        <w:tc>
          <w:tcPr>
            <w:tcW w:w="280" w:type="dxa"/>
            <w:vAlign w:val="bottom"/>
          </w:tcPr>
          <w:p>
            <w:pPr>
              <w:spacing w:after="0"/>
              <w:rPr>
                <w:sz w:val="21"/>
                <w:szCs w:val="21"/>
                <w:color w:val="auto"/>
              </w:rPr>
            </w:pPr>
          </w:p>
        </w:tc>
        <w:tc>
          <w:tcPr>
            <w:tcW w:w="102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1,042</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Medicare Supplement</w:t>
            </w:r>
          </w:p>
        </w:tc>
        <w:tc>
          <w:tcPr>
            <w:tcW w:w="280" w:type="dxa"/>
            <w:vAlign w:val="bottom"/>
          </w:tcPr>
          <w:p>
            <w:pPr>
              <w:spacing w:after="0"/>
              <w:rPr>
                <w:sz w:val="21"/>
                <w:szCs w:val="21"/>
                <w:color w:val="auto"/>
              </w:rPr>
            </w:pPr>
          </w:p>
        </w:tc>
        <w:tc>
          <w:tcPr>
            <w:tcW w:w="102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169</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56"/>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Other services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6</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140" w:type="dxa"/>
            <w:vAlign w:val="bottom"/>
            <w:tcBorders>
              <w:right w:val="single" w:sz="8" w:color="auto"/>
            </w:tcBorders>
          </w:tcPr>
          <w:p>
            <w:pPr>
              <w:ind w:left="640"/>
              <w:spacing w:after="0"/>
              <w:rPr>
                <w:sz w:val="20"/>
                <w:szCs w:val="20"/>
                <w:color w:val="auto"/>
              </w:rPr>
            </w:pPr>
            <w:r>
              <w:rPr>
                <w:rFonts w:ascii="Arial" w:cs="Arial" w:eastAsia="Arial" w:hAnsi="Arial"/>
                <w:sz w:val="16"/>
                <w:szCs w:val="16"/>
                <w:b w:val="1"/>
                <w:bCs w:val="1"/>
                <w:color w:val="auto"/>
              </w:rPr>
              <w:t>Total Retail</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16,929</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14,110</w:t>
            </w:r>
          </w:p>
        </w:tc>
        <w:tc>
          <w:tcPr>
            <w:tcW w:w="0" w:type="dxa"/>
            <w:vAlign w:val="bottom"/>
          </w:tcPr>
          <w:p>
            <w:pPr>
              <w:spacing w:after="0"/>
              <w:rPr>
                <w:sz w:val="1"/>
                <w:szCs w:val="1"/>
                <w:color w:val="auto"/>
              </w:rPr>
            </w:pPr>
          </w:p>
        </w:tc>
      </w:tr>
      <w:tr>
        <w:trPr>
          <w:trHeight w:val="21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Group and Specialty</w:t>
            </w: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80"/>
              <w:spacing w:after="0"/>
              <w:rPr>
                <w:sz w:val="20"/>
                <w:szCs w:val="20"/>
                <w:color w:val="auto"/>
              </w:rPr>
            </w:pPr>
            <w:r>
              <w:rPr>
                <w:rFonts w:ascii="Arial" w:cs="Arial" w:eastAsia="Arial" w:hAnsi="Arial"/>
                <w:sz w:val="16"/>
                <w:szCs w:val="16"/>
                <w:b w:val="1"/>
                <w:bCs w:val="1"/>
                <w:color w:val="366092"/>
              </w:rPr>
              <w:t>1,208</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Fully-insured commercial medical</w:t>
            </w:r>
          </w:p>
        </w:tc>
        <w:tc>
          <w:tcPr>
            <w:tcW w:w="280" w:type="dxa"/>
            <w:vAlign w:val="bottom"/>
          </w:tcPr>
          <w:p>
            <w:pPr>
              <w:spacing w:after="0"/>
              <w:rPr>
                <w:sz w:val="21"/>
                <w:szCs w:val="21"/>
                <w:color w:val="auto"/>
              </w:rPr>
            </w:pPr>
          </w:p>
        </w:tc>
        <w:tc>
          <w:tcPr>
            <w:tcW w:w="1020" w:type="dxa"/>
            <w:vAlign w:val="bottom"/>
            <w:tcBorders>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Specialty (J)</w:t>
            </w:r>
          </w:p>
        </w:tc>
        <w:tc>
          <w:tcPr>
            <w:tcW w:w="280" w:type="dxa"/>
            <w:vAlign w:val="bottom"/>
          </w:tcPr>
          <w:p>
            <w:pPr>
              <w:spacing w:after="0"/>
              <w:rPr>
                <w:sz w:val="21"/>
                <w:szCs w:val="21"/>
                <w:color w:val="auto"/>
              </w:rPr>
            </w:pPr>
          </w:p>
        </w:tc>
        <w:tc>
          <w:tcPr>
            <w:tcW w:w="102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425</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Commercial ASO &amp; other services (D)</w:t>
            </w:r>
          </w:p>
        </w:tc>
        <w:tc>
          <w:tcPr>
            <w:tcW w:w="280" w:type="dxa"/>
            <w:vAlign w:val="bottom"/>
          </w:tcPr>
          <w:p>
            <w:pPr>
              <w:spacing w:after="0"/>
              <w:rPr>
                <w:sz w:val="21"/>
                <w:szCs w:val="21"/>
                <w:color w:val="auto"/>
              </w:rPr>
            </w:pPr>
          </w:p>
        </w:tc>
        <w:tc>
          <w:tcPr>
            <w:tcW w:w="102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78</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56"/>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Military services (K)</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120</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6"/>
        </w:trPr>
        <w:tc>
          <w:tcPr>
            <w:tcW w:w="3140" w:type="dxa"/>
            <w:vAlign w:val="bottom"/>
            <w:tcBorders>
              <w:right w:val="single" w:sz="8" w:color="auto"/>
            </w:tcBorders>
          </w:tcPr>
          <w:p>
            <w:pPr>
              <w:ind w:left="640"/>
              <w:spacing w:after="0"/>
              <w:rPr>
                <w:sz w:val="20"/>
                <w:szCs w:val="20"/>
                <w:color w:val="auto"/>
              </w:rPr>
            </w:pPr>
            <w:r>
              <w:rPr>
                <w:rFonts w:ascii="Arial" w:cs="Arial" w:eastAsia="Arial" w:hAnsi="Arial"/>
                <w:sz w:val="16"/>
                <w:szCs w:val="16"/>
                <w:b w:val="1"/>
                <w:bCs w:val="1"/>
                <w:color w:val="auto"/>
              </w:rPr>
              <w:t>Total Group and Specialty</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1,831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1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Healthcare Services</w:t>
            </w:r>
          </w:p>
        </w:tc>
        <w:tc>
          <w:tcPr>
            <w:tcW w:w="280" w:type="dxa"/>
            <w:vAlign w:val="bottom"/>
          </w:tcPr>
          <w:p>
            <w:pPr>
              <w:spacing w:after="0"/>
              <w:rPr>
                <w:sz w:val="18"/>
                <w:szCs w:val="18"/>
                <w:color w:val="auto"/>
              </w:rPr>
            </w:pPr>
          </w:p>
        </w:tc>
        <w:tc>
          <w:tcPr>
            <w:tcW w:w="1020" w:type="dxa"/>
            <w:vAlign w:val="bottom"/>
            <w:tcBorders>
              <w:right w:val="single" w:sz="8" w:color="auto"/>
            </w:tcBorders>
            <w:vMerge w:val="restart"/>
          </w:tcPr>
          <w:p>
            <w:pPr>
              <w:jc w:val="right"/>
              <w:ind w:right="80"/>
              <w:spacing w:after="0"/>
              <w:rPr>
                <w:sz w:val="20"/>
                <w:szCs w:val="20"/>
                <w:color w:val="auto"/>
              </w:rPr>
            </w:pPr>
            <w:r>
              <w:rPr>
                <w:rFonts w:ascii="Arial" w:cs="Arial" w:eastAsia="Arial" w:hAnsi="Arial"/>
                <w:sz w:val="16"/>
                <w:szCs w:val="16"/>
                <w:b w:val="1"/>
                <w:bCs w:val="1"/>
                <w:color w:val="366092"/>
              </w:rPr>
              <w:t>6,124</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Pharmacy solutions</w:t>
            </w:r>
          </w:p>
        </w:tc>
        <w:tc>
          <w:tcPr>
            <w:tcW w:w="280" w:type="dxa"/>
            <w:vAlign w:val="bottom"/>
          </w:tcPr>
          <w:p>
            <w:pPr>
              <w:spacing w:after="0"/>
              <w:rPr>
                <w:sz w:val="21"/>
                <w:szCs w:val="21"/>
                <w:color w:val="auto"/>
              </w:rPr>
            </w:pPr>
          </w:p>
        </w:tc>
        <w:tc>
          <w:tcPr>
            <w:tcW w:w="1020" w:type="dxa"/>
            <w:vAlign w:val="bottom"/>
            <w:tcBorders>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5,510</w:t>
            </w:r>
          </w:p>
        </w:tc>
        <w:tc>
          <w:tcPr>
            <w:tcW w:w="0" w:type="dxa"/>
            <w:vAlign w:val="bottom"/>
          </w:tcPr>
          <w:p>
            <w:pPr>
              <w:spacing w:after="0"/>
              <w:rPr>
                <w:sz w:val="1"/>
                <w:szCs w:val="1"/>
                <w:color w:val="auto"/>
              </w:rPr>
            </w:pPr>
          </w:p>
        </w:tc>
      </w:tr>
      <w:tr>
        <w:trPr>
          <w:trHeight w:val="243"/>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Provider services</w:t>
            </w:r>
          </w:p>
        </w:tc>
        <w:tc>
          <w:tcPr>
            <w:tcW w:w="280" w:type="dxa"/>
            <w:vAlign w:val="bottom"/>
          </w:tcPr>
          <w:p>
            <w:pPr>
              <w:spacing w:after="0"/>
              <w:rPr>
                <w:sz w:val="21"/>
                <w:szCs w:val="21"/>
                <w:color w:val="auto"/>
              </w:rPr>
            </w:pPr>
          </w:p>
        </w:tc>
        <w:tc>
          <w:tcPr>
            <w:tcW w:w="102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654</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56"/>
        </w:trPr>
        <w:tc>
          <w:tcPr>
            <w:tcW w:w="314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Clinical programs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163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7"/>
        </w:trPr>
        <w:tc>
          <w:tcPr>
            <w:tcW w:w="3140" w:type="dxa"/>
            <w:vAlign w:val="bottom"/>
            <w:tcBorders>
              <w:right w:val="single" w:sz="8" w:color="auto"/>
            </w:tcBorders>
          </w:tcPr>
          <w:p>
            <w:pPr>
              <w:ind w:left="640"/>
              <w:spacing w:after="0"/>
              <w:rPr>
                <w:sz w:val="20"/>
                <w:szCs w:val="20"/>
                <w:color w:val="auto"/>
              </w:rPr>
            </w:pPr>
            <w:r>
              <w:rPr>
                <w:rFonts w:ascii="Arial" w:cs="Arial" w:eastAsia="Arial" w:hAnsi="Arial"/>
                <w:sz w:val="16"/>
                <w:szCs w:val="16"/>
                <w:b w:val="1"/>
                <w:bCs w:val="1"/>
                <w:color w:val="auto"/>
              </w:rPr>
              <w:t>Total Healthcare Services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6,941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40" w:type="dxa"/>
            <w:vAlign w:val="bottom"/>
            <w:tcBorders>
              <w:top w:val="single" w:sz="8" w:color="auto"/>
              <w:right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rPr>
              <w:t>Per Member per Month (L)</w:t>
            </w:r>
          </w:p>
        </w:tc>
      </w:tr>
      <w:tr>
        <w:trPr>
          <w:trHeight w:val="189"/>
        </w:trPr>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For the three months ended June</w:t>
            </w:r>
          </w:p>
        </w:tc>
      </w:tr>
      <w:tr>
        <w:trPr>
          <w:trHeight w:val="228"/>
        </w:trPr>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30,</w:t>
            </w:r>
          </w:p>
        </w:tc>
        <w:tc>
          <w:tcPr>
            <w:tcW w:w="1040" w:type="dxa"/>
            <w:vAlign w:val="bottom"/>
            <w:tcBorders>
              <w:bottom w:val="single" w:sz="8" w:color="auto"/>
              <w:right w:val="single" w:sz="8" w:color="auto"/>
            </w:tcBorders>
          </w:tcPr>
          <w:p>
            <w:pPr>
              <w:spacing w:after="0"/>
              <w:rPr>
                <w:sz w:val="19"/>
                <w:szCs w:val="19"/>
                <w:color w:val="auto"/>
              </w:rPr>
            </w:pPr>
          </w:p>
        </w:tc>
      </w:tr>
      <w:tr>
        <w:trPr>
          <w:trHeight w:val="190"/>
        </w:trPr>
        <w:tc>
          <w:tcPr>
            <w:tcW w:w="260" w:type="dxa"/>
            <w:vAlign w:val="bottom"/>
          </w:tcPr>
          <w:p>
            <w:pPr>
              <w:spacing w:after="0"/>
              <w:rPr>
                <w:sz w:val="16"/>
                <w:szCs w:val="16"/>
                <w:color w:val="auto"/>
              </w:rPr>
            </w:pPr>
          </w:p>
        </w:tc>
        <w:tc>
          <w:tcPr>
            <w:tcW w:w="1040" w:type="dxa"/>
            <w:vAlign w:val="bottom"/>
          </w:tcPr>
          <w:p>
            <w:pPr>
              <w:jc w:val="right"/>
              <w:ind w:right="380"/>
              <w:spacing w:after="0"/>
              <w:rPr>
                <w:sz w:val="20"/>
                <w:szCs w:val="20"/>
                <w:color w:val="auto"/>
              </w:rPr>
            </w:pPr>
            <w:r>
              <w:rPr>
                <w:rFonts w:ascii="Arial" w:cs="Arial" w:eastAsia="Arial" w:hAnsi="Arial"/>
                <w:sz w:val="14"/>
                <w:szCs w:val="14"/>
                <w:color w:val="auto"/>
              </w:rPr>
              <w:t>Dollar</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rPr>
              <w:t>Percentage</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260" w:type="dxa"/>
            <w:vAlign w:val="bottom"/>
          </w:tcPr>
          <w:p>
            <w:pPr>
              <w:spacing w:after="0"/>
              <w:rPr>
                <w:sz w:val="20"/>
                <w:szCs w:val="20"/>
                <w:color w:val="auto"/>
              </w:rPr>
            </w:pPr>
          </w:p>
        </w:tc>
        <w:tc>
          <w:tcPr>
            <w:tcW w:w="1040" w:type="dxa"/>
            <w:vAlign w:val="bottom"/>
          </w:tcPr>
          <w:p>
            <w:pPr>
              <w:jc w:val="right"/>
              <w:ind w:right="320"/>
              <w:spacing w:after="0"/>
              <w:rPr>
                <w:sz w:val="20"/>
                <w:szCs w:val="20"/>
                <w:color w:val="auto"/>
              </w:rPr>
            </w:pPr>
            <w:r>
              <w:rPr>
                <w:rFonts w:ascii="Arial" w:cs="Arial" w:eastAsia="Arial" w:hAnsi="Arial"/>
                <w:sz w:val="14"/>
                <w:szCs w:val="14"/>
                <w:color w:val="auto"/>
              </w:rPr>
              <w:t>Change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rPr>
              <w:t>Change</w:t>
            </w:r>
          </w:p>
        </w:tc>
        <w:tc>
          <w:tcPr>
            <w:tcW w:w="200" w:type="dxa"/>
            <w:vAlign w:val="bottom"/>
          </w:tcPr>
          <w:p>
            <w:pPr>
              <w:spacing w:after="0"/>
              <w:rPr>
                <w:sz w:val="20"/>
                <w:szCs w:val="20"/>
                <w:color w:val="auto"/>
              </w:rPr>
            </w:pPr>
          </w:p>
        </w:tc>
        <w:tc>
          <w:tcPr>
            <w:tcW w:w="960" w:type="dxa"/>
            <w:vAlign w:val="bottom"/>
          </w:tcPr>
          <w:p>
            <w:pPr>
              <w:jc w:val="right"/>
              <w:ind w:right="280"/>
              <w:spacing w:after="0"/>
              <w:rPr>
                <w:sz w:val="20"/>
                <w:szCs w:val="20"/>
                <w:color w:val="auto"/>
              </w:rPr>
            </w:pPr>
            <w:r>
              <w:rPr>
                <w:rFonts w:ascii="Arial" w:cs="Arial" w:eastAsia="Arial" w:hAnsi="Arial"/>
                <w:sz w:val="14"/>
                <w:szCs w:val="14"/>
                <w:b w:val="1"/>
                <w:bCs w:val="1"/>
                <w:color w:val="366092"/>
              </w:rPr>
              <w:t>2020</w:t>
            </w:r>
          </w:p>
        </w:tc>
        <w:tc>
          <w:tcPr>
            <w:tcW w:w="44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color w:val="auto"/>
              </w:rPr>
              <w:t>2019</w:t>
            </w:r>
          </w:p>
        </w:tc>
      </w:tr>
      <w:tr>
        <w:trPr>
          <w:trHeight w:val="696"/>
        </w:trPr>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2,212</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42"/>
              <w:spacing w:after="0"/>
              <w:rPr>
                <w:sz w:val="20"/>
                <w:szCs w:val="20"/>
                <w:color w:val="auto"/>
              </w:rPr>
            </w:pPr>
            <w:r>
              <w:rPr>
                <w:rFonts w:ascii="Arial" w:cs="Arial" w:eastAsia="Arial" w:hAnsi="Arial"/>
                <w:sz w:val="15"/>
                <w:szCs w:val="15"/>
                <w:b w:val="1"/>
                <w:bCs w:val="1"/>
                <w:color w:val="366092"/>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366092"/>
              </w:rPr>
              <w:t>1,122</w:t>
            </w:r>
          </w:p>
        </w:tc>
        <w:tc>
          <w:tcPr>
            <w:tcW w:w="4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1,038</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350</w:t>
            </w:r>
          </w:p>
        </w:tc>
        <w:tc>
          <w:tcPr>
            <w:tcW w:w="1360" w:type="dxa"/>
            <w:vAlign w:val="bottom"/>
          </w:tcPr>
          <w:p>
            <w:pPr>
              <w:jc w:val="right"/>
              <w:spacing w:after="0"/>
              <w:rPr>
                <w:sz w:val="20"/>
                <w:szCs w:val="20"/>
                <w:color w:val="auto"/>
              </w:rPr>
            </w:pPr>
            <w:r>
              <w:rPr>
                <w:rFonts w:ascii="Arial" w:cs="Arial" w:eastAsia="Arial" w:hAnsi="Arial"/>
                <w:sz w:val="16"/>
                <w:szCs w:val="16"/>
                <w:color w:val="auto"/>
              </w:rPr>
              <w:t>21.5 %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366092"/>
              </w:rPr>
              <w:t>1,084</w:t>
            </w:r>
          </w:p>
        </w:tc>
        <w:tc>
          <w:tcPr>
            <w:tcW w:w="44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1,045</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1360" w:type="dxa"/>
            <w:vAlign w:val="bottom"/>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366092"/>
              </w:rPr>
              <w:t>63</w:t>
            </w:r>
          </w:p>
        </w:tc>
        <w:tc>
          <w:tcPr>
            <w:tcW w:w="44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62</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318</w:t>
            </w:r>
          </w:p>
        </w:tc>
        <w:tc>
          <w:tcPr>
            <w:tcW w:w="1360" w:type="dxa"/>
            <w:vAlign w:val="bottom"/>
          </w:tcPr>
          <w:p>
            <w:pPr>
              <w:jc w:val="right"/>
              <w:spacing w:after="0"/>
              <w:rPr>
                <w:sz w:val="20"/>
                <w:szCs w:val="20"/>
                <w:color w:val="auto"/>
              </w:rPr>
            </w:pPr>
            <w:r>
              <w:rPr>
                <w:rFonts w:ascii="Arial" w:cs="Arial" w:eastAsia="Arial" w:hAnsi="Arial"/>
                <w:sz w:val="16"/>
                <w:szCs w:val="16"/>
                <w:color w:val="auto"/>
              </w:rPr>
              <w:t>43.9 %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366092"/>
              </w:rPr>
              <w:t>518</w:t>
            </w:r>
          </w:p>
        </w:tc>
        <w:tc>
          <w:tcPr>
            <w:tcW w:w="44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520</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25</w:t>
            </w:r>
          </w:p>
        </w:tc>
        <w:tc>
          <w:tcPr>
            <w:tcW w:w="1360" w:type="dxa"/>
            <w:vAlign w:val="bottom"/>
          </w:tcPr>
          <w:p>
            <w:pPr>
              <w:jc w:val="right"/>
              <w:spacing w:after="0"/>
              <w:rPr>
                <w:sz w:val="20"/>
                <w:szCs w:val="20"/>
                <w:color w:val="auto"/>
              </w:rPr>
            </w:pPr>
            <w:r>
              <w:rPr>
                <w:rFonts w:ascii="Arial" w:cs="Arial" w:eastAsia="Arial" w:hAnsi="Arial"/>
                <w:sz w:val="16"/>
                <w:szCs w:val="16"/>
                <w:color w:val="auto"/>
              </w:rPr>
              <w:t>17.4 %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366092"/>
              </w:rPr>
              <w:t>175</w:t>
            </w:r>
          </w:p>
        </w:tc>
        <w:tc>
          <w:tcPr>
            <w:tcW w:w="44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176</w:t>
            </w:r>
          </w:p>
        </w:tc>
      </w:tr>
      <w:tr>
        <w:trPr>
          <w:trHeight w:val="256"/>
        </w:trPr>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7"/>
        </w:trPr>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2,819</w:t>
            </w:r>
          </w:p>
        </w:tc>
        <w:tc>
          <w:tcPr>
            <w:tcW w:w="1360" w:type="dxa"/>
            <w:vAlign w:val="bottom"/>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3"/>
        </w:trPr>
        <w:tc>
          <w:tcPr>
            <w:tcW w:w="26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360" w:type="dxa"/>
            <w:vAlign w:val="bottom"/>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366092"/>
              </w:rPr>
              <w:t>488</w:t>
            </w:r>
          </w:p>
        </w:tc>
        <w:tc>
          <w:tcPr>
            <w:tcW w:w="440" w:type="dxa"/>
            <w:vAlign w:val="bottom"/>
          </w:tcPr>
          <w:p>
            <w:pPr>
              <w:spacing w:after="0"/>
              <w:rPr>
                <w:sz w:val="24"/>
                <w:szCs w:val="24"/>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452</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36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366092"/>
              </w:rPr>
              <w:t>28</w:t>
            </w:r>
          </w:p>
        </w:tc>
        <w:tc>
          <w:tcPr>
            <w:tcW w:w="44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25</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6"/>
        </w:trPr>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w:t>
            </w:r>
          </w:p>
        </w:tc>
        <w:tc>
          <w:tcPr>
            <w:tcW w:w="136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58" w:lineRule="exact"/>
        <w:rPr>
          <w:sz w:val="20"/>
          <w:szCs w:val="20"/>
          <w:color w:val="auto"/>
        </w:rPr>
      </w:pPr>
    </w:p>
    <w:p>
      <w:pPr>
        <w:ind w:left="2120" w:hanging="1240"/>
        <w:spacing w:after="0"/>
        <w:tabs>
          <w:tab w:leader="none" w:pos="2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11.1 %</w:t>
      </w:r>
    </w:p>
    <w:p>
      <w:pPr>
        <w:spacing w:after="0" w:line="59" w:lineRule="exact"/>
        <w:rPr>
          <w:rFonts w:ascii="Arial" w:cs="Arial" w:eastAsia="Arial" w:hAnsi="Arial"/>
          <w:sz w:val="16"/>
          <w:szCs w:val="16"/>
          <w:color w:val="auto"/>
        </w:rPr>
      </w:pPr>
    </w:p>
    <w:p>
      <w:pPr>
        <w:ind w:left="2160" w:hanging="1253"/>
        <w:spacing w:after="0"/>
        <w:tabs>
          <w:tab w:leader="none" w:pos="21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-4.4 %</w:t>
      </w:r>
    </w:p>
    <w:p>
      <w:pPr>
        <w:spacing w:after="0" w:line="59" w:lineRule="exact"/>
        <w:rPr>
          <w:sz w:val="20"/>
          <w:szCs w:val="20"/>
          <w:color w:val="auto"/>
        </w:rPr>
      </w:pPr>
    </w:p>
    <w:p>
      <w:pPr>
        <w:ind w:left="2060" w:hanging="1153"/>
        <w:spacing w:after="0"/>
        <w:tabs>
          <w:tab w:leader="none" w:pos="2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-15.1 %</w:t>
      </w:r>
    </w:p>
    <w:p>
      <w:pPr>
        <w:spacing w:after="0" w:line="7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5558.7 %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8229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5800" w:space="60"/>
            <w:col w:w="5400"/>
          </w:cols>
          <w:pgMar w:left="320" w:top="91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S-13</w:t>
      </w:r>
    </w:p>
    <w:p>
      <w:pPr>
        <w:sectPr>
          <w:pgSz w:w="11900" w:h="16838" w:orient="portrait"/>
          <w:cols w:equalWidth="0" w:num="1">
            <w:col w:w="11260"/>
          </w:cols>
          <w:pgMar w:left="320" w:top="911" w:right="3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Premiums and Services Revenue Detail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member per month</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386"/>
        </w:trPr>
        <w:tc>
          <w:tcPr>
            <w:tcW w:w="3160" w:type="dxa"/>
            <w:vAlign w:val="bottom"/>
            <w:tcBorders>
              <w:right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520" w:type="dxa"/>
            <w:vAlign w:val="bottom"/>
            <w:tcBorders>
              <w:top w:val="single" w:sz="8" w:color="auto"/>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right"/>
              <w:ind w:right="420"/>
              <w:spacing w:after="0"/>
              <w:rPr>
                <w:sz w:val="20"/>
                <w:szCs w:val="20"/>
                <w:color w:val="auto"/>
              </w:rPr>
            </w:pPr>
            <w:r>
              <w:rPr>
                <w:rFonts w:ascii="Arial" w:cs="Arial" w:eastAsia="Arial" w:hAnsi="Arial"/>
                <w:sz w:val="14"/>
                <w:szCs w:val="14"/>
                <w:b w:val="1"/>
                <w:bCs w:val="1"/>
                <w:color w:val="366092"/>
              </w:rPr>
              <w:t>2020</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0"/>
        </w:trPr>
        <w:tc>
          <w:tcPr>
            <w:tcW w:w="31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Premiums and Services Revenue</w:t>
            </w:r>
          </w:p>
        </w:tc>
        <w:tc>
          <w:tcPr>
            <w:tcW w:w="1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Retail</w:t>
            </w:r>
          </w:p>
        </w:tc>
        <w:tc>
          <w:tcPr>
            <w:tcW w:w="1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Individual Medicare Advantage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366092"/>
                <w:w w:val="71"/>
              </w:rPr>
              <w:t>$</w:t>
            </w:r>
          </w:p>
        </w:tc>
        <w:tc>
          <w:tcPr>
            <w:tcW w:w="11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25,799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21,502</w:t>
            </w: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Group Medicare Advantage</w:t>
            </w:r>
          </w:p>
        </w:tc>
        <w:tc>
          <w:tcPr>
            <w:tcW w:w="100" w:type="dxa"/>
            <w:vAlign w:val="bottom"/>
          </w:tcPr>
          <w:p>
            <w:pPr>
              <w:spacing w:after="0"/>
              <w:rPr>
                <w:sz w:val="21"/>
                <w:szCs w:val="21"/>
                <w:color w:val="auto"/>
              </w:rPr>
            </w:pPr>
          </w:p>
        </w:tc>
        <w:tc>
          <w:tcPr>
            <w:tcW w:w="11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3,987</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3,258</w:t>
            </w: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Medicare stand-alone PDP</w:t>
            </w:r>
          </w:p>
        </w:tc>
        <w:tc>
          <w:tcPr>
            <w:tcW w:w="100" w:type="dxa"/>
            <w:vAlign w:val="bottom"/>
          </w:tcPr>
          <w:p>
            <w:pPr>
              <w:spacing w:after="0"/>
              <w:rPr>
                <w:sz w:val="21"/>
                <w:szCs w:val="21"/>
                <w:color w:val="auto"/>
              </w:rPr>
            </w:pPr>
          </w:p>
        </w:tc>
        <w:tc>
          <w:tcPr>
            <w:tcW w:w="11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1,486</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State-based contracts (E)</w:t>
            </w:r>
          </w:p>
        </w:tc>
        <w:tc>
          <w:tcPr>
            <w:tcW w:w="100" w:type="dxa"/>
            <w:vAlign w:val="bottom"/>
          </w:tcPr>
          <w:p>
            <w:pPr>
              <w:spacing w:after="0"/>
              <w:rPr>
                <w:sz w:val="21"/>
                <w:szCs w:val="21"/>
                <w:color w:val="auto"/>
              </w:rPr>
            </w:pPr>
          </w:p>
        </w:tc>
        <w:tc>
          <w:tcPr>
            <w:tcW w:w="11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2,023</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Medicare Supplement</w:t>
            </w:r>
          </w:p>
        </w:tc>
        <w:tc>
          <w:tcPr>
            <w:tcW w:w="100" w:type="dxa"/>
            <w:vAlign w:val="bottom"/>
          </w:tcPr>
          <w:p>
            <w:pPr>
              <w:spacing w:after="0"/>
              <w:rPr>
                <w:sz w:val="21"/>
                <w:szCs w:val="21"/>
                <w:color w:val="auto"/>
              </w:rPr>
            </w:pPr>
          </w:p>
        </w:tc>
        <w:tc>
          <w:tcPr>
            <w:tcW w:w="11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332</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56"/>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Other services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10</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160" w:type="dxa"/>
            <w:vAlign w:val="bottom"/>
            <w:tcBorders>
              <w:right w:val="single" w:sz="8" w:color="auto"/>
            </w:tcBorders>
          </w:tcPr>
          <w:p>
            <w:pPr>
              <w:ind w:left="640"/>
              <w:spacing w:after="0"/>
              <w:rPr>
                <w:sz w:val="20"/>
                <w:szCs w:val="20"/>
                <w:color w:val="auto"/>
              </w:rPr>
            </w:pPr>
            <w:r>
              <w:rPr>
                <w:rFonts w:ascii="Arial" w:cs="Arial" w:eastAsia="Arial" w:hAnsi="Arial"/>
                <w:sz w:val="16"/>
                <w:szCs w:val="16"/>
                <w:b w:val="1"/>
                <w:bCs w:val="1"/>
                <w:color w:val="auto"/>
              </w:rPr>
              <w:t>Total Retail</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33,637</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28,082</w:t>
            </w:r>
          </w:p>
        </w:tc>
        <w:tc>
          <w:tcPr>
            <w:tcW w:w="0" w:type="dxa"/>
            <w:vAlign w:val="bottom"/>
          </w:tcPr>
          <w:p>
            <w:pPr>
              <w:spacing w:after="0"/>
              <w:rPr>
                <w:sz w:val="1"/>
                <w:szCs w:val="1"/>
                <w:color w:val="auto"/>
              </w:rPr>
            </w:pPr>
          </w:p>
        </w:tc>
      </w:tr>
      <w:tr>
        <w:trPr>
          <w:trHeight w:val="210"/>
        </w:trPr>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Group and Specialty</w:t>
            </w:r>
          </w:p>
        </w:tc>
        <w:tc>
          <w:tcPr>
            <w:tcW w:w="100" w:type="dxa"/>
            <w:vAlign w:val="bottom"/>
          </w:tcPr>
          <w:p>
            <w:pPr>
              <w:spacing w:after="0"/>
              <w:rPr>
                <w:sz w:val="18"/>
                <w:szCs w:val="18"/>
                <w:color w:val="auto"/>
              </w:rPr>
            </w:pPr>
          </w:p>
        </w:tc>
        <w:tc>
          <w:tcPr>
            <w:tcW w:w="1180" w:type="dxa"/>
            <w:vAlign w:val="bottom"/>
            <w:tcBorders>
              <w:right w:val="single" w:sz="8" w:color="auto"/>
            </w:tcBorders>
            <w:vMerge w:val="restart"/>
          </w:tcPr>
          <w:p>
            <w:pPr>
              <w:jc w:val="right"/>
              <w:ind w:right="80"/>
              <w:spacing w:after="0"/>
              <w:rPr>
                <w:sz w:val="20"/>
                <w:szCs w:val="20"/>
                <w:color w:val="auto"/>
              </w:rPr>
            </w:pPr>
            <w:r>
              <w:rPr>
                <w:rFonts w:ascii="Arial" w:cs="Arial" w:eastAsia="Arial" w:hAnsi="Arial"/>
                <w:sz w:val="16"/>
                <w:szCs w:val="16"/>
                <w:b w:val="1"/>
                <w:bCs w:val="1"/>
                <w:color w:val="366092"/>
              </w:rPr>
              <w:t>2,437</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Fully-insured commercial medical</w:t>
            </w:r>
          </w:p>
        </w:tc>
        <w:tc>
          <w:tcPr>
            <w:tcW w:w="100" w:type="dxa"/>
            <w:vAlign w:val="bottom"/>
          </w:tcPr>
          <w:p>
            <w:pPr>
              <w:spacing w:after="0"/>
              <w:rPr>
                <w:sz w:val="21"/>
                <w:szCs w:val="21"/>
                <w:color w:val="auto"/>
              </w:rPr>
            </w:pPr>
          </w:p>
        </w:tc>
        <w:tc>
          <w:tcPr>
            <w:tcW w:w="1180" w:type="dxa"/>
            <w:vAlign w:val="bottom"/>
            <w:tcBorders>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Specialty (J)</w:t>
            </w:r>
          </w:p>
        </w:tc>
        <w:tc>
          <w:tcPr>
            <w:tcW w:w="100" w:type="dxa"/>
            <w:vAlign w:val="bottom"/>
          </w:tcPr>
          <w:p>
            <w:pPr>
              <w:spacing w:after="0"/>
              <w:rPr>
                <w:sz w:val="21"/>
                <w:szCs w:val="21"/>
                <w:color w:val="auto"/>
              </w:rPr>
            </w:pPr>
          </w:p>
        </w:tc>
        <w:tc>
          <w:tcPr>
            <w:tcW w:w="11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854</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Commercial ASO &amp; other services (D)</w:t>
            </w:r>
          </w:p>
        </w:tc>
        <w:tc>
          <w:tcPr>
            <w:tcW w:w="100" w:type="dxa"/>
            <w:vAlign w:val="bottom"/>
          </w:tcPr>
          <w:p>
            <w:pPr>
              <w:spacing w:after="0"/>
              <w:rPr>
                <w:sz w:val="21"/>
                <w:szCs w:val="21"/>
                <w:color w:val="auto"/>
              </w:rPr>
            </w:pPr>
          </w:p>
        </w:tc>
        <w:tc>
          <w:tcPr>
            <w:tcW w:w="11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159</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56"/>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Military services (K)</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241</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3160" w:type="dxa"/>
            <w:vAlign w:val="bottom"/>
            <w:tcBorders>
              <w:right w:val="single" w:sz="8" w:color="auto"/>
            </w:tcBorders>
          </w:tcPr>
          <w:p>
            <w:pPr>
              <w:ind w:left="640"/>
              <w:spacing w:after="0"/>
              <w:rPr>
                <w:sz w:val="20"/>
                <w:szCs w:val="20"/>
                <w:color w:val="auto"/>
              </w:rPr>
            </w:pPr>
            <w:r>
              <w:rPr>
                <w:rFonts w:ascii="Arial" w:cs="Arial" w:eastAsia="Arial" w:hAnsi="Arial"/>
                <w:sz w:val="16"/>
                <w:szCs w:val="16"/>
                <w:b w:val="1"/>
                <w:bCs w:val="1"/>
                <w:color w:val="auto"/>
              </w:rPr>
              <w:t>Total Group and Specialty</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366092"/>
              </w:rPr>
              <w:t>3,691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10"/>
        </w:trPr>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Healthcare Services</w:t>
            </w:r>
          </w:p>
        </w:tc>
        <w:tc>
          <w:tcPr>
            <w:tcW w:w="100" w:type="dxa"/>
            <w:vAlign w:val="bottom"/>
          </w:tcPr>
          <w:p>
            <w:pPr>
              <w:spacing w:after="0"/>
              <w:rPr>
                <w:sz w:val="18"/>
                <w:szCs w:val="18"/>
                <w:color w:val="auto"/>
              </w:rPr>
            </w:pPr>
          </w:p>
        </w:tc>
        <w:tc>
          <w:tcPr>
            <w:tcW w:w="1180" w:type="dxa"/>
            <w:vAlign w:val="bottom"/>
            <w:tcBorders>
              <w:right w:val="single" w:sz="8" w:color="auto"/>
            </w:tcBorders>
            <w:vMerge w:val="restart"/>
          </w:tcPr>
          <w:p>
            <w:pPr>
              <w:jc w:val="right"/>
              <w:ind w:right="80"/>
              <w:spacing w:after="0"/>
              <w:rPr>
                <w:sz w:val="20"/>
                <w:szCs w:val="20"/>
                <w:color w:val="auto"/>
              </w:rPr>
            </w:pPr>
            <w:r>
              <w:rPr>
                <w:rFonts w:ascii="Arial" w:cs="Arial" w:eastAsia="Arial" w:hAnsi="Arial"/>
                <w:sz w:val="16"/>
                <w:szCs w:val="16"/>
                <w:b w:val="1"/>
                <w:bCs w:val="1"/>
                <w:color w:val="00497F"/>
              </w:rPr>
              <w:t>12,385</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Pharmacy solutions</w:t>
            </w:r>
          </w:p>
        </w:tc>
        <w:tc>
          <w:tcPr>
            <w:tcW w:w="100" w:type="dxa"/>
            <w:vAlign w:val="bottom"/>
          </w:tcPr>
          <w:p>
            <w:pPr>
              <w:spacing w:after="0"/>
              <w:rPr>
                <w:sz w:val="21"/>
                <w:szCs w:val="21"/>
                <w:color w:val="auto"/>
              </w:rPr>
            </w:pPr>
          </w:p>
        </w:tc>
        <w:tc>
          <w:tcPr>
            <w:tcW w:w="1180" w:type="dxa"/>
            <w:vAlign w:val="bottom"/>
            <w:tcBorders>
              <w:right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10,743</w:t>
            </w: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Provider services</w:t>
            </w:r>
          </w:p>
        </w:tc>
        <w:tc>
          <w:tcPr>
            <w:tcW w:w="100" w:type="dxa"/>
            <w:vAlign w:val="bottom"/>
          </w:tcPr>
          <w:p>
            <w:pPr>
              <w:spacing w:after="0"/>
              <w:rPr>
                <w:sz w:val="21"/>
                <w:szCs w:val="21"/>
                <w:color w:val="auto"/>
              </w:rPr>
            </w:pPr>
          </w:p>
        </w:tc>
        <w:tc>
          <w:tcPr>
            <w:tcW w:w="1180" w:type="dxa"/>
            <w:vAlign w:val="bottom"/>
            <w:tcBorders>
              <w:right w:val="single" w:sz="8" w:color="auto"/>
            </w:tcBorders>
          </w:tcPr>
          <w:p>
            <w:pPr>
              <w:jc w:val="right"/>
              <w:ind w:right="80"/>
              <w:spacing w:after="0"/>
              <w:rPr>
                <w:sz w:val="20"/>
                <w:szCs w:val="20"/>
                <w:color w:val="auto"/>
              </w:rPr>
            </w:pPr>
            <w:r>
              <w:rPr>
                <w:rFonts w:ascii="Arial" w:cs="Arial" w:eastAsia="Arial" w:hAnsi="Arial"/>
                <w:sz w:val="16"/>
                <w:szCs w:val="16"/>
                <w:b w:val="1"/>
                <w:bCs w:val="1"/>
                <w:color w:val="00497F"/>
              </w:rPr>
              <w:t>1,306</w:t>
            </w:r>
          </w:p>
        </w:tc>
        <w:tc>
          <w:tcPr>
            <w:tcW w:w="30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56"/>
        </w:trPr>
        <w:tc>
          <w:tcPr>
            <w:tcW w:w="3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Clinical programs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00497F"/>
              </w:rPr>
              <w:t>335</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37"/>
        </w:trPr>
        <w:tc>
          <w:tcPr>
            <w:tcW w:w="3160" w:type="dxa"/>
            <w:vAlign w:val="bottom"/>
            <w:tcBorders>
              <w:right w:val="single" w:sz="8" w:color="auto"/>
            </w:tcBorders>
          </w:tcPr>
          <w:p>
            <w:pPr>
              <w:ind w:left="640"/>
              <w:spacing w:after="0"/>
              <w:rPr>
                <w:sz w:val="20"/>
                <w:szCs w:val="20"/>
                <w:color w:val="auto"/>
              </w:rPr>
            </w:pPr>
            <w:r>
              <w:rPr>
                <w:rFonts w:ascii="Arial" w:cs="Arial" w:eastAsia="Arial" w:hAnsi="Arial"/>
                <w:sz w:val="16"/>
                <w:szCs w:val="16"/>
                <w:b w:val="1"/>
                <w:bCs w:val="1"/>
                <w:color w:val="auto"/>
              </w:rPr>
              <w:t>Total Healthcare Services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b w:val="1"/>
                <w:bCs w:val="1"/>
                <w:color w:val="00497F"/>
              </w:rPr>
              <w:t>14,026</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520" w:type="dxa"/>
            <w:vAlign w:val="bottom"/>
            <w:tcBorders>
              <w:top w:val="single" w:sz="8" w:color="auto"/>
              <w:right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Per Member per Month (L)</w:t>
            </w:r>
          </w:p>
        </w:tc>
      </w:tr>
      <w:tr>
        <w:trPr>
          <w:trHeight w:val="196"/>
        </w:trPr>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For the six months ended June 30,</w:t>
            </w:r>
          </w:p>
        </w:tc>
      </w:tr>
      <w:tr>
        <w:trPr>
          <w:trHeight w:val="190"/>
        </w:trPr>
        <w:tc>
          <w:tcPr>
            <w:tcW w:w="260" w:type="dxa"/>
            <w:vAlign w:val="bottom"/>
          </w:tcPr>
          <w:p>
            <w:pPr>
              <w:spacing w:after="0"/>
              <w:rPr>
                <w:sz w:val="16"/>
                <w:szCs w:val="16"/>
                <w:color w:val="auto"/>
              </w:rPr>
            </w:pPr>
          </w:p>
        </w:tc>
        <w:tc>
          <w:tcPr>
            <w:tcW w:w="1040" w:type="dxa"/>
            <w:vAlign w:val="bottom"/>
          </w:tcPr>
          <w:p>
            <w:pPr>
              <w:jc w:val="right"/>
              <w:ind w:right="380"/>
              <w:spacing w:after="0"/>
              <w:rPr>
                <w:sz w:val="20"/>
                <w:szCs w:val="20"/>
                <w:color w:val="auto"/>
              </w:rPr>
            </w:pPr>
            <w:r>
              <w:rPr>
                <w:rFonts w:ascii="Arial" w:cs="Arial" w:eastAsia="Arial" w:hAnsi="Arial"/>
                <w:sz w:val="14"/>
                <w:szCs w:val="14"/>
                <w:color w:val="auto"/>
              </w:rPr>
              <w:t>Dollar</w:t>
            </w:r>
          </w:p>
        </w:tc>
        <w:tc>
          <w:tcPr>
            <w:tcW w:w="1580" w:type="dxa"/>
            <w:vAlign w:val="bottom"/>
            <w:gridSpan w:val="3"/>
          </w:tcPr>
          <w:p>
            <w:pPr>
              <w:jc w:val="right"/>
              <w:ind w:right="520"/>
              <w:spacing w:after="0"/>
              <w:rPr>
                <w:sz w:val="20"/>
                <w:szCs w:val="20"/>
                <w:color w:val="auto"/>
              </w:rPr>
            </w:pPr>
            <w:r>
              <w:rPr>
                <w:rFonts w:ascii="Arial" w:cs="Arial" w:eastAsia="Arial" w:hAnsi="Arial"/>
                <w:sz w:val="14"/>
                <w:szCs w:val="14"/>
                <w:color w:val="auto"/>
              </w:rPr>
              <w:t>Percentage</w:t>
            </w: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Change</w:t>
            </w:r>
          </w:p>
        </w:tc>
        <w:tc>
          <w:tcPr>
            <w:tcW w:w="13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366092"/>
              </w:rPr>
              <w:t>2020</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r>
      <w:tr>
        <w:trPr>
          <w:trHeight w:val="695"/>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4,297</w:t>
            </w:r>
          </w:p>
        </w:tc>
        <w:tc>
          <w:tcPr>
            <w:tcW w:w="1580" w:type="dxa"/>
            <w:vAlign w:val="bottom"/>
            <w:gridSpan w:val="3"/>
          </w:tcPr>
          <w:p>
            <w:pPr>
              <w:jc w:val="right"/>
              <w:ind w:right="20"/>
              <w:spacing w:after="0"/>
              <w:rPr>
                <w:sz w:val="20"/>
                <w:szCs w:val="20"/>
                <w:color w:val="auto"/>
              </w:rPr>
            </w:pPr>
            <w:r>
              <w:rPr>
                <w:rFonts w:ascii="Arial" w:cs="Arial" w:eastAsia="Arial" w:hAnsi="Arial"/>
                <w:sz w:val="16"/>
                <w:szCs w:val="16"/>
                <w:color w:val="auto"/>
              </w:rPr>
              <w:t xml:space="preserve">20.0 %  </w:t>
            </w:r>
            <w:r>
              <w:rPr>
                <w:rFonts w:ascii="Arial" w:cs="Arial" w:eastAsia="Arial" w:hAnsi="Arial"/>
                <w:sz w:val="16"/>
                <w:szCs w:val="16"/>
                <w:b w:val="1"/>
                <w:bCs w:val="1"/>
                <w:color w:val="366092"/>
              </w:rPr>
              <w:t>$</w:t>
            </w: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366092"/>
              </w:rPr>
              <w:t>1,118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1,041</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729</w:t>
            </w:r>
          </w:p>
        </w:tc>
        <w:tc>
          <w:tcPr>
            <w:tcW w:w="1360" w:type="dxa"/>
            <w:vAlign w:val="bottom"/>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366092"/>
              </w:rPr>
              <w:t>1,097</w:t>
            </w:r>
          </w:p>
        </w:tc>
        <w:tc>
          <w:tcPr>
            <w:tcW w:w="38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1,048</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136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366092"/>
              </w:rPr>
              <w:t>63</w:t>
            </w:r>
          </w:p>
        </w:tc>
        <w:tc>
          <w:tcPr>
            <w:tcW w:w="38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61</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622</w:t>
            </w:r>
          </w:p>
        </w:tc>
        <w:tc>
          <w:tcPr>
            <w:tcW w:w="1360" w:type="dxa"/>
            <w:vAlign w:val="bottom"/>
          </w:tcPr>
          <w:p>
            <w:pPr>
              <w:jc w:val="right"/>
              <w:spacing w:after="0"/>
              <w:rPr>
                <w:sz w:val="20"/>
                <w:szCs w:val="20"/>
                <w:color w:val="auto"/>
              </w:rPr>
            </w:pPr>
            <w:r>
              <w:rPr>
                <w:rFonts w:ascii="Arial" w:cs="Arial" w:eastAsia="Arial" w:hAnsi="Arial"/>
                <w:sz w:val="16"/>
                <w:szCs w:val="16"/>
                <w:color w:val="auto"/>
              </w:rPr>
              <w:t>44.4 %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366092"/>
              </w:rPr>
              <w:t>525</w:t>
            </w:r>
          </w:p>
        </w:tc>
        <w:tc>
          <w:tcPr>
            <w:tcW w:w="38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517</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48</w:t>
            </w:r>
          </w:p>
        </w:tc>
        <w:tc>
          <w:tcPr>
            <w:tcW w:w="1360" w:type="dxa"/>
            <w:vAlign w:val="bottom"/>
          </w:tcPr>
          <w:p>
            <w:pPr>
              <w:jc w:val="right"/>
              <w:spacing w:after="0"/>
              <w:rPr>
                <w:sz w:val="20"/>
                <w:szCs w:val="20"/>
                <w:color w:val="auto"/>
              </w:rPr>
            </w:pPr>
            <w:r>
              <w:rPr>
                <w:rFonts w:ascii="Arial" w:cs="Arial" w:eastAsia="Arial" w:hAnsi="Arial"/>
                <w:sz w:val="16"/>
                <w:szCs w:val="16"/>
                <w:color w:val="auto"/>
              </w:rPr>
              <w:t>16.9 %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366092"/>
              </w:rPr>
              <w:t>175</w:t>
            </w:r>
          </w:p>
        </w:tc>
        <w:tc>
          <w:tcPr>
            <w:tcW w:w="38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176</w:t>
            </w:r>
          </w:p>
        </w:tc>
      </w:tr>
      <w:tr>
        <w:trPr>
          <w:trHeight w:val="256"/>
        </w:trPr>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240"/>
              <w:spacing w:after="0"/>
              <w:rPr>
                <w:sz w:val="20"/>
                <w:szCs w:val="20"/>
                <w:color w:val="auto"/>
              </w:rPr>
            </w:pPr>
            <w:r>
              <w:rPr>
                <w:rFonts w:ascii="Arial" w:cs="Arial" w:eastAsia="Arial" w:hAnsi="Arial"/>
                <w:sz w:val="16"/>
                <w:szCs w:val="16"/>
                <w:color w:val="auto"/>
              </w:rPr>
              <w:t>— %</w:t>
            </w: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7"/>
        </w:trPr>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5,555</w:t>
            </w:r>
          </w:p>
        </w:tc>
        <w:tc>
          <w:tcPr>
            <w:tcW w:w="1360" w:type="dxa"/>
            <w:vAlign w:val="bottom"/>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3"/>
        </w:trPr>
        <w:tc>
          <w:tcPr>
            <w:tcW w:w="26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136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366092"/>
              </w:rPr>
              <w:t>480</w:t>
            </w:r>
          </w:p>
        </w:tc>
        <w:tc>
          <w:tcPr>
            <w:tcW w:w="380" w:type="dxa"/>
            <w:vAlign w:val="bottom"/>
          </w:tcPr>
          <w:p>
            <w:pPr>
              <w:spacing w:after="0"/>
              <w:rPr>
                <w:sz w:val="24"/>
                <w:szCs w:val="24"/>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453</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94</w:t>
            </w:r>
          </w:p>
        </w:tc>
        <w:tc>
          <w:tcPr>
            <w:tcW w:w="1360" w:type="dxa"/>
            <w:vAlign w:val="bottom"/>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366092"/>
              </w:rPr>
              <w:t>28</w:t>
            </w:r>
          </w:p>
        </w:tc>
        <w:tc>
          <w:tcPr>
            <w:tcW w:w="380" w:type="dxa"/>
            <w:vAlign w:val="bottom"/>
          </w:tcPr>
          <w:p>
            <w:pPr>
              <w:spacing w:after="0"/>
              <w:rPr>
                <w:sz w:val="21"/>
                <w:szCs w:val="21"/>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24</w:t>
            </w:r>
          </w:p>
        </w:tc>
      </w:tr>
      <w:tr>
        <w:trPr>
          <w:trHeight w:val="243"/>
        </w:trPr>
        <w:tc>
          <w:tcPr>
            <w:tcW w:w="26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240"/>
              <w:spacing w:after="0"/>
              <w:rPr>
                <w:sz w:val="20"/>
                <w:szCs w:val="20"/>
                <w:color w:val="auto"/>
              </w:rPr>
            </w:pPr>
            <w:r>
              <w:rPr>
                <w:rFonts w:ascii="Arial" w:cs="Arial" w:eastAsia="Arial" w:hAnsi="Arial"/>
                <w:sz w:val="16"/>
                <w:szCs w:val="16"/>
                <w:color w:val="auto"/>
              </w:rPr>
              <w:t>— %</w:t>
            </w: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7"/>
        </w:trPr>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w:t>
            </w:r>
          </w:p>
        </w:tc>
        <w:tc>
          <w:tcPr>
            <w:tcW w:w="136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58" w:lineRule="exact"/>
        <w:rPr>
          <w:sz w:val="20"/>
          <w:szCs w:val="20"/>
          <w:color w:val="auto"/>
        </w:rPr>
      </w:pPr>
    </w:p>
    <w:p>
      <w:pPr>
        <w:ind w:left="740"/>
        <w:spacing w:after="0"/>
        <w:tabs>
          <w:tab w:leader="none" w:pos="2120" w:val="left"/>
        </w:tabs>
        <w:rPr>
          <w:sz w:val="20"/>
          <w:szCs w:val="20"/>
          <w:color w:val="auto"/>
        </w:rPr>
      </w:pPr>
      <w:r>
        <w:rPr>
          <w:rFonts w:ascii="Arial" w:cs="Arial" w:eastAsia="Arial" w:hAnsi="Arial"/>
          <w:sz w:val="16"/>
          <w:szCs w:val="16"/>
          <w:color w:val="auto"/>
        </w:rPr>
        <w:t>1,642</w:t>
      </w:r>
      <w:r>
        <w:rPr>
          <w:sz w:val="20"/>
          <w:szCs w:val="20"/>
          <w:color w:val="auto"/>
        </w:rPr>
        <w:tab/>
      </w:r>
      <w:r>
        <w:rPr>
          <w:rFonts w:ascii="Arial" w:cs="Arial" w:eastAsia="Arial" w:hAnsi="Arial"/>
          <w:sz w:val="16"/>
          <w:szCs w:val="16"/>
          <w:color w:val="auto"/>
        </w:rPr>
        <w:t>15.3 %</w:t>
      </w:r>
    </w:p>
    <w:p>
      <w:pPr>
        <w:spacing w:after="0" w:line="59" w:lineRule="exact"/>
        <w:rPr>
          <w:sz w:val="20"/>
          <w:szCs w:val="20"/>
          <w:color w:val="auto"/>
        </w:rPr>
      </w:pPr>
    </w:p>
    <w:p>
      <w:pPr>
        <w:ind w:left="2160" w:hanging="1253"/>
        <w:spacing w:after="0"/>
        <w:tabs>
          <w:tab w:leader="none" w:pos="21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-4.1 %</w:t>
      </w:r>
    </w:p>
    <w:p>
      <w:pPr>
        <w:spacing w:after="0" w:line="59" w:lineRule="exact"/>
        <w:rPr>
          <w:sz w:val="20"/>
          <w:szCs w:val="20"/>
          <w:color w:val="auto"/>
        </w:rPr>
      </w:pPr>
    </w:p>
    <w:p>
      <w:pPr>
        <w:ind w:left="2080" w:hanging="1173"/>
        <w:spacing w:after="0"/>
        <w:tabs>
          <w:tab w:leader="none" w:pos="2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-11.6 %</w:t>
      </w:r>
    </w:p>
    <w:p>
      <w:pPr>
        <w:spacing w:after="0" w:line="72"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1,54212.4 %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822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822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5800" w:space="60"/>
            <w:col w:w="5400"/>
          </w:cols>
          <w:pgMar w:left="320" w:top="911" w:right="31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S-14</w:t>
      </w:r>
    </w:p>
    <w:p>
      <w:pPr>
        <w:sectPr>
          <w:pgSz w:w="11900" w:h="16838" w:orient="portrait"/>
          <w:cols w:equalWidth="0" w:num="1">
            <w:col w:w="11260"/>
          </w:cols>
          <w:pgMar w:left="320" w:top="911" w:right="31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Healthcare Services Segment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22225</wp:posOffset>
            </wp:positionV>
            <wp:extent cx="1474470" cy="2023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4470" cy="2023110"/>
                    </a:xfrm>
                    <a:prstGeom prst="rect">
                      <a:avLst/>
                    </a:prstGeom>
                    <a:noFill/>
                  </pic:spPr>
                </pic:pic>
              </a:graphicData>
            </a:graphic>
          </wp:anchor>
        </w:drawing>
      </w:r>
    </w:p>
    <w:p>
      <w:pPr>
        <w:sectPr>
          <w:pgSz w:w="11900" w:h="16838" w:orient="portrait"/>
          <w:cols w:equalWidth="0" w:num="1">
            <w:col w:w="11200"/>
          </w:cols>
          <w:pgMar w:left="320" w:top="1113" w:right="37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Primary Care Providers: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Shared Risk (H)</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Proprietary</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Contracted</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Path to Risk (I)</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Total Value-based</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Care Management Statistics:</w:t>
      </w:r>
    </w:p>
    <w:p>
      <w:pPr>
        <w:spacing w:after="0" w:line="74" w:lineRule="exact"/>
        <w:rPr>
          <w:sz w:val="20"/>
          <w:szCs w:val="20"/>
          <w:color w:val="auto"/>
        </w:rPr>
      </w:pPr>
    </w:p>
    <w:p>
      <w:pPr>
        <w:ind w:left="340" w:right="200"/>
        <w:spacing w:after="0" w:line="260" w:lineRule="auto"/>
        <w:rPr>
          <w:sz w:val="20"/>
          <w:szCs w:val="20"/>
          <w:color w:val="auto"/>
        </w:rPr>
      </w:pPr>
      <w:r>
        <w:rPr>
          <w:rFonts w:ascii="Arial" w:cs="Arial" w:eastAsia="Arial" w:hAnsi="Arial"/>
          <w:sz w:val="16"/>
          <w:szCs w:val="16"/>
          <w:color w:val="auto"/>
        </w:rPr>
        <w:t>Members enrolled in a Humana chronic care management program (M)</w:t>
      </w:r>
    </w:p>
    <w:p>
      <w:pPr>
        <w:spacing w:after="0" w:line="33" w:lineRule="exact"/>
        <w:rPr>
          <w:sz w:val="20"/>
          <w:szCs w:val="20"/>
          <w:color w:val="auto"/>
        </w:rPr>
      </w:pPr>
    </w:p>
    <w:p>
      <w:pPr>
        <w:ind w:left="340"/>
        <w:spacing w:after="0" w:line="253" w:lineRule="auto"/>
        <w:rPr>
          <w:sz w:val="20"/>
          <w:szCs w:val="20"/>
          <w:color w:val="auto"/>
        </w:rPr>
      </w:pPr>
      <w:r>
        <w:rPr>
          <w:rFonts w:ascii="Arial" w:cs="Arial" w:eastAsia="Arial" w:hAnsi="Arial"/>
          <w:sz w:val="16"/>
          <w:szCs w:val="16"/>
          <w:color w:val="auto"/>
        </w:rPr>
        <w:t>Number of high-risk discharges enrolled in a post-discharge care management program (N)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62"/>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366092"/>
              </w:rPr>
              <w:t xml:space="preserve">June 30, 2020   </w:t>
            </w:r>
            <w:r>
              <w:rPr>
                <w:rFonts w:ascii="Arial" w:cs="Arial" w:eastAsia="Arial" w:hAnsi="Arial"/>
                <w:sz w:val="14"/>
                <w:szCs w:val="14"/>
                <w:color w:val="000000"/>
              </w:rPr>
              <w:t>June 30, 2019</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80" w:type="dxa"/>
            <w:vAlign w:val="bottom"/>
            <w:vMerge w:val="continue"/>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Difference</w:t>
            </w:r>
          </w:p>
        </w:tc>
        <w:tc>
          <w:tcPr>
            <w:tcW w:w="880" w:type="dxa"/>
            <w:vAlign w:val="bottom"/>
          </w:tcPr>
          <w:p>
            <w:pPr>
              <w:spacing w:after="0"/>
              <w:rPr>
                <w:sz w:val="15"/>
                <w:szCs w:val="15"/>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Difference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00497F"/>
              </w:rPr>
              <w:t>1,000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1,600</w:t>
            </w:r>
          </w:p>
        </w:tc>
        <w:tc>
          <w:tcPr>
            <w:tcW w:w="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880" w:type="dxa"/>
            <w:vAlign w:val="bottom"/>
          </w:tcPr>
          <w:p>
            <w:pPr>
              <w:jc w:val="right"/>
              <w:spacing w:after="0"/>
              <w:rPr>
                <w:sz w:val="20"/>
                <w:szCs w:val="20"/>
                <w:color w:val="auto"/>
              </w:rPr>
            </w:pPr>
            <w:r>
              <w:rPr>
                <w:rFonts w:ascii="Arial" w:cs="Arial" w:eastAsia="Arial" w:hAnsi="Arial"/>
                <w:sz w:val="16"/>
                <w:szCs w:val="16"/>
                <w:color w:val="auto"/>
              </w:rPr>
              <w:t>-37.5 %</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860" w:type="dxa"/>
            <w:vAlign w:val="bottom"/>
          </w:tcPr>
          <w:p>
            <w:pPr>
              <w:jc w:val="right"/>
              <w:spacing w:after="0"/>
              <w:rPr>
                <w:sz w:val="20"/>
                <w:szCs w:val="20"/>
                <w:color w:val="auto"/>
              </w:rPr>
            </w:pPr>
            <w:r>
              <w:rPr>
                <w:rFonts w:ascii="Arial" w:cs="Arial" w:eastAsia="Arial" w:hAnsi="Arial"/>
                <w:sz w:val="16"/>
                <w:szCs w:val="16"/>
                <w:color w:val="auto"/>
              </w:rPr>
              <w:t>-16.7 %</w:t>
            </w:r>
          </w:p>
        </w:tc>
      </w:tr>
      <w:tr>
        <w:trPr>
          <w:trHeight w:val="243"/>
        </w:trPr>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00497F"/>
              </w:rPr>
              <w:t>21,900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17,600</w:t>
            </w:r>
          </w:p>
        </w:tc>
        <w:tc>
          <w:tcPr>
            <w:tcW w:w="8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4,300</w:t>
            </w:r>
          </w:p>
        </w:tc>
        <w:tc>
          <w:tcPr>
            <w:tcW w:w="880" w:type="dxa"/>
            <w:vAlign w:val="bottom"/>
          </w:tcPr>
          <w:p>
            <w:pPr>
              <w:jc w:val="right"/>
              <w:spacing w:after="0"/>
              <w:rPr>
                <w:sz w:val="20"/>
                <w:szCs w:val="20"/>
                <w:color w:val="auto"/>
              </w:rPr>
            </w:pPr>
            <w:r>
              <w:rPr>
                <w:rFonts w:ascii="Arial" w:cs="Arial" w:eastAsia="Arial" w:hAnsi="Arial"/>
                <w:sz w:val="16"/>
                <w:szCs w:val="16"/>
                <w:color w:val="auto"/>
              </w:rPr>
              <w:t>24.4 %</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18,700</w:t>
            </w:r>
          </w:p>
        </w:tc>
        <w:tc>
          <w:tcPr>
            <w:tcW w:w="8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3,200</w:t>
            </w:r>
          </w:p>
        </w:tc>
        <w:tc>
          <w:tcPr>
            <w:tcW w:w="860" w:type="dxa"/>
            <w:vAlign w:val="bottom"/>
          </w:tcPr>
          <w:p>
            <w:pPr>
              <w:jc w:val="right"/>
              <w:spacing w:after="0"/>
              <w:rPr>
                <w:sz w:val="20"/>
                <w:szCs w:val="20"/>
                <w:color w:val="auto"/>
              </w:rPr>
            </w:pPr>
            <w:r>
              <w:rPr>
                <w:rFonts w:ascii="Arial" w:cs="Arial" w:eastAsia="Arial" w:hAnsi="Arial"/>
                <w:sz w:val="16"/>
                <w:szCs w:val="16"/>
                <w:color w:val="auto"/>
              </w:rPr>
              <w:t>17.1 %</w:t>
            </w:r>
          </w:p>
        </w:tc>
      </w:tr>
      <w:tr>
        <w:trPr>
          <w:trHeight w:val="256"/>
        </w:trPr>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00497F"/>
              </w:rPr>
              <w:t>43,600</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39,300</w:t>
            </w:r>
          </w:p>
        </w:tc>
        <w:tc>
          <w:tcPr>
            <w:tcW w:w="80" w:type="dxa"/>
            <w:vAlign w:val="bottom"/>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4,300</w:t>
            </w:r>
          </w:p>
        </w:tc>
        <w:tc>
          <w:tcPr>
            <w:tcW w:w="880" w:type="dxa"/>
            <w:vAlign w:val="bottom"/>
          </w:tcPr>
          <w:p>
            <w:pPr>
              <w:jc w:val="right"/>
              <w:spacing w:after="0"/>
              <w:rPr>
                <w:sz w:val="20"/>
                <w:szCs w:val="20"/>
                <w:color w:val="auto"/>
              </w:rPr>
            </w:pPr>
            <w:r>
              <w:rPr>
                <w:rFonts w:ascii="Arial" w:cs="Arial" w:eastAsia="Arial" w:hAnsi="Arial"/>
                <w:sz w:val="16"/>
                <w:szCs w:val="16"/>
                <w:color w:val="auto"/>
              </w:rPr>
              <w:t>10.9 %</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42,000</w:t>
            </w:r>
          </w:p>
        </w:tc>
        <w:tc>
          <w:tcPr>
            <w:tcW w:w="80" w:type="dxa"/>
            <w:vAlign w:val="bottom"/>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1,600</w:t>
            </w:r>
          </w:p>
        </w:tc>
        <w:tc>
          <w:tcPr>
            <w:tcW w:w="86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37"/>
        </w:trPr>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00497F"/>
              </w:rPr>
              <w:t>66,500</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58,500</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8,000</w:t>
            </w:r>
          </w:p>
        </w:tc>
        <w:tc>
          <w:tcPr>
            <w:tcW w:w="880" w:type="dxa"/>
            <w:vAlign w:val="bottom"/>
          </w:tcPr>
          <w:p>
            <w:pPr>
              <w:jc w:val="right"/>
              <w:spacing w:after="0"/>
              <w:rPr>
                <w:sz w:val="20"/>
                <w:szCs w:val="20"/>
                <w:color w:val="auto"/>
              </w:rPr>
            </w:pPr>
            <w:r>
              <w:rPr>
                <w:rFonts w:ascii="Arial" w:cs="Arial" w:eastAsia="Arial" w:hAnsi="Arial"/>
                <w:sz w:val="16"/>
                <w:szCs w:val="16"/>
                <w:color w:val="auto"/>
              </w:rPr>
              <w:t>13.7 %</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61,900</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4,600</w:t>
            </w:r>
          </w:p>
        </w:tc>
        <w:tc>
          <w:tcPr>
            <w:tcW w:w="86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655"/>
        </w:trPr>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00497F"/>
              </w:rPr>
              <w:t>901,000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853,600</w:t>
            </w:r>
          </w:p>
        </w:tc>
        <w:tc>
          <w:tcPr>
            <w:tcW w:w="80" w:type="dxa"/>
            <w:vAlign w:val="bottom"/>
          </w:tcPr>
          <w:p>
            <w:pPr>
              <w:spacing w:after="0"/>
              <w:rPr>
                <w:sz w:val="24"/>
                <w:szCs w:val="24"/>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47,400</w:t>
            </w:r>
          </w:p>
        </w:tc>
        <w:tc>
          <w:tcPr>
            <w:tcW w:w="880" w:type="dxa"/>
            <w:vAlign w:val="bottom"/>
          </w:tcPr>
          <w:p>
            <w:pPr>
              <w:jc w:val="right"/>
              <w:spacing w:after="0"/>
              <w:rPr>
                <w:sz w:val="20"/>
                <w:szCs w:val="20"/>
                <w:color w:val="auto"/>
              </w:rPr>
            </w:pPr>
            <w:r>
              <w:rPr>
                <w:rFonts w:ascii="Arial" w:cs="Arial" w:eastAsia="Arial" w:hAnsi="Arial"/>
                <w:sz w:val="16"/>
                <w:szCs w:val="16"/>
                <w:color w:val="auto"/>
              </w:rPr>
              <w:t>5.6 %</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868,800</w:t>
            </w:r>
          </w:p>
        </w:tc>
        <w:tc>
          <w:tcPr>
            <w:tcW w:w="80" w:type="dxa"/>
            <w:vAlign w:val="bottom"/>
          </w:tcPr>
          <w:p>
            <w:pPr>
              <w:spacing w:after="0"/>
              <w:rPr>
                <w:sz w:val="24"/>
                <w:szCs w:val="24"/>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32,200</w:t>
            </w:r>
          </w:p>
        </w:tc>
        <w:tc>
          <w:tcPr>
            <w:tcW w:w="86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621"/>
        </w:trPr>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00497F"/>
              </w:rPr>
              <w:t>68,200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72,300</w:t>
            </w:r>
          </w:p>
        </w:tc>
        <w:tc>
          <w:tcPr>
            <w:tcW w:w="8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(4,100)</w:t>
            </w:r>
          </w:p>
        </w:tc>
        <w:tc>
          <w:tcPr>
            <w:tcW w:w="880" w:type="dxa"/>
            <w:vAlign w:val="bottom"/>
          </w:tcPr>
          <w:p>
            <w:pPr>
              <w:jc w:val="right"/>
              <w:spacing w:after="0"/>
              <w:rPr>
                <w:sz w:val="20"/>
                <w:szCs w:val="20"/>
                <w:color w:val="auto"/>
              </w:rPr>
            </w:pPr>
            <w:r>
              <w:rPr>
                <w:rFonts w:ascii="Arial" w:cs="Arial" w:eastAsia="Arial" w:hAnsi="Arial"/>
                <w:sz w:val="16"/>
                <w:szCs w:val="16"/>
                <w:color w:val="auto"/>
              </w:rPr>
              <w:t>-5.7 %</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61,500</w:t>
            </w:r>
          </w:p>
        </w:tc>
        <w:tc>
          <w:tcPr>
            <w:tcW w:w="80" w:type="dxa"/>
            <w:vAlign w:val="bottom"/>
          </w:tcPr>
          <w:p>
            <w:pPr>
              <w:spacing w:after="0"/>
              <w:rPr>
                <w:sz w:val="24"/>
                <w:szCs w:val="24"/>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6,700</w:t>
            </w:r>
          </w:p>
        </w:tc>
        <w:tc>
          <w:tcPr>
            <w:tcW w:w="860" w:type="dxa"/>
            <w:vAlign w:val="bottom"/>
          </w:tcPr>
          <w:p>
            <w:pPr>
              <w:jc w:val="right"/>
              <w:spacing w:after="0"/>
              <w:rPr>
                <w:sz w:val="20"/>
                <w:szCs w:val="20"/>
                <w:color w:val="auto"/>
              </w:rPr>
            </w:pPr>
            <w:r>
              <w:rPr>
                <w:rFonts w:ascii="Arial" w:cs="Arial" w:eastAsia="Arial" w:hAnsi="Arial"/>
                <w:sz w:val="16"/>
                <w:szCs w:val="16"/>
                <w:color w:val="auto"/>
              </w:rPr>
              <w:t>10.9 %</w:t>
            </w:r>
          </w:p>
        </w:tc>
      </w:tr>
    </w:tbl>
    <w:p>
      <w:pPr>
        <w:spacing w:after="0" w:line="209" w:lineRule="exact"/>
        <w:rPr>
          <w:sz w:val="20"/>
          <w:szCs w:val="20"/>
          <w:color w:val="auto"/>
        </w:rPr>
      </w:pPr>
    </w:p>
    <w:p>
      <w:pPr>
        <w:sectPr>
          <w:pgSz w:w="11900" w:h="16838" w:orient="portrait"/>
          <w:cols w:equalWidth="0" w:num="2">
            <w:col w:w="3360" w:space="140"/>
            <w:col w:w="7700"/>
          </w:cols>
          <w:pgMar w:left="320" w:top="1113" w:right="379" w:bottom="1440" w:gutter="0" w:footer="0" w:header="0"/>
          <w:type w:val="continuous"/>
        </w:sect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S-15</w:t>
      </w:r>
    </w:p>
    <w:p>
      <w:pPr>
        <w:sectPr>
          <w:pgSz w:w="11900" w:h="16838" w:orient="portrait"/>
          <w:cols w:equalWidth="0" w:num="1">
            <w:col w:w="11200"/>
          </w:cols>
          <w:pgMar w:left="320" w:top="1113" w:right="37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Healthcare Services Segment Metrics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Script volume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23495</wp:posOffset>
            </wp:positionV>
            <wp:extent cx="2828925" cy="3042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8925" cy="3042920"/>
                    </a:xfrm>
                    <a:prstGeom prst="rect">
                      <a:avLst/>
                    </a:prstGeom>
                    <a:noFill/>
                  </pic:spPr>
                </pic:pic>
              </a:graphicData>
            </a:graphic>
          </wp:anchor>
        </w:drawing>
      </w:r>
    </w:p>
    <w:p>
      <w:pPr>
        <w:sectPr>
          <w:pgSz w:w="11900" w:h="16838" w:orient="portrait"/>
          <w:cols w:equalWidth="0" w:num="1">
            <w:col w:w="11340"/>
          </w:cols>
          <w:pgMar w:left="320" w:top="11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Pharmacy:</w:t>
      </w:r>
    </w:p>
    <w:p>
      <w:pPr>
        <w:spacing w:after="0" w:line="54"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b w:val="1"/>
          <w:bCs w:val="1"/>
          <w:color w:val="auto"/>
        </w:rPr>
        <w:t>Generic Dispense Rate</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Retail</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Group</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Specialty</w:t>
      </w:r>
    </w:p>
    <w:p>
      <w:pPr>
        <w:spacing w:after="0" w:line="39"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b w:val="1"/>
          <w:bCs w:val="1"/>
          <w:color w:val="auto"/>
        </w:rPr>
        <w:t>Mail-Order Penetration</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Retail</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Group</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Specialty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right="20"/>
        <w:spacing w:after="0" w:line="286" w:lineRule="auto"/>
        <w:rPr>
          <w:sz w:val="20"/>
          <w:szCs w:val="20"/>
          <w:color w:val="auto"/>
        </w:rPr>
      </w:pPr>
      <w:r>
        <w:rPr>
          <w:rFonts w:ascii="Arial" w:cs="Arial" w:eastAsia="Arial" w:hAnsi="Arial"/>
          <w:sz w:val="16"/>
          <w:szCs w:val="16"/>
          <w:b w:val="1"/>
          <w:bCs w:val="1"/>
          <w:color w:val="auto"/>
        </w:rPr>
        <w:t>Script volume (O)</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480" w:type="dxa"/>
            <w:vAlign w:val="bottom"/>
            <w:gridSpan w:val="2"/>
            <w:vMerge w:val="restart"/>
          </w:tcPr>
          <w:p>
            <w:pPr>
              <w:spacing w:after="0"/>
              <w:rPr>
                <w:sz w:val="20"/>
                <w:szCs w:val="20"/>
                <w:color w:val="auto"/>
              </w:rPr>
            </w:pPr>
            <w:r>
              <w:rPr>
                <w:rFonts w:ascii="Arial" w:cs="Arial" w:eastAsia="Arial" w:hAnsi="Arial"/>
                <w:sz w:val="16"/>
                <w:szCs w:val="16"/>
                <w:b w:val="1"/>
                <w:bCs w:val="1"/>
                <w:color w:val="366092"/>
              </w:rPr>
              <w:t>For the three months ended For the three months ended</w:t>
            </w:r>
          </w:p>
        </w:tc>
        <w:tc>
          <w:tcPr>
            <w:tcW w:w="1720" w:type="dxa"/>
            <w:vAlign w:val="bottom"/>
            <w:gridSpan w:val="2"/>
          </w:tcPr>
          <w:p>
            <w:pPr>
              <w:jc w:val="center"/>
              <w:ind w:right="940"/>
              <w:spacing w:after="0"/>
              <w:rPr>
                <w:sz w:val="20"/>
                <w:szCs w:val="20"/>
                <w:color w:val="auto"/>
              </w:rPr>
            </w:pPr>
            <w:r>
              <w:rPr>
                <w:rFonts w:ascii="Arial" w:cs="Arial" w:eastAsia="Arial" w:hAnsi="Arial"/>
                <w:sz w:val="16"/>
                <w:szCs w:val="16"/>
                <w:color w:val="auto"/>
                <w:w w:val="97"/>
              </w:rPr>
              <w:t>Year-</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gridSpan w:val="2"/>
            <w:vMerge w:val="continue"/>
          </w:tcPr>
          <w:p>
            <w:pPr>
              <w:spacing w:after="0"/>
              <w:rPr>
                <w:sz w:val="14"/>
                <w:szCs w:val="14"/>
                <w:color w:val="auto"/>
              </w:rPr>
            </w:pPr>
          </w:p>
        </w:tc>
        <w:tc>
          <w:tcPr>
            <w:tcW w:w="1720" w:type="dxa"/>
            <w:vAlign w:val="bottom"/>
            <w:gridSpan w:val="2"/>
          </w:tcPr>
          <w:p>
            <w:pPr>
              <w:jc w:val="center"/>
              <w:ind w:right="940"/>
              <w:spacing w:after="0" w:line="169" w:lineRule="exact"/>
              <w:rPr>
                <w:sz w:val="20"/>
                <w:szCs w:val="20"/>
                <w:color w:val="auto"/>
              </w:rPr>
            </w:pPr>
            <w:r>
              <w:rPr>
                <w:rFonts w:ascii="Arial" w:cs="Arial" w:eastAsia="Arial" w:hAnsi="Arial"/>
                <w:sz w:val="16"/>
                <w:szCs w:val="16"/>
                <w:color w:val="auto"/>
                <w:w w:val="99"/>
              </w:rPr>
              <w:t>over-Year</w:t>
            </w:r>
          </w:p>
        </w:tc>
        <w:tc>
          <w:tcPr>
            <w:tcW w:w="2160" w:type="dxa"/>
            <w:vAlign w:val="bottom"/>
            <w:gridSpan w:val="2"/>
          </w:tcPr>
          <w:p>
            <w:pPr>
              <w:jc w:val="center"/>
              <w:ind w:right="80"/>
              <w:spacing w:after="0" w:line="169" w:lineRule="exact"/>
              <w:rPr>
                <w:sz w:val="20"/>
                <w:szCs w:val="20"/>
                <w:color w:val="auto"/>
              </w:rPr>
            </w:pPr>
            <w:r>
              <w:rPr>
                <w:rFonts w:ascii="Arial" w:cs="Arial" w:eastAsia="Arial" w:hAnsi="Arial"/>
                <w:sz w:val="16"/>
                <w:szCs w:val="16"/>
                <w:color w:val="auto"/>
              </w:rPr>
              <w:t>For the three months ended</w:t>
            </w:r>
          </w:p>
        </w:tc>
        <w:tc>
          <w:tcPr>
            <w:tcW w:w="880" w:type="dxa"/>
            <w:vAlign w:val="bottom"/>
          </w:tcPr>
          <w:p>
            <w:pPr>
              <w:ind w:left="60"/>
              <w:spacing w:after="0" w:line="169" w:lineRule="exact"/>
              <w:rPr>
                <w:sz w:val="20"/>
                <w:szCs w:val="20"/>
                <w:color w:val="auto"/>
              </w:rPr>
            </w:pPr>
            <w:r>
              <w:rPr>
                <w:rFonts w:ascii="Arial" w:cs="Arial" w:eastAsia="Arial" w:hAnsi="Arial"/>
                <w:sz w:val="16"/>
                <w:szCs w:val="16"/>
                <w:color w:val="auto"/>
              </w:rPr>
              <w:t>Sequential</w:t>
            </w:r>
          </w:p>
        </w:tc>
        <w:tc>
          <w:tcPr>
            <w:tcW w:w="0" w:type="dxa"/>
            <w:vAlign w:val="bottom"/>
          </w:tcPr>
          <w:p>
            <w:pPr>
              <w:spacing w:after="0"/>
              <w:rPr>
                <w:sz w:val="1"/>
                <w:szCs w:val="1"/>
                <w:color w:val="auto"/>
              </w:rPr>
            </w:pPr>
          </w:p>
        </w:tc>
      </w:tr>
      <w:tr>
        <w:trPr>
          <w:trHeight w:val="228"/>
        </w:trPr>
        <w:tc>
          <w:tcPr>
            <w:tcW w:w="2180" w:type="dxa"/>
            <w:vAlign w:val="bottom"/>
          </w:tcPr>
          <w:p>
            <w:pPr>
              <w:ind w:left="540"/>
              <w:spacing w:after="0"/>
              <w:rPr>
                <w:sz w:val="20"/>
                <w:szCs w:val="20"/>
                <w:color w:val="auto"/>
              </w:rPr>
            </w:pPr>
            <w:r>
              <w:rPr>
                <w:rFonts w:ascii="Arial" w:cs="Arial" w:eastAsia="Arial" w:hAnsi="Arial"/>
                <w:sz w:val="16"/>
                <w:szCs w:val="16"/>
                <w:b w:val="1"/>
                <w:bCs w:val="1"/>
                <w:color w:val="366092"/>
              </w:rPr>
              <w:t>June 30, 2020</w:t>
            </w:r>
          </w:p>
        </w:tc>
        <w:tc>
          <w:tcPr>
            <w:tcW w:w="2300" w:type="dxa"/>
            <w:vAlign w:val="bottom"/>
          </w:tcPr>
          <w:p>
            <w:pPr>
              <w:ind w:left="580"/>
              <w:spacing w:after="0"/>
              <w:rPr>
                <w:sz w:val="20"/>
                <w:szCs w:val="20"/>
                <w:color w:val="auto"/>
              </w:rPr>
            </w:pPr>
            <w:r>
              <w:rPr>
                <w:rFonts w:ascii="Arial" w:cs="Arial" w:eastAsia="Arial" w:hAnsi="Arial"/>
                <w:sz w:val="16"/>
                <w:szCs w:val="16"/>
                <w:b w:val="1"/>
                <w:bCs w:val="1"/>
                <w:color w:val="366092"/>
              </w:rPr>
              <w:t>June 30, 2019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Difference</w:t>
            </w:r>
          </w:p>
        </w:tc>
        <w:tc>
          <w:tcPr>
            <w:tcW w:w="94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March 31, 2020</w:t>
            </w:r>
          </w:p>
        </w:tc>
        <w:tc>
          <w:tcPr>
            <w:tcW w:w="80" w:type="dxa"/>
            <w:vAlign w:val="bottom"/>
          </w:tcPr>
          <w:p>
            <w:pPr>
              <w:spacing w:after="0"/>
              <w:rPr>
                <w:sz w:val="19"/>
                <w:szCs w:val="19"/>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Difference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1500" w:type="dxa"/>
            <w:vAlign w:val="bottom"/>
          </w:tcPr>
          <w:p>
            <w:pPr>
              <w:jc w:val="right"/>
              <w:ind w:right="639"/>
              <w:spacing w:after="0"/>
              <w:rPr>
                <w:sz w:val="20"/>
                <w:szCs w:val="20"/>
                <w:color w:val="auto"/>
              </w:rPr>
            </w:pPr>
            <w:r>
              <w:rPr>
                <w:rFonts w:ascii="Arial" w:cs="Arial" w:eastAsia="Arial" w:hAnsi="Arial"/>
                <w:sz w:val="16"/>
                <w:szCs w:val="16"/>
                <w:b w:val="1"/>
                <w:bCs w:val="1"/>
                <w:color w:val="00497F"/>
              </w:rPr>
              <w:t>91.4 %</w:t>
            </w:r>
          </w:p>
        </w:tc>
        <w:tc>
          <w:tcPr>
            <w:tcW w:w="1600" w:type="dxa"/>
            <w:vAlign w:val="bottom"/>
          </w:tcPr>
          <w:p>
            <w:pPr>
              <w:jc w:val="right"/>
              <w:ind w:right="31"/>
              <w:spacing w:after="0"/>
              <w:rPr>
                <w:sz w:val="20"/>
                <w:szCs w:val="20"/>
                <w:color w:val="auto"/>
              </w:rPr>
            </w:pPr>
            <w:r>
              <w:rPr>
                <w:rFonts w:ascii="Arial" w:cs="Arial" w:eastAsia="Arial" w:hAnsi="Arial"/>
                <w:sz w:val="16"/>
                <w:szCs w:val="16"/>
                <w:color w:val="auto"/>
              </w:rPr>
              <w:t>91.7 %</w:t>
            </w:r>
          </w:p>
        </w:tc>
        <w:tc>
          <w:tcPr>
            <w:tcW w:w="800" w:type="dxa"/>
            <w:vAlign w:val="bottom"/>
          </w:tcPr>
          <w:p>
            <w:pPr>
              <w:jc w:val="right"/>
              <w:spacing w:after="0"/>
              <w:rPr>
                <w:sz w:val="20"/>
                <w:szCs w:val="20"/>
                <w:color w:val="auto"/>
              </w:rPr>
            </w:pPr>
            <w:r>
              <w:rPr>
                <w:rFonts w:ascii="Arial" w:cs="Arial" w:eastAsia="Arial" w:hAnsi="Arial"/>
                <w:sz w:val="16"/>
                <w:szCs w:val="16"/>
                <w:color w:val="auto"/>
              </w:rPr>
              <w:t>-0.3 %</w:t>
            </w:r>
          </w:p>
        </w:tc>
        <w:tc>
          <w:tcPr>
            <w:tcW w:w="920" w:type="dxa"/>
            <w:vAlign w:val="bottom"/>
          </w:tcPr>
          <w:p>
            <w:pPr>
              <w:spacing w:after="0"/>
              <w:rPr>
                <w:sz w:val="18"/>
                <w:szCs w:val="18"/>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91.9 %</w:t>
            </w:r>
          </w:p>
        </w:tc>
        <w:tc>
          <w:tcPr>
            <w:tcW w:w="900" w:type="dxa"/>
            <w:vAlign w:val="bottom"/>
          </w:tcPr>
          <w:p>
            <w:pPr>
              <w:jc w:val="right"/>
              <w:spacing w:after="0"/>
              <w:rPr>
                <w:sz w:val="20"/>
                <w:szCs w:val="20"/>
                <w:color w:val="auto"/>
              </w:rPr>
            </w:pPr>
            <w:r>
              <w:rPr>
                <w:rFonts w:ascii="Arial" w:cs="Arial" w:eastAsia="Arial" w:hAnsi="Arial"/>
                <w:sz w:val="16"/>
                <w:szCs w:val="16"/>
                <w:color w:val="auto"/>
              </w:rPr>
              <w:t>-0.5 %</w:t>
            </w:r>
          </w:p>
        </w:tc>
        <w:tc>
          <w:tcPr>
            <w:tcW w:w="900" w:type="dxa"/>
            <w:vAlign w:val="bottom"/>
          </w:tcPr>
          <w:p>
            <w:pPr>
              <w:spacing w:after="0"/>
              <w:rPr>
                <w:sz w:val="18"/>
                <w:szCs w:val="18"/>
                <w:color w:val="auto"/>
              </w:rPr>
            </w:pPr>
          </w:p>
        </w:tc>
      </w:tr>
      <w:tr>
        <w:trPr>
          <w:trHeight w:val="621"/>
        </w:trPr>
        <w:tc>
          <w:tcPr>
            <w:tcW w:w="1500" w:type="dxa"/>
            <w:vAlign w:val="bottom"/>
          </w:tcPr>
          <w:p>
            <w:pPr>
              <w:jc w:val="right"/>
              <w:ind w:right="639"/>
              <w:spacing w:after="0"/>
              <w:rPr>
                <w:sz w:val="20"/>
                <w:szCs w:val="20"/>
                <w:color w:val="auto"/>
              </w:rPr>
            </w:pPr>
            <w:r>
              <w:rPr>
                <w:rFonts w:ascii="Arial" w:cs="Arial" w:eastAsia="Arial" w:hAnsi="Arial"/>
                <w:sz w:val="16"/>
                <w:szCs w:val="16"/>
                <w:b w:val="1"/>
                <w:bCs w:val="1"/>
                <w:color w:val="00497F"/>
              </w:rPr>
              <w:t>87.6 %</w:t>
            </w:r>
          </w:p>
        </w:tc>
        <w:tc>
          <w:tcPr>
            <w:tcW w:w="1600" w:type="dxa"/>
            <w:vAlign w:val="bottom"/>
          </w:tcPr>
          <w:p>
            <w:pPr>
              <w:jc w:val="right"/>
              <w:ind w:right="31"/>
              <w:spacing w:after="0"/>
              <w:rPr>
                <w:sz w:val="20"/>
                <w:szCs w:val="20"/>
                <w:color w:val="auto"/>
              </w:rPr>
            </w:pPr>
            <w:r>
              <w:rPr>
                <w:rFonts w:ascii="Arial" w:cs="Arial" w:eastAsia="Arial" w:hAnsi="Arial"/>
                <w:sz w:val="16"/>
                <w:szCs w:val="16"/>
                <w:color w:val="auto"/>
              </w:rPr>
              <w:t>87.4 %</w:t>
            </w:r>
          </w:p>
        </w:tc>
        <w:tc>
          <w:tcPr>
            <w:tcW w:w="800" w:type="dxa"/>
            <w:vAlign w:val="bottom"/>
          </w:tcPr>
          <w:p>
            <w:pPr>
              <w:jc w:val="right"/>
              <w:spacing w:after="0"/>
              <w:rPr>
                <w:sz w:val="20"/>
                <w:szCs w:val="20"/>
                <w:color w:val="auto"/>
              </w:rPr>
            </w:pPr>
            <w:r>
              <w:rPr>
                <w:rFonts w:ascii="Arial" w:cs="Arial" w:eastAsia="Arial" w:hAnsi="Arial"/>
                <w:sz w:val="16"/>
                <w:szCs w:val="16"/>
                <w:color w:val="auto"/>
              </w:rPr>
              <w:t>0.2 %</w:t>
            </w:r>
          </w:p>
        </w:tc>
        <w:tc>
          <w:tcPr>
            <w:tcW w:w="920" w:type="dxa"/>
            <w:vAlign w:val="bottom"/>
          </w:tcPr>
          <w:p>
            <w:pPr>
              <w:spacing w:after="0"/>
              <w:rPr>
                <w:sz w:val="24"/>
                <w:szCs w:val="24"/>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88.0 %</w:t>
            </w:r>
          </w:p>
        </w:tc>
        <w:tc>
          <w:tcPr>
            <w:tcW w:w="900" w:type="dxa"/>
            <w:vAlign w:val="bottom"/>
          </w:tcPr>
          <w:p>
            <w:pPr>
              <w:jc w:val="right"/>
              <w:spacing w:after="0"/>
              <w:rPr>
                <w:sz w:val="20"/>
                <w:szCs w:val="20"/>
                <w:color w:val="auto"/>
              </w:rPr>
            </w:pPr>
            <w:r>
              <w:rPr>
                <w:rFonts w:ascii="Arial" w:cs="Arial" w:eastAsia="Arial" w:hAnsi="Arial"/>
                <w:sz w:val="16"/>
                <w:szCs w:val="16"/>
                <w:color w:val="auto"/>
              </w:rPr>
              <w:t>-0.4 %</w:t>
            </w:r>
          </w:p>
        </w:tc>
        <w:tc>
          <w:tcPr>
            <w:tcW w:w="900" w:type="dxa"/>
            <w:vAlign w:val="bottom"/>
          </w:tcPr>
          <w:p>
            <w:pPr>
              <w:spacing w:after="0"/>
              <w:rPr>
                <w:sz w:val="24"/>
                <w:szCs w:val="24"/>
                <w:color w:val="auto"/>
              </w:rPr>
            </w:pPr>
          </w:p>
        </w:tc>
      </w:tr>
      <w:tr>
        <w:trPr>
          <w:trHeight w:val="675"/>
        </w:trPr>
        <w:tc>
          <w:tcPr>
            <w:tcW w:w="1500" w:type="dxa"/>
            <w:vAlign w:val="bottom"/>
          </w:tcPr>
          <w:p>
            <w:pPr>
              <w:jc w:val="right"/>
              <w:ind w:right="639"/>
              <w:spacing w:after="0"/>
              <w:rPr>
                <w:sz w:val="20"/>
                <w:szCs w:val="20"/>
                <w:color w:val="auto"/>
              </w:rPr>
            </w:pPr>
            <w:r>
              <w:rPr>
                <w:rFonts w:ascii="Arial" w:cs="Arial" w:eastAsia="Arial" w:hAnsi="Arial"/>
                <w:sz w:val="16"/>
                <w:szCs w:val="16"/>
                <w:b w:val="1"/>
                <w:bCs w:val="1"/>
                <w:color w:val="00497F"/>
              </w:rPr>
              <w:t>29.8 %</w:t>
            </w:r>
          </w:p>
        </w:tc>
        <w:tc>
          <w:tcPr>
            <w:tcW w:w="1600" w:type="dxa"/>
            <w:vAlign w:val="bottom"/>
          </w:tcPr>
          <w:p>
            <w:pPr>
              <w:jc w:val="right"/>
              <w:ind w:right="31"/>
              <w:spacing w:after="0"/>
              <w:rPr>
                <w:sz w:val="20"/>
                <w:szCs w:val="20"/>
                <w:color w:val="auto"/>
              </w:rPr>
            </w:pPr>
            <w:r>
              <w:rPr>
                <w:rFonts w:ascii="Arial" w:cs="Arial" w:eastAsia="Arial" w:hAnsi="Arial"/>
                <w:sz w:val="16"/>
                <w:szCs w:val="16"/>
                <w:color w:val="auto"/>
              </w:rPr>
              <w:t>28.6 %</w:t>
            </w:r>
          </w:p>
        </w:tc>
        <w:tc>
          <w:tcPr>
            <w:tcW w:w="800" w:type="dxa"/>
            <w:vAlign w:val="bottom"/>
          </w:tcPr>
          <w:p>
            <w:pPr>
              <w:jc w:val="right"/>
              <w:spacing w:after="0"/>
              <w:rPr>
                <w:sz w:val="20"/>
                <w:szCs w:val="20"/>
                <w:color w:val="auto"/>
              </w:rPr>
            </w:pPr>
            <w:r>
              <w:rPr>
                <w:rFonts w:ascii="Arial" w:cs="Arial" w:eastAsia="Arial" w:hAnsi="Arial"/>
                <w:sz w:val="16"/>
                <w:szCs w:val="16"/>
                <w:color w:val="auto"/>
              </w:rPr>
              <w:t>1.2 %</w:t>
            </w:r>
          </w:p>
        </w:tc>
        <w:tc>
          <w:tcPr>
            <w:tcW w:w="920" w:type="dxa"/>
            <w:vAlign w:val="bottom"/>
          </w:tcPr>
          <w:p>
            <w:pPr>
              <w:spacing w:after="0"/>
              <w:rPr>
                <w:sz w:val="24"/>
                <w:szCs w:val="24"/>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28.7 %</w:t>
            </w:r>
          </w:p>
        </w:tc>
        <w:tc>
          <w:tcPr>
            <w:tcW w:w="900" w:type="dxa"/>
            <w:vAlign w:val="bottom"/>
          </w:tcPr>
          <w:p>
            <w:pPr>
              <w:jc w:val="right"/>
              <w:spacing w:after="0"/>
              <w:rPr>
                <w:sz w:val="20"/>
                <w:szCs w:val="20"/>
                <w:color w:val="auto"/>
              </w:rPr>
            </w:pPr>
            <w:r>
              <w:rPr>
                <w:rFonts w:ascii="Arial" w:cs="Arial" w:eastAsia="Arial" w:hAnsi="Arial"/>
                <w:sz w:val="16"/>
                <w:szCs w:val="16"/>
                <w:color w:val="auto"/>
              </w:rPr>
              <w:t>1.1 %</w:t>
            </w:r>
          </w:p>
        </w:tc>
        <w:tc>
          <w:tcPr>
            <w:tcW w:w="900" w:type="dxa"/>
            <w:vAlign w:val="bottom"/>
          </w:tcPr>
          <w:p>
            <w:pPr>
              <w:spacing w:after="0"/>
              <w:rPr>
                <w:sz w:val="24"/>
                <w:szCs w:val="24"/>
                <w:color w:val="auto"/>
              </w:rPr>
            </w:pPr>
          </w:p>
        </w:tc>
      </w:tr>
      <w:tr>
        <w:trPr>
          <w:trHeight w:val="621"/>
        </w:trPr>
        <w:tc>
          <w:tcPr>
            <w:tcW w:w="1500" w:type="dxa"/>
            <w:vAlign w:val="bottom"/>
          </w:tcPr>
          <w:p>
            <w:pPr>
              <w:jc w:val="right"/>
              <w:ind w:right="639"/>
              <w:spacing w:after="0"/>
              <w:rPr>
                <w:sz w:val="20"/>
                <w:szCs w:val="20"/>
                <w:color w:val="auto"/>
              </w:rPr>
            </w:pPr>
            <w:r>
              <w:rPr>
                <w:rFonts w:ascii="Arial" w:cs="Arial" w:eastAsia="Arial" w:hAnsi="Arial"/>
                <w:sz w:val="16"/>
                <w:szCs w:val="16"/>
                <w:b w:val="1"/>
                <w:bCs w:val="1"/>
                <w:color w:val="00497F"/>
              </w:rPr>
              <w:t>6.0 %</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6.5 %-0.5 %</w:t>
            </w:r>
          </w:p>
        </w:tc>
        <w:tc>
          <w:tcPr>
            <w:tcW w:w="920" w:type="dxa"/>
            <w:vAlign w:val="bottom"/>
          </w:tcPr>
          <w:p>
            <w:pPr>
              <w:spacing w:after="0"/>
              <w:rPr>
                <w:sz w:val="24"/>
                <w:szCs w:val="24"/>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6.0 %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24"/>
                <w:szCs w:val="24"/>
                <w:color w:val="auto"/>
              </w:rPr>
            </w:pPr>
          </w:p>
        </w:tc>
      </w:tr>
      <w:tr>
        <w:trPr>
          <w:trHeight w:val="494"/>
        </w:trPr>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Percentage</w:t>
            </w: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Percentage</w:t>
            </w:r>
          </w:p>
        </w:tc>
      </w:tr>
      <w:tr>
        <w:trPr>
          <w:trHeight w:val="208"/>
        </w:trPr>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Difference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Change</w:t>
            </w:r>
          </w:p>
        </w:tc>
        <w:tc>
          <w:tcPr>
            <w:tcW w:w="2160" w:type="dxa"/>
            <w:vAlign w:val="bottom"/>
          </w:tcPr>
          <w:p>
            <w:pPr>
              <w:spacing w:after="0"/>
              <w:rPr>
                <w:sz w:val="18"/>
                <w:szCs w:val="18"/>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Difference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Change</w:t>
            </w:r>
          </w:p>
        </w:tc>
      </w:tr>
      <w:tr>
        <w:trPr>
          <w:trHeight w:val="399"/>
        </w:trPr>
        <w:tc>
          <w:tcPr>
            <w:tcW w:w="1500" w:type="dxa"/>
            <w:vAlign w:val="bottom"/>
          </w:tcPr>
          <w:p>
            <w:pPr>
              <w:jc w:val="right"/>
              <w:ind w:right="839"/>
              <w:spacing w:after="0"/>
              <w:rPr>
                <w:sz w:val="20"/>
                <w:szCs w:val="20"/>
                <w:color w:val="auto"/>
              </w:rPr>
            </w:pPr>
            <w:r>
              <w:rPr>
                <w:rFonts w:ascii="Arial" w:cs="Arial" w:eastAsia="Arial" w:hAnsi="Arial"/>
                <w:sz w:val="16"/>
                <w:szCs w:val="16"/>
                <w:b w:val="1"/>
                <w:bCs w:val="1"/>
                <w:color w:val="00497F"/>
                <w:w w:val="96"/>
              </w:rPr>
              <w:t>116,300</w:t>
            </w:r>
          </w:p>
        </w:tc>
        <w:tc>
          <w:tcPr>
            <w:tcW w:w="1600" w:type="dxa"/>
            <w:vAlign w:val="bottom"/>
          </w:tcPr>
          <w:p>
            <w:pPr>
              <w:jc w:val="right"/>
              <w:ind w:right="231"/>
              <w:spacing w:after="0"/>
              <w:rPr>
                <w:sz w:val="20"/>
                <w:szCs w:val="20"/>
                <w:color w:val="auto"/>
              </w:rPr>
            </w:pPr>
            <w:r>
              <w:rPr>
                <w:rFonts w:ascii="Arial" w:cs="Arial" w:eastAsia="Arial" w:hAnsi="Arial"/>
                <w:sz w:val="16"/>
                <w:szCs w:val="16"/>
                <w:color w:val="auto"/>
              </w:rPr>
              <w:t>113,000</w:t>
            </w:r>
          </w:p>
        </w:tc>
        <w:tc>
          <w:tcPr>
            <w:tcW w:w="800" w:type="dxa"/>
            <w:vAlign w:val="bottom"/>
          </w:tcPr>
          <w:p>
            <w:pPr>
              <w:jc w:val="right"/>
              <w:ind w:right="161"/>
              <w:spacing w:after="0"/>
              <w:rPr>
                <w:sz w:val="20"/>
                <w:szCs w:val="20"/>
                <w:color w:val="auto"/>
              </w:rPr>
            </w:pPr>
            <w:r>
              <w:rPr>
                <w:rFonts w:ascii="Arial" w:cs="Arial" w:eastAsia="Arial" w:hAnsi="Arial"/>
                <w:sz w:val="16"/>
                <w:szCs w:val="16"/>
                <w:color w:val="auto"/>
              </w:rPr>
              <w:t>3,300</w:t>
            </w:r>
          </w:p>
        </w:tc>
        <w:tc>
          <w:tcPr>
            <w:tcW w:w="920" w:type="dxa"/>
            <w:vAlign w:val="bottom"/>
          </w:tcPr>
          <w:p>
            <w:pPr>
              <w:jc w:val="right"/>
              <w:spacing w:after="0"/>
              <w:rPr>
                <w:sz w:val="20"/>
                <w:szCs w:val="20"/>
                <w:color w:val="auto"/>
              </w:rPr>
            </w:pPr>
            <w:r>
              <w:rPr>
                <w:rFonts w:ascii="Arial" w:cs="Arial" w:eastAsia="Arial" w:hAnsi="Arial"/>
                <w:sz w:val="16"/>
                <w:szCs w:val="16"/>
                <w:color w:val="auto"/>
              </w:rPr>
              <w:t>2.9 %</w:t>
            </w:r>
          </w:p>
        </w:tc>
        <w:tc>
          <w:tcPr>
            <w:tcW w:w="2160" w:type="dxa"/>
            <w:vAlign w:val="bottom"/>
          </w:tcPr>
          <w:p>
            <w:pPr>
              <w:jc w:val="right"/>
              <w:ind w:right="219"/>
              <w:spacing w:after="0"/>
              <w:rPr>
                <w:sz w:val="20"/>
                <w:szCs w:val="20"/>
                <w:color w:val="auto"/>
              </w:rPr>
            </w:pPr>
            <w:r>
              <w:rPr>
                <w:rFonts w:ascii="Arial" w:cs="Arial" w:eastAsia="Arial" w:hAnsi="Arial"/>
                <w:sz w:val="16"/>
                <w:szCs w:val="16"/>
                <w:color w:val="auto"/>
              </w:rPr>
              <w:t>120,100</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(3,800)</w:t>
            </w:r>
          </w:p>
        </w:tc>
        <w:tc>
          <w:tcPr>
            <w:tcW w:w="900" w:type="dxa"/>
            <w:vAlign w:val="bottom"/>
          </w:tcPr>
          <w:p>
            <w:pPr>
              <w:jc w:val="right"/>
              <w:spacing w:after="0"/>
              <w:rPr>
                <w:sz w:val="20"/>
                <w:szCs w:val="20"/>
                <w:color w:val="auto"/>
              </w:rPr>
            </w:pPr>
            <w:r>
              <w:rPr>
                <w:rFonts w:ascii="Arial" w:cs="Arial" w:eastAsia="Arial" w:hAnsi="Arial"/>
                <w:sz w:val="16"/>
                <w:szCs w:val="16"/>
                <w:color w:val="auto"/>
              </w:rPr>
              <w:t>-3.2 %</w:t>
            </w:r>
          </w:p>
        </w:tc>
      </w:tr>
    </w:tbl>
    <w:p>
      <w:pPr>
        <w:spacing w:after="0" w:line="234" w:lineRule="exact"/>
        <w:rPr>
          <w:sz w:val="20"/>
          <w:szCs w:val="20"/>
          <w:color w:val="auto"/>
        </w:rPr>
      </w:pPr>
    </w:p>
    <w:p>
      <w:pPr>
        <w:sectPr>
          <w:pgSz w:w="11900" w:h="16838" w:orient="portrait"/>
          <w:cols w:equalWidth="0" w:num="2">
            <w:col w:w="1120" w:space="60"/>
            <w:col w:w="10160"/>
          </w:cols>
          <w:pgMar w:left="320" w:top="111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S-16</w:t>
      </w:r>
    </w:p>
    <w:p>
      <w:pPr>
        <w:sectPr>
          <w:pgSz w:w="11900" w:h="16838" w:orient="portrait"/>
          <w:cols w:equalWidth="0" w:num="1">
            <w:col w:w="11340"/>
          </w:cols>
          <w:pgMar w:left="320" w:top="1113" w:right="239" w:bottom="1440" w:gutter="0" w:footer="0" w:header="0"/>
          <w:type w:val="continuous"/>
        </w:sectPr>
      </w:pPr>
    </w:p>
    <w:bookmarkStart w:id="50" w:name="page51"/>
    <w:bookmarkEnd w:id="50"/>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Healthcare Services Segment Metrics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Script volume in thousands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Pharmacy:</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Generic Dispense Rate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Retail</w:t>
      </w:r>
    </w:p>
    <w:p>
      <w:pPr>
        <w:spacing w:after="0" w:line="59"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Group and Specialty</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Mail-Order Penetration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Retail</w:t>
      </w:r>
    </w:p>
    <w:p>
      <w:pPr>
        <w:spacing w:after="0" w:line="59"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Group and Specialty</w:t>
      </w: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Script volume (O)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11"/>
        </w:trPr>
        <w:tc>
          <w:tcPr>
            <w:tcW w:w="1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366092"/>
              </w:rPr>
              <w:t>For the six months</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rPr>
              <w:t>For the six</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1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366092"/>
              </w:rPr>
              <w:t>ended</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months ended</w:t>
            </w: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Year-over-Year</w:t>
            </w:r>
          </w:p>
        </w:tc>
        <w:tc>
          <w:tcPr>
            <w:tcW w:w="940" w:type="dxa"/>
            <w:vAlign w:val="bottom"/>
          </w:tcPr>
          <w:p>
            <w:pPr>
              <w:spacing w:after="0"/>
              <w:rPr>
                <w:sz w:val="16"/>
                <w:szCs w:val="16"/>
                <w:color w:val="auto"/>
              </w:rPr>
            </w:pPr>
          </w:p>
        </w:tc>
      </w:tr>
      <w:tr>
        <w:trPr>
          <w:trHeight w:val="228"/>
        </w:trPr>
        <w:tc>
          <w:tcPr>
            <w:tcW w:w="1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366092"/>
              </w:rPr>
              <w:t>June 30, 2020</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June 30, 2019</w:t>
            </w:r>
          </w:p>
        </w:tc>
        <w:tc>
          <w:tcPr>
            <w:tcW w:w="1140" w:type="dxa"/>
            <w:vAlign w:val="bottom"/>
          </w:tcPr>
          <w:p>
            <w:pPr>
              <w:jc w:val="center"/>
              <w:spacing w:after="0"/>
              <w:rPr>
                <w:sz w:val="20"/>
                <w:szCs w:val="20"/>
                <w:color w:val="auto"/>
              </w:rPr>
            </w:pPr>
            <w:r>
              <w:rPr>
                <w:rFonts w:ascii="Arial" w:cs="Arial" w:eastAsia="Arial" w:hAnsi="Arial"/>
                <w:sz w:val="16"/>
                <w:szCs w:val="16"/>
                <w:color w:val="auto"/>
              </w:rPr>
              <w:t>Difference</w:t>
            </w:r>
          </w:p>
        </w:tc>
        <w:tc>
          <w:tcPr>
            <w:tcW w:w="940" w:type="dxa"/>
            <w:vAlign w:val="bottom"/>
          </w:tcPr>
          <w:p>
            <w:pPr>
              <w:spacing w:after="0"/>
              <w:rPr>
                <w:sz w:val="19"/>
                <w:szCs w:val="19"/>
                <w:color w:val="auto"/>
              </w:rPr>
            </w:pPr>
          </w:p>
        </w:tc>
      </w:tr>
      <w:tr>
        <w:trPr>
          <w:trHeight w:val="710"/>
        </w:trPr>
        <w:tc>
          <w:tcPr>
            <w:tcW w:w="1780" w:type="dxa"/>
            <w:vAlign w:val="bottom"/>
            <w:tcBorders>
              <w:top w:val="single" w:sz="8" w:color="auto"/>
              <w:left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91.7 %</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91.6 %</w:t>
            </w:r>
          </w:p>
        </w:tc>
        <w:tc>
          <w:tcPr>
            <w:tcW w:w="8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940" w:type="dxa"/>
            <w:vAlign w:val="bottom"/>
          </w:tcPr>
          <w:p>
            <w:pPr>
              <w:spacing w:after="0"/>
              <w:rPr>
                <w:sz w:val="24"/>
                <w:szCs w:val="24"/>
                <w:color w:val="auto"/>
              </w:rPr>
            </w:pPr>
          </w:p>
        </w:tc>
      </w:tr>
      <w:tr>
        <w:trPr>
          <w:trHeight w:val="243"/>
        </w:trPr>
        <w:tc>
          <w:tcPr>
            <w:tcW w:w="17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87.9 %</w:t>
            </w:r>
          </w:p>
        </w:tc>
        <w:tc>
          <w:tcPr>
            <w:tcW w:w="1760" w:type="dxa"/>
            <w:vAlign w:val="bottom"/>
          </w:tcPr>
          <w:p>
            <w:pPr>
              <w:jc w:val="right"/>
              <w:spacing w:after="0"/>
              <w:rPr>
                <w:sz w:val="20"/>
                <w:szCs w:val="20"/>
                <w:color w:val="auto"/>
              </w:rPr>
            </w:pPr>
            <w:r>
              <w:rPr>
                <w:rFonts w:ascii="Arial" w:cs="Arial" w:eastAsia="Arial" w:hAnsi="Arial"/>
                <w:sz w:val="16"/>
                <w:szCs w:val="16"/>
                <w:color w:val="auto"/>
              </w:rPr>
              <w:t>87.5 %</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0.4 %</w:t>
            </w:r>
          </w:p>
        </w:tc>
        <w:tc>
          <w:tcPr>
            <w:tcW w:w="940" w:type="dxa"/>
            <w:vAlign w:val="bottom"/>
          </w:tcPr>
          <w:p>
            <w:pPr>
              <w:spacing w:after="0"/>
              <w:rPr>
                <w:sz w:val="21"/>
                <w:szCs w:val="21"/>
                <w:color w:val="auto"/>
              </w:rPr>
            </w:pPr>
          </w:p>
        </w:tc>
      </w:tr>
      <w:tr>
        <w:trPr>
          <w:trHeight w:val="486"/>
        </w:trPr>
        <w:tc>
          <w:tcPr>
            <w:tcW w:w="17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29.5 %</w:t>
            </w:r>
          </w:p>
        </w:tc>
        <w:tc>
          <w:tcPr>
            <w:tcW w:w="1760" w:type="dxa"/>
            <w:vAlign w:val="bottom"/>
          </w:tcPr>
          <w:p>
            <w:pPr>
              <w:jc w:val="right"/>
              <w:spacing w:after="0"/>
              <w:rPr>
                <w:sz w:val="20"/>
                <w:szCs w:val="20"/>
                <w:color w:val="auto"/>
              </w:rPr>
            </w:pPr>
            <w:r>
              <w:rPr>
                <w:rFonts w:ascii="Arial" w:cs="Arial" w:eastAsia="Arial" w:hAnsi="Arial"/>
                <w:sz w:val="16"/>
                <w:szCs w:val="16"/>
                <w:color w:val="auto"/>
              </w:rPr>
              <w:t>28.6 %</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0.9 %</w:t>
            </w:r>
          </w:p>
        </w:tc>
        <w:tc>
          <w:tcPr>
            <w:tcW w:w="940" w:type="dxa"/>
            <w:vAlign w:val="bottom"/>
          </w:tcPr>
          <w:p>
            <w:pPr>
              <w:spacing w:after="0"/>
              <w:rPr>
                <w:sz w:val="24"/>
                <w:szCs w:val="24"/>
                <w:color w:val="auto"/>
              </w:rPr>
            </w:pPr>
          </w:p>
        </w:tc>
      </w:tr>
      <w:tr>
        <w:trPr>
          <w:trHeight w:val="243"/>
        </w:trPr>
        <w:tc>
          <w:tcPr>
            <w:tcW w:w="178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5.9 %</w:t>
            </w:r>
          </w:p>
        </w:tc>
        <w:tc>
          <w:tcPr>
            <w:tcW w:w="1760" w:type="dxa"/>
            <w:vAlign w:val="bottom"/>
          </w:tcPr>
          <w:p>
            <w:pPr>
              <w:jc w:val="right"/>
              <w:spacing w:after="0"/>
              <w:rPr>
                <w:sz w:val="20"/>
                <w:szCs w:val="20"/>
                <w:color w:val="auto"/>
              </w:rPr>
            </w:pPr>
            <w:r>
              <w:rPr>
                <w:rFonts w:ascii="Arial" w:cs="Arial" w:eastAsia="Arial" w:hAnsi="Arial"/>
                <w:sz w:val="16"/>
                <w:szCs w:val="16"/>
                <w:color w:val="auto"/>
              </w:rPr>
              <w:t>6.4 %</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-0.5 %</w:t>
            </w:r>
          </w:p>
        </w:tc>
        <w:tc>
          <w:tcPr>
            <w:tcW w:w="940" w:type="dxa"/>
            <w:vAlign w:val="bottom"/>
          </w:tcPr>
          <w:p>
            <w:pPr>
              <w:spacing w:after="0"/>
              <w:rPr>
                <w:sz w:val="21"/>
                <w:szCs w:val="21"/>
                <w:color w:val="auto"/>
              </w:rPr>
            </w:pPr>
          </w:p>
        </w:tc>
      </w:tr>
      <w:tr>
        <w:trPr>
          <w:trHeight w:val="237"/>
        </w:trPr>
        <w:tc>
          <w:tcPr>
            <w:tcW w:w="1780" w:type="dxa"/>
            <w:vAlign w:val="bottom"/>
            <w:tcBorders>
              <w:left w:val="single" w:sz="8" w:color="auto"/>
              <w:right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Percentage</w:t>
            </w:r>
          </w:p>
        </w:tc>
      </w:tr>
      <w:tr>
        <w:trPr>
          <w:trHeight w:val="208"/>
        </w:trPr>
        <w:tc>
          <w:tcPr>
            <w:tcW w:w="1780" w:type="dxa"/>
            <w:vAlign w:val="bottom"/>
            <w:tcBorders>
              <w:left w:val="single" w:sz="8" w:color="auto"/>
              <w:right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Difference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Change</w:t>
            </w:r>
          </w:p>
        </w:tc>
      </w:tr>
      <w:tr>
        <w:trPr>
          <w:trHeight w:val="237"/>
        </w:trPr>
        <w:tc>
          <w:tcPr>
            <w:tcW w:w="1780" w:type="dxa"/>
            <w:vAlign w:val="bottom"/>
            <w:tcBorders>
              <w:left w:val="single" w:sz="8" w:color="auto"/>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b w:val="1"/>
                <w:bCs w:val="1"/>
                <w:color w:val="00497F"/>
              </w:rPr>
              <w:t>236,400</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223,100</w:t>
            </w:r>
          </w:p>
        </w:tc>
        <w:tc>
          <w:tcPr>
            <w:tcW w:w="80" w:type="dxa"/>
            <w:vAlign w:val="bottom"/>
          </w:tcPr>
          <w:p>
            <w:pPr>
              <w:spacing w:after="0"/>
              <w:rPr>
                <w:sz w:val="20"/>
                <w:szCs w:val="20"/>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13,300</w:t>
            </w:r>
          </w:p>
        </w:tc>
        <w:tc>
          <w:tcPr>
            <w:tcW w:w="940" w:type="dxa"/>
            <w:vAlign w:val="bottom"/>
          </w:tcPr>
          <w:p>
            <w:pPr>
              <w:jc w:val="right"/>
              <w:spacing w:after="0"/>
              <w:rPr>
                <w:sz w:val="20"/>
                <w:szCs w:val="20"/>
                <w:color w:val="auto"/>
              </w:rPr>
            </w:pPr>
            <w:r>
              <w:rPr>
                <w:rFonts w:ascii="Arial" w:cs="Arial" w:eastAsia="Arial" w:hAnsi="Arial"/>
                <w:sz w:val="16"/>
                <w:szCs w:val="16"/>
                <w:color w:val="auto"/>
              </w:rPr>
              <w:t>6.0 %</w:t>
            </w:r>
          </w:p>
        </w:tc>
      </w:tr>
    </w:tbl>
    <w:p>
      <w:pPr>
        <w:spacing w:after="0" w:line="200" w:lineRule="exact"/>
        <w:rPr>
          <w:sz w:val="20"/>
          <w:szCs w:val="20"/>
          <w:color w:val="auto"/>
        </w:rPr>
      </w:pPr>
    </w:p>
    <w:p>
      <w:pPr>
        <w:sectPr>
          <w:pgSz w:w="11900" w:h="16838" w:orient="portrait"/>
          <w:cols w:equalWidth="0" w:num="2">
            <w:col w:w="2140" w:space="720"/>
            <w:col w:w="7279"/>
          </w:cols>
          <w:pgMar w:left="320" w:top="1440" w:right="1440" w:bottom="1440" w:gutter="0" w:footer="0" w:header="0"/>
          <w:type w:val="continuous"/>
        </w:sectPr>
      </w:pPr>
    </w:p>
    <w:p>
      <w:pPr>
        <w:spacing w:after="0" w:line="323"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S-17</w:t>
      </w:r>
    </w:p>
    <w:p>
      <w:pPr>
        <w:sectPr>
          <w:pgSz w:w="11900" w:h="16838" w:orient="portrait"/>
          <w:cols w:equalWidth="0" w:num="1">
            <w:col w:w="10139"/>
          </w:cols>
          <w:pgMar w:left="320" w:top="1440"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Detail of Benefits Payable Balance and Year-to-Date Changes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320" w:type="dxa"/>
            <w:vAlign w:val="bottom"/>
            <w:tcBorders>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For the six months ended</w:t>
            </w:r>
          </w:p>
        </w:tc>
        <w:tc>
          <w:tcPr>
            <w:tcW w:w="1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For the six months ended</w:t>
            </w:r>
          </w:p>
        </w:tc>
        <w:tc>
          <w:tcPr>
            <w:tcW w:w="1720" w:type="dxa"/>
            <w:vAlign w:val="bottom"/>
            <w:tcBorders>
              <w:top w:val="single" w:sz="8" w:color="auto"/>
              <w:right w:val="single" w:sz="8" w:color="auto"/>
            </w:tcBorders>
          </w:tcPr>
          <w:p>
            <w:pPr>
              <w:jc w:val="right"/>
              <w:ind w:right="99"/>
              <w:spacing w:after="0"/>
              <w:rPr>
                <w:sz w:val="20"/>
                <w:szCs w:val="20"/>
                <w:color w:val="auto"/>
              </w:rPr>
            </w:pPr>
            <w:r>
              <w:rPr>
                <w:rFonts w:ascii="Arial" w:cs="Arial" w:eastAsia="Arial" w:hAnsi="Arial"/>
                <w:sz w:val="16"/>
                <w:szCs w:val="16"/>
                <w:color w:val="auto"/>
              </w:rPr>
              <w:t>For the year ended</w:t>
            </w:r>
          </w:p>
        </w:tc>
      </w:tr>
      <w:tr>
        <w:trPr>
          <w:trHeight w:val="228"/>
        </w:trPr>
        <w:tc>
          <w:tcPr>
            <w:tcW w:w="4320" w:type="dxa"/>
            <w:vAlign w:val="bottom"/>
            <w:tcBorders>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June 30, 2020</w:t>
            </w:r>
          </w:p>
        </w:tc>
        <w:tc>
          <w:tcPr>
            <w:tcW w:w="186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June 30, 2019</w:t>
            </w:r>
          </w:p>
        </w:tc>
        <w:tc>
          <w:tcPr>
            <w:tcW w:w="17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December 31, 2019</w:t>
            </w:r>
          </w:p>
        </w:tc>
      </w:tr>
      <w:tr>
        <w:trPr>
          <w:trHeight w:val="193"/>
        </w:trPr>
        <w:tc>
          <w:tcPr>
            <w:tcW w:w="4320" w:type="dxa"/>
            <w:vAlign w:val="bottom"/>
            <w:tcBorders>
              <w:right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Year-to-date changes in benefits payable,</w:t>
            </w:r>
          </w:p>
        </w:tc>
        <w:tc>
          <w:tcPr>
            <w:tcW w:w="202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239"/>
        </w:trPr>
        <w:tc>
          <w:tcPr>
            <w:tcW w:w="43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excluding military services</w:t>
            </w:r>
          </w:p>
        </w:tc>
        <w:tc>
          <w:tcPr>
            <w:tcW w:w="20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r>
      <w:tr>
        <w:trPr>
          <w:trHeight w:val="237"/>
        </w:trPr>
        <w:tc>
          <w:tcPr>
            <w:tcW w:w="43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Balances at January 1</w:t>
            </w:r>
          </w:p>
        </w:tc>
        <w:tc>
          <w:tcPr>
            <w:tcW w:w="20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$6,004</w:t>
            </w:r>
          </w:p>
        </w:tc>
        <w:tc>
          <w:tcPr>
            <w:tcW w:w="18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$4,862</w:t>
            </w:r>
          </w:p>
        </w:tc>
        <w:tc>
          <w:tcPr>
            <w:tcW w:w="17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$4,862</w:t>
            </w:r>
          </w:p>
        </w:tc>
      </w:tr>
      <w:tr>
        <w:trPr>
          <w:trHeight w:val="256"/>
        </w:trPr>
        <w:tc>
          <w:tcPr>
            <w:tcW w:w="43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Less: Reinsurance recoverables (P)</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18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(95)</w:t>
            </w:r>
          </w:p>
        </w:tc>
        <w:tc>
          <w:tcPr>
            <w:tcW w:w="17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(95)</w:t>
            </w:r>
          </w:p>
        </w:tc>
      </w:tr>
      <w:tr>
        <w:trPr>
          <w:trHeight w:val="223"/>
        </w:trPr>
        <w:tc>
          <w:tcPr>
            <w:tcW w:w="43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Beginning balance, net of reinsurance recoverable</w:t>
            </w:r>
          </w:p>
        </w:tc>
        <w:tc>
          <w:tcPr>
            <w:tcW w:w="20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5,936</w:t>
            </w:r>
          </w:p>
        </w:tc>
        <w:tc>
          <w:tcPr>
            <w:tcW w:w="18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4,767</w:t>
            </w:r>
          </w:p>
        </w:tc>
        <w:tc>
          <w:tcPr>
            <w:tcW w:w="17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4,767</w:t>
            </w:r>
          </w:p>
        </w:tc>
      </w:tr>
      <w:tr>
        <w:trPr>
          <w:trHeight w:val="243"/>
        </w:trPr>
        <w:tc>
          <w:tcPr>
            <w:tcW w:w="43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Incurred related to:</w:t>
            </w:r>
          </w:p>
        </w:tc>
        <w:tc>
          <w:tcPr>
            <w:tcW w:w="202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r>
      <w:tr>
        <w:trPr>
          <w:trHeight w:val="243"/>
        </w:trPr>
        <w:tc>
          <w:tcPr>
            <w:tcW w:w="43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Current year</w:t>
            </w:r>
          </w:p>
        </w:tc>
        <w:tc>
          <w:tcPr>
            <w:tcW w:w="20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30,039</w:t>
            </w:r>
          </w:p>
        </w:tc>
        <w:tc>
          <w:tcPr>
            <w:tcW w:w="186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27,086</w:t>
            </w:r>
          </w:p>
        </w:tc>
        <w:tc>
          <w:tcPr>
            <w:tcW w:w="17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54,193</w:t>
            </w:r>
          </w:p>
        </w:tc>
      </w:tr>
      <w:tr>
        <w:trPr>
          <w:trHeight w:val="256"/>
        </w:trPr>
        <w:tc>
          <w:tcPr>
            <w:tcW w:w="43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Prior years (Q)</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(235)</w:t>
            </w:r>
          </w:p>
        </w:tc>
        <w:tc>
          <w:tcPr>
            <w:tcW w:w="18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(275)</w:t>
            </w:r>
          </w:p>
        </w:tc>
        <w:tc>
          <w:tcPr>
            <w:tcW w:w="17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(336)</w:t>
            </w:r>
          </w:p>
        </w:tc>
      </w:tr>
      <w:tr>
        <w:trPr>
          <w:trHeight w:val="237"/>
        </w:trPr>
        <w:tc>
          <w:tcPr>
            <w:tcW w:w="43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Total incurred</w:t>
            </w:r>
          </w:p>
        </w:tc>
        <w:tc>
          <w:tcPr>
            <w:tcW w:w="20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29,804</w:t>
            </w:r>
          </w:p>
        </w:tc>
        <w:tc>
          <w:tcPr>
            <w:tcW w:w="18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26,811</w:t>
            </w:r>
          </w:p>
        </w:tc>
        <w:tc>
          <w:tcPr>
            <w:tcW w:w="17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53,857</w:t>
            </w:r>
          </w:p>
        </w:tc>
      </w:tr>
      <w:tr>
        <w:trPr>
          <w:trHeight w:val="210"/>
        </w:trPr>
        <w:tc>
          <w:tcPr>
            <w:tcW w:w="43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Paid related to:</w:t>
            </w:r>
          </w:p>
        </w:tc>
        <w:tc>
          <w:tcPr>
            <w:tcW w:w="20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43"/>
        </w:trPr>
        <w:tc>
          <w:tcPr>
            <w:tcW w:w="43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Current year</w:t>
            </w:r>
          </w:p>
        </w:tc>
        <w:tc>
          <w:tcPr>
            <w:tcW w:w="20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(22,665)</w:t>
            </w:r>
          </w:p>
        </w:tc>
        <w:tc>
          <w:tcPr>
            <w:tcW w:w="18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(21,700)</w:t>
            </w:r>
          </w:p>
        </w:tc>
        <w:tc>
          <w:tcPr>
            <w:tcW w:w="17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(48,421)</w:t>
            </w:r>
          </w:p>
        </w:tc>
      </w:tr>
      <w:tr>
        <w:trPr>
          <w:trHeight w:val="256"/>
        </w:trPr>
        <w:tc>
          <w:tcPr>
            <w:tcW w:w="4320" w:type="dxa"/>
            <w:vAlign w:val="bottom"/>
            <w:tcBorders>
              <w:right w:val="single" w:sz="8" w:color="auto"/>
            </w:tcBorders>
          </w:tcPr>
          <w:p>
            <w:pPr>
              <w:ind w:left="640"/>
              <w:spacing w:after="0"/>
              <w:rPr>
                <w:sz w:val="20"/>
                <w:szCs w:val="20"/>
                <w:color w:val="auto"/>
              </w:rPr>
            </w:pPr>
            <w:r>
              <w:rPr>
                <w:rFonts w:ascii="Arial" w:cs="Arial" w:eastAsia="Arial" w:hAnsi="Arial"/>
                <w:sz w:val="16"/>
                <w:szCs w:val="16"/>
                <w:color w:val="auto"/>
              </w:rPr>
              <w:t>Prior years</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(5,098)</w:t>
            </w:r>
          </w:p>
        </w:tc>
        <w:tc>
          <w:tcPr>
            <w:tcW w:w="18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(4,108)</w:t>
            </w:r>
          </w:p>
        </w:tc>
        <w:tc>
          <w:tcPr>
            <w:tcW w:w="17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(4,267)</w:t>
            </w:r>
          </w:p>
        </w:tc>
      </w:tr>
      <w:tr>
        <w:trPr>
          <w:trHeight w:val="237"/>
        </w:trPr>
        <w:tc>
          <w:tcPr>
            <w:tcW w:w="43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Total paid</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(27,763)</w:t>
            </w:r>
          </w:p>
        </w:tc>
        <w:tc>
          <w:tcPr>
            <w:tcW w:w="18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(25,808)</w:t>
            </w:r>
          </w:p>
        </w:tc>
        <w:tc>
          <w:tcPr>
            <w:tcW w:w="17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(52,688)</w:t>
            </w:r>
          </w:p>
        </w:tc>
      </w:tr>
      <w:tr>
        <w:trPr>
          <w:trHeight w:val="236"/>
        </w:trPr>
        <w:tc>
          <w:tcPr>
            <w:tcW w:w="43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Reinsurance recoverables (P)</w:t>
            </w:r>
          </w:p>
        </w:tc>
        <w:tc>
          <w:tcPr>
            <w:tcW w:w="20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18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72</w:t>
            </w:r>
          </w:p>
        </w:tc>
        <w:tc>
          <w:tcPr>
            <w:tcW w:w="17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68</w:t>
            </w:r>
          </w:p>
        </w:tc>
      </w:tr>
      <w:tr>
        <w:trPr>
          <w:trHeight w:val="237"/>
        </w:trPr>
        <w:tc>
          <w:tcPr>
            <w:tcW w:w="43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Ending balance</w:t>
            </w:r>
          </w:p>
        </w:tc>
        <w:tc>
          <w:tcPr>
            <w:tcW w:w="20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$7,980</w:t>
            </w:r>
          </w:p>
        </w:tc>
        <w:tc>
          <w:tcPr>
            <w:tcW w:w="18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$5,842</w:t>
            </w:r>
          </w:p>
        </w:tc>
        <w:tc>
          <w:tcPr>
            <w:tcW w:w="17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$6,004</w:t>
            </w:r>
          </w:p>
        </w:tc>
      </w:tr>
      <w:tr>
        <w:trPr>
          <w:trHeight w:val="27"/>
        </w:trPr>
        <w:tc>
          <w:tcPr>
            <w:tcW w:w="43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S-18</w:t>
      </w:r>
    </w:p>
    <w:p>
      <w:pPr>
        <w:sectPr>
          <w:pgSz w:w="11900" w:h="16838" w:orient="portrait"/>
          <w:cols w:equalWidth="0" w:num="1">
            <w:col w:w="10139"/>
          </w:cols>
          <w:pgMar w:left="320" w:top="911" w:right="1440" w:bottom="1440" w:gutter="0" w:footer="0" w:header="0"/>
        </w:sectPr>
      </w:pPr>
    </w:p>
    <w:bookmarkStart w:id="52" w:name="page53"/>
    <w:bookmarkEnd w:id="52"/>
    <w:p>
      <w:pPr>
        <w:spacing w:after="0"/>
        <w:rPr>
          <w:sz w:val="20"/>
          <w:szCs w:val="20"/>
          <w:color w:val="auto"/>
        </w:rPr>
      </w:pPr>
      <w:r>
        <w:rPr>
          <w:rFonts w:ascii="Arial" w:cs="Arial" w:eastAsia="Arial" w:hAnsi="Arial"/>
          <w:sz w:val="25"/>
          <w:szCs w:val="25"/>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Benefits Payable Statistics (Continued) (R)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Days in Claims Payable</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Days in</w:t>
            </w:r>
          </w:p>
        </w:tc>
        <w:tc>
          <w:tcPr>
            <w:tcW w:w="1060" w:type="dxa"/>
            <w:vAlign w:val="bottom"/>
          </w:tcPr>
          <w:p>
            <w:pPr>
              <w:jc w:val="center"/>
              <w:ind w:right="36"/>
              <w:spacing w:after="0"/>
              <w:rPr>
                <w:sz w:val="20"/>
                <w:szCs w:val="20"/>
                <w:color w:val="auto"/>
              </w:rPr>
            </w:pPr>
            <w:r>
              <w:rPr>
                <w:rFonts w:ascii="Arial" w:cs="Arial" w:eastAsia="Arial" w:hAnsi="Arial"/>
                <w:sz w:val="18"/>
                <w:szCs w:val="18"/>
                <w:b w:val="1"/>
                <w:bCs w:val="1"/>
                <w:color w:val="auto"/>
                <w:w w:val="99"/>
              </w:rPr>
              <w:t>Change</w:t>
            </w:r>
          </w:p>
        </w:tc>
        <w:tc>
          <w:tcPr>
            <w:tcW w:w="124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060" w:type="dxa"/>
            <w:vAlign w:val="bottom"/>
          </w:tcPr>
          <w:p>
            <w:pPr>
              <w:jc w:val="center"/>
              <w:ind w:right="16"/>
              <w:spacing w:after="0" w:line="202" w:lineRule="exact"/>
              <w:rPr>
                <w:sz w:val="20"/>
                <w:szCs w:val="20"/>
                <w:color w:val="auto"/>
              </w:rPr>
            </w:pPr>
            <w:r>
              <w:rPr>
                <w:rFonts w:ascii="Arial" w:cs="Arial" w:eastAsia="Arial" w:hAnsi="Arial"/>
                <w:sz w:val="18"/>
                <w:szCs w:val="18"/>
                <w:b w:val="1"/>
                <w:bCs w:val="1"/>
                <w:color w:val="auto"/>
                <w:w w:val="99"/>
              </w:rPr>
              <w:t>Last 4</w:t>
            </w:r>
          </w:p>
        </w:tc>
        <w:tc>
          <w:tcPr>
            <w:tcW w:w="124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Percentage</w:t>
            </w:r>
          </w:p>
        </w:tc>
      </w:tr>
      <w:tr>
        <w:trPr>
          <w:trHeight w:val="239"/>
        </w:trPr>
        <w:tc>
          <w:tcPr>
            <w:tcW w:w="2800" w:type="dxa"/>
            <w:vAlign w:val="bottom"/>
          </w:tcPr>
          <w:p>
            <w:pPr>
              <w:jc w:val="right"/>
              <w:ind w:right="678"/>
              <w:spacing w:after="0"/>
              <w:rPr>
                <w:sz w:val="20"/>
                <w:szCs w:val="20"/>
                <w:color w:val="auto"/>
              </w:rPr>
            </w:pPr>
            <w:r>
              <w:rPr>
                <w:rFonts w:ascii="Arial" w:cs="Arial" w:eastAsia="Arial" w:hAnsi="Arial"/>
                <w:sz w:val="18"/>
                <w:szCs w:val="18"/>
                <w:b w:val="1"/>
                <w:bCs w:val="1"/>
                <w:color w:val="auto"/>
              </w:rPr>
              <w:t>Quarter Ended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Payable (DCP)</w:t>
            </w:r>
          </w:p>
        </w:tc>
        <w:tc>
          <w:tcPr>
            <w:tcW w:w="1060" w:type="dxa"/>
            <w:vAlign w:val="bottom"/>
          </w:tcPr>
          <w:p>
            <w:pPr>
              <w:jc w:val="center"/>
              <w:ind w:right="36"/>
              <w:spacing w:after="0"/>
              <w:rPr>
                <w:sz w:val="20"/>
                <w:szCs w:val="20"/>
                <w:color w:val="auto"/>
              </w:rPr>
            </w:pPr>
            <w:r>
              <w:rPr>
                <w:rFonts w:ascii="Arial" w:cs="Arial" w:eastAsia="Arial" w:hAnsi="Arial"/>
                <w:sz w:val="18"/>
                <w:szCs w:val="18"/>
                <w:b w:val="1"/>
                <w:bCs w:val="1"/>
                <w:color w:val="auto"/>
                <w:w w:val="98"/>
              </w:rPr>
              <w:t>Quarters</w:t>
            </w:r>
          </w:p>
        </w:tc>
        <w:tc>
          <w:tcPr>
            <w:tcW w:w="1240" w:type="dxa"/>
            <w:vAlign w:val="bottom"/>
          </w:tcPr>
          <w:p>
            <w:pPr>
              <w:jc w:val="right"/>
              <w:ind w:right="236"/>
              <w:spacing w:after="0"/>
              <w:rPr>
                <w:sz w:val="20"/>
                <w:szCs w:val="20"/>
                <w:color w:val="auto"/>
              </w:rPr>
            </w:pPr>
            <w:r>
              <w:rPr>
                <w:rFonts w:ascii="Arial" w:cs="Arial" w:eastAsia="Arial" w:hAnsi="Arial"/>
                <w:sz w:val="18"/>
                <w:szCs w:val="18"/>
                <w:b w:val="1"/>
                <w:bCs w:val="1"/>
                <w:color w:val="auto"/>
              </w:rPr>
              <w:t>Change</w:t>
            </w:r>
          </w:p>
        </w:tc>
      </w:tr>
      <w:tr>
        <w:trPr>
          <w:trHeight w:val="237"/>
        </w:trPr>
        <w:tc>
          <w:tcPr>
            <w:tcW w:w="2800" w:type="dxa"/>
            <w:vAlign w:val="bottom"/>
          </w:tcPr>
          <w:p>
            <w:pPr>
              <w:jc w:val="right"/>
              <w:spacing w:after="0"/>
              <w:rPr>
                <w:sz w:val="20"/>
                <w:szCs w:val="20"/>
                <w:color w:val="auto"/>
              </w:rPr>
            </w:pPr>
            <w:r>
              <w:rPr>
                <w:rFonts w:ascii="Arial" w:cs="Arial" w:eastAsia="Arial" w:hAnsi="Arial"/>
                <w:sz w:val="16"/>
                <w:szCs w:val="16"/>
                <w:color w:val="auto"/>
              </w:rPr>
              <w:t>6/30/2019</w:t>
            </w:r>
          </w:p>
        </w:tc>
        <w:tc>
          <w:tcPr>
            <w:tcW w:w="1360" w:type="dxa"/>
            <w:vAlign w:val="bottom"/>
          </w:tcPr>
          <w:p>
            <w:pPr>
              <w:jc w:val="right"/>
              <w:ind w:right="136"/>
              <w:spacing w:after="0"/>
              <w:rPr>
                <w:sz w:val="20"/>
                <w:szCs w:val="20"/>
                <w:color w:val="auto"/>
              </w:rPr>
            </w:pPr>
            <w:r>
              <w:rPr>
                <w:rFonts w:ascii="Arial" w:cs="Arial" w:eastAsia="Arial" w:hAnsi="Arial"/>
                <w:sz w:val="16"/>
                <w:szCs w:val="16"/>
                <w:color w:val="auto"/>
              </w:rPr>
              <w:t>39.9</w:t>
            </w:r>
          </w:p>
        </w:tc>
        <w:tc>
          <w:tcPr>
            <w:tcW w:w="1060" w:type="dxa"/>
            <w:vAlign w:val="bottom"/>
          </w:tcPr>
          <w:p>
            <w:pPr>
              <w:jc w:val="right"/>
              <w:ind w:right="16"/>
              <w:spacing w:after="0"/>
              <w:rPr>
                <w:sz w:val="20"/>
                <w:szCs w:val="20"/>
                <w:color w:val="auto"/>
              </w:rPr>
            </w:pPr>
            <w:r>
              <w:rPr>
                <w:rFonts w:ascii="Arial" w:cs="Arial" w:eastAsia="Arial" w:hAnsi="Arial"/>
                <w:sz w:val="16"/>
                <w:szCs w:val="16"/>
                <w:color w:val="auto"/>
              </w:rPr>
              <w:t>(0.2)</w:t>
            </w:r>
          </w:p>
        </w:tc>
        <w:tc>
          <w:tcPr>
            <w:tcW w:w="124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43"/>
        </w:trPr>
        <w:tc>
          <w:tcPr>
            <w:tcW w:w="2800" w:type="dxa"/>
            <w:vAlign w:val="bottom"/>
          </w:tcPr>
          <w:p>
            <w:pPr>
              <w:jc w:val="right"/>
              <w:spacing w:after="0"/>
              <w:rPr>
                <w:sz w:val="20"/>
                <w:szCs w:val="20"/>
                <w:color w:val="auto"/>
              </w:rPr>
            </w:pPr>
            <w:r>
              <w:rPr>
                <w:rFonts w:ascii="Arial" w:cs="Arial" w:eastAsia="Arial" w:hAnsi="Arial"/>
                <w:sz w:val="16"/>
                <w:szCs w:val="16"/>
                <w:color w:val="auto"/>
              </w:rPr>
              <w:t>9/30/2019</w:t>
            </w:r>
          </w:p>
        </w:tc>
        <w:tc>
          <w:tcPr>
            <w:tcW w:w="1360" w:type="dxa"/>
            <w:vAlign w:val="bottom"/>
          </w:tcPr>
          <w:p>
            <w:pPr>
              <w:jc w:val="right"/>
              <w:ind w:right="136"/>
              <w:spacing w:after="0"/>
              <w:rPr>
                <w:sz w:val="20"/>
                <w:szCs w:val="20"/>
                <w:color w:val="auto"/>
              </w:rPr>
            </w:pPr>
            <w:r>
              <w:rPr>
                <w:rFonts w:ascii="Arial" w:cs="Arial" w:eastAsia="Arial" w:hAnsi="Arial"/>
                <w:sz w:val="16"/>
                <w:szCs w:val="16"/>
                <w:color w:val="auto"/>
              </w:rPr>
              <w:t>42.8</w:t>
            </w:r>
          </w:p>
        </w:tc>
        <w:tc>
          <w:tcPr>
            <w:tcW w:w="1060" w:type="dxa"/>
            <w:vAlign w:val="bottom"/>
          </w:tcPr>
          <w:p>
            <w:pPr>
              <w:jc w:val="right"/>
              <w:ind w:right="76"/>
              <w:spacing w:after="0"/>
              <w:rPr>
                <w:sz w:val="20"/>
                <w:szCs w:val="20"/>
                <w:color w:val="auto"/>
              </w:rPr>
            </w:pPr>
            <w:r>
              <w:rPr>
                <w:rFonts w:ascii="Arial" w:cs="Arial" w:eastAsia="Arial" w:hAnsi="Arial"/>
                <w:sz w:val="16"/>
                <w:szCs w:val="16"/>
                <w:color w:val="auto"/>
              </w:rPr>
              <w:t>1.7</w:t>
            </w:r>
          </w:p>
        </w:tc>
        <w:tc>
          <w:tcPr>
            <w:tcW w:w="124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43"/>
        </w:trPr>
        <w:tc>
          <w:tcPr>
            <w:tcW w:w="2800" w:type="dxa"/>
            <w:vAlign w:val="bottom"/>
          </w:tcPr>
          <w:p>
            <w:pPr>
              <w:jc w:val="right"/>
              <w:spacing w:after="0"/>
              <w:rPr>
                <w:sz w:val="20"/>
                <w:szCs w:val="20"/>
                <w:color w:val="auto"/>
              </w:rPr>
            </w:pPr>
            <w:r>
              <w:rPr>
                <w:rFonts w:ascii="Arial" w:cs="Arial" w:eastAsia="Arial" w:hAnsi="Arial"/>
                <w:sz w:val="16"/>
                <w:szCs w:val="16"/>
                <w:color w:val="auto"/>
              </w:rPr>
              <w:t>12/31/2019</w:t>
            </w:r>
          </w:p>
        </w:tc>
        <w:tc>
          <w:tcPr>
            <w:tcW w:w="1360" w:type="dxa"/>
            <w:vAlign w:val="bottom"/>
          </w:tcPr>
          <w:p>
            <w:pPr>
              <w:jc w:val="right"/>
              <w:ind w:right="136"/>
              <w:spacing w:after="0"/>
              <w:rPr>
                <w:sz w:val="20"/>
                <w:szCs w:val="20"/>
                <w:color w:val="auto"/>
              </w:rPr>
            </w:pPr>
            <w:r>
              <w:rPr>
                <w:rFonts w:ascii="Arial" w:cs="Arial" w:eastAsia="Arial" w:hAnsi="Arial"/>
                <w:sz w:val="16"/>
                <w:szCs w:val="16"/>
                <w:color w:val="auto"/>
              </w:rPr>
              <w:t>40.4</w:t>
            </w:r>
          </w:p>
        </w:tc>
        <w:tc>
          <w:tcPr>
            <w:tcW w:w="1060" w:type="dxa"/>
            <w:vAlign w:val="bottom"/>
          </w:tcPr>
          <w:p>
            <w:pPr>
              <w:jc w:val="right"/>
              <w:ind w:right="76"/>
              <w:spacing w:after="0"/>
              <w:rPr>
                <w:sz w:val="20"/>
                <w:szCs w:val="20"/>
                <w:color w:val="auto"/>
              </w:rPr>
            </w:pPr>
            <w:r>
              <w:rPr>
                <w:rFonts w:ascii="Arial" w:cs="Arial" w:eastAsia="Arial" w:hAnsi="Arial"/>
                <w:sz w:val="16"/>
                <w:szCs w:val="16"/>
                <w:color w:val="auto"/>
              </w:rPr>
              <w:t>1.3</w:t>
            </w:r>
          </w:p>
        </w:tc>
        <w:tc>
          <w:tcPr>
            <w:tcW w:w="124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56"/>
        </w:trPr>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3/31/2020</w:t>
            </w: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color w:val="auto"/>
              </w:rPr>
              <w:t>41.3</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color w:val="auto"/>
              </w:rPr>
              <w:t>1.1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r>
      <w:tr>
        <w:trPr>
          <w:trHeight w:val="236"/>
        </w:trPr>
        <w:tc>
          <w:tcPr>
            <w:tcW w:w="280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00497F"/>
              </w:rPr>
              <w:t>6/30/2020</w:t>
            </w: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00497F"/>
              </w:rPr>
              <w:t>51.2</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00497F"/>
              </w:rPr>
              <w:t>11.3</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00497F"/>
              </w:rPr>
              <w:t>28.3 %</w:t>
            </w:r>
          </w:p>
        </w:tc>
      </w:tr>
    </w:tbl>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4880" w:type="dxa"/>
            <w:vAlign w:val="bottom"/>
          </w:tcPr>
          <w:p>
            <w:pPr>
              <w:spacing w:after="0"/>
              <w:rPr>
                <w:sz w:val="20"/>
                <w:szCs w:val="20"/>
                <w:color w:val="auto"/>
              </w:rPr>
            </w:pPr>
            <w:r>
              <w:rPr>
                <w:rFonts w:ascii="Arial" w:cs="Arial" w:eastAsia="Arial" w:hAnsi="Arial"/>
                <w:sz w:val="18"/>
                <w:szCs w:val="18"/>
                <w:b w:val="1"/>
                <w:bCs w:val="1"/>
                <w:color w:val="auto"/>
              </w:rPr>
              <w:t>Change in Days in Claims Payable (S)</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Last</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1Q</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color w:val="auto"/>
              </w:rPr>
              <w:t>2Q</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YTD</w:t>
            </w:r>
          </w:p>
        </w:tc>
        <w:tc>
          <w:tcPr>
            <w:tcW w:w="760" w:type="dxa"/>
            <w:vAlign w:val="bottom"/>
          </w:tcPr>
          <w:p>
            <w:pPr>
              <w:jc w:val="center"/>
              <w:spacing w:after="0"/>
              <w:rPr>
                <w:sz w:val="20"/>
                <w:szCs w:val="20"/>
                <w:color w:val="auto"/>
              </w:rPr>
            </w:pPr>
            <w:r>
              <w:rPr>
                <w:rFonts w:ascii="Arial" w:cs="Arial" w:eastAsia="Arial" w:hAnsi="Arial"/>
                <w:sz w:val="16"/>
                <w:szCs w:val="16"/>
                <w:color w:val="auto"/>
              </w:rPr>
              <w:t>2Q</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Twelve</w:t>
            </w:r>
          </w:p>
        </w:tc>
        <w:tc>
          <w:tcPr>
            <w:tcW w:w="0" w:type="dxa"/>
            <w:vAlign w:val="bottom"/>
          </w:tcPr>
          <w:p>
            <w:pPr>
              <w:spacing w:after="0"/>
              <w:rPr>
                <w:sz w:val="1"/>
                <w:szCs w:val="1"/>
                <w:color w:val="auto"/>
              </w:rPr>
            </w:pPr>
          </w:p>
        </w:tc>
      </w:tr>
      <w:tr>
        <w:trPr>
          <w:trHeight w:val="208"/>
        </w:trPr>
        <w:tc>
          <w:tcPr>
            <w:tcW w:w="4880" w:type="dxa"/>
            <w:vAlign w:val="bottom"/>
          </w:tcPr>
          <w:p>
            <w:pPr>
              <w:spacing w:after="0"/>
              <w:rPr>
                <w:sz w:val="18"/>
                <w:szCs w:val="18"/>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2020</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2020</w:t>
            </w: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2019</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Months</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b w:val="1"/>
                <w:bCs w:val="1"/>
                <w:color w:val="auto"/>
              </w:rPr>
              <w:t>DCP—beginning of period</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40.4</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9"/>
                <w:szCs w:val="19"/>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40.4</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40.2</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37"/>
        </w:trPr>
        <w:tc>
          <w:tcPr>
            <w:tcW w:w="4880" w:type="dxa"/>
            <w:vAlign w:val="bottom"/>
          </w:tcPr>
          <w:p>
            <w:pPr>
              <w:ind w:left="320"/>
              <w:spacing w:after="0"/>
              <w:rPr>
                <w:sz w:val="20"/>
                <w:szCs w:val="20"/>
                <w:color w:val="auto"/>
              </w:rPr>
            </w:pPr>
            <w:r>
              <w:rPr>
                <w:rFonts w:ascii="Arial" w:cs="Arial" w:eastAsia="Arial" w:hAnsi="Arial"/>
                <w:sz w:val="16"/>
                <w:szCs w:val="16"/>
                <w:color w:val="auto"/>
              </w:rPr>
              <w:t>Components of change in DCP:</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640"/>
              <w:spacing w:after="0"/>
              <w:rPr>
                <w:sz w:val="20"/>
                <w:szCs w:val="20"/>
                <w:color w:val="auto"/>
              </w:rPr>
            </w:pPr>
            <w:r>
              <w:rPr>
                <w:rFonts w:ascii="Arial" w:cs="Arial" w:eastAsia="Arial" w:hAnsi="Arial"/>
                <w:sz w:val="16"/>
                <w:szCs w:val="16"/>
                <w:color w:val="auto"/>
              </w:rPr>
              <w:t>Provider accruals (T)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1"/>
                <w:szCs w:val="21"/>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43"/>
        </w:trPr>
        <w:tc>
          <w:tcPr>
            <w:tcW w:w="4880" w:type="dxa"/>
            <w:vAlign w:val="bottom"/>
          </w:tcPr>
          <w:p>
            <w:pPr>
              <w:ind w:left="820"/>
              <w:spacing w:after="0"/>
              <w:rPr>
                <w:sz w:val="20"/>
                <w:szCs w:val="20"/>
                <w:color w:val="auto"/>
              </w:rPr>
            </w:pPr>
            <w:r>
              <w:rPr>
                <w:rFonts w:ascii="Arial" w:cs="Arial" w:eastAsia="Arial" w:hAnsi="Arial"/>
                <w:sz w:val="16"/>
                <w:szCs w:val="16"/>
                <w:color w:val="auto"/>
              </w:rPr>
              <w:t>Medical fee-for-service (U)</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0.6</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43"/>
        </w:trPr>
        <w:tc>
          <w:tcPr>
            <w:tcW w:w="4880" w:type="dxa"/>
            <w:vAlign w:val="bottom"/>
          </w:tcPr>
          <w:p>
            <w:pPr>
              <w:ind w:left="640"/>
              <w:spacing w:after="0"/>
              <w:rPr>
                <w:sz w:val="20"/>
                <w:szCs w:val="20"/>
                <w:color w:val="auto"/>
              </w:rPr>
            </w:pPr>
            <w:r>
              <w:rPr>
                <w:rFonts w:ascii="Arial" w:cs="Arial" w:eastAsia="Arial" w:hAnsi="Arial"/>
                <w:sz w:val="16"/>
                <w:szCs w:val="16"/>
                <w:color w:val="auto"/>
              </w:rPr>
              <w:t>Pharmacy (V)</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0.3</w:t>
            </w: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3"/>
        </w:trPr>
        <w:tc>
          <w:tcPr>
            <w:tcW w:w="4880" w:type="dxa"/>
            <w:vAlign w:val="bottom"/>
          </w:tcPr>
          <w:p>
            <w:pPr>
              <w:ind w:left="640"/>
              <w:spacing w:after="0"/>
              <w:rPr>
                <w:sz w:val="20"/>
                <w:szCs w:val="20"/>
                <w:color w:val="auto"/>
              </w:rPr>
            </w:pPr>
            <w:r>
              <w:rPr>
                <w:rFonts w:ascii="Arial" w:cs="Arial" w:eastAsia="Arial" w:hAnsi="Arial"/>
                <w:sz w:val="16"/>
                <w:szCs w:val="16"/>
                <w:color w:val="auto"/>
              </w:rPr>
              <w:t>Processed claims inventory (W)</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0.5</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6"/>
        </w:trPr>
        <w:tc>
          <w:tcPr>
            <w:tcW w:w="4880" w:type="dxa"/>
            <w:vAlign w:val="bottom"/>
          </w:tcPr>
          <w:p>
            <w:pPr>
              <w:ind w:left="640"/>
              <w:spacing w:after="0"/>
              <w:rPr>
                <w:sz w:val="20"/>
                <w:szCs w:val="20"/>
                <w:color w:val="auto"/>
              </w:rPr>
            </w:pPr>
            <w:r>
              <w:rPr>
                <w:rFonts w:ascii="Arial" w:cs="Arial" w:eastAsia="Arial" w:hAnsi="Arial"/>
                <w:sz w:val="16"/>
                <w:szCs w:val="16"/>
                <w:color w:val="auto"/>
              </w:rPr>
              <w:t>Other (X)</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b w:val="1"/>
                <w:bCs w:val="1"/>
                <w:color w:val="auto"/>
              </w:rPr>
              <w:t>DCP—end of period</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41.3</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51.2</w:t>
            </w: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39.9</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Total change from beginning of period</w:t>
            </w: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80" w:type="dxa"/>
            <w:vAlign w:val="bottom"/>
            <w:vMerge w:val="continue"/>
          </w:tcPr>
          <w:p>
            <w:pPr>
              <w:spacing w:after="0"/>
              <w:rPr>
                <w:sz w:val="19"/>
                <w:szCs w:val="19"/>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10.8</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S-19</w:t>
      </w:r>
    </w:p>
    <w:p>
      <w:pPr>
        <w:sectPr>
          <w:pgSz w:w="11900" w:h="16838" w:orient="portrait"/>
          <w:cols w:equalWidth="0" w:num="1">
            <w:col w:w="10139"/>
          </w:cols>
          <w:pgMar w:left="320" w:top="911" w:right="1440"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color w:val="auto"/>
        </w:rPr>
        <w:t>Humana Inc.</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Footnotes to Statistical Schedules and Supplementary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2Q20 Earnings Release</w:t>
      </w:r>
    </w:p>
    <w:p>
      <w:pPr>
        <w:spacing w:after="0" w:line="234" w:lineRule="exact"/>
        <w:rPr>
          <w:sz w:val="20"/>
          <w:szCs w:val="20"/>
          <w:color w:val="auto"/>
        </w:rPr>
      </w:pPr>
    </w:p>
    <w:p>
      <w:pPr>
        <w:ind w:left="840" w:hanging="346"/>
        <w:spacing w:after="0"/>
        <w:tabs>
          <w:tab w:leader="none" w:pos="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Put/call valuation adjustments associated with the company's non-consolidating minority interest investments.</w:t>
      </w:r>
    </w:p>
    <w:p>
      <w:pPr>
        <w:spacing w:after="0" w:line="1" w:lineRule="exact"/>
        <w:rPr>
          <w:rFonts w:ascii="Arial" w:cs="Arial" w:eastAsia="Arial" w:hAnsi="Arial"/>
          <w:sz w:val="14"/>
          <w:szCs w:val="14"/>
          <w:color w:val="auto"/>
        </w:rPr>
      </w:pPr>
    </w:p>
    <w:p>
      <w:pPr>
        <w:ind w:left="840" w:hanging="346"/>
        <w:spacing w:after="0"/>
        <w:tabs>
          <w:tab w:leader="none" w:pos="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Net earnings associated with the company's non-consolidating minority interest investments.</w:t>
      </w:r>
    </w:p>
    <w:p>
      <w:pPr>
        <w:spacing w:after="0" w:line="1" w:lineRule="exact"/>
        <w:rPr>
          <w:rFonts w:ascii="Arial" w:cs="Arial" w:eastAsia="Arial" w:hAnsi="Arial"/>
          <w:sz w:val="14"/>
          <w:szCs w:val="14"/>
          <w:color w:val="auto"/>
        </w:rPr>
      </w:pPr>
    </w:p>
    <w:p>
      <w:pPr>
        <w:ind w:left="840" w:hanging="346"/>
        <w:spacing w:after="0"/>
        <w:tabs>
          <w:tab w:leader="none" w:pos="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Medicaid and other category includes premiums associated with the company’s Medicaid business.</w:t>
      </w:r>
    </w:p>
    <w:p>
      <w:pPr>
        <w:spacing w:after="0" w:line="1" w:lineRule="exact"/>
        <w:rPr>
          <w:rFonts w:ascii="Arial" w:cs="Arial" w:eastAsia="Arial" w:hAnsi="Arial"/>
          <w:sz w:val="14"/>
          <w:szCs w:val="14"/>
          <w:color w:val="auto"/>
        </w:rPr>
      </w:pPr>
    </w:p>
    <w:p>
      <w:pPr>
        <w:ind w:left="820" w:right="80" w:hanging="326"/>
        <w:spacing w:after="0" w:line="241" w:lineRule="auto"/>
        <w:tabs>
          <w:tab w:leader="none" w:pos="831"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ASO and other category is primarily comprised of Administrative Services Only (ASO) fees and other ancillary services fees, including military services unless separately disclosed.</w:t>
      </w:r>
    </w:p>
    <w:p>
      <w:pPr>
        <w:ind w:left="820" w:right="440" w:hanging="326"/>
        <w:spacing w:after="0" w:line="241" w:lineRule="auto"/>
        <w:tabs>
          <w:tab w:leader="none" w:pos="85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Medicaid Temporary Assistance for Needy Families (TANF), dual-eligible demonstration, and Long-Term Support Services (LTSS) from state-based contracts.</w:t>
      </w:r>
    </w:p>
    <w:p>
      <w:pPr>
        <w:ind w:left="820" w:right="80" w:hanging="326"/>
        <w:spacing w:after="0" w:line="241" w:lineRule="auto"/>
        <w:tabs>
          <w:tab w:leader="none" w:pos="842" w:val="left"/>
        </w:tabs>
        <w:numPr>
          <w:ilvl w:val="0"/>
          <w:numId w:val="61"/>
        </w:numPr>
        <w:rPr>
          <w:rFonts w:ascii="Arial" w:cs="Arial" w:eastAsia="Arial" w:hAnsi="Arial"/>
          <w:sz w:val="14"/>
          <w:szCs w:val="14"/>
          <w:color w:val="auto"/>
        </w:rPr>
      </w:pPr>
      <w:r>
        <w:rPr>
          <w:rFonts w:ascii="Arial" w:cs="Arial" w:eastAsia="Arial" w:hAnsi="Arial"/>
          <w:sz w:val="14"/>
          <w:szCs w:val="14"/>
          <w:color w:val="auto"/>
        </w:rPr>
        <w:t>Fully-insured dental membership as reported does not include Humana members that have a Medicare Advantage plan that includes an embedded dental benefit. Costs associated with these dental benefits, however, are recorded in the Group and Specialty segment earnings results.</w:t>
      </w:r>
    </w:p>
    <w:p>
      <w:pPr>
        <w:ind w:left="840" w:hanging="346"/>
        <w:spacing w:after="0"/>
        <w:tabs>
          <w:tab w:leader="none" w:pos="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Other supplemental benefits include group life policies.</w:t>
      </w:r>
    </w:p>
    <w:p>
      <w:pPr>
        <w:spacing w:after="0" w:line="1" w:lineRule="exact"/>
        <w:rPr>
          <w:rFonts w:ascii="Arial" w:cs="Arial" w:eastAsia="Arial" w:hAnsi="Arial"/>
          <w:sz w:val="14"/>
          <w:szCs w:val="14"/>
          <w:color w:val="auto"/>
        </w:rPr>
      </w:pPr>
    </w:p>
    <w:p>
      <w:pPr>
        <w:ind w:left="820" w:right="140" w:hanging="326"/>
        <w:spacing w:after="0" w:line="241" w:lineRule="auto"/>
        <w:tabs>
          <w:tab w:leader="none" w:pos="831"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spacing w:after="0" w:line="1" w:lineRule="exact"/>
        <w:rPr>
          <w:rFonts w:ascii="Arial" w:cs="Arial" w:eastAsia="Arial" w:hAnsi="Arial"/>
          <w:sz w:val="14"/>
          <w:szCs w:val="14"/>
          <w:color w:val="auto"/>
        </w:rPr>
      </w:pPr>
    </w:p>
    <w:p>
      <w:pPr>
        <w:ind w:left="820" w:right="100" w:hanging="326"/>
        <w:spacing w:after="0" w:line="241" w:lineRule="auto"/>
        <w:tabs>
          <w:tab w:leader="none" w:pos="821"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spacing w:after="0" w:line="1" w:lineRule="exact"/>
        <w:rPr>
          <w:rFonts w:ascii="Arial" w:cs="Arial" w:eastAsia="Arial" w:hAnsi="Arial"/>
          <w:sz w:val="14"/>
          <w:szCs w:val="14"/>
          <w:color w:val="auto"/>
        </w:rPr>
      </w:pPr>
    </w:p>
    <w:p>
      <w:pPr>
        <w:ind w:left="820" w:right="100" w:hanging="326"/>
        <w:spacing w:after="0" w:line="241" w:lineRule="auto"/>
        <w:tabs>
          <w:tab w:leader="none" w:pos="853" w:val="left"/>
        </w:tabs>
        <w:numPr>
          <w:ilvl w:val="0"/>
          <w:numId w:val="61"/>
        </w:numPr>
        <w:rPr>
          <w:rFonts w:ascii="Arial" w:cs="Arial" w:eastAsia="Arial" w:hAnsi="Arial"/>
          <w:sz w:val="14"/>
          <w:szCs w:val="14"/>
          <w:color w:val="auto"/>
        </w:rPr>
      </w:pPr>
      <w:r>
        <w:rPr>
          <w:rFonts w:ascii="Arial" w:cs="Arial" w:eastAsia="Arial" w:hAnsi="Arial"/>
          <w:sz w:val="14"/>
          <w:szCs w:val="14"/>
          <w:color w:val="auto"/>
        </w:rPr>
        <w:t>Specialty per member per month is computed based on reported specialty premiums and average fully-insured specialty membership for the period. Included with specialty premiums are stop-loss ASO premiums.</w:t>
      </w:r>
    </w:p>
    <w:p>
      <w:pPr>
        <w:ind w:left="840" w:hanging="346"/>
        <w:spacing w:after="0"/>
        <w:tabs>
          <w:tab w:leader="none" w:pos="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primarily reflect services revenues under the TRICARE East Region contract that generally are contracted on a per-member basis.</w:t>
      </w:r>
    </w:p>
    <w:p>
      <w:pPr>
        <w:spacing w:after="0" w:line="1" w:lineRule="exact"/>
        <w:rPr>
          <w:rFonts w:ascii="Arial" w:cs="Arial" w:eastAsia="Arial" w:hAnsi="Arial"/>
          <w:sz w:val="14"/>
          <w:szCs w:val="14"/>
          <w:color w:val="auto"/>
        </w:rPr>
      </w:pPr>
    </w:p>
    <w:p>
      <w:pPr>
        <w:ind w:left="840" w:hanging="346"/>
        <w:spacing w:after="0"/>
        <w:tabs>
          <w:tab w:leader="none" w:pos="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Computed based on average membership for the period (i.e., monthly ending membership during the period divided by the number of months in the period).</w:t>
      </w:r>
    </w:p>
    <w:p>
      <w:pPr>
        <w:spacing w:after="0" w:line="1" w:lineRule="exact"/>
        <w:rPr>
          <w:rFonts w:ascii="Arial" w:cs="Arial" w:eastAsia="Arial" w:hAnsi="Arial"/>
          <w:sz w:val="14"/>
          <w:szCs w:val="14"/>
          <w:color w:val="auto"/>
        </w:rPr>
      </w:pPr>
    </w:p>
    <w:p>
      <w:pPr>
        <w:ind w:left="820" w:right="100" w:hanging="326"/>
        <w:spacing w:after="0" w:line="241" w:lineRule="auto"/>
        <w:tabs>
          <w:tab w:leader="none" w:pos="8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1" w:lineRule="exact"/>
        <w:rPr>
          <w:rFonts w:ascii="Arial" w:cs="Arial" w:eastAsia="Arial" w:hAnsi="Arial"/>
          <w:sz w:val="14"/>
          <w:szCs w:val="14"/>
          <w:color w:val="auto"/>
        </w:rPr>
      </w:pPr>
    </w:p>
    <w:p>
      <w:pPr>
        <w:ind w:left="820" w:right="140" w:hanging="326"/>
        <w:spacing w:after="0" w:line="241" w:lineRule="auto"/>
        <w:tabs>
          <w:tab w:leader="none" w:pos="831"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spacing w:after="0" w:line="1" w:lineRule="exact"/>
        <w:rPr>
          <w:rFonts w:ascii="Arial" w:cs="Arial" w:eastAsia="Arial" w:hAnsi="Arial"/>
          <w:sz w:val="14"/>
          <w:szCs w:val="14"/>
          <w:color w:val="auto"/>
        </w:rPr>
      </w:pPr>
    </w:p>
    <w:p>
      <w:pPr>
        <w:ind w:left="840" w:hanging="346"/>
        <w:spacing w:after="0"/>
        <w:tabs>
          <w:tab w:leader="none" w:pos="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Script volume is presented on an adjusted 30-day equivalent basis. This includes all scripts processed by the Humana pharmacy benefit manager (PBM).</w:t>
      </w:r>
    </w:p>
    <w:p>
      <w:pPr>
        <w:spacing w:after="0" w:line="1" w:lineRule="exact"/>
        <w:rPr>
          <w:rFonts w:ascii="Arial" w:cs="Arial" w:eastAsia="Arial" w:hAnsi="Arial"/>
          <w:sz w:val="14"/>
          <w:szCs w:val="14"/>
          <w:color w:val="auto"/>
        </w:rPr>
      </w:pPr>
    </w:p>
    <w:p>
      <w:pPr>
        <w:ind w:left="840" w:hanging="346"/>
        <w:spacing w:after="0"/>
        <w:tabs>
          <w:tab w:leader="none" w:pos="8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reinsurance recoverables associated with the company’s state-based Medicaid contract in Kentucky.</w:t>
      </w:r>
    </w:p>
    <w:p>
      <w:pPr>
        <w:spacing w:after="0" w:line="1" w:lineRule="exact"/>
        <w:rPr>
          <w:rFonts w:ascii="Arial" w:cs="Arial" w:eastAsia="Arial" w:hAnsi="Arial"/>
          <w:sz w:val="14"/>
          <w:szCs w:val="14"/>
          <w:color w:val="auto"/>
        </w:rPr>
      </w:pPr>
    </w:p>
    <w:p>
      <w:pPr>
        <w:jc w:val="both"/>
        <w:ind w:left="820" w:hanging="326"/>
        <w:spacing w:after="0" w:line="241" w:lineRule="auto"/>
        <w:tabs>
          <w:tab w:leader="none" w:pos="839" w:val="left"/>
        </w:tabs>
        <w:numPr>
          <w:ilvl w:val="0"/>
          <w:numId w:val="61"/>
        </w:numPr>
        <w:rPr>
          <w:rFonts w:ascii="Arial" w:cs="Arial" w:eastAsia="Arial" w:hAnsi="Arial"/>
          <w:sz w:val="14"/>
          <w:szCs w:val="14"/>
          <w:color w:val="auto"/>
        </w:rPr>
      </w:pPr>
      <w:r>
        <w:rPr>
          <w:rFonts w:ascii="Arial" w:cs="Arial" w:eastAsia="Arial" w:hAnsi="Arial"/>
          <w:sz w:val="14"/>
          <w:szCs w:val="14"/>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spacing w:after="0" w:line="1" w:lineRule="exact"/>
        <w:rPr>
          <w:rFonts w:ascii="Arial" w:cs="Arial" w:eastAsia="Arial" w:hAnsi="Arial"/>
          <w:sz w:val="14"/>
          <w:szCs w:val="14"/>
          <w:color w:val="auto"/>
        </w:rPr>
      </w:pPr>
    </w:p>
    <w:p>
      <w:pPr>
        <w:ind w:left="820" w:right="380" w:hanging="326"/>
        <w:spacing w:after="0" w:line="241" w:lineRule="auto"/>
        <w:tabs>
          <w:tab w:leader="none" w:pos="844"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common metric for monitoring benefits payable levels relative to benefits expense is days in claims payable (DCP). The company calculates DCP using the quarterly reported benefits expense and benefits payable balances as presented within the company’s consolidated financial statements.</w:t>
      </w:r>
    </w:p>
    <w:p>
      <w:pPr>
        <w:ind w:left="820" w:right="20" w:hanging="326"/>
        <w:spacing w:after="0" w:line="241" w:lineRule="auto"/>
        <w:tabs>
          <w:tab w:leader="none" w:pos="85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spacing w:after="0" w:line="1" w:lineRule="exact"/>
        <w:rPr>
          <w:rFonts w:ascii="Arial" w:cs="Arial" w:eastAsia="Arial" w:hAnsi="Arial"/>
          <w:sz w:val="14"/>
          <w:szCs w:val="14"/>
          <w:color w:val="auto"/>
        </w:rPr>
      </w:pPr>
    </w:p>
    <w:p>
      <w:pPr>
        <w:ind w:left="820" w:right="80" w:hanging="326"/>
        <w:spacing w:after="0" w:line="241" w:lineRule="auto"/>
        <w:tabs>
          <w:tab w:leader="none" w:pos="842"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Provider accruals represent portions of capitation payments set aside to pay future settlements for capitated providers. Related settlements generally happen over a 12-month period.</w:t>
      </w:r>
    </w:p>
    <w:p>
      <w:pPr>
        <w:ind w:left="820" w:hanging="326"/>
        <w:spacing w:after="0"/>
        <w:tabs>
          <w:tab w:leader="none" w:pos="8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medical and specialty claims incurred but not reported (IBNR) for non-pharmacy fully-insured products.</w:t>
      </w:r>
    </w:p>
    <w:p>
      <w:pPr>
        <w:spacing w:after="0" w:line="1" w:lineRule="exact"/>
        <w:rPr>
          <w:rFonts w:ascii="Arial" w:cs="Arial" w:eastAsia="Arial" w:hAnsi="Arial"/>
          <w:sz w:val="14"/>
          <w:szCs w:val="14"/>
          <w:color w:val="auto"/>
        </w:rPr>
      </w:pPr>
    </w:p>
    <w:p>
      <w:pPr>
        <w:ind w:left="820" w:hanging="326"/>
        <w:spacing w:after="0" w:line="243" w:lineRule="auto"/>
        <w:tabs>
          <w:tab w:leader="none" w:pos="836"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spacing w:after="0" w:line="159" w:lineRule="exact"/>
        <w:rPr>
          <w:rFonts w:ascii="Arial" w:cs="Arial" w:eastAsia="Arial" w:hAnsi="Arial"/>
          <w:sz w:val="14"/>
          <w:szCs w:val="14"/>
          <w:color w:val="auto"/>
        </w:rPr>
      </w:pPr>
    </w:p>
    <w:p>
      <w:pPr>
        <w:ind w:left="820" w:right="80" w:hanging="326"/>
        <w:spacing w:after="0" w:line="241" w:lineRule="auto"/>
        <w:tabs>
          <w:tab w:leader="none" w:pos="835"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jc w:val="both"/>
        <w:ind w:left="820" w:right="440" w:hanging="326"/>
        <w:spacing w:after="0" w:line="249" w:lineRule="auto"/>
        <w:tabs>
          <w:tab w:leader="none" w:pos="85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S-20</w:t>
      </w:r>
    </w:p>
    <w:sectPr>
      <w:pgSz w:w="11900" w:h="16838" w:orient="portrait"/>
      <w:cols w:equalWidth="0" w:num="1">
        <w:col w:w="11220"/>
      </w:cols>
      <w:pgMar w:left="320" w:top="10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lvl w:ilvl="1">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lowerLetter"/>
      <w:start w:val="1"/>
    </w:lvl>
    <w:lvl w:ilvl="1">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lowerLetter"/>
      <w:start w:val="3"/>
    </w:lvl>
    <w:lvl w:ilvl="1">
      <w:lvlJc w:val="left"/>
      <w:lvlText w:val="•"/>
      <w:numFmt w:val="bullet"/>
      <w:start w:val="1"/>
    </w:lvl>
  </w:abstractNum>
  <w:abstractNum w:abstractNumId="7">
    <w:nsid w:val="419AC241"/>
    <w:multiLevelType w:val="hybridMultilevel"/>
    <w:lvl w:ilvl="0">
      <w:lvlJc w:val="left"/>
      <w:lvlText w:val="(%1)"/>
      <w:numFmt w:val="lowerLetter"/>
      <w:start w:val="6"/>
    </w:lvl>
    <w:lvl w:ilvl="1">
      <w:lvlJc w:val="left"/>
      <w:lvlText w:val="•"/>
      <w:numFmt w:val="bullet"/>
      <w:start w:val="1"/>
    </w:lvl>
    <w:lvl w:ilvl="2">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lvl w:ilvl="1">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lvl w:ilvl="1">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lvl w:ilvl="1">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lvl w:ilvl="1">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lvl w:ilvl="1">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lvl w:ilvl="1">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44">
    <w:nsid w:val="70C6A529"/>
    <w:multiLevelType w:val="hybridMultilevel"/>
    <w:lvl w:ilvl="0">
      <w:lvlJc w:val="left"/>
      <w:lvlText w:val="(%1)"/>
      <w:numFmt w:val="lowerLetter"/>
      <w:start w:val="3"/>
    </w:lvl>
    <w:lvl w:ilvl="1">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lowerLetter"/>
      <w:start w:val="7"/>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lowerLetter"/>
      <w:start w:val="8"/>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4"/>
    </w:lvl>
  </w:abstractNum>
  <w:abstractNum w:abstractNumId="55">
    <w:nsid w:val="47398C89"/>
    <w:multiLevelType w:val="hybridMultilevel"/>
    <w:lvl w:ilvl="0">
      <w:lvlJc w:val="left"/>
      <w:lvlText w:val="%1."/>
      <w:numFmt w:val="decimal"/>
      <w:start w:val="9"/>
    </w:lvl>
  </w:abstractNum>
  <w:abstractNum w:abstractNumId="56">
    <w:nsid w:val="354FE9F9"/>
    <w:multiLevelType w:val="hybridMultilevel"/>
    <w:lvl w:ilvl="0">
      <w:lvlJc w:val="left"/>
      <w:lvlText w:val="%1"/>
      <w:numFmt w:val="decimal"/>
      <w:start w:val="614"/>
    </w:lvl>
    <w:lvl w:ilvl="1">
      <w:lvlJc w:val="left"/>
      <w:lvlText w:val="(%2)"/>
      <w:numFmt w:val="decimal"/>
      <w:start w:val="30"/>
    </w:lvl>
  </w:abstractNum>
  <w:abstractNum w:abstractNumId="57">
    <w:nsid w:val="15B5AF5C"/>
    <w:multiLevelType w:val="hybridMultilevel"/>
    <w:lvl w:ilvl="0">
      <w:lvlJc w:val="left"/>
      <w:lvlText w:val="(%1)"/>
      <w:numFmt w:val="decimal"/>
      <w:start w:val="29"/>
    </w:lvl>
  </w:abstractNum>
  <w:abstractNum w:abstractNumId="58">
    <w:nsid w:val="741226BB"/>
    <w:multiLevelType w:val="hybridMultilevel"/>
    <w:lvl w:ilvl="0">
      <w:lvlJc w:val="left"/>
      <w:lvlText w:val="(%1)"/>
      <w:numFmt w:val="decimal"/>
      <w:start w:val="56"/>
    </w:lvl>
  </w:abstractNum>
  <w:abstractNum w:abstractNumId="59">
    <w:nsid w:val="D34B6A8"/>
    <w:multiLevelType w:val="hybridMultilevel"/>
    <w:lvl w:ilvl="0">
      <w:lvlJc w:val="left"/>
      <w:lvlText w:val="(%1)"/>
      <w:numFmt w:val="decimal"/>
      <w:start w:val="44"/>
    </w:lvl>
  </w:abstractNum>
  <w:abstractNum w:abstractNumId="60">
    <w:nsid w:val="10233C9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2020-08-05T06:04:31Z</dcterms:created>
  <dcterms:modified xsi:type="dcterms:W3CDTF">2020-08-05T06:04:31Z</dcterms:modified>
</cp:coreProperties>
</file>