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Crawford Frederick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HUMANA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E. MAIN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LOUISVILLE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HUMANA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6"/>
        <w:gridCol w:w="774"/>
        <w:gridCol w:w="601"/>
        <w:gridCol w:w="351"/>
        <w:gridCol w:w="811"/>
        <w:gridCol w:w="460"/>
        <w:gridCol w:w="623"/>
        <w:gridCol w:w="1173"/>
        <w:gridCol w:w="1005"/>
        <w:gridCol w:w="107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Humana Common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Humana Common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owned in managed Trust account(s) where reporting person has no investment control.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Right to receive one share per restricted stock unit pursuant to the Company's 2026 Stock Incentive Plan. Includes 544 restricted stock units representing a contingent right to receive one share of Humana Inc. common stock, exempt under Rule 16b-3(d)(1) &amp; (3).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Initial award of $200,000 worth of restricted stock units pursuant to the annual Director Compensation Program. Award will be forfeited in its entirety if service is less than one year.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Frederick J. Crawford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9344" TargetMode="External"/><Relationship Id="rId5" Type="http://schemas.openxmlformats.org/officeDocument/2006/relationships/hyperlink" Target="http://www.sec.gov/cgi-bin/browse-edgar?action=getcompany&amp;CIK=00000490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653</Words>
  <Characters>3532</Characters>
  <CharactersWithSpaces>4112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