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9, 2026 (October 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Humana Inc. </w:t>
      </w:r>
    </w:p>
    <w:tbl>
      <w:tblPr>
        <w:tblW w:w="4515" w:type="dxa"/>
        <w:jc w:val="center"/>
        <w:tblInd w:w="0" w:type="dxa"/>
        <w:tblLayout w:type="fixed"/>
        <w:tblCellMar>
          <w:top w:w="28" w:type="dxa"/>
          <w:left w:w="28" w:type="dxa"/>
          <w:bottom w:w="28" w:type="dxa"/>
          <w:right w:w="28" w:type="dxa"/>
        </w:tblCellMar>
      </w:tblPr>
      <w:tblGrid>
        <w:gridCol w:w="1445"/>
        <w:gridCol w:w="1270"/>
        <w:gridCol w:w="1800"/>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4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1-5975</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61-0647538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101 East Main Street, Louisville, KY 40202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502-580-1000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9"/>
        <w:gridCol w:w="2169"/>
        <w:gridCol w:w="3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342" w:type="dxa"/>
        <w:jc w:val="center"/>
        <w:tblInd w:w="0" w:type="dxa"/>
        <w:tblLayout w:type="fixed"/>
        <w:tblCellMar>
          <w:top w:w="28" w:type="dxa"/>
          <w:left w:w="28" w:type="dxa"/>
          <w:bottom w:w="28" w:type="dxa"/>
          <w:right w:w="28" w:type="dxa"/>
        </w:tblCellMar>
      </w:tblPr>
      <w:tblGrid>
        <w:gridCol w:w="569"/>
        <w:gridCol w:w="499"/>
        <w:gridCol w:w="506"/>
        <w:gridCol w:w="484"/>
        <w:gridCol w:w="484"/>
        <w:gridCol w:w="486"/>
        <w:gridCol w:w="970"/>
        <w:gridCol w:w="970"/>
        <w:gridCol w:w="1374"/>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HUM</w:t>
            </w:r>
          </w:p>
        </w:tc>
        <w:tc>
          <w:tcPr>
            <w:tcW w:w="331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(17 CFR §230.405) or Rule 12b-2 of the Securities Exchange Act of 1934 (17 CFR §240.12b-2).</w:t>
      </w:r>
    </w:p>
    <w:p>
      <w:pPr>
        <w:pStyle w:val="TextBody"/>
        <w:bidi w:val="0"/>
        <w:spacing w:lineRule="auto" w:line="288" w:before="0" w:after="12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68" w:before="240" w:after="283"/>
        <w:jc w:val="both"/>
        <w:rPr>
          <w:rFonts w:ascii="Times New Roman;serif" w:hAnsi="Times New Roman;serif"/>
          <w:b/>
          <w:color w:val="000000"/>
          <w:sz w:val="22"/>
          <w:u w:val="single"/>
        </w:rPr>
      </w:pPr>
      <w:r>
        <w:rPr>
          <w:rFonts w:ascii="Times New Roman;serif" w:hAnsi="Times New Roman;serif"/>
          <w:b/>
          <w:color w:val="000000"/>
          <w:sz w:val="22"/>
          <w:u w:val="single"/>
        </w:rPr>
        <w:t xml:space="preserve">Supplementary Audio Commentary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Supplementary audio commentary from Humana’s President and Chief Executive Officer, Jim Rechtin, may be accessed via Humana’s Investor Relations page at https://humana.gcs-web.com/.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u w:val="single"/>
        </w:rPr>
      </w:pPr>
      <w:r>
        <w:rPr>
          <w:rFonts w:ascii="Times New Roman;serif" w:hAnsi="Times New Roman;serif"/>
          <w:b/>
          <w:color w:val="000000"/>
          <w:sz w:val="22"/>
          <w:u w:val="single"/>
        </w:rPr>
        <w:t>2027 Medicare Advantage Star Ratings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Based on final 2027 Medicare Advantage (MA) Star Ratings data (Bonus Year 2028) provided by the Centers for Medicare and Medicaid Services (CMS) on October 8, 2026, Humana Inc. (“the Company”) has exceeded its goal of Top Quartile results, which is defined as Stars revenue per member per month (PMPM) 10% above the peer group median. </w:t>
      </w:r>
    </w:p>
    <w:p>
      <w:pPr>
        <w:pStyle w:val="TextBody"/>
        <w:bidi w:val="0"/>
        <w:spacing w:before="0" w:after="0"/>
        <w:jc w:val="both"/>
        <w:rPr/>
      </w:pPr>
      <w:r>
        <w:rPr/>
      </w:r>
    </w:p>
    <w:p>
      <w:pPr>
        <w:pStyle w:val="TextBody"/>
        <w:bidi w:val="0"/>
        <w:spacing w:before="0" w:after="0"/>
        <w:jc w:val="both"/>
        <w:rPr/>
      </w:pPr>
      <w:r>
        <w:rPr/>
        <w:drawing>
          <wp:inline distT="0" distB="0" distL="0" distR="0">
            <wp:extent cx="6515100" cy="3733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515100" cy="3733800"/>
                    </a:xfrm>
                    <a:prstGeom prst="rect">
                      <a:avLst/>
                    </a:prstGeom>
                  </pic:spPr>
                </pic:pic>
              </a:graphicData>
            </a:graphic>
          </wp:inline>
        </w:drawing>
      </w:r>
      <w:bookmarkStart w:id="0" w:name="i-1"/>
      <w:bookmarkEnd w:id="0"/>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u w:val="single"/>
        </w:rPr>
      </w:pPr>
      <w:r>
        <w:rPr>
          <w:rFonts w:ascii="Times New Roman;serif" w:hAnsi="Times New Roman;serif"/>
          <w:b/>
          <w:color w:val="000000"/>
          <w:sz w:val="22"/>
          <w:u w:val="single"/>
        </w:rPr>
        <w:t>Notes:</w:t>
      </w:r>
    </w:p>
    <w:p>
      <w:pPr>
        <w:pStyle w:val="TextBody"/>
        <w:bidi w:val="0"/>
        <w:spacing w:lineRule="auto" w:line="268" w:before="0" w:after="0"/>
        <w:ind w:left="0" w:right="0" w:hanging="270"/>
        <w:jc w:val="both"/>
        <w:rPr>
          <w:rFonts w:ascii="Times New Roman;serif" w:hAnsi="Times New Roman;serif"/>
          <w:b w:val="false"/>
          <w:color w:val="000000"/>
          <w:sz w:val="22"/>
        </w:rPr>
      </w:pPr>
      <w:r>
        <w:rPr>
          <w:rFonts w:ascii="Times New Roman;serif" w:hAnsi="Times New Roman;serif"/>
          <w:b w:val="false"/>
          <w:color w:val="000000"/>
          <w:sz w:val="22"/>
        </w:rPr>
        <w:t>(1) Peer group includes Centene, CVS, Elevance, HCSC, and United</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(2) Stars revenue PMPM is defined as the incremental revenue associated with obtaining a 3.5, 4, or 4.5 Star rating, inclusive of the incremental rebate retained and the quality bonus payment received for a 4 Star rating (a 50% rebate retention is assumed to be the baseline and not included as Stars revenue)</w:t>
      </w:r>
    </w:p>
    <w:p>
      <w:pPr>
        <w:pStyle w:val="TextBody"/>
        <w:bidi w:val="0"/>
        <w:spacing w:lineRule="auto" w:line="268" w:before="0" w:after="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(3) the calculation utilizes:</w:t>
      </w:r>
    </w:p>
    <w:p>
      <w:pPr>
        <w:pStyle w:val="TextBody"/>
        <w:bidi w:val="0"/>
        <w:spacing w:lineRule="auto" w:line="268" w:before="0" w:after="0"/>
        <w:jc w:val="both"/>
        <w:rPr/>
      </w:pPr>
      <w:r>
        <w:rPr>
          <w:color w:val="000000"/>
        </w:rPr>
        <w:t>•</w:t>
      </w:r>
      <w:r>
        <w:rPr>
          <w:rFonts w:ascii="Times New Roman;serif" w:hAnsi="Times New Roman;serif"/>
          <w:b w:val="false"/>
          <w:color w:val="000000"/>
          <w:sz w:val="22"/>
        </w:rPr>
        <w:t>a consistent 3.0 benchmark of $1,370, a consistent risk score of 1.15, and consistent benefits equating to a rebate of $222 for all payers to normalize for the impact of plan design, geographic mix, and membership mix</w:t>
      </w:r>
    </w:p>
    <w:p>
      <w:pPr>
        <w:pStyle w:val="TextBody"/>
        <w:bidi w:val="0"/>
        <w:spacing w:lineRule="auto" w:line="268" w:before="0" w:after="0"/>
        <w:jc w:val="both"/>
        <w:rPr/>
      </w:pPr>
      <w:r>
        <w:rPr>
          <w:color w:val="000000"/>
        </w:rPr>
        <w:t>•</w:t>
      </w:r>
      <w:r>
        <w:rPr>
          <w:rFonts w:ascii="Times New Roman;serif" w:hAnsi="Times New Roman;serif"/>
          <w:b w:val="false"/>
          <w:color w:val="000000"/>
          <w:sz w:val="22"/>
        </w:rPr>
        <w:t>current membership and contract distribution per the CMS membership files dated September 2026 for all payers</w:t>
      </w:r>
    </w:p>
    <w:p>
      <w:pPr>
        <w:pStyle w:val="TextBody"/>
        <w:bidi w:val="0"/>
        <w:spacing w:lineRule="auto" w:line="268" w:before="0" w:after="0"/>
        <w:jc w:val="both"/>
        <w:rPr/>
      </w:pPr>
      <w:r>
        <w:rPr>
          <w:rFonts w:ascii="Times New Roman;serif" w:hAnsi="Times New Roman;serif"/>
          <w:b w:val="false"/>
          <w:color w:val="000000"/>
          <w:sz w:val="22"/>
        </w:rPr>
        <w:t>(4) actual 2028 Stars revenue PMPM for Humana and the peer group will be different than presented above as it will be dependent upon actual 2028 membership and contract mix, as well as actual 2028 risk scores, benchmark, and rebates</w:t>
      </w:r>
      <w:r>
        <w:rPr>
          <w:color w:val="FF0000"/>
        </w:rPr>
        <w:t xml:space="preserve"> </w:t>
      </w:r>
      <w:r>
        <w:rPr>
          <w:rFonts w:ascii="Times New Roman;serif" w:hAnsi="Times New Roman;serif"/>
          <w:b w:val="false"/>
          <w:color w:val="000000"/>
          <w:sz w:val="22"/>
        </w:rPr>
        <w:t xml:space="preserve">for each respective payer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a reminder, the Company intends to manage its product and benefit structure assuming performance that approximates Top Quartile results. Further, the Company anticipates some of the outperformance in BY28 relative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to Top Quartile will be one time in nature, and it will manage its expenses as such. As a result, the Company expects a benefit for 2028 that will be utilized for one-time investments and return to shareholders. The Company will share more on the level of and expected use of the one-time benefit once it has more 2028 information, including insight into competitive dynamics and the rate and regulatory environment, along with a view of its expected contract mix and membership size and mix. The Company intends to share this information prior to or when giving detailed 2028 financial guidance on the fourth quarter 2027 earnings call.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believes it is well positioned to deliver on its commitment of unlocking the earnings potential of the business by 2028 as laid out at its 2025 Investor Day, supported by its expanded membership base, return to Top Quartile Stars results, and continued discipline across pricing, clinical excellence, operating efficiencies and capital allocation.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As previously announced, the Company will hold a virtual investor update on December 10th, 2026, to provide a mark to market against the framework laid out at its 2025 Investor Day, including the initiatives expected to support earnings growth through 2028.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u w:val="single"/>
        </w:rPr>
      </w:pPr>
      <w:r>
        <w:rPr>
          <w:rFonts w:ascii="Times New Roman;serif" w:hAnsi="Times New Roman;serif"/>
          <w:b/>
          <w:color w:val="000000"/>
          <w:sz w:val="22"/>
          <w:u w:val="single"/>
        </w:rPr>
        <w:t>2026 Earnings Guidance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Humana affirms its guidance of at least $9.00 in adjusted earnings per common share (“Adjusted EPS”), for the year ending December 31, 2026 (“FY 2026”). This guidance is consistent with the guidance issued in Humana’s press release dated July 29, 2026 and subsequently affirmed in the Form 8-K filed with the Securities and Exchange Commission on September 1,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At this time, the Company is unable to provide a reconciliation of its guidance for FY 2026 Adjusted EPS to FY 2026 diluted earnings per common share (“EPS”), the most directly comparable Generally Accepted Accounting Principles (“GAAP”) financial measure, without unreasonable effort because, at this time, the Company is completing the financial close process for the three and nine-month periods ended September 30, 2026. Accordingly, the financial guidance described herein is preliminary, based upon information currently available, and remains subject to change as the company completes its customary closing and review procedures. The Company does not expect changes to its FY 2026 Adjusted (non-GAAP) EPS guidance. The Company does expect potential changes to its FY 2026 GAAP EPS guidance due to its ongoing value creation and other strategic initiatives.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u w:val="single"/>
        </w:rPr>
      </w:pPr>
      <w:r>
        <w:rPr>
          <w:rFonts w:ascii="Times New Roman;serif" w:hAnsi="Times New Roman;serif"/>
          <w:b/>
          <w:color w:val="000000"/>
          <w:sz w:val="22"/>
          <w:u w:val="single"/>
        </w:rPr>
        <w:t>Cautionary Statement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 includes forward-looking statements within the meaning of the Private Securities Litigation Reform Act of 1995, generally including the words or phrases like “expects,” “believes,” “anticipates,” “intends,” “likely will result,” “estimates,” “projects” or variations of such words and similar expressions that are intended to identify such forward-looking statements. These forward-looking statements are not guarantees of future performance and are subject to risks, uncertainties, and assumptions, including, among other things, information set forth in the “Risk Factors” section of the Company’s SEC filings.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6012" w:type="dxa"/>
        <w:jc w:val="right"/>
        <w:tblInd w:w="0" w:type="dxa"/>
        <w:tblLayout w:type="fixed"/>
        <w:tblCellMar>
          <w:top w:w="28" w:type="dxa"/>
          <w:left w:w="28" w:type="dxa"/>
          <w:bottom w:w="28" w:type="dxa"/>
          <w:right w:w="28" w:type="dxa"/>
        </w:tblCellMar>
      </w:tblPr>
      <w:tblGrid>
        <w:gridCol w:w="254"/>
        <w:gridCol w:w="224"/>
        <w:gridCol w:w="224"/>
        <w:gridCol w:w="1551"/>
        <w:gridCol w:w="1551"/>
        <w:gridCol w:w="2208"/>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60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HUMANA INC.</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John-Paul W. Felter</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John-Paul W. Felter</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Vice President, Chief Accounting Officer &amp; Controller</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October 9, 2026</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1129</Words>
  <Characters>6228</Characters>
  <CharactersWithSpaces>7318</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